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drawings/drawing2.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Override PartName="/customXml/itemProps2.xml" ContentType="application/vnd.openxmlformats-officedocument.customXml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A3E" w:rsidRPr="00A74192" w:rsidRDefault="00576A3E" w:rsidP="00D94859">
      <w:pPr>
        <w:pStyle w:val="Styl1"/>
        <w:rPr>
          <w:rFonts w:cs="Arial"/>
          <w:sz w:val="20"/>
        </w:rPr>
      </w:pPr>
    </w:p>
    <w:p w:rsidR="00576A3E" w:rsidRPr="00A74192" w:rsidRDefault="00880F23" w:rsidP="00D94859">
      <w:pPr>
        <w:spacing w:line="240" w:lineRule="auto"/>
        <w:rPr>
          <w:rFonts w:cs="Arial"/>
          <w:lang w:eastAsia="ar-SA"/>
        </w:rPr>
      </w:pPr>
      <w:r w:rsidRPr="00880F23">
        <w:rPr>
          <w:noProof/>
        </w:rPr>
        <w:pict>
          <v:shapetype id="_x0000_t202" coordsize="21600,21600" o:spt="202" path="m,l,21600r21600,l21600,xe">
            <v:stroke joinstyle="miter"/>
            <v:path gradientshapeok="t" o:connecttype="rect"/>
          </v:shapetype>
          <v:shape id="Textové pole 2" o:spid="_x0000_s1040" type="#_x0000_t202" style="position:absolute;margin-left:134.65pt;margin-top:759.8pt;width:403.95pt;height:14.15pt;z-index:2516618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" filled="f" stroked="f">
            <v:textbox inset="0,0,0,0">
              <w:txbxContent>
                <w:p w:rsidR="00F23F6C" w:rsidRPr="005251DD" w:rsidRDefault="00F23F6C" w:rsidP="004F191F">
                  <w:r w:rsidRPr="005251DD">
                    <w:t xml:space="preserve">Český statistický úřad, </w:t>
                  </w:r>
                  <w:r>
                    <w:t>Praha, 2017</w:t>
                  </w:r>
                </w:p>
              </w:txbxContent>
            </v:textbox>
            <w10:wrap anchorx="page" anchory="page"/>
            <w10:anchorlock/>
          </v:shape>
        </w:pict>
      </w:r>
      <w:r w:rsidRPr="00880F23">
        <w:rPr>
          <w:noProof/>
        </w:rPr>
        <w:pict>
          <v:shape id="_x0000_s1039" type="#_x0000_t202" style="position:absolute;margin-left:134.65pt;margin-top:612.45pt;width:394.65pt;height:112.45pt;z-index:251660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" filled="f" stroked="f">
            <v:textbox inset="0,0,0,0">
              <w:txbxContent>
                <w:p w:rsidR="00F23F6C" w:rsidRPr="006C5577" w:rsidRDefault="00F23F6C" w:rsidP="004F2A73">
                  <w:pPr>
                    <w:pStyle w:val="TL-Identifikace-dole"/>
                  </w:pPr>
                  <w:r>
                    <w:t>Z</w:t>
                  </w:r>
                  <w:r w:rsidRPr="006C5577">
                    <w:t>pracoval: Odbor</w:t>
                  </w:r>
                  <w:r>
                    <w:t xml:space="preserve"> Kancelář předsedkyně, Oddělení svodných analýz</w:t>
                  </w:r>
                </w:p>
                <w:p w:rsidR="00F23F6C" w:rsidRPr="006C5577" w:rsidRDefault="00F23F6C" w:rsidP="004F191F">
                  <w:pPr>
                    <w:pStyle w:val="TL-Identifikace-dole"/>
                  </w:pPr>
                  <w:r w:rsidRPr="006C5577">
                    <w:t xml:space="preserve">Ředitel odboru: </w:t>
                  </w:r>
                  <w:r>
                    <w:tab/>
                    <w:t>Egor Sidorov, Ph.D.</w:t>
                  </w:r>
                </w:p>
                <w:p w:rsidR="00F23F6C" w:rsidRPr="009F63D2" w:rsidRDefault="00F23F6C" w:rsidP="004F191F">
                  <w:pPr>
                    <w:pStyle w:val="TL-Identifikace-dole"/>
                    <w:rPr>
                      <w:rFonts w:cs="Arial"/>
                    </w:rPr>
                  </w:pPr>
                  <w:r>
                    <w:t xml:space="preserve">Autorský tým: Bc. Jiří Kamenický, Mgr. Bc. Karolína </w:t>
                  </w:r>
                  <w:proofErr w:type="spellStart"/>
                  <w:r>
                    <w:t>Súkupová</w:t>
                  </w:r>
                  <w:proofErr w:type="spellEnd"/>
                </w:p>
                <w:p w:rsidR="00F23F6C" w:rsidRDefault="00F23F6C" w:rsidP="00225F36">
                  <w:pPr>
                    <w:pStyle w:val="TL-Identifikace-dole"/>
                  </w:pPr>
                  <w:r w:rsidRPr="006C5577">
                    <w:t xml:space="preserve">Kontaktní osoba: </w:t>
                  </w:r>
                  <w:r>
                    <w:t xml:space="preserve">Bc. Jiří Kamenický, e-mail: </w:t>
                  </w:r>
                  <w:proofErr w:type="spellStart"/>
                  <w:r w:rsidRPr="006B5E5B">
                    <w:t>jiri.kamenicky</w:t>
                  </w:r>
                  <w:proofErr w:type="spellEnd"/>
                  <w:r w:rsidRPr="006B5E5B">
                    <w:t>@czso.</w:t>
                  </w:r>
                  <w:proofErr w:type="gramStart"/>
                  <w:r w:rsidRPr="006B5E5B">
                    <w:t>cz</w:t>
                  </w:r>
                  <w:r>
                    <w:t>,  tel.</w:t>
                  </w:r>
                  <w:proofErr w:type="gramEnd"/>
                  <w:r>
                    <w:t xml:space="preserve"> 274 052 741</w:t>
                  </w:r>
                </w:p>
                <w:p w:rsidR="00F23F6C" w:rsidRDefault="00F23F6C" w:rsidP="004F191F">
                  <w:pPr>
                    <w:pStyle w:val="TL-Identifikace-dole"/>
                  </w:pPr>
                </w:p>
                <w:p w:rsidR="00F23F6C" w:rsidRDefault="00F23F6C" w:rsidP="004F191F">
                  <w:pPr>
                    <w:pStyle w:val="TL-Identifikace-dole"/>
                  </w:pPr>
                  <w:r>
                    <w:t xml:space="preserve">                            e-mail</w:t>
                  </w:r>
                  <w:r w:rsidRPr="006C5577">
                    <w:t>:</w:t>
                  </w:r>
                  <w:r>
                    <w:t xml:space="preserve"> </w:t>
                  </w:r>
                  <w:hyperlink r:id="rId9" w:history="1">
                    <w:r w:rsidRPr="004640D1">
                      <w:rPr>
                        <w:rStyle w:val="Hypertextovodkaz"/>
                      </w:rPr>
                      <w:t>jiri.kamenicky@czso.cz</w:t>
                    </w:r>
                  </w:hyperlink>
                  <w:r>
                    <w:t>, tel: 274 052 741</w:t>
                  </w:r>
                </w:p>
              </w:txbxContent>
            </v:textbox>
            <w10:wrap anchorx="page" anchory="page"/>
            <w10:anchorlock/>
          </v:shape>
        </w:pict>
      </w:r>
      <w:r w:rsidRPr="00880F23">
        <w:rPr>
          <w:noProof/>
        </w:rPr>
        <w:pict>
          <v:shape id="Text Box 25" o:spid="_x0000_s1038" type="#_x0000_t202" style="position:absolute;margin-left:134.65pt;margin-top:358.2pt;width:394.6pt;height:155.55pt;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" filled="f" stroked="f">
            <v:textbox inset="0,0,0,0">
              <w:txbxContent>
                <w:p w:rsidR="00F23F6C" w:rsidRPr="00D31445" w:rsidRDefault="00F23F6C" w:rsidP="004F191F">
                  <w:pPr>
                    <w:pStyle w:val="TL-identifikace-sted"/>
                  </w:pPr>
                  <w:r>
                    <w:t>Souhrnná data o České republice</w:t>
                  </w:r>
                </w:p>
                <w:p w:rsidR="00F23F6C" w:rsidRPr="00473E94" w:rsidRDefault="00F23F6C" w:rsidP="004F191F">
                  <w:pPr>
                    <w:pStyle w:val="TL-identifikace-sted"/>
                    <w:rPr>
                      <w:color w:val="000000"/>
                    </w:rPr>
                  </w:pPr>
                  <w:r>
                    <w:rPr>
                      <w:color w:val="000000"/>
                    </w:rPr>
                    <w:t>Praha, 21. 9. 2017</w:t>
                  </w:r>
                </w:p>
                <w:p w:rsidR="00F23F6C" w:rsidRPr="004E1415" w:rsidRDefault="00F23F6C" w:rsidP="004F191F">
                  <w:pPr>
                    <w:pStyle w:val="TL-identifikace-sted"/>
                  </w:pPr>
                  <w:r w:rsidRPr="00D31445">
                    <w:t xml:space="preserve">Kód </w:t>
                  </w:r>
                  <w:r>
                    <w:t xml:space="preserve">publikace: </w:t>
                  </w:r>
                  <w:r w:rsidRPr="004E1415">
                    <w:t>320193-17</w:t>
                  </w:r>
                </w:p>
                <w:p w:rsidR="00F23F6C" w:rsidRPr="00EA1CFB" w:rsidRDefault="00F23F6C" w:rsidP="00EA1CFB">
                  <w:pPr>
                    <w:spacing w:after="200"/>
                    <w:rPr>
                      <w:rFonts w:eastAsia="Times New Roman" w:cs="Arial"/>
                      <w:sz w:val="24"/>
                    </w:rPr>
                  </w:pPr>
                  <w:r w:rsidRPr="00EA1CFB">
                    <w:rPr>
                      <w:rFonts w:cs="Arial"/>
                      <w:color w:val="0D0D0D"/>
                      <w:sz w:val="24"/>
                    </w:rPr>
                    <w:t xml:space="preserve">Č. </w:t>
                  </w:r>
                  <w:proofErr w:type="spellStart"/>
                  <w:r w:rsidRPr="00EA1CFB">
                    <w:rPr>
                      <w:rFonts w:cs="Arial"/>
                      <w:color w:val="0D0D0D"/>
                      <w:sz w:val="24"/>
                    </w:rPr>
                    <w:t>j</w:t>
                  </w:r>
                  <w:proofErr w:type="spellEnd"/>
                  <w:r w:rsidRPr="00EA1CFB">
                    <w:rPr>
                      <w:rFonts w:cs="Arial"/>
                      <w:color w:val="0D0D0D"/>
                      <w:sz w:val="24"/>
                    </w:rPr>
                    <w:t xml:space="preserve">.: </w:t>
                  </w:r>
                  <w:r w:rsidR="00EA1CFB" w:rsidRPr="00EA1CFB">
                    <w:rPr>
                      <w:rFonts w:eastAsia="Times New Roman" w:cs="Arial"/>
                      <w:sz w:val="24"/>
                    </w:rPr>
                    <w:t>2187/2017-01</w:t>
                  </w:r>
                </w:p>
                <w:p w:rsidR="00F23F6C" w:rsidRPr="00D31445" w:rsidRDefault="00F23F6C" w:rsidP="004F191F">
                  <w:pPr>
                    <w:spacing w:after="200"/>
                    <w:rPr>
                      <w:sz w:val="24"/>
                    </w:rPr>
                  </w:pPr>
                  <w:r>
                    <w:rPr>
                      <w:sz w:val="24"/>
                    </w:rPr>
                    <w:t>Pořadové číslo v roce: 2</w:t>
                  </w:r>
                </w:p>
              </w:txbxContent>
            </v:textbox>
            <w10:wrap anchorx="page" anchory="page"/>
            <w10:anchorlock/>
          </v:shape>
        </w:pict>
      </w:r>
      <w:r w:rsidRPr="00880F23">
        <w:rPr>
          <w:noProof/>
        </w:rPr>
        <w:pict>
          <v:shape id="_x0000_s1037" type="#_x0000_t202" style="position:absolute;margin-left:134.65pt;margin-top:116.25pt;width:371.15pt;height:135.2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" filled="f" stroked="f">
            <v:textbox style="mso-fit-shape-to-text:t" inset="0,0,0,0">
              <w:txbxContent>
                <w:p w:rsidR="00F23F6C" w:rsidRDefault="00F23F6C" w:rsidP="001C357A">
                  <w:pPr>
                    <w:pStyle w:val="Podtitul"/>
                    <w:rPr>
                      <w:sz w:val="56"/>
                      <w:szCs w:val="56"/>
                    </w:rPr>
                  </w:pPr>
                  <w:r>
                    <w:rPr>
                      <w:sz w:val="56"/>
                      <w:szCs w:val="56"/>
                    </w:rPr>
                    <w:t>VÝVOJ EKONOMIKY Č</w:t>
                  </w:r>
                  <w:r w:rsidRPr="001C357A">
                    <w:rPr>
                      <w:sz w:val="56"/>
                      <w:szCs w:val="56"/>
                    </w:rPr>
                    <w:t>E</w:t>
                  </w:r>
                  <w:r>
                    <w:rPr>
                      <w:sz w:val="56"/>
                      <w:szCs w:val="56"/>
                    </w:rPr>
                    <w:t xml:space="preserve">SKÉ REPUBLIKY </w:t>
                  </w:r>
                </w:p>
                <w:p w:rsidR="00F23F6C" w:rsidRPr="001C357A" w:rsidRDefault="00F23F6C" w:rsidP="001C357A">
                  <w:pPr>
                    <w:pStyle w:val="Podtitul"/>
                    <w:rPr>
                      <w:sz w:val="56"/>
                      <w:szCs w:val="56"/>
                    </w:rPr>
                  </w:pPr>
                  <w:r>
                    <w:rPr>
                      <w:sz w:val="56"/>
                      <w:szCs w:val="56"/>
                    </w:rPr>
                    <w:t>V 1. POLOLETÍ 2017</w:t>
                  </w:r>
                </w:p>
                <w:p w:rsidR="00F23F6C" w:rsidRPr="009B04D0" w:rsidRDefault="00F23F6C" w:rsidP="004F191F">
                  <w:pPr>
                    <w:pStyle w:val="Podtitul"/>
                  </w:pPr>
                </w:p>
              </w:txbxContent>
            </v:textbox>
            <w10:wrap anchorx="page" anchory="page"/>
            <w10:anchorlock/>
          </v:shape>
        </w:pict>
      </w:r>
      <w:r w:rsidRPr="00880F23">
        <w:rPr>
          <w:noProof/>
        </w:rPr>
        <w:pict>
          <v:group id="Group 24" o:spid="_x0000_s1030" style="position:absolute;margin-left:45.1pt;margin-top:36.85pt;width:177.15pt;height:43.65pt;z-index:251657728;mso-position-horizontal-relative:page;mso-position-vertical-relative:page" coordorigin="567,851" coordsize="27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">
            <o:lock v:ext="edit" aspectratio="t"/>
            <v:rect id="Rectangle 9" o:spid="_x0000_s1031" style="position:absolute;left:1215;top:901;width:676;height:1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Edfb4A&#10;AADaAAAADwAAAGRycy9kb3ducmV2LnhtbERPTYvCMBC9L/gfwgje1lQPrlTTIooguB62Cl7HZmyD&#10;zaQ00Xb/vTks7PHxvtf5YBvxos4bxwpm0wQEcem04UrB5bz/XILwAVlj45gU/JKHPBt9rDHVrucf&#10;ehWhEjGEfYoK6hDaVEpf1mTRT11LHLm76yyGCLtK6g77GG4bOU+ShbRoODbU2NK2pvJRPK0CI797&#10;W5yuO5c827O5ft2WPhyVmoyHzQpEoCH8i//cB60gbo1X4g2Q2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BHX2+AAAA2gAAAA8AAAAAAAAAAAAAAAAAmAIAAGRycy9kb3ducmV2&#10;LnhtbFBLBQYAAAAABAAEAPUAAACDAwAAAAA=&#10;" fillcolor="#0071bc" stroked="f">
              <o:lock v:ext="edit" aspectratio="t"/>
            </v:rect>
            <v:rect id="Rectangle 10" o:spid="_x0000_s1032" style="position:absolute;left:567;top:1131;width:1324;height:1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245sIA&#10;AADaAAAADwAAAGRycy9kb3ducmV2LnhtbESPT4vCMBTE74LfITzBm6Z68E/XKIuysLB6sApen83b&#10;NmzzUppou9/eCILHYWZ+w6w2na3EnRpvHCuYjBMQxLnThgsF59PXaAHCB2SNlWNS8E8eNut+b4Wp&#10;di0f6Z6FQkQI+xQVlCHUqZQ+L8miH7uaOHq/rrEYomwKqRtsI9xWcpokM2nRcFwosaZtSflfdrMK&#10;jNy3Njtcdi651SdzmV8XPvwoNRx0nx8gAnXhHX61v7WCJTyvxBs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jbjmwgAAANoAAAAPAAAAAAAAAAAAAAAAAJgCAABkcnMvZG93&#10;bnJldi54bWxQSwUGAAAAAAQABAD1AAAAhwMAAAAA&#10;" fillcolor="#0071bc" stroked="f">
              <o:lock v:ext="edit" aspectratio="t"/>
            </v:rect>
            <v:rect id="Rectangle 11" o:spid="_x0000_s1033" style="position:absolute;left:1288;top:1361;width:603;height:1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CmR8QA&#10;AADbAAAADwAAAGRycy9kb3ducmV2LnhtbESPQWvCQBSE7wX/w/KE3pqNUtoQXUUshULbQxMh12f2&#10;mSxm34bsauK/dwuFHoeZ+YZZbyfbiSsN3jhWsEhSEMS104YbBYfy/SkD4QOyxs4xKbiRh+1m9rDG&#10;XLuRf+hahEZECPscFbQh9LmUvm7Jok9cTxy9kxsshiiHRuoBxwi3nVym6Yu0aDgutNjTvqX6XFys&#10;AiO/Rlt8V28uvfSlqV6PmQ+fSj3Op90KRKAp/If/2h9awfIZfr/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QpkfEAAAA2wAAAA8AAAAAAAAAAAAAAAAAmAIAAGRycy9k&#10;b3ducmV2LnhtbFBLBQYAAAAABAAEAPUAAACJAwAAAAA=&#10;" fillcolor="#0071bc" stroked="f">
              <o:lock v:ext="edit" aspectratio="t"/>
            </v:rect>
            <v:shape id="Freeform 12" o:spid="_x0000_s1034" style="position:absolute;left:1969;top:1311;width:600;height:207;visibility:visible;mso-wrap-style:square;v-text-anchor:top" coordsize="1200,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wcN8EA&#10;AADbAAAADwAAAGRycy9kb3ducmV2LnhtbESPQYvCMBSE78L+h/AEb5paUJauUYqs7IqnrfX+aN42&#10;xealNFHrvzeC4HGYmW+Y1WawrbhS7xvHCuazBARx5XTDtYLyuJt+gvABWWPrmBTcycNm/TFaYabd&#10;jf/oWoRaRAj7DBWYELpMSl8ZsuhnriOO3r/rLYYo+1rqHm8RbluZJslSWmw4LhjsaGuoOhcXq+A7&#10;J0N52W0L3renn9P5kDb7g1KT8ZB/gQg0hHf41f7VCtIFPL/EH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MHDfBAAAA2wAAAA8AAAAAAAAAAAAAAAAAmAIAAGRycy9kb3du&#10;cmV2LnhtbFBLBQYAAAAABAAEAPUAAACGAw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520,84;537,88;550,100;557,114;559,131;554,147;544,160;530,168;506,170;540,202;567,190;587,169;599,142;599,111;587,84;567,63;540,51;466,204;388,146;393,50;343,177;257,18;174,18;216,81;231,88;235,104;225,116;204,119;258,135;271,121;276,102;275,83;266,67;252,55;232,50;204,204;243,141;67,42;0,139;3,166;12,184;34,201;67,207;96,202;119,186;131,166;134,139;95,143;89,163;78,170;63,172;52,168;42,156;40,50" o:connectangles="0,0,0,0,0,0,0,0,0,0,0,0,0,0,0,0,0,0,0,0,0,0,0,0,0,0,0,0,0,0,0,0,0,0,0,0,0,0,0,0,0,0,0,0,0,0,0,0,0,0,0,0,0,0"/>
              <o:lock v:ext="edit" aspectratio="t" verticies="t"/>
            </v:shape>
            <v:shape id="Freeform 13" o:spid="_x0000_s1035" style="position:absolute;left:1962;top:1081;width:1319;height:208;visibility:visible;mso-wrap-style:square;v-text-anchor:top" coordsize="2637,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haAMYA&#10;AADbAAAADwAAAGRycy9kb3ducmV2LnhtbESPQWvCQBSE7wX/w/KEXqRuVBBJ3YSiFKQqqGkPvT2y&#10;r0lo9m3Y3Zr033cFocdhZr5h1vlgWnEl5xvLCmbTBARxaXXDlYL34vVpBcIHZI2tZVLwSx7ybPSw&#10;xlTbns90vYRKRAj7FBXUIXSplL6syaCf2o44el/WGQxRukpqh32Em1bOk2QpDTYcF2rsaFNT+X35&#10;MQo2RfvhFod+f3aT7e7t81jJ4nhS6nE8vDyDCDSE//C9vdMK5ku4fYk/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haAMYAAADbAAAADwAAAAAAAAAAAAAAAACYAgAAZHJz&#10;L2Rvd25yZXYueG1sUEsFBgAAAAAEAAQA9QAAAIsDA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1221,204;1166,50;1072,137;1004,54;943,51;900,82;887,136;907,181;959,208;1000,157;969,169;945,161;929,137;933,107;953,89;984,88;864,50;802,50;680,59;638,46;602,54;581,82;583,116;610,138;644,153;637,171;608,170;586,198;633,208;671,193;687,160;678,126;638,107;621,93;635,80;665,90;452,84;452,204;343,204;333,177;158,204;84,49;42,48;14,68;6,103;19,128;64,147;71,165;48,174;17,158;40,207;84,202;110,176;110,135;93,117;50,99;53,84;76,81" o:connectangles="0,0,0,0,0,0,0,0,0,0,0,0,0,0,0,0,0,0,0,0,0,0,0,0,0,0,0,0,0,0,0,0,0,0,0,0,0,0,0,0,0,0,0,0,0,0,0,0,0,0,0,0,0,0,0,0,0,0"/>
              <o:lock v:ext="edit" aspectratio="t" verticies="t"/>
            </v:shape>
            <v:shape id="Freeform 14" o:spid="_x0000_s1036" style="position:absolute;left:1962;top:851;width:679;height:208;visibility:visible;mso-wrap-style:square;v-text-anchor:top" coordsize="1358,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zGsMA&#10;AADbAAAADwAAAGRycy9kb3ducmV2LnhtbESPQWvCQBSE74L/YXmCF6mbetCSukpVot5KVXp+zT6T&#10;0OzbdHc18d+7BcHjMPPNMPNlZ2pxJecrywpexwkI4tzqigsFp2P28gbCB2SNtWVScCMPy0W/N8dU&#10;25a/6HoIhYgl7FNUUIbQpFL6vCSDfmwb4uidrTMYonSF1A7bWG5qOUmSqTRYcVwosaF1Sfnv4WIU&#10;TKbfP7tsX6w+6+3fyOnzJhu1G6WGg+7jHUSgLjzDD3qvIzeD/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gzGsMAAADbAAAADwAAAAAAAAAAAAAAAACYAgAAZHJzL2Rv&#10;d25yZXYueG1sUEsFBgAAAAAEAAQA9QAAAIgDA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641,18;679,50;581,130;432,204;530,50;349,54;318,46;290,50;271,64;261,87;261,112;272,129;307,144;324,153;322,168;306,174;284,168;260,195;293,207;326,206;351,193;365,172;365,138;356,124;329,111;304,99;303,87;315,80;332,82;232,50;185,170;185,84;105,1;108,51;65,48;29,65;6,96;0,136;11,170;41,197;82,208;118,153;97,167;76,168;59,162;45,146;42,124;49,104;63,91;83,86;107,92" o:connectangles="0,0,0,0,0,0,0,0,0,0,0,0,0,0,0,0,0,0,0,0,0,0,0,0,0,0,0,0,0,0,0,0,0,0,0,0,0,0,0,0,0,0,0,0,0,0,0,0,0,0,0"/>
              <o:lock v:ext="edit" aspectratio="t" verticies="t"/>
            </v:shape>
            <w10:wrap type="square" anchorx="page" anchory="page"/>
          </v:group>
        </w:pict>
      </w:r>
    </w:p>
    <w:p w:rsidR="00576A3E" w:rsidRPr="00A74192" w:rsidRDefault="00576A3E" w:rsidP="00D94859">
      <w:pPr>
        <w:pStyle w:val="Styl1"/>
        <w:rPr>
          <w:rFonts w:cs="Arial"/>
          <w:sz w:val="20"/>
        </w:rPr>
      </w:pPr>
    </w:p>
    <w:p w:rsidR="00576A3E" w:rsidRPr="00A74192" w:rsidRDefault="00576A3E" w:rsidP="00D94859">
      <w:pPr>
        <w:pStyle w:val="Styl1"/>
        <w:rPr>
          <w:rFonts w:cs="Arial"/>
          <w:sz w:val="20"/>
        </w:rPr>
      </w:pPr>
    </w:p>
    <w:p w:rsidR="00576A3E" w:rsidRPr="00A74192" w:rsidRDefault="00576A3E" w:rsidP="00D94859">
      <w:pPr>
        <w:pStyle w:val="Styl1"/>
        <w:rPr>
          <w:rFonts w:cs="Arial"/>
          <w:sz w:val="20"/>
        </w:rPr>
      </w:pPr>
    </w:p>
    <w:p w:rsidR="00576A3E" w:rsidRPr="00A74192" w:rsidRDefault="00576A3E" w:rsidP="00D94859">
      <w:pPr>
        <w:autoSpaceDE w:val="0"/>
        <w:autoSpaceDN w:val="0"/>
        <w:adjustRightInd w:val="0"/>
        <w:spacing w:line="240" w:lineRule="auto"/>
        <w:jc w:val="both"/>
        <w:rPr>
          <w:rFonts w:cs="Arial"/>
        </w:rPr>
      </w:pPr>
    </w:p>
    <w:p w:rsidR="00576A3E" w:rsidRPr="00A74192" w:rsidRDefault="00880F23" w:rsidP="00D94859">
      <w:pPr>
        <w:autoSpaceDE w:val="0"/>
        <w:autoSpaceDN w:val="0"/>
        <w:adjustRightInd w:val="0"/>
        <w:spacing w:line="240" w:lineRule="auto"/>
        <w:jc w:val="both"/>
        <w:rPr>
          <w:rFonts w:cs="Arial"/>
          <w:lang w:eastAsia="ar-SA"/>
        </w:rPr>
      </w:pPr>
      <w:r w:rsidRPr="00880F23">
        <w:rPr>
          <w:noProof/>
        </w:rPr>
        <w:pict>
          <v:line id="Přímá spojnice 33" o:spid="_x0000_s1029" style="position:absolute;left:0;text-align:left;z-index:251656704;visibility:visible;mso-wrap-distance-top:-3e-5mm;mso-wrap-distance-bottom:-3e-5mm;mso-position-horizontal-relative:page;mso-position-vertical-relative:page" from="134.65pt,737.1pt" to="538.6pt,7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" o:allowincell="f" strokecolor="windowText" strokeweight="1pt">
            <o:lock v:ext="edit" shapetype="f"/>
            <w10:wrap anchorx="page" anchory="page"/>
            <w10:anchorlock/>
          </v:line>
        </w:pict>
      </w:r>
      <w:r w:rsidR="00576A3E" w:rsidRPr="00A74192">
        <w:rPr>
          <w:rFonts w:cs="Arial"/>
        </w:rPr>
        <w:br w:type="page"/>
      </w:r>
    </w:p>
    <w:p w:rsidR="00576A3E" w:rsidRPr="00A74192" w:rsidRDefault="00576A3E" w:rsidP="00D94859">
      <w:pPr>
        <w:pStyle w:val="Styl1"/>
        <w:rPr>
          <w:rFonts w:cs="Arial"/>
          <w:sz w:val="20"/>
        </w:rPr>
      </w:pPr>
    </w:p>
    <w:p w:rsidR="00576A3E" w:rsidRPr="00A74192" w:rsidRDefault="00576A3E" w:rsidP="00D94859">
      <w:pPr>
        <w:pStyle w:val="Styl1"/>
        <w:rPr>
          <w:rFonts w:cs="Arial"/>
          <w:sz w:val="20"/>
        </w:rPr>
      </w:pPr>
    </w:p>
    <w:p w:rsidR="00576A3E" w:rsidRPr="00A74192" w:rsidRDefault="00576A3E" w:rsidP="00D94859">
      <w:pPr>
        <w:spacing w:line="240" w:lineRule="auto"/>
        <w:rPr>
          <w:rFonts w:cs="Arial"/>
          <w:lang w:eastAsia="ar-SA"/>
        </w:rPr>
      </w:pPr>
    </w:p>
    <w:p w:rsidR="00576A3E" w:rsidRPr="00A74192" w:rsidRDefault="00576A3E" w:rsidP="00D94859">
      <w:pPr>
        <w:pStyle w:val="Styl1"/>
        <w:rPr>
          <w:rFonts w:cs="Arial"/>
          <w:sz w:val="20"/>
        </w:rPr>
      </w:pPr>
    </w:p>
    <w:p w:rsidR="00576A3E" w:rsidRPr="00A74192" w:rsidRDefault="00880F23" w:rsidP="00D94859">
      <w:pPr>
        <w:pStyle w:val="Styl1"/>
        <w:rPr>
          <w:rFonts w:cs="Arial"/>
          <w:color w:val="7DB41E"/>
          <w:sz w:val="20"/>
          <w:szCs w:val="20"/>
        </w:rPr>
      </w:pPr>
      <w:r w:rsidRPr="00880F23">
        <w:rPr>
          <w:noProof/>
          <w:lang w:eastAsia="cs-CZ"/>
        </w:rPr>
        <w:pict>
          <v:shape id="_x0000_s1028" type="#_x0000_t202" style="position:absolute;margin-left:56.7pt;margin-top:116.25pt;width:481.9pt;height:595.3pt;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" filled="f" stroked="f">
            <v:textbox inset="0,0,0,0">
              <w:txbxContent>
                <w:p w:rsidR="00F23F6C" w:rsidRPr="00D766EF" w:rsidRDefault="00F23F6C" w:rsidP="00437C76">
                  <w:pPr>
                    <w:pStyle w:val="TL-Kontakty"/>
                  </w:pPr>
                  <w:r w:rsidRPr="00D766EF">
                    <w:rPr>
                      <w:caps w:val="0"/>
                    </w:rPr>
                    <w:t>KONTAKTY V</w:t>
                  </w:r>
                  <w:r w:rsidRPr="00D766EF">
                    <w:t> ÚSTŘEDÍ</w:t>
                  </w:r>
                </w:p>
                <w:p w:rsidR="00F23F6C" w:rsidRPr="00EA4153" w:rsidRDefault="00F23F6C" w:rsidP="00BD366B">
                  <w:pPr>
                    <w:spacing w:after="80" w:line="240" w:lineRule="auto"/>
                    <w:rPr>
                      <w:b/>
                      <w:color w:val="0071BC"/>
                    </w:rPr>
                  </w:pPr>
                  <w:r w:rsidRPr="00320214">
                    <w:rPr>
                      <w:b/>
                      <w:color w:val="0071BC"/>
                    </w:rPr>
                    <w:t>Český statistický úřad</w:t>
                  </w:r>
                  <w:r>
                    <w:rPr>
                      <w:b/>
                      <w:color w:val="0071BC"/>
                    </w:rPr>
                    <w:t xml:space="preserve"> | </w:t>
                  </w:r>
                  <w:r>
                    <w:t xml:space="preserve">Na padesátém 81, 100 82 Praha 10 | tel.: 274 051 111 | </w:t>
                  </w:r>
                  <w:r w:rsidRPr="00841D9F">
                    <w:rPr>
                      <w:b/>
                      <w:bCs/>
                    </w:rPr>
                    <w:t>www.czso.cz</w:t>
                  </w:r>
                </w:p>
                <w:p w:rsidR="00F23F6C" w:rsidRPr="00B27293" w:rsidRDefault="00F23F6C" w:rsidP="00BD366B">
                  <w:pPr>
                    <w:spacing w:after="80" w:line="240" w:lineRule="auto"/>
                  </w:pPr>
                  <w:r w:rsidRPr="00100014">
                    <w:rPr>
                      <w:b/>
                    </w:rPr>
                    <w:t>Oddělení informačních služeb</w:t>
                  </w:r>
                  <w:r w:rsidRPr="00EA4153">
                    <w:t xml:space="preserve"> |</w:t>
                  </w:r>
                  <w:r>
                    <w:rPr>
                      <w:b/>
                    </w:rPr>
                    <w:t xml:space="preserve"> </w:t>
                  </w:r>
                  <w:r>
                    <w:t>tel.: 274 052 304, 274 052 451 | e-mail: infoservis@czso.cz</w:t>
                  </w:r>
                </w:p>
                <w:p w:rsidR="00F23F6C" w:rsidRPr="00EA4153" w:rsidRDefault="00F23F6C" w:rsidP="00BD366B">
                  <w:pPr>
                    <w:spacing w:after="80" w:line="240" w:lineRule="auto"/>
                    <w:rPr>
                      <w:b/>
                    </w:rPr>
                  </w:pPr>
                  <w:r w:rsidRPr="00100014">
                    <w:rPr>
                      <w:b/>
                    </w:rPr>
                    <w:t>Prodejna publikací ČSÚ</w:t>
                  </w:r>
                  <w:r>
                    <w:t xml:space="preserve"> | tel.: 274 052 361 | e-mail: prodejna@czso.cz</w:t>
                  </w:r>
                </w:p>
                <w:p w:rsidR="00F23F6C" w:rsidRPr="00EA4153" w:rsidRDefault="00F23F6C" w:rsidP="00BD366B">
                  <w:pPr>
                    <w:spacing w:after="80" w:line="240" w:lineRule="auto"/>
                    <w:rPr>
                      <w:b/>
                    </w:rPr>
                  </w:pPr>
                  <w:r>
                    <w:rPr>
                      <w:b/>
                    </w:rPr>
                    <w:t xml:space="preserve">Evropská data (ESDS), </w:t>
                  </w:r>
                  <w:r w:rsidRPr="00100014">
                    <w:rPr>
                      <w:b/>
                    </w:rPr>
                    <w:t>mezinárodní srovnání</w:t>
                  </w:r>
                  <w:r>
                    <w:t xml:space="preserve"> | tel.: 274 052 347, 274 052 757 | e-mail: esds@czso.cz</w:t>
                  </w:r>
                </w:p>
                <w:p w:rsidR="00F23F6C" w:rsidRPr="00EA4153" w:rsidRDefault="00F23F6C" w:rsidP="00BD366B">
                  <w:pPr>
                    <w:spacing w:after="80" w:line="240" w:lineRule="auto"/>
                    <w:rPr>
                      <w:b/>
                    </w:rPr>
                  </w:pPr>
                  <w:r w:rsidRPr="00100014">
                    <w:rPr>
                      <w:b/>
                    </w:rPr>
                    <w:t>Ústřední statistická knihovna</w:t>
                  </w:r>
                  <w:r>
                    <w:t xml:space="preserve"> | tel.: 274 052 361 | e-mail: knihovna@czso.cz</w:t>
                  </w:r>
                </w:p>
                <w:p w:rsidR="00F23F6C" w:rsidRDefault="00F23F6C" w:rsidP="00BD366B">
                  <w:pPr>
                    <w:spacing w:line="240" w:lineRule="auto"/>
                  </w:pPr>
                </w:p>
                <w:p w:rsidR="00F23F6C" w:rsidRPr="0071229A" w:rsidRDefault="00F23F6C" w:rsidP="004F06F5">
                  <w:pPr>
                    <w:pStyle w:val="TL-Kontakty"/>
                  </w:pPr>
                  <w:r w:rsidRPr="0071229A">
                    <w:t>INFORMAČNÍ SLUŽBY V REGIONECH</w:t>
                  </w:r>
                </w:p>
                <w:p w:rsidR="00F23F6C" w:rsidRDefault="00F23F6C" w:rsidP="00BD366B">
                  <w:pPr>
                    <w:spacing w:line="240" w:lineRule="auto"/>
                  </w:pPr>
                  <w:r w:rsidRPr="00100014">
                    <w:rPr>
                      <w:b/>
                      <w:color w:val="0071BC"/>
                    </w:rPr>
                    <w:t>Hl. m. Praha</w:t>
                  </w:r>
                  <w:r>
                    <w:t xml:space="preserve"> | Na padesátém 81, 100 82 Praha 10 | tel.: 274 052 673, 274 054 223</w:t>
                  </w:r>
                </w:p>
                <w:p w:rsidR="00F23F6C" w:rsidRPr="00100014" w:rsidRDefault="00F23F6C" w:rsidP="00BD366B">
                  <w:pPr>
                    <w:spacing w:line="240" w:lineRule="auto"/>
                    <w:rPr>
                      <w:b/>
                    </w:rPr>
                  </w:pPr>
                  <w:r>
                    <w:t xml:space="preserve">e-mail: infoservispraha@czso.cz | </w:t>
                  </w:r>
                  <w:r w:rsidRPr="00100014">
                    <w:rPr>
                      <w:b/>
                    </w:rPr>
                    <w:t>www.praha.czso.cz</w:t>
                  </w:r>
                </w:p>
                <w:p w:rsidR="00F23F6C" w:rsidRDefault="00F23F6C" w:rsidP="00BD366B">
                  <w:pPr>
                    <w:spacing w:line="240" w:lineRule="auto"/>
                  </w:pPr>
                </w:p>
                <w:p w:rsidR="00F23F6C" w:rsidRPr="00B27293" w:rsidRDefault="00F23F6C" w:rsidP="00BD366B">
                  <w:pPr>
                    <w:spacing w:line="240" w:lineRule="auto"/>
                    <w:rPr>
                      <w:b/>
                      <w:color w:val="0071BC"/>
                    </w:rPr>
                  </w:pPr>
                  <w:r w:rsidRPr="00100014">
                    <w:rPr>
                      <w:b/>
                      <w:color w:val="0071BC"/>
                    </w:rPr>
                    <w:t>Středočeský kraj</w:t>
                  </w:r>
                  <w:r>
                    <w:t xml:space="preserve"> | Na padesátém 81, 100 82 Praha 10</w:t>
                  </w:r>
                  <w:r w:rsidRPr="00B27293">
                    <w:t xml:space="preserve"> |</w:t>
                  </w:r>
                  <w:r w:rsidRPr="00B27293">
                    <w:rPr>
                      <w:b/>
                    </w:rPr>
                    <w:t xml:space="preserve"> </w:t>
                  </w:r>
                  <w:r>
                    <w:t>tel.: 274 054 175</w:t>
                  </w:r>
                </w:p>
                <w:p w:rsidR="00F23F6C" w:rsidRPr="00B27293" w:rsidRDefault="00F23F6C" w:rsidP="00BD366B">
                  <w:pPr>
                    <w:spacing w:line="240" w:lineRule="auto"/>
                  </w:pPr>
                  <w:r>
                    <w:t xml:space="preserve">e-mail: infoservisstc@czso.cz | </w:t>
                  </w:r>
                  <w:r w:rsidRPr="00100014">
                    <w:rPr>
                      <w:b/>
                    </w:rPr>
                    <w:t>www.stredocesky.czso.cz</w:t>
                  </w:r>
                </w:p>
                <w:p w:rsidR="00F23F6C" w:rsidRDefault="00F23F6C" w:rsidP="00BD366B">
                  <w:pPr>
                    <w:spacing w:line="240" w:lineRule="auto"/>
                  </w:pPr>
                </w:p>
                <w:p w:rsidR="00F23F6C" w:rsidRPr="00B27293" w:rsidRDefault="00F23F6C" w:rsidP="00BD366B">
                  <w:pPr>
                    <w:spacing w:line="240" w:lineRule="auto"/>
                    <w:rPr>
                      <w:b/>
                      <w:color w:val="0071BC"/>
                    </w:rPr>
                  </w:pPr>
                  <w:r w:rsidRPr="00100014">
                    <w:rPr>
                      <w:b/>
                      <w:color w:val="0071BC"/>
                    </w:rPr>
                    <w:t>České Budějovice</w:t>
                  </w:r>
                  <w:r>
                    <w:t xml:space="preserve"> | Žižkova 1, 370 77 České Budějovice | tel.: 386 718 440</w:t>
                  </w:r>
                </w:p>
                <w:p w:rsidR="00F23F6C" w:rsidRPr="00B27293" w:rsidRDefault="00F23F6C" w:rsidP="00BD366B">
                  <w:pPr>
                    <w:spacing w:line="240" w:lineRule="auto"/>
                  </w:pPr>
                  <w:r>
                    <w:t xml:space="preserve">e-mail: infoserviscb@czso.cz | </w:t>
                  </w:r>
                  <w:r w:rsidRPr="00100014">
                    <w:rPr>
                      <w:b/>
                    </w:rPr>
                    <w:t>www.cbudejovice.czso.cz</w:t>
                  </w:r>
                </w:p>
                <w:p w:rsidR="00F23F6C" w:rsidRDefault="00F23F6C" w:rsidP="00BD366B">
                  <w:pPr>
                    <w:spacing w:line="240" w:lineRule="auto"/>
                  </w:pPr>
                </w:p>
                <w:p w:rsidR="00F23F6C" w:rsidRPr="00B27293" w:rsidRDefault="00F23F6C" w:rsidP="00BD366B">
                  <w:pPr>
                    <w:spacing w:line="240" w:lineRule="auto"/>
                    <w:rPr>
                      <w:b/>
                      <w:color w:val="0071BC"/>
                    </w:rPr>
                  </w:pPr>
                  <w:r w:rsidRPr="0071229A">
                    <w:rPr>
                      <w:b/>
                      <w:color w:val="0071BC"/>
                    </w:rPr>
                    <w:t>Plzeň</w:t>
                  </w:r>
                  <w:r>
                    <w:t xml:space="preserve"> | Slovanská alej 36, 326 64 Plzeň | tel.: 377 612 108, 377 612 249</w:t>
                  </w:r>
                </w:p>
                <w:p w:rsidR="00F23F6C" w:rsidRPr="00B27293" w:rsidRDefault="00F23F6C" w:rsidP="00BD366B">
                  <w:pPr>
                    <w:spacing w:line="240" w:lineRule="auto"/>
                  </w:pPr>
                  <w:r>
                    <w:t xml:space="preserve">e-mail: infoservisplzen@czso.cz | </w:t>
                  </w:r>
                  <w:r w:rsidRPr="0071229A">
                    <w:rPr>
                      <w:b/>
                    </w:rPr>
                    <w:t>www.plzen.czso.cz</w:t>
                  </w:r>
                </w:p>
                <w:p w:rsidR="00F23F6C" w:rsidRDefault="00F23F6C" w:rsidP="00BD366B">
                  <w:pPr>
                    <w:spacing w:line="240" w:lineRule="auto"/>
                  </w:pPr>
                </w:p>
                <w:p w:rsidR="00F23F6C" w:rsidRPr="00B27293" w:rsidRDefault="00F23F6C" w:rsidP="00BD366B">
                  <w:pPr>
                    <w:spacing w:line="240" w:lineRule="auto"/>
                    <w:rPr>
                      <w:b/>
                      <w:color w:val="0071BC"/>
                    </w:rPr>
                  </w:pPr>
                  <w:r w:rsidRPr="0071229A">
                    <w:rPr>
                      <w:b/>
                      <w:color w:val="0071BC"/>
                    </w:rPr>
                    <w:t>Karlovy Vary</w:t>
                  </w:r>
                  <w:r>
                    <w:t xml:space="preserve"> | Závodní 360/94, 360 06 Karlovy Vary | tel.: 353 114 529, 353 114 525</w:t>
                  </w:r>
                </w:p>
                <w:p w:rsidR="00F23F6C" w:rsidRDefault="00F23F6C" w:rsidP="00BD366B">
                  <w:pPr>
                    <w:spacing w:line="240" w:lineRule="auto"/>
                    <w:rPr>
                      <w:b/>
                    </w:rPr>
                  </w:pPr>
                  <w:r>
                    <w:t xml:space="preserve">e-mail: infoserviskv@czso.cz | </w:t>
                  </w:r>
                  <w:r>
                    <w:rPr>
                      <w:b/>
                    </w:rPr>
                    <w:t>www.kvary.czso.cz</w:t>
                  </w:r>
                </w:p>
                <w:p w:rsidR="00F23F6C" w:rsidRDefault="00F23F6C" w:rsidP="00BD366B">
                  <w:pPr>
                    <w:spacing w:line="240" w:lineRule="auto"/>
                  </w:pPr>
                </w:p>
                <w:p w:rsidR="00F23F6C" w:rsidRPr="00B27293" w:rsidRDefault="00F23F6C" w:rsidP="00BD366B">
                  <w:pPr>
                    <w:spacing w:line="240" w:lineRule="auto"/>
                    <w:rPr>
                      <w:b/>
                      <w:bCs/>
                      <w:color w:val="0071BC"/>
                    </w:rPr>
                  </w:pPr>
                  <w:r w:rsidRPr="0071229A">
                    <w:rPr>
                      <w:b/>
                      <w:bCs/>
                      <w:color w:val="0071BC"/>
                    </w:rPr>
                    <w:t>Ústí nad Labem</w:t>
                  </w:r>
                  <w:r>
                    <w:t xml:space="preserve"> | </w:t>
                  </w:r>
                  <w:r w:rsidRPr="0071229A">
                    <w:rPr>
                      <w:bCs/>
                    </w:rPr>
                    <w:t>Špálova 2684, 400 11 Ústí nad Labem</w:t>
                  </w:r>
                  <w:r>
                    <w:t xml:space="preserve"> | </w:t>
                  </w:r>
                  <w:r w:rsidRPr="0071229A">
                    <w:rPr>
                      <w:bCs/>
                    </w:rPr>
                    <w:t>tel.: 472 706 176, 472 706 121</w:t>
                  </w:r>
                </w:p>
                <w:p w:rsidR="00F23F6C" w:rsidRPr="00B27293" w:rsidRDefault="00F23F6C" w:rsidP="00BD366B">
                  <w:pPr>
                    <w:spacing w:line="240" w:lineRule="auto"/>
                    <w:rPr>
                      <w:bCs/>
                    </w:rPr>
                  </w:pPr>
                  <w:r w:rsidRPr="0071229A">
                    <w:rPr>
                      <w:bCs/>
                    </w:rPr>
                    <w:t>e-mail: infoservisul@czso.cz</w:t>
                  </w:r>
                  <w:r>
                    <w:t xml:space="preserve"> | </w:t>
                  </w:r>
                  <w:r w:rsidRPr="0071229A">
                    <w:rPr>
                      <w:b/>
                      <w:bCs/>
                    </w:rPr>
                    <w:t>www.ustinadlabem.czso.cz</w:t>
                  </w:r>
                </w:p>
                <w:p w:rsidR="00F23F6C" w:rsidRPr="0071229A" w:rsidRDefault="00F23F6C" w:rsidP="00BD366B">
                  <w:pPr>
                    <w:spacing w:line="240" w:lineRule="auto"/>
                    <w:rPr>
                      <w:bCs/>
                    </w:rPr>
                  </w:pPr>
                </w:p>
                <w:p w:rsidR="00F23F6C" w:rsidRPr="00B27293" w:rsidRDefault="00F23F6C" w:rsidP="00BD366B">
                  <w:pPr>
                    <w:spacing w:line="240" w:lineRule="auto"/>
                    <w:rPr>
                      <w:b/>
                      <w:bCs/>
                      <w:color w:val="0071BC"/>
                    </w:rPr>
                  </w:pPr>
                  <w:r w:rsidRPr="0071229A">
                    <w:rPr>
                      <w:b/>
                      <w:bCs/>
                      <w:color w:val="0071BC"/>
                    </w:rPr>
                    <w:t>Liberec</w:t>
                  </w:r>
                  <w:r>
                    <w:t xml:space="preserve"> | </w:t>
                  </w:r>
                  <w:r w:rsidRPr="0071229A">
                    <w:rPr>
                      <w:bCs/>
                    </w:rPr>
                    <w:t>Nám. Dr. Edvarda Beneše 585/26, 460 01 Liberec 1</w:t>
                  </w:r>
                  <w:r>
                    <w:t xml:space="preserve"> | </w:t>
                  </w:r>
                  <w:r w:rsidRPr="0071229A">
                    <w:rPr>
                      <w:bCs/>
                    </w:rPr>
                    <w:t>tel.: 485 238 811</w:t>
                  </w:r>
                </w:p>
                <w:p w:rsidR="00F23F6C" w:rsidRPr="00B27293" w:rsidRDefault="00F23F6C" w:rsidP="00BD366B">
                  <w:pPr>
                    <w:spacing w:line="240" w:lineRule="auto"/>
                    <w:rPr>
                      <w:bCs/>
                    </w:rPr>
                  </w:pPr>
                  <w:r w:rsidRPr="0071229A">
                    <w:rPr>
                      <w:bCs/>
                    </w:rPr>
                    <w:t>e-mail: infoservislbc@czso.cz</w:t>
                  </w:r>
                  <w:r>
                    <w:t xml:space="preserve"> | </w:t>
                  </w:r>
                  <w:r w:rsidRPr="0071229A">
                    <w:rPr>
                      <w:b/>
                      <w:bCs/>
                    </w:rPr>
                    <w:t>www.liberec.czso.cz</w:t>
                  </w:r>
                </w:p>
                <w:p w:rsidR="00F23F6C" w:rsidRPr="0071229A" w:rsidRDefault="00F23F6C" w:rsidP="00BD366B">
                  <w:pPr>
                    <w:spacing w:line="240" w:lineRule="auto"/>
                    <w:rPr>
                      <w:bCs/>
                    </w:rPr>
                  </w:pPr>
                </w:p>
                <w:p w:rsidR="00F23F6C" w:rsidRPr="00B27293" w:rsidRDefault="00F23F6C" w:rsidP="00BD366B">
                  <w:pPr>
                    <w:spacing w:line="240" w:lineRule="auto"/>
                    <w:rPr>
                      <w:b/>
                      <w:bCs/>
                      <w:color w:val="0071BC"/>
                    </w:rPr>
                  </w:pPr>
                  <w:r w:rsidRPr="0071229A">
                    <w:rPr>
                      <w:b/>
                      <w:bCs/>
                      <w:color w:val="0071BC"/>
                    </w:rPr>
                    <w:t>Hradec Králové</w:t>
                  </w:r>
                  <w:r>
                    <w:t xml:space="preserve"> | </w:t>
                  </w:r>
                  <w:r>
                    <w:rPr>
                      <w:bCs/>
                    </w:rPr>
                    <w:t xml:space="preserve">Myslivečkova 914, </w:t>
                  </w:r>
                  <w:r w:rsidRPr="0071229A">
                    <w:rPr>
                      <w:bCs/>
                    </w:rPr>
                    <w:t>500 03 Hradec Králové 3</w:t>
                  </w:r>
                  <w:r>
                    <w:t xml:space="preserve"> | t</w:t>
                  </w:r>
                  <w:r w:rsidRPr="0071229A">
                    <w:rPr>
                      <w:bCs/>
                    </w:rPr>
                    <w:t>el.: 495 762 322, 495 762 317</w:t>
                  </w:r>
                </w:p>
                <w:p w:rsidR="00F23F6C" w:rsidRPr="00B27293" w:rsidRDefault="00F23F6C" w:rsidP="00BD366B">
                  <w:pPr>
                    <w:spacing w:line="240" w:lineRule="auto"/>
                    <w:rPr>
                      <w:bCs/>
                    </w:rPr>
                  </w:pPr>
                  <w:r w:rsidRPr="0071229A">
                    <w:rPr>
                      <w:bCs/>
                    </w:rPr>
                    <w:t>e-mail: infoservishk@czso.cz</w:t>
                  </w:r>
                  <w:r>
                    <w:t xml:space="preserve"> | </w:t>
                  </w:r>
                  <w:r w:rsidRPr="0071229A">
                    <w:rPr>
                      <w:b/>
                      <w:bCs/>
                    </w:rPr>
                    <w:t>www.hradeckralove.czso.cz</w:t>
                  </w:r>
                </w:p>
                <w:p w:rsidR="00F23F6C" w:rsidRPr="0071229A" w:rsidRDefault="00F23F6C" w:rsidP="00BD366B">
                  <w:pPr>
                    <w:spacing w:line="240" w:lineRule="auto"/>
                    <w:rPr>
                      <w:bCs/>
                    </w:rPr>
                  </w:pPr>
                </w:p>
                <w:p w:rsidR="00F23F6C" w:rsidRPr="00B27293" w:rsidRDefault="00F23F6C" w:rsidP="00BD366B">
                  <w:pPr>
                    <w:spacing w:line="240" w:lineRule="auto"/>
                    <w:rPr>
                      <w:b/>
                      <w:bCs/>
                      <w:color w:val="0071BC"/>
                    </w:rPr>
                  </w:pPr>
                  <w:r w:rsidRPr="0071229A">
                    <w:rPr>
                      <w:b/>
                      <w:bCs/>
                      <w:color w:val="0071BC"/>
                    </w:rPr>
                    <w:t>Pardubice</w:t>
                  </w:r>
                  <w:r>
                    <w:t xml:space="preserve"> | </w:t>
                  </w:r>
                  <w:r w:rsidRPr="0071229A">
                    <w:rPr>
                      <w:bCs/>
                    </w:rPr>
                    <w:t>V Ráji 872, 531 53 Pardubice</w:t>
                  </w:r>
                  <w:r>
                    <w:t xml:space="preserve"> | </w:t>
                  </w:r>
                  <w:r w:rsidRPr="0071229A">
                    <w:rPr>
                      <w:bCs/>
                    </w:rPr>
                    <w:t>tel.: 466 743 480, 466 743 418</w:t>
                  </w:r>
                </w:p>
                <w:p w:rsidR="00F23F6C" w:rsidRPr="00B27293" w:rsidRDefault="00F23F6C" w:rsidP="00BD366B">
                  <w:pPr>
                    <w:spacing w:line="240" w:lineRule="auto"/>
                    <w:rPr>
                      <w:bCs/>
                    </w:rPr>
                  </w:pPr>
                  <w:r w:rsidRPr="0071229A">
                    <w:rPr>
                      <w:bCs/>
                    </w:rPr>
                    <w:t>e-mail: infoservispa@czso.cz</w:t>
                  </w:r>
                  <w:r>
                    <w:t xml:space="preserve"> | </w:t>
                  </w:r>
                  <w:r w:rsidRPr="0071229A">
                    <w:rPr>
                      <w:b/>
                      <w:bCs/>
                    </w:rPr>
                    <w:t>www.pardubice.czso.cz</w:t>
                  </w:r>
                </w:p>
                <w:p w:rsidR="00F23F6C" w:rsidRPr="0071229A" w:rsidRDefault="00F23F6C" w:rsidP="00BD366B">
                  <w:pPr>
                    <w:spacing w:line="240" w:lineRule="auto"/>
                    <w:rPr>
                      <w:bCs/>
                    </w:rPr>
                  </w:pPr>
                </w:p>
                <w:p w:rsidR="00F23F6C" w:rsidRPr="00B27293" w:rsidRDefault="00F23F6C" w:rsidP="00BD366B">
                  <w:pPr>
                    <w:spacing w:line="240" w:lineRule="auto"/>
                    <w:rPr>
                      <w:b/>
                      <w:bCs/>
                      <w:color w:val="0071BC"/>
                    </w:rPr>
                  </w:pPr>
                  <w:r w:rsidRPr="0071229A">
                    <w:rPr>
                      <w:b/>
                      <w:bCs/>
                      <w:color w:val="0071BC"/>
                    </w:rPr>
                    <w:t>Jihlava</w:t>
                  </w:r>
                  <w:r>
                    <w:t xml:space="preserve"> | </w:t>
                  </w:r>
                  <w:r w:rsidRPr="0071229A">
                    <w:rPr>
                      <w:bCs/>
                    </w:rPr>
                    <w:t>Ke Skalce 30, 586 01 Jihlava</w:t>
                  </w:r>
                  <w:r>
                    <w:t xml:space="preserve"> | t</w:t>
                  </w:r>
                  <w:r w:rsidRPr="0071229A">
                    <w:rPr>
                      <w:bCs/>
                    </w:rPr>
                    <w:t>el.: 567 109 062, 567 109 080</w:t>
                  </w:r>
                </w:p>
                <w:p w:rsidR="00F23F6C" w:rsidRPr="00B27293" w:rsidRDefault="00F23F6C" w:rsidP="00BD366B">
                  <w:pPr>
                    <w:spacing w:line="240" w:lineRule="auto"/>
                    <w:rPr>
                      <w:bCs/>
                    </w:rPr>
                  </w:pPr>
                  <w:r w:rsidRPr="0071229A">
                    <w:rPr>
                      <w:bCs/>
                    </w:rPr>
                    <w:t>e-mail: infoservisvys@czso.cz</w:t>
                  </w:r>
                  <w:r>
                    <w:t xml:space="preserve"> | </w:t>
                  </w:r>
                  <w:r w:rsidRPr="0071229A">
                    <w:rPr>
                      <w:b/>
                      <w:bCs/>
                    </w:rPr>
                    <w:t>www.jihlava.czso.cz</w:t>
                  </w:r>
                </w:p>
                <w:p w:rsidR="00F23F6C" w:rsidRPr="0071229A" w:rsidRDefault="00F23F6C" w:rsidP="00BD366B">
                  <w:pPr>
                    <w:spacing w:line="240" w:lineRule="auto"/>
                    <w:rPr>
                      <w:bCs/>
                    </w:rPr>
                  </w:pPr>
                </w:p>
                <w:p w:rsidR="00F23F6C" w:rsidRPr="00B27293" w:rsidRDefault="00F23F6C" w:rsidP="00BD366B">
                  <w:pPr>
                    <w:spacing w:line="240" w:lineRule="auto"/>
                    <w:rPr>
                      <w:b/>
                      <w:bCs/>
                    </w:rPr>
                  </w:pPr>
                  <w:r w:rsidRPr="0071229A">
                    <w:rPr>
                      <w:b/>
                      <w:bCs/>
                      <w:color w:val="0071BC"/>
                    </w:rPr>
                    <w:t>Brno</w:t>
                  </w:r>
                  <w:r>
                    <w:t xml:space="preserve"> | </w:t>
                  </w:r>
                  <w:r w:rsidRPr="0071229A">
                    <w:rPr>
                      <w:bCs/>
                    </w:rPr>
                    <w:t>Jezuitská 2, 601 59 Brno</w:t>
                  </w:r>
                  <w:r>
                    <w:t xml:space="preserve"> | t</w:t>
                  </w:r>
                  <w:r w:rsidRPr="0071229A">
                    <w:rPr>
                      <w:bCs/>
                    </w:rPr>
                    <w:t>el.: 542 528 115, 542 528 105</w:t>
                  </w:r>
                </w:p>
                <w:p w:rsidR="00F23F6C" w:rsidRPr="00B27293" w:rsidRDefault="00F23F6C" w:rsidP="00BD366B">
                  <w:pPr>
                    <w:spacing w:line="240" w:lineRule="auto"/>
                    <w:rPr>
                      <w:bCs/>
                    </w:rPr>
                  </w:pPr>
                  <w:r w:rsidRPr="0071229A">
                    <w:rPr>
                      <w:bCs/>
                    </w:rPr>
                    <w:t>e-mail: infoservisbrno@czso.cz</w:t>
                  </w:r>
                  <w:r>
                    <w:t xml:space="preserve"> | </w:t>
                  </w:r>
                  <w:r w:rsidRPr="0071229A">
                    <w:rPr>
                      <w:b/>
                      <w:bCs/>
                    </w:rPr>
                    <w:t>www.brno.czso.cz</w:t>
                  </w:r>
                </w:p>
                <w:p w:rsidR="00F23F6C" w:rsidRPr="0071229A" w:rsidRDefault="00F23F6C" w:rsidP="00BD366B">
                  <w:pPr>
                    <w:spacing w:line="240" w:lineRule="auto"/>
                    <w:rPr>
                      <w:bCs/>
                    </w:rPr>
                  </w:pPr>
                </w:p>
                <w:p w:rsidR="00F23F6C" w:rsidRPr="00B27293" w:rsidRDefault="00F23F6C" w:rsidP="00BD366B">
                  <w:pPr>
                    <w:spacing w:line="240" w:lineRule="auto"/>
                    <w:rPr>
                      <w:b/>
                      <w:bCs/>
                    </w:rPr>
                  </w:pPr>
                  <w:r w:rsidRPr="0071229A">
                    <w:rPr>
                      <w:b/>
                      <w:bCs/>
                      <w:color w:val="0071BC"/>
                    </w:rPr>
                    <w:t>Olomouc</w:t>
                  </w:r>
                  <w:r>
                    <w:t xml:space="preserve"> | </w:t>
                  </w:r>
                  <w:r w:rsidRPr="0071229A">
                    <w:rPr>
                      <w:bCs/>
                    </w:rPr>
                    <w:t>Jeremenkova 1142/42, 772 11 Olomouc</w:t>
                  </w:r>
                  <w:r>
                    <w:t xml:space="preserve"> | </w:t>
                  </w:r>
                  <w:r w:rsidRPr="0071229A">
                    <w:rPr>
                      <w:bCs/>
                    </w:rPr>
                    <w:t>tel.: 585 731 516, 585 731 509</w:t>
                  </w:r>
                </w:p>
                <w:p w:rsidR="00F23F6C" w:rsidRPr="00B27293" w:rsidRDefault="00F23F6C" w:rsidP="00BD366B">
                  <w:pPr>
                    <w:spacing w:line="240" w:lineRule="auto"/>
                    <w:rPr>
                      <w:bCs/>
                    </w:rPr>
                  </w:pPr>
                  <w:r w:rsidRPr="0071229A">
                    <w:rPr>
                      <w:bCs/>
                    </w:rPr>
                    <w:t>e-mail: infoservisolom@czso.cz</w:t>
                  </w:r>
                  <w:r>
                    <w:t xml:space="preserve"> | </w:t>
                  </w:r>
                  <w:r w:rsidRPr="0071229A">
                    <w:rPr>
                      <w:b/>
                      <w:bCs/>
                    </w:rPr>
                    <w:t>www.olomouc.czso.cz</w:t>
                  </w:r>
                </w:p>
                <w:p w:rsidR="00F23F6C" w:rsidRPr="0071229A" w:rsidRDefault="00F23F6C" w:rsidP="00BD366B">
                  <w:pPr>
                    <w:spacing w:line="240" w:lineRule="auto"/>
                    <w:rPr>
                      <w:bCs/>
                    </w:rPr>
                  </w:pPr>
                </w:p>
                <w:p w:rsidR="00F23F6C" w:rsidRPr="00B27293" w:rsidRDefault="00F23F6C" w:rsidP="00BD366B">
                  <w:pPr>
                    <w:spacing w:line="240" w:lineRule="auto"/>
                    <w:rPr>
                      <w:b/>
                      <w:bCs/>
                    </w:rPr>
                  </w:pPr>
                  <w:r w:rsidRPr="0071229A">
                    <w:rPr>
                      <w:b/>
                      <w:bCs/>
                      <w:color w:val="0071BC"/>
                    </w:rPr>
                    <w:t>Ostrava</w:t>
                  </w:r>
                  <w:r>
                    <w:t xml:space="preserve"> | </w:t>
                  </w:r>
                  <w:r w:rsidRPr="0071229A">
                    <w:rPr>
                      <w:bCs/>
                    </w:rPr>
                    <w:t>Repinova 17, 702 03 Ostrava</w:t>
                  </w:r>
                  <w:r>
                    <w:t xml:space="preserve"> | </w:t>
                  </w:r>
                  <w:r w:rsidRPr="0071229A">
                    <w:rPr>
                      <w:bCs/>
                    </w:rPr>
                    <w:t>tel.: 595 131 230, 595 131 232</w:t>
                  </w:r>
                </w:p>
                <w:p w:rsidR="00F23F6C" w:rsidRPr="00B27293" w:rsidRDefault="00F23F6C" w:rsidP="00BD366B">
                  <w:pPr>
                    <w:spacing w:line="240" w:lineRule="auto"/>
                    <w:rPr>
                      <w:bCs/>
                    </w:rPr>
                  </w:pPr>
                  <w:r w:rsidRPr="0071229A">
                    <w:rPr>
                      <w:bCs/>
                    </w:rPr>
                    <w:t>e-mail: infoservis_ov@czso.cz</w:t>
                  </w:r>
                  <w:r>
                    <w:t xml:space="preserve"> | </w:t>
                  </w:r>
                  <w:r w:rsidRPr="0071229A">
                    <w:rPr>
                      <w:b/>
                      <w:bCs/>
                    </w:rPr>
                    <w:t>www.ostrava.czso.cz</w:t>
                  </w:r>
                </w:p>
                <w:p w:rsidR="00F23F6C" w:rsidRPr="0071229A" w:rsidRDefault="00F23F6C" w:rsidP="00BD366B">
                  <w:pPr>
                    <w:spacing w:line="240" w:lineRule="auto"/>
                    <w:rPr>
                      <w:bCs/>
                    </w:rPr>
                  </w:pPr>
                </w:p>
                <w:p w:rsidR="00F23F6C" w:rsidRPr="0071229A" w:rsidRDefault="00F23F6C" w:rsidP="00BD366B">
                  <w:pPr>
                    <w:spacing w:line="240" w:lineRule="auto"/>
                    <w:rPr>
                      <w:bCs/>
                    </w:rPr>
                  </w:pPr>
                  <w:r w:rsidRPr="0071229A">
                    <w:rPr>
                      <w:b/>
                      <w:bCs/>
                      <w:color w:val="0071BC"/>
                    </w:rPr>
                    <w:t>Zlín</w:t>
                  </w:r>
                  <w:r>
                    <w:t xml:space="preserve"> | </w:t>
                  </w:r>
                  <w:r w:rsidRPr="0071229A">
                    <w:rPr>
                      <w:bCs/>
                    </w:rPr>
                    <w:t>tř. Tomáše Bati 1565, 761 76 Zlín</w:t>
                  </w:r>
                  <w:r>
                    <w:t xml:space="preserve"> | </w:t>
                  </w:r>
                  <w:r w:rsidRPr="0071229A">
                    <w:rPr>
                      <w:bCs/>
                    </w:rPr>
                    <w:t>tel.: 577 004 931, 577 004 935</w:t>
                  </w:r>
                </w:p>
                <w:p w:rsidR="00F23F6C" w:rsidRPr="00B27293" w:rsidRDefault="00F23F6C" w:rsidP="00BD366B">
                  <w:pPr>
                    <w:spacing w:line="240" w:lineRule="auto"/>
                    <w:rPr>
                      <w:bCs/>
                    </w:rPr>
                  </w:pPr>
                  <w:r w:rsidRPr="0071229A">
                    <w:rPr>
                      <w:bCs/>
                    </w:rPr>
                    <w:t>e-mail: infoservis-zl@czso.cz</w:t>
                  </w:r>
                  <w:r>
                    <w:t xml:space="preserve"> | </w:t>
                  </w:r>
                  <w:r w:rsidRPr="0071229A">
                    <w:rPr>
                      <w:b/>
                      <w:bCs/>
                    </w:rPr>
                    <w:t>www.zlin.czso.cz</w:t>
                  </w:r>
                </w:p>
                <w:p w:rsidR="00F23F6C" w:rsidRPr="00B27293" w:rsidRDefault="00F23F6C" w:rsidP="00BD366B">
                  <w:pPr>
                    <w:spacing w:line="240" w:lineRule="auto"/>
                  </w:pPr>
                </w:p>
              </w:txbxContent>
            </v:textbox>
            <w10:wrap anchorx="page" anchory="page"/>
            <w10:anchorlock/>
          </v:shape>
        </w:pict>
      </w:r>
      <w:r w:rsidRPr="00880F23">
        <w:rPr>
          <w:noProof/>
          <w:lang w:eastAsia="cs-CZ"/>
        </w:rPr>
        <w:pict>
          <v:shape id="_x0000_s1026" type="#_x0000_t202" style="position:absolute;margin-left:56.7pt;margin-top:56.7pt;width:481.85pt;height:33.1pt;z-index:2516536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" filled="f" stroked="f">
            <v:textbox style="mso-fit-shape-to-text:t" inset="0,0,0,0">
              <w:txbxContent>
                <w:p w:rsidR="00F23F6C" w:rsidRPr="004F4353" w:rsidRDefault="00F23F6C" w:rsidP="0060487F">
                  <w:pPr>
                    <w:rPr>
                      <w:b/>
                      <w:bCs/>
                      <w:sz w:val="24"/>
                    </w:rPr>
                  </w:pPr>
                  <w:r w:rsidRPr="004F4353">
                    <w:rPr>
                      <w:b/>
                      <w:color w:val="0071BC"/>
                      <w:sz w:val="24"/>
                    </w:rPr>
                    <w:t xml:space="preserve">Zajímají Vás nejnovější údaje o inflaci, HDP, obyvatelstvu, průměrných mzdách </w:t>
                  </w:r>
                  <w:r w:rsidRPr="004F4353">
                    <w:rPr>
                      <w:b/>
                      <w:color w:val="0071BC"/>
                      <w:sz w:val="24"/>
                    </w:rPr>
                    <w:br/>
                    <w:t xml:space="preserve">a mnohé další? Najdete je na stránkách ČSÚ na internetu: </w:t>
                  </w:r>
                  <w:r w:rsidRPr="004F4353">
                    <w:rPr>
                      <w:b/>
                      <w:bCs/>
                      <w:sz w:val="24"/>
                    </w:rPr>
                    <w:t>www.czso.cz</w:t>
                  </w:r>
                  <w:r>
                    <w:rPr>
                      <w:b/>
                      <w:bCs/>
                      <w:sz w:val="24"/>
                    </w:rPr>
                    <w:t>.</w:t>
                  </w:r>
                </w:p>
              </w:txbxContent>
            </v:textbox>
            <w10:wrap anchorx="page" anchory="page"/>
            <w10:anchorlock/>
          </v:shape>
        </w:pict>
      </w:r>
      <w:r w:rsidRPr="00880F23">
        <w:rPr>
          <w:noProof/>
          <w:lang w:eastAsia="cs-CZ"/>
        </w:rPr>
        <w:pict>
          <v:shape id="_x0000_s1027" type="#_x0000_t202" style="position:absolute;margin-left:56.35pt;margin-top:747pt;width:481.9pt;height:28.35pt;z-index:251654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" filled="f" stroked="f">
            <v:textbox inset="0,0,0,0">
              <w:txbxContent>
                <w:p w:rsidR="00F23F6C" w:rsidRPr="00841D9F" w:rsidRDefault="00F23F6C" w:rsidP="004F06F5"/>
                <w:p w:rsidR="00F23F6C" w:rsidRPr="00AF2852" w:rsidRDefault="00F23F6C" w:rsidP="004F06F5">
                  <w:r w:rsidRPr="00841D9F">
                    <w:t>© Český sta</w:t>
                  </w:r>
                  <w:r>
                    <w:t>tistický úřad, Praha, 2017</w:t>
                  </w:r>
                </w:p>
              </w:txbxContent>
            </v:textbox>
            <w10:wrap anchorx="page" anchory="page"/>
            <w10:anchorlock/>
          </v:shape>
        </w:pict>
      </w:r>
    </w:p>
    <w:p w:rsidR="00576A3E" w:rsidRPr="00A74192" w:rsidRDefault="00576A3E" w:rsidP="00D94859">
      <w:pPr>
        <w:pStyle w:val="Zkladnodstavec"/>
        <w:spacing w:after="240"/>
        <w:rPr>
          <w:rFonts w:ascii="Arial" w:hAnsi="Arial" w:cs="Arial"/>
          <w:b/>
          <w:color w:val="A5007B"/>
          <w:sz w:val="32"/>
          <w:szCs w:val="32"/>
        </w:rPr>
      </w:pPr>
    </w:p>
    <w:p w:rsidR="00576A3E" w:rsidRPr="00A74192" w:rsidRDefault="00576A3E" w:rsidP="00D94859">
      <w:pPr>
        <w:rPr>
          <w:rFonts w:cs="Arial"/>
          <w:b/>
          <w:color w:val="A5007B"/>
          <w:sz w:val="32"/>
          <w:szCs w:val="32"/>
        </w:rPr>
        <w:sectPr w:rsidR="00576A3E" w:rsidRPr="00A74192" w:rsidSect="00E83DAB">
          <w:pgSz w:w="11906" w:h="16838" w:code="9"/>
          <w:pgMar w:top="1134" w:right="1134" w:bottom="1418" w:left="1134" w:header="709" w:footer="709" w:gutter="0"/>
          <w:cols w:space="708"/>
          <w:titlePg/>
          <w:docGrid w:linePitch="360"/>
        </w:sectPr>
      </w:pPr>
    </w:p>
    <w:p w:rsidR="00576A3E" w:rsidRDefault="00576A3E" w:rsidP="00D94859">
      <w:pPr>
        <w:pStyle w:val="Nadpis1"/>
      </w:pPr>
      <w:bookmarkStart w:id="0" w:name="_Toc412459447"/>
      <w:bookmarkStart w:id="1" w:name="_Toc469299928"/>
      <w:bookmarkStart w:id="2" w:name="_Toc493683632"/>
      <w:r w:rsidRPr="00A74192">
        <w:lastRenderedPageBreak/>
        <w:t>Obsah</w:t>
      </w:r>
      <w:bookmarkEnd w:id="0"/>
      <w:bookmarkEnd w:id="1"/>
      <w:bookmarkEnd w:id="2"/>
    </w:p>
    <w:p w:rsidR="00DD0726" w:rsidRDefault="00880F23">
      <w:pPr>
        <w:pStyle w:val="Obsah1"/>
        <w:rPr>
          <w:rFonts w:asciiTheme="minorHAnsi" w:eastAsiaTheme="minorEastAsia" w:hAnsiTheme="minorHAnsi" w:cstheme="minorBidi"/>
          <w:b w:val="0"/>
          <w:sz w:val="22"/>
          <w:szCs w:val="22"/>
          <w:lang w:eastAsia="cs-CZ"/>
        </w:rPr>
      </w:pPr>
      <w:r w:rsidRPr="00880F23">
        <w:fldChar w:fldCharType="begin"/>
      </w:r>
      <w:r w:rsidR="00576A3E" w:rsidRPr="00A74192">
        <w:instrText xml:space="preserve"> TOC \o "1-3" \h \z \u </w:instrText>
      </w:r>
      <w:r w:rsidRPr="00880F23">
        <w:fldChar w:fldCharType="separate"/>
      </w:r>
      <w:hyperlink w:anchor="_Toc493683632" w:history="1">
        <w:r w:rsidR="00DD0726" w:rsidRPr="00261951">
          <w:rPr>
            <w:rStyle w:val="Hypertextovodkaz"/>
          </w:rPr>
          <w:t>Obsah</w:t>
        </w:r>
        <w:r w:rsidR="00DD0726">
          <w:rPr>
            <w:webHidden/>
          </w:rPr>
          <w:tab/>
        </w:r>
        <w:r w:rsidR="00DD0726">
          <w:rPr>
            <w:webHidden/>
          </w:rPr>
          <w:tab/>
        </w:r>
        <w:r w:rsidR="00DD0726">
          <w:rPr>
            <w:webHidden/>
          </w:rPr>
          <w:fldChar w:fldCharType="begin"/>
        </w:r>
        <w:r w:rsidR="00DD0726">
          <w:rPr>
            <w:webHidden/>
          </w:rPr>
          <w:instrText xml:space="preserve"> PAGEREF _Toc493683632 \h </w:instrText>
        </w:r>
        <w:r w:rsidR="00DD0726">
          <w:rPr>
            <w:webHidden/>
          </w:rPr>
        </w:r>
        <w:r w:rsidR="00DD0726">
          <w:rPr>
            <w:webHidden/>
          </w:rPr>
          <w:fldChar w:fldCharType="separate"/>
        </w:r>
        <w:r w:rsidR="00DD0726">
          <w:rPr>
            <w:webHidden/>
          </w:rPr>
          <w:t>3</w:t>
        </w:r>
        <w:r w:rsidR="00DD0726">
          <w:rPr>
            <w:webHidden/>
          </w:rPr>
          <w:fldChar w:fldCharType="end"/>
        </w:r>
      </w:hyperlink>
    </w:p>
    <w:p w:rsidR="00DD0726" w:rsidRDefault="00DD0726">
      <w:pPr>
        <w:pStyle w:val="Obsah1"/>
        <w:rPr>
          <w:rFonts w:asciiTheme="minorHAnsi" w:eastAsiaTheme="minorEastAsia" w:hAnsiTheme="minorHAnsi" w:cstheme="minorBidi"/>
          <w:b w:val="0"/>
          <w:sz w:val="22"/>
          <w:szCs w:val="22"/>
          <w:lang w:eastAsia="cs-CZ"/>
        </w:rPr>
      </w:pPr>
      <w:hyperlink w:anchor="_Toc493683633" w:history="1">
        <w:r w:rsidRPr="00261951">
          <w:rPr>
            <w:rStyle w:val="Hypertextovodkaz"/>
          </w:rPr>
          <w:t>1.</w:t>
        </w:r>
        <w:r>
          <w:rPr>
            <w:rFonts w:asciiTheme="minorHAnsi" w:eastAsiaTheme="minorEastAsia" w:hAnsiTheme="minorHAnsi" w:cstheme="minorBidi"/>
            <w:b w:val="0"/>
            <w:sz w:val="22"/>
            <w:szCs w:val="22"/>
            <w:lang w:eastAsia="cs-CZ"/>
          </w:rPr>
          <w:tab/>
        </w:r>
        <w:r w:rsidRPr="00261951">
          <w:rPr>
            <w:rStyle w:val="Hypertextovodkaz"/>
          </w:rPr>
          <w:t>Shrnutí</w:t>
        </w:r>
        <w:r>
          <w:rPr>
            <w:webHidden/>
          </w:rPr>
          <w:tab/>
        </w:r>
        <w:r>
          <w:rPr>
            <w:webHidden/>
          </w:rPr>
          <w:fldChar w:fldCharType="begin"/>
        </w:r>
        <w:r>
          <w:rPr>
            <w:webHidden/>
          </w:rPr>
          <w:instrText xml:space="preserve"> PAGEREF _Toc493683633 \h </w:instrText>
        </w:r>
        <w:r>
          <w:rPr>
            <w:webHidden/>
          </w:rPr>
        </w:r>
        <w:r>
          <w:rPr>
            <w:webHidden/>
          </w:rPr>
          <w:fldChar w:fldCharType="separate"/>
        </w:r>
        <w:r>
          <w:rPr>
            <w:webHidden/>
          </w:rPr>
          <w:t>4</w:t>
        </w:r>
        <w:r>
          <w:rPr>
            <w:webHidden/>
          </w:rPr>
          <w:fldChar w:fldCharType="end"/>
        </w:r>
      </w:hyperlink>
    </w:p>
    <w:p w:rsidR="00DD0726" w:rsidRDefault="00DD0726">
      <w:pPr>
        <w:pStyle w:val="Obsah1"/>
        <w:rPr>
          <w:rFonts w:asciiTheme="minorHAnsi" w:eastAsiaTheme="minorEastAsia" w:hAnsiTheme="minorHAnsi" w:cstheme="minorBidi"/>
          <w:b w:val="0"/>
          <w:sz w:val="22"/>
          <w:szCs w:val="22"/>
          <w:lang w:eastAsia="cs-CZ"/>
        </w:rPr>
      </w:pPr>
      <w:hyperlink w:anchor="_Toc493683634" w:history="1">
        <w:r w:rsidRPr="00261951">
          <w:rPr>
            <w:rStyle w:val="Hypertextovodkaz"/>
          </w:rPr>
          <w:t>2.</w:t>
        </w:r>
        <w:r>
          <w:rPr>
            <w:rFonts w:asciiTheme="minorHAnsi" w:eastAsiaTheme="minorEastAsia" w:hAnsiTheme="minorHAnsi" w:cstheme="minorBidi"/>
            <w:b w:val="0"/>
            <w:sz w:val="22"/>
            <w:szCs w:val="22"/>
            <w:lang w:eastAsia="cs-CZ"/>
          </w:rPr>
          <w:tab/>
        </w:r>
        <w:r w:rsidRPr="00261951">
          <w:rPr>
            <w:rStyle w:val="Hypertextovodkaz"/>
          </w:rPr>
          <w:t>Souhrnná výkonnost</w:t>
        </w:r>
        <w:r>
          <w:rPr>
            <w:webHidden/>
          </w:rPr>
          <w:tab/>
        </w:r>
        <w:r>
          <w:rPr>
            <w:webHidden/>
          </w:rPr>
          <w:fldChar w:fldCharType="begin"/>
        </w:r>
        <w:r>
          <w:rPr>
            <w:webHidden/>
          </w:rPr>
          <w:instrText xml:space="preserve"> PAGEREF _Toc493683634 \h </w:instrText>
        </w:r>
        <w:r>
          <w:rPr>
            <w:webHidden/>
          </w:rPr>
        </w:r>
        <w:r>
          <w:rPr>
            <w:webHidden/>
          </w:rPr>
          <w:fldChar w:fldCharType="separate"/>
        </w:r>
        <w:r>
          <w:rPr>
            <w:webHidden/>
          </w:rPr>
          <w:t>5</w:t>
        </w:r>
        <w:r>
          <w:rPr>
            <w:webHidden/>
          </w:rPr>
          <w:fldChar w:fldCharType="end"/>
        </w:r>
      </w:hyperlink>
    </w:p>
    <w:p w:rsidR="00DD0726" w:rsidRDefault="00DD0726">
      <w:pPr>
        <w:pStyle w:val="Obsah1"/>
        <w:rPr>
          <w:rFonts w:asciiTheme="minorHAnsi" w:eastAsiaTheme="minorEastAsia" w:hAnsiTheme="minorHAnsi" w:cstheme="minorBidi"/>
          <w:b w:val="0"/>
          <w:sz w:val="22"/>
          <w:szCs w:val="22"/>
          <w:lang w:eastAsia="cs-CZ"/>
        </w:rPr>
      </w:pPr>
      <w:hyperlink w:anchor="_Toc493683635" w:history="1">
        <w:r w:rsidRPr="00261951">
          <w:rPr>
            <w:rStyle w:val="Hypertextovodkaz"/>
          </w:rPr>
          <w:t>3.</w:t>
        </w:r>
        <w:r>
          <w:rPr>
            <w:rFonts w:asciiTheme="minorHAnsi" w:eastAsiaTheme="minorEastAsia" w:hAnsiTheme="minorHAnsi" w:cstheme="minorBidi"/>
            <w:b w:val="0"/>
            <w:sz w:val="22"/>
            <w:szCs w:val="22"/>
            <w:lang w:eastAsia="cs-CZ"/>
          </w:rPr>
          <w:tab/>
        </w:r>
        <w:r w:rsidRPr="00261951">
          <w:rPr>
            <w:rStyle w:val="Hypertextovodkaz"/>
          </w:rPr>
          <w:t>Výkonnost odvětví</w:t>
        </w:r>
        <w:r>
          <w:rPr>
            <w:webHidden/>
          </w:rPr>
          <w:tab/>
        </w:r>
        <w:r>
          <w:rPr>
            <w:webHidden/>
          </w:rPr>
          <w:fldChar w:fldCharType="begin"/>
        </w:r>
        <w:r>
          <w:rPr>
            <w:webHidden/>
          </w:rPr>
          <w:instrText xml:space="preserve"> PAGEREF _Toc493683635 \h </w:instrText>
        </w:r>
        <w:r>
          <w:rPr>
            <w:webHidden/>
          </w:rPr>
        </w:r>
        <w:r>
          <w:rPr>
            <w:webHidden/>
          </w:rPr>
          <w:fldChar w:fldCharType="separate"/>
        </w:r>
        <w:r>
          <w:rPr>
            <w:webHidden/>
          </w:rPr>
          <w:t>9</w:t>
        </w:r>
        <w:r>
          <w:rPr>
            <w:webHidden/>
          </w:rPr>
          <w:fldChar w:fldCharType="end"/>
        </w:r>
      </w:hyperlink>
    </w:p>
    <w:p w:rsidR="00DD0726" w:rsidRDefault="00DD0726">
      <w:pPr>
        <w:pStyle w:val="Obsah1"/>
        <w:rPr>
          <w:rFonts w:asciiTheme="minorHAnsi" w:eastAsiaTheme="minorEastAsia" w:hAnsiTheme="minorHAnsi" w:cstheme="minorBidi"/>
          <w:b w:val="0"/>
          <w:sz w:val="22"/>
          <w:szCs w:val="22"/>
          <w:lang w:eastAsia="cs-CZ"/>
        </w:rPr>
      </w:pPr>
      <w:hyperlink w:anchor="_Toc493683636" w:history="1">
        <w:r w:rsidRPr="00261951">
          <w:rPr>
            <w:rStyle w:val="Hypertextovodkaz"/>
          </w:rPr>
          <w:t>4.</w:t>
        </w:r>
        <w:r>
          <w:rPr>
            <w:rFonts w:asciiTheme="minorHAnsi" w:eastAsiaTheme="minorEastAsia" w:hAnsiTheme="minorHAnsi" w:cstheme="minorBidi"/>
            <w:b w:val="0"/>
            <w:sz w:val="22"/>
            <w:szCs w:val="22"/>
            <w:lang w:eastAsia="cs-CZ"/>
          </w:rPr>
          <w:tab/>
        </w:r>
        <w:r w:rsidRPr="00261951">
          <w:rPr>
            <w:rStyle w:val="Hypertextovodkaz"/>
          </w:rPr>
          <w:t>Vnější ekonomické vztahy</w:t>
        </w:r>
        <w:r>
          <w:rPr>
            <w:webHidden/>
          </w:rPr>
          <w:tab/>
        </w:r>
        <w:r>
          <w:rPr>
            <w:webHidden/>
          </w:rPr>
          <w:fldChar w:fldCharType="begin"/>
        </w:r>
        <w:r>
          <w:rPr>
            <w:webHidden/>
          </w:rPr>
          <w:instrText xml:space="preserve"> PAGEREF _Toc493683636 \h </w:instrText>
        </w:r>
        <w:r>
          <w:rPr>
            <w:webHidden/>
          </w:rPr>
        </w:r>
        <w:r>
          <w:rPr>
            <w:webHidden/>
          </w:rPr>
          <w:fldChar w:fldCharType="separate"/>
        </w:r>
        <w:r>
          <w:rPr>
            <w:webHidden/>
          </w:rPr>
          <w:t>14</w:t>
        </w:r>
        <w:r>
          <w:rPr>
            <w:webHidden/>
          </w:rPr>
          <w:fldChar w:fldCharType="end"/>
        </w:r>
      </w:hyperlink>
    </w:p>
    <w:p w:rsidR="00DD0726" w:rsidRDefault="00DD0726">
      <w:pPr>
        <w:pStyle w:val="Obsah1"/>
        <w:rPr>
          <w:rFonts w:asciiTheme="minorHAnsi" w:eastAsiaTheme="minorEastAsia" w:hAnsiTheme="minorHAnsi" w:cstheme="minorBidi"/>
          <w:b w:val="0"/>
          <w:sz w:val="22"/>
          <w:szCs w:val="22"/>
          <w:lang w:eastAsia="cs-CZ"/>
        </w:rPr>
      </w:pPr>
      <w:hyperlink w:anchor="_Toc493683637" w:history="1">
        <w:r w:rsidRPr="00261951">
          <w:rPr>
            <w:rStyle w:val="Hypertextovodkaz"/>
          </w:rPr>
          <w:t>5.</w:t>
        </w:r>
        <w:r>
          <w:rPr>
            <w:rFonts w:asciiTheme="minorHAnsi" w:eastAsiaTheme="minorEastAsia" w:hAnsiTheme="minorHAnsi" w:cstheme="minorBidi"/>
            <w:b w:val="0"/>
            <w:sz w:val="22"/>
            <w:szCs w:val="22"/>
            <w:lang w:eastAsia="cs-CZ"/>
          </w:rPr>
          <w:tab/>
        </w:r>
        <w:r w:rsidRPr="00261951">
          <w:rPr>
            <w:rStyle w:val="Hypertextovodkaz"/>
          </w:rPr>
          <w:t>Ceny</w:t>
        </w:r>
        <w:r>
          <w:rPr>
            <w:webHidden/>
          </w:rPr>
          <w:tab/>
        </w:r>
        <w:r>
          <w:rPr>
            <w:webHidden/>
          </w:rPr>
          <w:fldChar w:fldCharType="begin"/>
        </w:r>
        <w:r>
          <w:rPr>
            <w:webHidden/>
          </w:rPr>
          <w:instrText xml:space="preserve"> PAGEREF _Toc493683637 \h </w:instrText>
        </w:r>
        <w:r>
          <w:rPr>
            <w:webHidden/>
          </w:rPr>
        </w:r>
        <w:r>
          <w:rPr>
            <w:webHidden/>
          </w:rPr>
          <w:fldChar w:fldCharType="separate"/>
        </w:r>
        <w:r>
          <w:rPr>
            <w:webHidden/>
          </w:rPr>
          <w:t>16</w:t>
        </w:r>
        <w:r>
          <w:rPr>
            <w:webHidden/>
          </w:rPr>
          <w:fldChar w:fldCharType="end"/>
        </w:r>
      </w:hyperlink>
    </w:p>
    <w:p w:rsidR="00DD0726" w:rsidRDefault="00DD0726">
      <w:pPr>
        <w:pStyle w:val="Obsah1"/>
        <w:rPr>
          <w:rFonts w:asciiTheme="minorHAnsi" w:eastAsiaTheme="minorEastAsia" w:hAnsiTheme="minorHAnsi" w:cstheme="minorBidi"/>
          <w:b w:val="0"/>
          <w:sz w:val="22"/>
          <w:szCs w:val="22"/>
          <w:lang w:eastAsia="cs-CZ"/>
        </w:rPr>
      </w:pPr>
      <w:hyperlink w:anchor="_Toc493683638" w:history="1">
        <w:r w:rsidRPr="00261951">
          <w:rPr>
            <w:rStyle w:val="Hypertextovodkaz"/>
          </w:rPr>
          <w:t>6.</w:t>
        </w:r>
        <w:r>
          <w:rPr>
            <w:rFonts w:asciiTheme="minorHAnsi" w:eastAsiaTheme="minorEastAsia" w:hAnsiTheme="minorHAnsi" w:cstheme="minorBidi"/>
            <w:b w:val="0"/>
            <w:sz w:val="22"/>
            <w:szCs w:val="22"/>
            <w:lang w:eastAsia="cs-CZ"/>
          </w:rPr>
          <w:tab/>
        </w:r>
        <w:r w:rsidRPr="00261951">
          <w:rPr>
            <w:rStyle w:val="Hypertextovodkaz"/>
          </w:rPr>
          <w:t>Trh práce</w:t>
        </w:r>
        <w:r>
          <w:rPr>
            <w:webHidden/>
          </w:rPr>
          <w:tab/>
        </w:r>
        <w:r>
          <w:rPr>
            <w:webHidden/>
          </w:rPr>
          <w:fldChar w:fldCharType="begin"/>
        </w:r>
        <w:r>
          <w:rPr>
            <w:webHidden/>
          </w:rPr>
          <w:instrText xml:space="preserve"> PAGEREF _Toc493683638 \h </w:instrText>
        </w:r>
        <w:r>
          <w:rPr>
            <w:webHidden/>
          </w:rPr>
        </w:r>
        <w:r>
          <w:rPr>
            <w:webHidden/>
          </w:rPr>
          <w:fldChar w:fldCharType="separate"/>
        </w:r>
        <w:r>
          <w:rPr>
            <w:webHidden/>
          </w:rPr>
          <w:t>20</w:t>
        </w:r>
        <w:r>
          <w:rPr>
            <w:webHidden/>
          </w:rPr>
          <w:fldChar w:fldCharType="end"/>
        </w:r>
      </w:hyperlink>
    </w:p>
    <w:p w:rsidR="00DD0726" w:rsidRDefault="00DD0726">
      <w:pPr>
        <w:pStyle w:val="Obsah1"/>
        <w:rPr>
          <w:rFonts w:asciiTheme="minorHAnsi" w:eastAsiaTheme="minorEastAsia" w:hAnsiTheme="minorHAnsi" w:cstheme="minorBidi"/>
          <w:b w:val="0"/>
          <w:sz w:val="22"/>
          <w:szCs w:val="22"/>
          <w:lang w:eastAsia="cs-CZ"/>
        </w:rPr>
      </w:pPr>
      <w:hyperlink w:anchor="_Toc493683639" w:history="1">
        <w:r w:rsidRPr="00261951">
          <w:rPr>
            <w:rStyle w:val="Hypertextovodkaz"/>
          </w:rPr>
          <w:t>7.</w:t>
        </w:r>
        <w:r>
          <w:rPr>
            <w:rFonts w:asciiTheme="minorHAnsi" w:eastAsiaTheme="minorEastAsia" w:hAnsiTheme="minorHAnsi" w:cstheme="minorBidi"/>
            <w:b w:val="0"/>
            <w:sz w:val="22"/>
            <w:szCs w:val="22"/>
            <w:lang w:eastAsia="cs-CZ"/>
          </w:rPr>
          <w:tab/>
        </w:r>
        <w:r w:rsidRPr="00261951">
          <w:rPr>
            <w:rStyle w:val="Hypertextovodkaz"/>
          </w:rPr>
          <w:t>Měnové podmínky</w:t>
        </w:r>
        <w:r>
          <w:rPr>
            <w:webHidden/>
          </w:rPr>
          <w:tab/>
        </w:r>
        <w:r>
          <w:rPr>
            <w:webHidden/>
          </w:rPr>
          <w:fldChar w:fldCharType="begin"/>
        </w:r>
        <w:r>
          <w:rPr>
            <w:webHidden/>
          </w:rPr>
          <w:instrText xml:space="preserve"> PAGEREF _Toc493683639 \h </w:instrText>
        </w:r>
        <w:r>
          <w:rPr>
            <w:webHidden/>
          </w:rPr>
        </w:r>
        <w:r>
          <w:rPr>
            <w:webHidden/>
          </w:rPr>
          <w:fldChar w:fldCharType="separate"/>
        </w:r>
        <w:r>
          <w:rPr>
            <w:webHidden/>
          </w:rPr>
          <w:t>23</w:t>
        </w:r>
        <w:r>
          <w:rPr>
            <w:webHidden/>
          </w:rPr>
          <w:fldChar w:fldCharType="end"/>
        </w:r>
      </w:hyperlink>
    </w:p>
    <w:p w:rsidR="00DD0726" w:rsidRDefault="00DD0726">
      <w:pPr>
        <w:pStyle w:val="Obsah1"/>
        <w:rPr>
          <w:rFonts w:asciiTheme="minorHAnsi" w:eastAsiaTheme="minorEastAsia" w:hAnsiTheme="minorHAnsi" w:cstheme="minorBidi"/>
          <w:b w:val="0"/>
          <w:sz w:val="22"/>
          <w:szCs w:val="22"/>
          <w:lang w:eastAsia="cs-CZ"/>
        </w:rPr>
      </w:pPr>
      <w:hyperlink w:anchor="_Toc493683640" w:history="1">
        <w:r w:rsidRPr="00261951">
          <w:rPr>
            <w:rStyle w:val="Hypertextovodkaz"/>
          </w:rPr>
          <w:t>8.</w:t>
        </w:r>
        <w:r>
          <w:rPr>
            <w:rFonts w:asciiTheme="minorHAnsi" w:eastAsiaTheme="minorEastAsia" w:hAnsiTheme="minorHAnsi" w:cstheme="minorBidi"/>
            <w:b w:val="0"/>
            <w:sz w:val="22"/>
            <w:szCs w:val="22"/>
            <w:lang w:eastAsia="cs-CZ"/>
          </w:rPr>
          <w:tab/>
        </w:r>
        <w:r w:rsidRPr="00261951">
          <w:rPr>
            <w:rStyle w:val="Hypertextovodkaz"/>
          </w:rPr>
          <w:t>Státní rozpočet</w:t>
        </w:r>
        <w:r>
          <w:rPr>
            <w:webHidden/>
          </w:rPr>
          <w:tab/>
        </w:r>
        <w:r>
          <w:rPr>
            <w:webHidden/>
          </w:rPr>
          <w:fldChar w:fldCharType="begin"/>
        </w:r>
        <w:r>
          <w:rPr>
            <w:webHidden/>
          </w:rPr>
          <w:instrText xml:space="preserve"> PAGEREF _Toc493683640 \h </w:instrText>
        </w:r>
        <w:r>
          <w:rPr>
            <w:webHidden/>
          </w:rPr>
        </w:r>
        <w:r>
          <w:rPr>
            <w:webHidden/>
          </w:rPr>
          <w:fldChar w:fldCharType="separate"/>
        </w:r>
        <w:r>
          <w:rPr>
            <w:webHidden/>
          </w:rPr>
          <w:t>25</w:t>
        </w:r>
        <w:r>
          <w:rPr>
            <w:webHidden/>
          </w:rPr>
          <w:fldChar w:fldCharType="end"/>
        </w:r>
      </w:hyperlink>
    </w:p>
    <w:p w:rsidR="00576A3E" w:rsidRPr="00A74192" w:rsidRDefault="00880F23" w:rsidP="00D94859">
      <w:pPr>
        <w:pStyle w:val="Nadpis1"/>
        <w:spacing w:before="200"/>
        <w:rPr>
          <w:rFonts w:cs="Arial"/>
          <w:sz w:val="20"/>
          <w:szCs w:val="20"/>
        </w:rPr>
      </w:pPr>
      <w:r w:rsidRPr="00A74192">
        <w:fldChar w:fldCharType="end"/>
      </w:r>
    </w:p>
    <w:p w:rsidR="00576A3E" w:rsidRPr="00A74192" w:rsidRDefault="00576A3E" w:rsidP="00D94859">
      <w:pPr>
        <w:rPr>
          <w:rFonts w:cs="Arial"/>
          <w:b/>
        </w:rPr>
      </w:pPr>
      <w:r w:rsidRPr="00A74192">
        <w:rPr>
          <w:rFonts w:cs="Arial"/>
          <w:b/>
        </w:rPr>
        <w:t>Kapitoly zpracovali:</w:t>
      </w:r>
    </w:p>
    <w:p w:rsidR="00576A3E" w:rsidRPr="00A74192" w:rsidRDefault="00576A3E" w:rsidP="00D94859">
      <w:pPr>
        <w:rPr>
          <w:rFonts w:cs="Arial"/>
        </w:rPr>
      </w:pPr>
    </w:p>
    <w:p w:rsidR="00466AAE" w:rsidRPr="00A74192" w:rsidRDefault="00466AAE" w:rsidP="00D94859">
      <w:pPr>
        <w:spacing w:after="120" w:line="276" w:lineRule="auto"/>
        <w:rPr>
          <w:rFonts w:cs="Arial"/>
        </w:rPr>
      </w:pPr>
      <w:r w:rsidRPr="00A74192">
        <w:rPr>
          <w:rFonts w:cs="Arial"/>
        </w:rPr>
        <w:t>Jiří Kamenický</w:t>
      </w:r>
      <w:r w:rsidRPr="00A74192">
        <w:rPr>
          <w:rFonts w:cs="Arial"/>
        </w:rPr>
        <w:tab/>
      </w:r>
      <w:r w:rsidRPr="00A74192">
        <w:rPr>
          <w:rFonts w:cs="Arial"/>
        </w:rPr>
        <w:tab/>
        <w:t xml:space="preserve">Shrnutí (kap. 1), </w:t>
      </w:r>
      <w:r w:rsidRPr="00A74192">
        <w:rPr>
          <w:rFonts w:cs="Arial"/>
          <w:color w:val="000000"/>
        </w:rPr>
        <w:t>kap. 3,</w:t>
      </w:r>
      <w:r w:rsidRPr="00A74192">
        <w:rPr>
          <w:rFonts w:cs="Arial"/>
        </w:rPr>
        <w:t xml:space="preserve"> kap. 6, kap. 8</w:t>
      </w:r>
    </w:p>
    <w:p w:rsidR="00466AAE" w:rsidRPr="00A74192" w:rsidRDefault="004A7670" w:rsidP="00D94859">
      <w:pPr>
        <w:spacing w:after="120" w:line="276" w:lineRule="auto"/>
        <w:rPr>
          <w:rFonts w:cs="Arial"/>
        </w:rPr>
      </w:pPr>
      <w:r>
        <w:rPr>
          <w:rFonts w:cs="Arial"/>
        </w:rPr>
        <w:t xml:space="preserve">Karolína </w:t>
      </w:r>
      <w:proofErr w:type="spellStart"/>
      <w:r>
        <w:rPr>
          <w:rFonts w:cs="Arial"/>
        </w:rPr>
        <w:t>Súkupová</w:t>
      </w:r>
      <w:proofErr w:type="spellEnd"/>
      <w:r>
        <w:rPr>
          <w:rFonts w:cs="Arial"/>
        </w:rPr>
        <w:tab/>
      </w:r>
      <w:r w:rsidR="00466AAE" w:rsidRPr="00A74192">
        <w:rPr>
          <w:rFonts w:cs="Arial"/>
        </w:rPr>
        <w:t>Shrnutí (kap. 1), kap. 2</w:t>
      </w:r>
      <w:r>
        <w:rPr>
          <w:rFonts w:cs="Arial"/>
        </w:rPr>
        <w:t>, kap. 4, kap. 5, kap. 7</w:t>
      </w:r>
    </w:p>
    <w:p w:rsidR="00466AAE" w:rsidRDefault="00466AA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Pr="00A74192" w:rsidRDefault="008A03DE" w:rsidP="008A03DE">
      <w:pPr>
        <w:pStyle w:val="Textpoznpodarou"/>
        <w:jc w:val="both"/>
        <w:rPr>
          <w:rFonts w:cs="Arial"/>
          <w:color w:val="000000"/>
        </w:rPr>
      </w:pPr>
      <w:r w:rsidRPr="00A74192">
        <w:rPr>
          <w:rFonts w:cs="Arial"/>
          <w:color w:val="000000"/>
        </w:rPr>
        <w:t>Zdroj</w:t>
      </w:r>
      <w:r w:rsidR="00EA1CFB">
        <w:rPr>
          <w:rFonts w:cs="Arial"/>
          <w:color w:val="000000"/>
        </w:rPr>
        <w:t>e dat v celé analýze: ČSÚ, ČNB, MF,</w:t>
      </w:r>
      <w:r w:rsidRPr="00A74192">
        <w:rPr>
          <w:rFonts w:cs="Arial"/>
          <w:color w:val="000000"/>
        </w:rPr>
        <w:t xml:space="preserve"> MPSV, ČSSZ, </w:t>
      </w:r>
      <w:proofErr w:type="spellStart"/>
      <w:r w:rsidRPr="00A74192">
        <w:rPr>
          <w:rFonts w:cs="Arial"/>
          <w:color w:val="000000"/>
        </w:rPr>
        <w:t>Eurostat</w:t>
      </w:r>
      <w:proofErr w:type="spellEnd"/>
      <w:r w:rsidRPr="00A74192">
        <w:rPr>
          <w:rFonts w:cs="Arial"/>
          <w:color w:val="000000"/>
        </w:rPr>
        <w:t>, propočty ČSÚ.</w:t>
      </w:r>
    </w:p>
    <w:p w:rsidR="004A7670" w:rsidRPr="008A03DE" w:rsidRDefault="008A03DE" w:rsidP="008A03DE">
      <w:pPr>
        <w:pStyle w:val="Textpoznpodarou"/>
        <w:jc w:val="both"/>
        <w:rPr>
          <w:rFonts w:cs="Arial"/>
          <w:color w:val="000000"/>
        </w:rPr>
      </w:pPr>
      <w:r w:rsidRPr="00A74192">
        <w:rPr>
          <w:rFonts w:cs="Arial"/>
          <w:color w:val="000000"/>
        </w:rPr>
        <w:t>Poslední informace uváděné v té</w:t>
      </w:r>
      <w:r w:rsidR="00043C68">
        <w:rPr>
          <w:rFonts w:cs="Arial"/>
          <w:color w:val="000000"/>
        </w:rPr>
        <w:t>to zprávě pocházejí z</w:t>
      </w:r>
      <w:r w:rsidR="00CE7158">
        <w:rPr>
          <w:rFonts w:cs="Arial"/>
          <w:color w:val="000000"/>
        </w:rPr>
        <w:t xml:space="preserve"> 1</w:t>
      </w:r>
      <w:r w:rsidR="00BD557B">
        <w:rPr>
          <w:rFonts w:cs="Arial"/>
          <w:color w:val="000000"/>
        </w:rPr>
        <w:t>3</w:t>
      </w:r>
      <w:r w:rsidRPr="00A74192">
        <w:rPr>
          <w:rFonts w:cs="Arial"/>
          <w:color w:val="000000"/>
        </w:rPr>
        <w:t xml:space="preserve">. </w:t>
      </w:r>
      <w:r w:rsidR="00BD557B">
        <w:rPr>
          <w:rFonts w:cs="Arial"/>
          <w:color w:val="000000"/>
        </w:rPr>
        <w:t>září</w:t>
      </w:r>
      <w:r>
        <w:rPr>
          <w:rFonts w:cs="Arial"/>
          <w:color w:val="000000"/>
        </w:rPr>
        <w:t xml:space="preserve"> 2017</w:t>
      </w:r>
      <w:r w:rsidRPr="00A74192">
        <w:rPr>
          <w:rFonts w:cs="Arial"/>
          <w:color w:val="000000"/>
        </w:rPr>
        <w:t>.</w:t>
      </w:r>
    </w:p>
    <w:p w:rsidR="00576A3E" w:rsidRPr="00A74192" w:rsidRDefault="00576A3E" w:rsidP="00D94859">
      <w:pPr>
        <w:sectPr w:rsidR="00576A3E" w:rsidRPr="00A74192" w:rsidSect="00E83DAB">
          <w:headerReference w:type="even" r:id="rId10"/>
          <w:headerReference w:type="default" r:id="rId11"/>
          <w:footerReference w:type="default" r:id="rId12"/>
          <w:pgSz w:w="11906" w:h="16838" w:code="9"/>
          <w:pgMar w:top="1134" w:right="1134" w:bottom="1418" w:left="1134" w:header="680" w:footer="680" w:gutter="0"/>
          <w:cols w:space="708"/>
          <w:docGrid w:linePitch="360"/>
        </w:sectPr>
      </w:pPr>
    </w:p>
    <w:p w:rsidR="00576A3E" w:rsidRPr="00A74192" w:rsidRDefault="00576A3E" w:rsidP="00D94859"/>
    <w:p w:rsidR="000C60D8" w:rsidRDefault="00960769" w:rsidP="000C60D8">
      <w:pPr>
        <w:pStyle w:val="Nadpis1"/>
        <w:numPr>
          <w:ilvl w:val="0"/>
          <w:numId w:val="12"/>
        </w:numPr>
        <w:ind w:left="709"/>
      </w:pPr>
      <w:bookmarkStart w:id="3" w:name="_Toc469299929"/>
      <w:bookmarkStart w:id="4" w:name="_Toc493683633"/>
      <w:r w:rsidRPr="00A74192">
        <w:lastRenderedPageBreak/>
        <w:t>Shrnutí</w:t>
      </w:r>
      <w:bookmarkEnd w:id="3"/>
      <w:bookmarkEnd w:id="4"/>
    </w:p>
    <w:p w:rsidR="00DD0726" w:rsidRPr="0093161F" w:rsidRDefault="003670FE" w:rsidP="00DD0726">
      <w:pPr>
        <w:pStyle w:val="Odstavecseseznamem"/>
        <w:numPr>
          <w:ilvl w:val="0"/>
          <w:numId w:val="18"/>
        </w:numPr>
        <w:spacing w:line="240" w:lineRule="auto"/>
        <w:ind w:left="426"/>
        <w:contextualSpacing/>
        <w:jc w:val="both"/>
        <w:rPr>
          <w:rFonts w:cs="Arial"/>
          <w:spacing w:val="-2"/>
          <w:szCs w:val="20"/>
        </w:rPr>
      </w:pPr>
      <w:r w:rsidRPr="00DD0726">
        <w:rPr>
          <w:rFonts w:cs="Arial"/>
          <w:spacing w:val="-2"/>
          <w:szCs w:val="20"/>
        </w:rPr>
        <w:t>Hrubý domácí produkt</w:t>
      </w:r>
      <w:r w:rsidR="00E81130" w:rsidRPr="00DD0726">
        <w:rPr>
          <w:rFonts w:cs="Arial"/>
          <w:spacing w:val="-2"/>
          <w:szCs w:val="20"/>
        </w:rPr>
        <w:t xml:space="preserve"> (HDP)</w:t>
      </w:r>
      <w:r w:rsidRPr="00DD0726">
        <w:rPr>
          <w:rFonts w:cs="Arial"/>
          <w:spacing w:val="-2"/>
          <w:szCs w:val="20"/>
        </w:rPr>
        <w:t xml:space="preserve"> ve 2. čtvrtletí 2017 meziročně vzrostl o 4,7 %</w:t>
      </w:r>
      <w:r w:rsidR="0021507A" w:rsidRPr="0093161F">
        <w:rPr>
          <w:rStyle w:val="Znakapoznpodarou"/>
          <w:spacing w:val="-2"/>
          <w:szCs w:val="20"/>
        </w:rPr>
        <w:footnoteReference w:id="1"/>
      </w:r>
      <w:r w:rsidRPr="00DD0726">
        <w:rPr>
          <w:rFonts w:cs="Arial"/>
          <w:spacing w:val="-2"/>
          <w:szCs w:val="20"/>
        </w:rPr>
        <w:t>. Zrychlení oproti předchozímu čtvrtletí i celému roku 2016 bylo podpořeno silně rostoucí spotřebou domácností i bilancí zahraničního obchodu. Přispěl však i růst výdajů na tvorbu hrubého fixního kapitálu.</w:t>
      </w:r>
      <w:r w:rsidR="00E81130" w:rsidRPr="00DD0726">
        <w:rPr>
          <w:rFonts w:cs="Arial"/>
          <w:spacing w:val="-2"/>
          <w:szCs w:val="20"/>
        </w:rPr>
        <w:t xml:space="preserve"> </w:t>
      </w:r>
      <w:proofErr w:type="spellStart"/>
      <w:r w:rsidR="00DD0726">
        <w:rPr>
          <w:rFonts w:cs="Arial"/>
          <w:spacing w:val="-2"/>
          <w:szCs w:val="20"/>
        </w:rPr>
        <w:t>Mezič</w:t>
      </w:r>
      <w:r w:rsidR="00DD0726" w:rsidRPr="0093161F">
        <w:rPr>
          <w:rFonts w:cs="Arial"/>
          <w:spacing w:val="-2"/>
          <w:szCs w:val="20"/>
        </w:rPr>
        <w:t>tvrtletní</w:t>
      </w:r>
      <w:proofErr w:type="spellEnd"/>
      <w:r w:rsidR="00DD0726" w:rsidRPr="0093161F">
        <w:rPr>
          <w:rFonts w:cs="Arial"/>
          <w:spacing w:val="-2"/>
          <w:szCs w:val="20"/>
        </w:rPr>
        <w:t xml:space="preserve"> nárůst HDP dosáhl 2,5 %. Spotřeba domácností byla podpořena výrazně rostoucím objemem vyplácených mezd a meziročně vzrostla o 4,4 %. </w:t>
      </w:r>
      <w:r w:rsidR="00DD0726">
        <w:rPr>
          <w:rFonts w:cs="Arial"/>
          <w:spacing w:val="-2"/>
          <w:szCs w:val="20"/>
        </w:rPr>
        <w:t xml:space="preserve">Růst investičních výdajů byl soustředěn do sektoru nefinančních podniků. </w:t>
      </w:r>
      <w:r w:rsidR="00DD0726" w:rsidRPr="0093161F">
        <w:rPr>
          <w:rFonts w:cs="Arial"/>
          <w:spacing w:val="-2"/>
          <w:szCs w:val="20"/>
        </w:rPr>
        <w:t>Celkovému růstu investičních výdajů napomohlo i meziroční oži</w:t>
      </w:r>
      <w:r w:rsidR="00DD0726">
        <w:rPr>
          <w:rFonts w:cs="Arial"/>
          <w:spacing w:val="-2"/>
          <w:szCs w:val="20"/>
        </w:rPr>
        <w:t>vení výdajů na infrastrukturní projekty, investiční aktivita vládního sektoru však zůstala slabá</w:t>
      </w:r>
      <w:r w:rsidR="00DD0726" w:rsidRPr="0093161F">
        <w:rPr>
          <w:rFonts w:cs="Arial"/>
          <w:spacing w:val="-2"/>
          <w:szCs w:val="20"/>
        </w:rPr>
        <w:t>.</w:t>
      </w:r>
    </w:p>
    <w:p w:rsidR="00134DFD" w:rsidRPr="00DD0726" w:rsidRDefault="00134DFD" w:rsidP="00DD0726">
      <w:pPr>
        <w:pStyle w:val="Odstavecseseznamem"/>
        <w:spacing w:line="240" w:lineRule="auto"/>
        <w:ind w:left="426"/>
        <w:contextualSpacing/>
        <w:jc w:val="both"/>
        <w:rPr>
          <w:rFonts w:cs="Arial"/>
          <w:spacing w:val="-2"/>
          <w:sz w:val="15"/>
          <w:szCs w:val="15"/>
        </w:rPr>
      </w:pPr>
    </w:p>
    <w:p w:rsidR="00A219FE" w:rsidRPr="0093161F" w:rsidRDefault="00E03B58" w:rsidP="00A219FE">
      <w:pPr>
        <w:pStyle w:val="Odstavecseseznamem"/>
        <w:numPr>
          <w:ilvl w:val="0"/>
          <w:numId w:val="18"/>
        </w:numPr>
        <w:spacing w:line="240" w:lineRule="auto"/>
        <w:ind w:left="426"/>
        <w:contextualSpacing/>
        <w:jc w:val="both"/>
        <w:rPr>
          <w:rFonts w:cs="Arial"/>
          <w:spacing w:val="-2"/>
          <w:szCs w:val="20"/>
        </w:rPr>
      </w:pPr>
      <w:r>
        <w:rPr>
          <w:rFonts w:cs="Arial"/>
          <w:spacing w:val="-2"/>
        </w:rPr>
        <w:t>Meziroční r</w:t>
      </w:r>
      <w:r w:rsidR="00A219FE" w:rsidRPr="0093161F">
        <w:rPr>
          <w:rFonts w:cs="Arial"/>
          <w:spacing w:val="-2"/>
        </w:rPr>
        <w:t xml:space="preserve">ůst </w:t>
      </w:r>
      <w:r w:rsidR="00A219FE" w:rsidRPr="0093161F">
        <w:rPr>
          <w:rFonts w:cs="Arial"/>
          <w:spacing w:val="-2"/>
          <w:szCs w:val="20"/>
        </w:rPr>
        <w:t>hrubé přidané hodnoty (</w:t>
      </w:r>
      <w:r w:rsidR="00A219FE" w:rsidRPr="0093161F">
        <w:rPr>
          <w:rFonts w:cs="Arial"/>
          <w:spacing w:val="-2"/>
        </w:rPr>
        <w:t xml:space="preserve">HPH) dosáhl ve 2. čtvrtletí 4,7 % a v porovnání s předchozím čtvrtletím </w:t>
      </w:r>
      <w:r>
        <w:rPr>
          <w:rFonts w:cs="Arial"/>
          <w:spacing w:val="-2"/>
        </w:rPr>
        <w:t>se zvýšil</w:t>
      </w:r>
      <w:r w:rsidR="00A219FE" w:rsidRPr="0093161F">
        <w:rPr>
          <w:rFonts w:cs="Arial"/>
          <w:spacing w:val="-2"/>
        </w:rPr>
        <w:t xml:space="preserve"> o 1,7 </w:t>
      </w:r>
      <w:proofErr w:type="spellStart"/>
      <w:proofErr w:type="gramStart"/>
      <w:r w:rsidR="00A219FE" w:rsidRPr="0093161F">
        <w:rPr>
          <w:rFonts w:cs="Arial"/>
          <w:spacing w:val="-2"/>
        </w:rPr>
        <w:t>p.b</w:t>
      </w:r>
      <w:proofErr w:type="spellEnd"/>
      <w:r w:rsidR="00A219FE" w:rsidRPr="0093161F">
        <w:rPr>
          <w:rFonts w:cs="Arial"/>
          <w:spacing w:val="-2"/>
        </w:rPr>
        <w:t>.</w:t>
      </w:r>
      <w:proofErr w:type="gramEnd"/>
      <w:r w:rsidR="00A219FE" w:rsidRPr="0093161F">
        <w:rPr>
          <w:rFonts w:cs="Arial"/>
          <w:spacing w:val="-2"/>
        </w:rPr>
        <w:t xml:space="preserve"> </w:t>
      </w:r>
      <w:r w:rsidR="00F068A8">
        <w:rPr>
          <w:rFonts w:cs="Arial"/>
          <w:spacing w:val="-2"/>
        </w:rPr>
        <w:t>Tomuto z</w:t>
      </w:r>
      <w:r w:rsidR="00A219FE" w:rsidRPr="0093161F">
        <w:rPr>
          <w:rFonts w:cs="Arial"/>
          <w:spacing w:val="-2"/>
        </w:rPr>
        <w:t xml:space="preserve">rychlení napomohlo posílení odvětví služeb, která dohromady přispěla k růstu HPH 2,2 </w:t>
      </w:r>
      <w:proofErr w:type="spellStart"/>
      <w:proofErr w:type="gramStart"/>
      <w:r w:rsidR="00A219FE" w:rsidRPr="0093161F">
        <w:rPr>
          <w:rFonts w:cs="Arial"/>
          <w:spacing w:val="-2"/>
        </w:rPr>
        <w:t>p.b</w:t>
      </w:r>
      <w:proofErr w:type="spellEnd"/>
      <w:r w:rsidR="00A219FE" w:rsidRPr="0093161F">
        <w:rPr>
          <w:rFonts w:cs="Arial"/>
          <w:spacing w:val="-2"/>
        </w:rPr>
        <w:t>.</w:t>
      </w:r>
      <w:proofErr w:type="gramEnd"/>
      <w:r w:rsidR="00A219FE" w:rsidRPr="0093161F">
        <w:rPr>
          <w:rFonts w:cs="Arial"/>
          <w:spacing w:val="-2"/>
        </w:rPr>
        <w:t xml:space="preserve"> Nadále však přetrvávala i silná</w:t>
      </w:r>
      <w:r w:rsidR="00136AE8">
        <w:rPr>
          <w:rFonts w:cs="Arial"/>
          <w:spacing w:val="-2"/>
        </w:rPr>
        <w:t xml:space="preserve"> role zpracovatelského průmyslu. D</w:t>
      </w:r>
      <w:r w:rsidR="00A219FE" w:rsidRPr="0093161F">
        <w:rPr>
          <w:rFonts w:cs="Arial"/>
          <w:spacing w:val="-2"/>
        </w:rPr>
        <w:t xml:space="preserve">ařilo </w:t>
      </w:r>
      <w:r w:rsidR="00F83573">
        <w:rPr>
          <w:rFonts w:cs="Arial"/>
          <w:spacing w:val="-2"/>
        </w:rPr>
        <w:t xml:space="preserve">se </w:t>
      </w:r>
      <w:r w:rsidR="00A219FE" w:rsidRPr="0093161F">
        <w:rPr>
          <w:rFonts w:cs="Arial"/>
          <w:spacing w:val="-2"/>
        </w:rPr>
        <w:t>výrobě motorových vozidel vč. subdodavatelských oborů</w:t>
      </w:r>
      <w:r w:rsidR="00136AE8">
        <w:rPr>
          <w:rFonts w:cs="Arial"/>
          <w:spacing w:val="-2"/>
        </w:rPr>
        <w:t>. Zvýšila se rovněž</w:t>
      </w:r>
      <w:r w:rsidR="005F5628" w:rsidRPr="0093161F">
        <w:rPr>
          <w:rFonts w:cs="Arial"/>
          <w:spacing w:val="-2"/>
        </w:rPr>
        <w:t xml:space="preserve"> produkce ve strojírenství, pozi</w:t>
      </w:r>
      <w:r w:rsidR="0093161F" w:rsidRPr="0093161F">
        <w:rPr>
          <w:rFonts w:cs="Arial"/>
          <w:spacing w:val="-2"/>
        </w:rPr>
        <w:t>tivně</w:t>
      </w:r>
      <w:r w:rsidR="005F5628" w:rsidRPr="0093161F">
        <w:rPr>
          <w:rFonts w:cs="Arial"/>
          <w:spacing w:val="-2"/>
        </w:rPr>
        <w:t xml:space="preserve"> se projevilo i obnovení výrobních kapacit chemického průmyslu. Rostoucí disponibilní příjmy domácností </w:t>
      </w:r>
      <w:r w:rsidR="0093161F" w:rsidRPr="0093161F">
        <w:rPr>
          <w:rFonts w:cs="Arial"/>
          <w:spacing w:val="-2"/>
        </w:rPr>
        <w:t xml:space="preserve">se ve 2. čtvrtletí odrazily v silném růstu </w:t>
      </w:r>
      <w:r w:rsidR="0093161F" w:rsidRPr="0093161F">
        <w:rPr>
          <w:rFonts w:cs="Arial"/>
          <w:spacing w:val="-2"/>
          <w:szCs w:val="20"/>
        </w:rPr>
        <w:t xml:space="preserve">tržeb za prodej </w:t>
      </w:r>
      <w:proofErr w:type="spellStart"/>
      <w:r w:rsidR="0093161F" w:rsidRPr="0093161F">
        <w:rPr>
          <w:rFonts w:cs="Arial"/>
          <w:spacing w:val="-2"/>
          <w:szCs w:val="20"/>
        </w:rPr>
        <w:t>nepotravinářského</w:t>
      </w:r>
      <w:proofErr w:type="spellEnd"/>
      <w:r w:rsidR="0093161F" w:rsidRPr="0093161F">
        <w:rPr>
          <w:rFonts w:cs="Arial"/>
          <w:spacing w:val="-2"/>
          <w:szCs w:val="20"/>
        </w:rPr>
        <w:t xml:space="preserve"> zboží </w:t>
      </w:r>
      <w:r w:rsidR="0093161F" w:rsidRPr="0093161F">
        <w:rPr>
          <w:spacing w:val="-2"/>
        </w:rPr>
        <w:t>(+9,4 %), který byl mezi státy EU čtvrtý nejvyšší.</w:t>
      </w:r>
    </w:p>
    <w:p w:rsidR="00134DFD" w:rsidRPr="0093161F" w:rsidRDefault="00134DFD" w:rsidP="0037290D">
      <w:pPr>
        <w:spacing w:line="240" w:lineRule="auto"/>
        <w:jc w:val="both"/>
        <w:rPr>
          <w:rFonts w:cs="Arial"/>
          <w:spacing w:val="-2"/>
          <w:sz w:val="15"/>
          <w:szCs w:val="15"/>
          <w:highlight w:val="yellow"/>
        </w:rPr>
      </w:pPr>
    </w:p>
    <w:p w:rsidR="00134DFD" w:rsidRPr="0093161F" w:rsidRDefault="00E81130" w:rsidP="00134DFD">
      <w:pPr>
        <w:pStyle w:val="Odstavecseseznamem"/>
        <w:numPr>
          <w:ilvl w:val="0"/>
          <w:numId w:val="18"/>
        </w:numPr>
        <w:spacing w:line="240" w:lineRule="auto"/>
        <w:ind w:left="426"/>
        <w:contextualSpacing/>
        <w:jc w:val="both"/>
        <w:rPr>
          <w:rFonts w:cs="Arial"/>
          <w:spacing w:val="-2"/>
          <w:szCs w:val="20"/>
        </w:rPr>
      </w:pPr>
      <w:r w:rsidRPr="0093161F">
        <w:rPr>
          <w:rFonts w:cs="Arial"/>
          <w:spacing w:val="-2"/>
          <w:szCs w:val="20"/>
        </w:rPr>
        <w:t xml:space="preserve">Běžný účet platební bilance byl v přebytku i v 1. pololetí 2017, především díky </w:t>
      </w:r>
      <w:r w:rsidR="00735044" w:rsidRPr="0093161F">
        <w:rPr>
          <w:rFonts w:cs="Arial"/>
          <w:spacing w:val="-2"/>
          <w:szCs w:val="20"/>
        </w:rPr>
        <w:t>výraznému přebytku bilance se zbožím a službami</w:t>
      </w:r>
      <w:r w:rsidRPr="0093161F">
        <w:rPr>
          <w:rFonts w:cs="Arial"/>
          <w:spacing w:val="-2"/>
          <w:szCs w:val="20"/>
        </w:rPr>
        <w:t>.</w:t>
      </w:r>
      <w:r w:rsidR="00735044" w:rsidRPr="0093161F">
        <w:rPr>
          <w:rFonts w:cs="Arial"/>
          <w:spacing w:val="-2"/>
          <w:szCs w:val="20"/>
        </w:rPr>
        <w:t xml:space="preserve"> </w:t>
      </w:r>
      <w:r w:rsidR="00DD0726">
        <w:rPr>
          <w:rFonts w:cs="Arial"/>
          <w:spacing w:val="-2"/>
          <w:szCs w:val="20"/>
        </w:rPr>
        <w:t>Ve směru deficitu působil výrazný odliv důchodů z investic, který za 1. pololetí dosáhl 143,7 mld.</w:t>
      </w:r>
      <w:r w:rsidR="00DD0726" w:rsidRPr="0093161F">
        <w:rPr>
          <w:rFonts w:cs="Arial"/>
          <w:spacing w:val="-2"/>
          <w:szCs w:val="20"/>
        </w:rPr>
        <w:t xml:space="preserve"> Hodnota vývozu v národním pojetí v 1. pololetí meziročně vzrostla o</w:t>
      </w:r>
      <w:r w:rsidR="00DD0726">
        <w:rPr>
          <w:rFonts w:cs="Arial"/>
          <w:spacing w:val="-2"/>
          <w:szCs w:val="20"/>
        </w:rPr>
        <w:t> </w:t>
      </w:r>
      <w:r w:rsidR="00DD0726" w:rsidRPr="0093161F">
        <w:rPr>
          <w:rFonts w:cs="Arial"/>
          <w:spacing w:val="-2"/>
          <w:szCs w:val="20"/>
        </w:rPr>
        <w:t>111,0</w:t>
      </w:r>
      <w:r w:rsidR="00DD0726">
        <w:rPr>
          <w:rFonts w:cs="Arial"/>
          <w:spacing w:val="-2"/>
          <w:szCs w:val="20"/>
        </w:rPr>
        <w:t> </w:t>
      </w:r>
      <w:r w:rsidR="00DD0726" w:rsidRPr="0093161F">
        <w:rPr>
          <w:rFonts w:cs="Arial"/>
          <w:spacing w:val="-2"/>
          <w:szCs w:val="20"/>
        </w:rPr>
        <w:t>mld. korun a dosáhla 1 796,9 mld. korun. Jako tradičně se na exportu hlavní měrou podílela motorová vozidla, dařilo se však i vývozu strojů a zařízení. Hodnotu dovozu, která meziročně vzrostla o</w:t>
      </w:r>
      <w:r w:rsidR="00DD0726">
        <w:rPr>
          <w:rFonts w:cs="Arial"/>
          <w:spacing w:val="-2"/>
          <w:szCs w:val="20"/>
        </w:rPr>
        <w:t> </w:t>
      </w:r>
      <w:r w:rsidR="00DD0726" w:rsidRPr="0093161F">
        <w:rPr>
          <w:rFonts w:cs="Arial"/>
          <w:spacing w:val="-2"/>
          <w:szCs w:val="20"/>
        </w:rPr>
        <w:t xml:space="preserve">118,1 mld. korun, ovlivnilo i </w:t>
      </w:r>
      <w:r w:rsidR="00DD0726">
        <w:rPr>
          <w:rFonts w:cs="Arial"/>
          <w:spacing w:val="-2"/>
          <w:szCs w:val="20"/>
        </w:rPr>
        <w:t xml:space="preserve">meziroční </w:t>
      </w:r>
      <w:r w:rsidR="00DD0726" w:rsidRPr="0093161F">
        <w:rPr>
          <w:rFonts w:cs="Arial"/>
          <w:spacing w:val="-2"/>
          <w:szCs w:val="20"/>
        </w:rPr>
        <w:t>zvýšení cen ropy a zemního plynu. To se promítlo do výsledků obchodu se zeměmi mimo EU, hlavně Ruskem</w:t>
      </w:r>
      <w:r w:rsidR="005A77F6" w:rsidRPr="0093161F">
        <w:rPr>
          <w:rFonts w:cs="Arial"/>
          <w:spacing w:val="-2"/>
          <w:szCs w:val="20"/>
        </w:rPr>
        <w:t xml:space="preserve">. </w:t>
      </w:r>
    </w:p>
    <w:p w:rsidR="0078778C" w:rsidRPr="0093161F" w:rsidRDefault="0078778C" w:rsidP="0078778C">
      <w:pPr>
        <w:spacing w:line="240" w:lineRule="auto"/>
        <w:contextualSpacing/>
        <w:jc w:val="both"/>
        <w:rPr>
          <w:rFonts w:cs="Arial"/>
          <w:spacing w:val="-2"/>
          <w:sz w:val="15"/>
          <w:szCs w:val="15"/>
        </w:rPr>
      </w:pPr>
    </w:p>
    <w:p w:rsidR="00134DFD" w:rsidRPr="0093161F" w:rsidRDefault="005A77F6" w:rsidP="00134DFD">
      <w:pPr>
        <w:pStyle w:val="Odstavecseseznamem"/>
        <w:numPr>
          <w:ilvl w:val="0"/>
          <w:numId w:val="18"/>
        </w:numPr>
        <w:spacing w:line="240" w:lineRule="auto"/>
        <w:ind w:left="426"/>
        <w:contextualSpacing/>
        <w:jc w:val="both"/>
        <w:rPr>
          <w:rFonts w:cs="Arial"/>
          <w:spacing w:val="-2"/>
          <w:szCs w:val="20"/>
        </w:rPr>
      </w:pPr>
      <w:r w:rsidRPr="0093161F">
        <w:rPr>
          <w:rFonts w:cs="Arial"/>
          <w:spacing w:val="-2"/>
          <w:szCs w:val="20"/>
        </w:rPr>
        <w:t xml:space="preserve">Cenový růst </w:t>
      </w:r>
      <w:r w:rsidR="00C3004E" w:rsidRPr="0093161F">
        <w:rPr>
          <w:rFonts w:cs="Arial"/>
          <w:spacing w:val="-2"/>
          <w:szCs w:val="20"/>
        </w:rPr>
        <w:t xml:space="preserve">v 2. čtvrtletí </w:t>
      </w:r>
      <w:r w:rsidRPr="0093161F">
        <w:rPr>
          <w:rFonts w:cs="Arial"/>
          <w:spacing w:val="-2"/>
          <w:szCs w:val="20"/>
        </w:rPr>
        <w:t xml:space="preserve">pokračoval, </w:t>
      </w:r>
      <w:r w:rsidR="00DD0726" w:rsidRPr="0093161F">
        <w:rPr>
          <w:rFonts w:cs="Arial"/>
          <w:spacing w:val="-2"/>
          <w:szCs w:val="20"/>
        </w:rPr>
        <w:t xml:space="preserve">i když nedošlo k jeho dalšímu zrychlování. Ceny spotřebitelů tak </w:t>
      </w:r>
      <w:r w:rsidR="00DD0726">
        <w:rPr>
          <w:rFonts w:cs="Arial"/>
          <w:spacing w:val="-2"/>
          <w:szCs w:val="20"/>
        </w:rPr>
        <w:t xml:space="preserve">meziročně </w:t>
      </w:r>
      <w:r w:rsidR="00DD0726" w:rsidRPr="0093161F">
        <w:rPr>
          <w:rFonts w:cs="Arial"/>
          <w:spacing w:val="-2"/>
          <w:szCs w:val="20"/>
        </w:rPr>
        <w:t>vzrostly o 2,</w:t>
      </w:r>
      <w:r w:rsidR="00DD0726">
        <w:rPr>
          <w:rFonts w:cs="Arial"/>
          <w:spacing w:val="-2"/>
          <w:szCs w:val="20"/>
        </w:rPr>
        <w:t>2</w:t>
      </w:r>
      <w:r w:rsidR="00DD0726" w:rsidRPr="0093161F">
        <w:rPr>
          <w:rFonts w:cs="Arial"/>
          <w:spacing w:val="-2"/>
          <w:szCs w:val="20"/>
        </w:rPr>
        <w:t xml:space="preserve"> %. Přispělo k tomu zrychlení růstu cen potravin, naopak ceny ropy a dopravy se nezvyšovaly tak rychle jako v předchozím čtvrtletí. Mírně zrychlil i </w:t>
      </w:r>
      <w:r w:rsidR="00DD0726">
        <w:rPr>
          <w:rFonts w:cs="Arial"/>
          <w:spacing w:val="-2"/>
          <w:szCs w:val="20"/>
        </w:rPr>
        <w:t xml:space="preserve">meziroční </w:t>
      </w:r>
      <w:r w:rsidR="00DD0726" w:rsidRPr="0093161F">
        <w:rPr>
          <w:rFonts w:cs="Arial"/>
          <w:spacing w:val="-2"/>
          <w:szCs w:val="20"/>
        </w:rPr>
        <w:t>růst cen bydlení a energií. Ve</w:t>
      </w:r>
      <w:r w:rsidR="00DD0726">
        <w:rPr>
          <w:rFonts w:cs="Arial"/>
          <w:spacing w:val="-2"/>
          <w:szCs w:val="20"/>
        </w:rPr>
        <w:t> </w:t>
      </w:r>
      <w:r w:rsidR="00DD0726" w:rsidRPr="0093161F">
        <w:rPr>
          <w:rFonts w:cs="Arial"/>
          <w:spacing w:val="-2"/>
          <w:szCs w:val="20"/>
        </w:rPr>
        <w:t xml:space="preserve">2. čtvrtletí zpomalil i meziroční růst cen výrobců. Výjimkou se staly ceny zemědělských výrobců, které ve 2. čtvrtletí </w:t>
      </w:r>
      <w:r w:rsidR="00DD0726">
        <w:rPr>
          <w:rFonts w:cs="Arial"/>
          <w:spacing w:val="-2"/>
          <w:szCs w:val="20"/>
        </w:rPr>
        <w:t xml:space="preserve">meziročně </w:t>
      </w:r>
      <w:r w:rsidR="00DD0726" w:rsidRPr="0093161F">
        <w:rPr>
          <w:rFonts w:cs="Arial"/>
          <w:spacing w:val="-2"/>
          <w:szCs w:val="20"/>
        </w:rPr>
        <w:t xml:space="preserve">vzrostly o 11,3 %. Jednalo se o první meziroční růst od konce roku 2015. Za tímto růstem stála hlavně živočišná výroba, rostly však i ceny rostlinné výroby, které </w:t>
      </w:r>
      <w:r w:rsidR="00DD0726">
        <w:rPr>
          <w:rFonts w:cs="Arial"/>
          <w:spacing w:val="-2"/>
          <w:szCs w:val="20"/>
        </w:rPr>
        <w:t xml:space="preserve">od 2. čtvrtletí 2016 </w:t>
      </w:r>
      <w:r w:rsidR="00DD0726" w:rsidRPr="0093161F">
        <w:rPr>
          <w:rFonts w:cs="Arial"/>
          <w:spacing w:val="-2"/>
          <w:szCs w:val="20"/>
        </w:rPr>
        <w:t>klesaly</w:t>
      </w:r>
      <w:r w:rsidR="00DD1DC1" w:rsidRPr="0093161F">
        <w:rPr>
          <w:rFonts w:cs="Arial"/>
          <w:spacing w:val="-2"/>
          <w:szCs w:val="20"/>
        </w:rPr>
        <w:t xml:space="preserve">. </w:t>
      </w:r>
    </w:p>
    <w:p w:rsidR="00666883" w:rsidRPr="0093161F" w:rsidRDefault="00666883" w:rsidP="00666883">
      <w:pPr>
        <w:spacing w:line="240" w:lineRule="auto"/>
        <w:contextualSpacing/>
        <w:jc w:val="both"/>
        <w:rPr>
          <w:rFonts w:cs="Arial"/>
          <w:spacing w:val="-2"/>
          <w:sz w:val="15"/>
          <w:szCs w:val="15"/>
        </w:rPr>
      </w:pPr>
    </w:p>
    <w:p w:rsidR="00DD1DC1" w:rsidRPr="0093161F" w:rsidRDefault="00DD1DC1" w:rsidP="00DD1DC1">
      <w:pPr>
        <w:pStyle w:val="Odstavecseseznamem"/>
        <w:numPr>
          <w:ilvl w:val="0"/>
          <w:numId w:val="18"/>
        </w:numPr>
        <w:spacing w:line="240" w:lineRule="auto"/>
        <w:ind w:left="426"/>
        <w:contextualSpacing/>
        <w:jc w:val="both"/>
        <w:rPr>
          <w:rFonts w:cs="Arial"/>
          <w:spacing w:val="-2"/>
          <w:szCs w:val="20"/>
        </w:rPr>
      </w:pPr>
      <w:r w:rsidRPr="0093161F">
        <w:rPr>
          <w:rFonts w:cs="Arial"/>
          <w:spacing w:val="-2"/>
          <w:szCs w:val="20"/>
        </w:rPr>
        <w:t>V oblasti měnové politiky ve 2</w:t>
      </w:r>
      <w:r w:rsidR="00DD0726" w:rsidRPr="0093161F">
        <w:rPr>
          <w:rFonts w:cs="Arial"/>
          <w:spacing w:val="-2"/>
          <w:szCs w:val="20"/>
        </w:rPr>
        <w:t>.</w:t>
      </w:r>
      <w:r w:rsidR="00DD0726">
        <w:rPr>
          <w:rFonts w:cs="Arial"/>
          <w:spacing w:val="-2"/>
          <w:szCs w:val="20"/>
        </w:rPr>
        <w:t xml:space="preserve"> </w:t>
      </w:r>
      <w:r w:rsidR="00DD0726" w:rsidRPr="0093161F">
        <w:rPr>
          <w:rFonts w:cs="Arial"/>
          <w:spacing w:val="-2"/>
          <w:szCs w:val="20"/>
        </w:rPr>
        <w:t xml:space="preserve">čtvrtletí k výrazně změně, a to </w:t>
      </w:r>
      <w:r w:rsidR="00DD0726">
        <w:rPr>
          <w:rFonts w:cs="Arial"/>
          <w:spacing w:val="-2"/>
          <w:szCs w:val="20"/>
        </w:rPr>
        <w:t xml:space="preserve">k </w:t>
      </w:r>
      <w:r w:rsidR="00DD0726" w:rsidRPr="0093161F">
        <w:rPr>
          <w:rFonts w:cs="Arial"/>
          <w:spacing w:val="-2"/>
          <w:szCs w:val="20"/>
        </w:rPr>
        <w:t xml:space="preserve">ukončení kurzového závazku. </w:t>
      </w:r>
      <w:r w:rsidR="00DD0726">
        <w:rPr>
          <w:rFonts w:cs="Arial"/>
          <w:spacing w:val="-2"/>
          <w:szCs w:val="20"/>
        </w:rPr>
        <w:t>P</w:t>
      </w:r>
      <w:r w:rsidR="00DD0726" w:rsidRPr="0093161F">
        <w:rPr>
          <w:rFonts w:cs="Arial"/>
          <w:spacing w:val="-2"/>
          <w:szCs w:val="20"/>
        </w:rPr>
        <w:t>odle očekávání došlo k postupnému posílení</w:t>
      </w:r>
      <w:r w:rsidR="00DD0726">
        <w:rPr>
          <w:rFonts w:cs="Arial"/>
          <w:spacing w:val="-2"/>
          <w:szCs w:val="20"/>
        </w:rPr>
        <w:t xml:space="preserve"> kurzu koruny</w:t>
      </w:r>
      <w:r w:rsidR="00DD0726" w:rsidRPr="0093161F">
        <w:rPr>
          <w:rFonts w:cs="Arial"/>
          <w:spacing w:val="-2"/>
          <w:szCs w:val="20"/>
        </w:rPr>
        <w:t xml:space="preserve">. Do konce června však neprolomil hranici 26 korun za euro. </w:t>
      </w:r>
      <w:proofErr w:type="spellStart"/>
      <w:r w:rsidR="00DD0726" w:rsidRPr="0093161F">
        <w:rPr>
          <w:rFonts w:cs="Arial"/>
          <w:spacing w:val="-2"/>
          <w:szCs w:val="20"/>
        </w:rPr>
        <w:t>Měnověpolitické</w:t>
      </w:r>
      <w:proofErr w:type="spellEnd"/>
      <w:r w:rsidR="00DD0726" w:rsidRPr="0093161F">
        <w:rPr>
          <w:rFonts w:cs="Arial"/>
          <w:spacing w:val="-2"/>
          <w:szCs w:val="20"/>
        </w:rPr>
        <w:t xml:space="preserve"> sazby zatím zůstaly na konstantní úrovni. Zastavil se však pokles mezibankovních sazeb a částečně i výnosů ze státních dluhopisů. Nízké úrokové sazby i nadále motivovaly domácnosti i firmy k úvěrovému financování</w:t>
      </w:r>
      <w:r w:rsidR="00512CC5" w:rsidRPr="0093161F">
        <w:rPr>
          <w:rFonts w:cs="Arial"/>
          <w:spacing w:val="-2"/>
          <w:szCs w:val="20"/>
        </w:rPr>
        <w:t>.</w:t>
      </w:r>
      <w:r w:rsidRPr="0093161F">
        <w:rPr>
          <w:rFonts w:cs="Arial"/>
          <w:spacing w:val="-2"/>
          <w:szCs w:val="20"/>
        </w:rPr>
        <w:t xml:space="preserve"> </w:t>
      </w:r>
    </w:p>
    <w:p w:rsidR="00C466D1" w:rsidRPr="0093161F" w:rsidRDefault="00C466D1" w:rsidP="00FF288B">
      <w:pPr>
        <w:spacing w:line="240" w:lineRule="auto"/>
        <w:contextualSpacing/>
        <w:jc w:val="both"/>
        <w:rPr>
          <w:rFonts w:cs="Arial"/>
          <w:spacing w:val="-2"/>
          <w:sz w:val="15"/>
          <w:szCs w:val="15"/>
          <w:highlight w:val="yellow"/>
        </w:rPr>
      </w:pPr>
    </w:p>
    <w:p w:rsidR="00FF288B" w:rsidRPr="0093161F" w:rsidRDefault="00540D25" w:rsidP="00FF288B">
      <w:pPr>
        <w:pStyle w:val="Odstavecseseznamem"/>
        <w:numPr>
          <w:ilvl w:val="0"/>
          <w:numId w:val="18"/>
        </w:numPr>
        <w:spacing w:line="240" w:lineRule="auto"/>
        <w:ind w:left="426"/>
        <w:contextualSpacing/>
        <w:jc w:val="both"/>
        <w:rPr>
          <w:rFonts w:cs="Arial"/>
          <w:spacing w:val="-2"/>
          <w:szCs w:val="20"/>
        </w:rPr>
      </w:pPr>
      <w:r w:rsidRPr="0093161F">
        <w:rPr>
          <w:rFonts w:cs="Arial"/>
          <w:spacing w:val="-2"/>
          <w:szCs w:val="20"/>
        </w:rPr>
        <w:t>Situace na trhu práce se nadále zlepšovala. Tempo růstu celkové zaměstnanosti</w:t>
      </w:r>
      <w:r w:rsidRPr="0093161F">
        <w:rPr>
          <w:rStyle w:val="Znakapoznpodarou"/>
          <w:spacing w:val="-2"/>
          <w:szCs w:val="20"/>
        </w:rPr>
        <w:footnoteReference w:id="2"/>
      </w:r>
      <w:r w:rsidRPr="0093161F">
        <w:rPr>
          <w:rFonts w:cs="Arial"/>
          <w:spacing w:val="-2"/>
          <w:szCs w:val="20"/>
        </w:rPr>
        <w:t xml:space="preserve"> nepolevovalo, počet pracovníků se meziročně zvýšil o 1,4 %. K vyšší zaměstnanosti přispíval stále více terciární sektor</w:t>
      </w:r>
      <w:r w:rsidR="00C538FC" w:rsidRPr="0093161F">
        <w:rPr>
          <w:rFonts w:cs="Arial"/>
          <w:spacing w:val="-2"/>
          <w:szCs w:val="20"/>
        </w:rPr>
        <w:t xml:space="preserve">, kde se dařilo především profesním, vědeckých, technickým a administrativním činnostem. Podobně jako v roce 2016 přispěly k růstu počtu pracovníků i </w:t>
      </w:r>
      <w:proofErr w:type="spellStart"/>
      <w:r w:rsidR="00C538FC" w:rsidRPr="0093161F">
        <w:rPr>
          <w:rFonts w:cs="Arial"/>
          <w:spacing w:val="-2"/>
          <w:szCs w:val="20"/>
        </w:rPr>
        <w:t>sebezaměstnaní</w:t>
      </w:r>
      <w:proofErr w:type="spellEnd"/>
      <w:r w:rsidR="00C538FC" w:rsidRPr="0093161F">
        <w:rPr>
          <w:rFonts w:cs="Arial"/>
          <w:spacing w:val="-2"/>
          <w:szCs w:val="20"/>
        </w:rPr>
        <w:t>. Během 1. pololetí výrazně zrychlil</w:t>
      </w:r>
      <w:r w:rsidR="00B365CB" w:rsidRPr="0093161F">
        <w:rPr>
          <w:rFonts w:cs="Arial"/>
          <w:spacing w:val="-2"/>
          <w:szCs w:val="20"/>
        </w:rPr>
        <w:t>a</w:t>
      </w:r>
      <w:r w:rsidR="00C538FC" w:rsidRPr="0093161F">
        <w:rPr>
          <w:rFonts w:cs="Arial"/>
          <w:spacing w:val="-2"/>
          <w:szCs w:val="20"/>
        </w:rPr>
        <w:t xml:space="preserve"> tvor</w:t>
      </w:r>
      <w:r w:rsidR="00042EC6">
        <w:rPr>
          <w:rFonts w:cs="Arial"/>
          <w:spacing w:val="-2"/>
          <w:szCs w:val="20"/>
        </w:rPr>
        <w:t>ba</w:t>
      </w:r>
      <w:r w:rsidR="00C538FC" w:rsidRPr="0093161F">
        <w:rPr>
          <w:rFonts w:cs="Arial"/>
          <w:spacing w:val="-2"/>
          <w:szCs w:val="20"/>
        </w:rPr>
        <w:t xml:space="preserve"> nových pracovních míst, na konci června jich úřady práce evidovaly 183,5 tis. Na jedno volné pracovní místo připadalo 1,6 uchazečů o </w:t>
      </w:r>
      <w:r w:rsidR="00B365CB" w:rsidRPr="0093161F">
        <w:rPr>
          <w:rFonts w:cs="Arial"/>
          <w:spacing w:val="-2"/>
          <w:szCs w:val="20"/>
        </w:rPr>
        <w:t xml:space="preserve">práci – </w:t>
      </w:r>
      <w:r w:rsidR="00C538FC" w:rsidRPr="0093161F">
        <w:rPr>
          <w:rFonts w:cs="Arial"/>
          <w:spacing w:val="-2"/>
          <w:szCs w:val="20"/>
        </w:rPr>
        <w:t xml:space="preserve">nejméně od poloviny 90. let. Obecná míra nezaměstnanosti se </w:t>
      </w:r>
      <w:r w:rsidR="00C538FC" w:rsidRPr="0093161F">
        <w:rPr>
          <w:rFonts w:cs="Arial"/>
          <w:color w:val="0D0D0D" w:themeColor="text1" w:themeTint="F2"/>
          <w:spacing w:val="-2"/>
          <w:szCs w:val="20"/>
        </w:rPr>
        <w:t>v červnu dle sezónně očištěných údajů snížila na rekordních 2,9 %.</w:t>
      </w:r>
      <w:r w:rsidR="00C538FC" w:rsidRPr="0093161F">
        <w:rPr>
          <w:rFonts w:cs="Arial"/>
          <w:bCs/>
          <w:iCs/>
          <w:color w:val="0D0D0D"/>
          <w:spacing w:val="-2"/>
          <w:szCs w:val="20"/>
        </w:rPr>
        <w:t xml:space="preserve"> Dobrá finanční situace podniků i sílící obtíže při hledání nových pracovníků tlačily na další zvyšování mezd. Ty ve 2. čtvrtletí ak</w:t>
      </w:r>
      <w:r w:rsidR="00C80953" w:rsidRPr="0093161F">
        <w:rPr>
          <w:rFonts w:cs="Arial"/>
          <w:bCs/>
          <w:iCs/>
          <w:color w:val="0D0D0D"/>
          <w:spacing w:val="-2"/>
          <w:szCs w:val="20"/>
        </w:rPr>
        <w:t>celerovaly na 7,6</w:t>
      </w:r>
      <w:r w:rsidR="00B365CB" w:rsidRPr="0093161F">
        <w:rPr>
          <w:rFonts w:cs="Arial"/>
          <w:color w:val="0D0D0D" w:themeColor="text1" w:themeTint="F2"/>
          <w:spacing w:val="-2"/>
          <w:szCs w:val="20"/>
        </w:rPr>
        <w:t> </w:t>
      </w:r>
      <w:r w:rsidR="00C80953" w:rsidRPr="0093161F">
        <w:rPr>
          <w:rFonts w:cs="Arial"/>
          <w:bCs/>
          <w:iCs/>
          <w:color w:val="0D0D0D"/>
          <w:spacing w:val="-2"/>
          <w:szCs w:val="20"/>
        </w:rPr>
        <w:t>%, jejich nominální růst se přiblížil dynamice z vrcholu konjunktury minulé dekády. Pokračoval mírný pokles mzdové diferenciace. Navzdory sílící inflaci rostla kupní síla mezd</w:t>
      </w:r>
      <w:r w:rsidR="00B365CB" w:rsidRPr="0093161F">
        <w:rPr>
          <w:rFonts w:cs="Arial"/>
          <w:bCs/>
          <w:iCs/>
          <w:color w:val="0D0D0D"/>
          <w:spacing w:val="-2"/>
          <w:szCs w:val="20"/>
        </w:rPr>
        <w:t>. V</w:t>
      </w:r>
      <w:r w:rsidR="00C80953" w:rsidRPr="0093161F">
        <w:rPr>
          <w:rFonts w:cs="Arial"/>
          <w:bCs/>
          <w:iCs/>
          <w:color w:val="0D0D0D"/>
          <w:spacing w:val="-2"/>
          <w:szCs w:val="20"/>
        </w:rPr>
        <w:t>e 2.</w:t>
      </w:r>
      <w:r w:rsidR="00B365CB" w:rsidRPr="0093161F">
        <w:rPr>
          <w:rFonts w:cs="Arial"/>
          <w:spacing w:val="-2"/>
          <w:szCs w:val="20"/>
        </w:rPr>
        <w:t> </w:t>
      </w:r>
      <w:r w:rsidR="00F83573">
        <w:rPr>
          <w:rFonts w:cs="Arial"/>
          <w:bCs/>
          <w:iCs/>
          <w:color w:val="0D0D0D"/>
          <w:spacing w:val="-2"/>
          <w:szCs w:val="20"/>
        </w:rPr>
        <w:t>čtvrtletí se zvýšila o</w:t>
      </w:r>
      <w:r w:rsidR="00F83573" w:rsidRPr="0093161F">
        <w:rPr>
          <w:rFonts w:cs="Arial"/>
          <w:color w:val="0D0D0D" w:themeColor="text1" w:themeTint="F2"/>
          <w:spacing w:val="-2"/>
          <w:szCs w:val="20"/>
        </w:rPr>
        <w:t> </w:t>
      </w:r>
      <w:r w:rsidR="00C80953" w:rsidRPr="0093161F">
        <w:rPr>
          <w:rFonts w:cs="Arial"/>
          <w:bCs/>
          <w:iCs/>
          <w:color w:val="0D0D0D"/>
          <w:spacing w:val="-2"/>
          <w:szCs w:val="20"/>
        </w:rPr>
        <w:t>5,3</w:t>
      </w:r>
      <w:r w:rsidR="00F83573" w:rsidRPr="0093161F">
        <w:rPr>
          <w:rFonts w:cs="Arial"/>
          <w:color w:val="0D0D0D" w:themeColor="text1" w:themeTint="F2"/>
          <w:spacing w:val="-2"/>
          <w:szCs w:val="20"/>
        </w:rPr>
        <w:t> </w:t>
      </w:r>
      <w:r w:rsidR="00F83573">
        <w:rPr>
          <w:rFonts w:cs="Arial"/>
          <w:bCs/>
          <w:iCs/>
          <w:color w:val="0D0D0D"/>
          <w:spacing w:val="-2"/>
          <w:szCs w:val="20"/>
        </w:rPr>
        <w:t>%, nejvíce</w:t>
      </w:r>
      <w:r w:rsidR="00C80953" w:rsidRPr="0093161F">
        <w:rPr>
          <w:rFonts w:cs="Arial"/>
          <w:bCs/>
          <w:iCs/>
          <w:color w:val="0D0D0D"/>
          <w:spacing w:val="-2"/>
          <w:szCs w:val="20"/>
        </w:rPr>
        <w:t xml:space="preserve"> od počátku roku 2007.</w:t>
      </w:r>
    </w:p>
    <w:p w:rsidR="00C466D1" w:rsidRPr="0093161F" w:rsidRDefault="00C466D1" w:rsidP="00C466D1">
      <w:pPr>
        <w:rPr>
          <w:rFonts w:cs="Arial"/>
          <w:spacing w:val="-2"/>
          <w:sz w:val="12"/>
          <w:szCs w:val="12"/>
          <w:highlight w:val="yellow"/>
        </w:rPr>
      </w:pPr>
    </w:p>
    <w:p w:rsidR="0093161F" w:rsidRPr="0093161F" w:rsidRDefault="0073325D" w:rsidP="0093161F">
      <w:pPr>
        <w:pStyle w:val="Bezmezer"/>
        <w:numPr>
          <w:ilvl w:val="0"/>
          <w:numId w:val="18"/>
        </w:numPr>
        <w:ind w:left="425" w:hanging="357"/>
        <w:rPr>
          <w:rFonts w:cs="Arial"/>
          <w:spacing w:val="-2"/>
          <w:szCs w:val="20"/>
        </w:rPr>
      </w:pPr>
      <w:r w:rsidRPr="0093161F">
        <w:rPr>
          <w:rFonts w:cs="Arial"/>
          <w:spacing w:val="-2"/>
          <w:szCs w:val="20"/>
        </w:rPr>
        <w:t>Hospodaření s</w:t>
      </w:r>
      <w:r w:rsidR="00F25860" w:rsidRPr="0093161F">
        <w:rPr>
          <w:rFonts w:cs="Arial"/>
          <w:spacing w:val="-2"/>
          <w:szCs w:val="20"/>
        </w:rPr>
        <w:t>tátní</w:t>
      </w:r>
      <w:r w:rsidRPr="0093161F">
        <w:rPr>
          <w:rFonts w:cs="Arial"/>
          <w:spacing w:val="-2"/>
          <w:szCs w:val="20"/>
        </w:rPr>
        <w:t>ho rozpoč</w:t>
      </w:r>
      <w:r w:rsidR="00F25860" w:rsidRPr="0093161F">
        <w:rPr>
          <w:rFonts w:cs="Arial"/>
          <w:spacing w:val="-2"/>
          <w:szCs w:val="20"/>
        </w:rPr>
        <w:t>t</w:t>
      </w:r>
      <w:r w:rsidRPr="0093161F">
        <w:rPr>
          <w:rFonts w:cs="Arial"/>
          <w:spacing w:val="-2"/>
          <w:szCs w:val="20"/>
        </w:rPr>
        <w:t>u</w:t>
      </w:r>
      <w:r w:rsidR="00F25860" w:rsidRPr="0093161F">
        <w:rPr>
          <w:rFonts w:cs="Arial"/>
          <w:spacing w:val="-2"/>
          <w:szCs w:val="20"/>
        </w:rPr>
        <w:t xml:space="preserve"> </w:t>
      </w:r>
      <w:r w:rsidR="00F554F9" w:rsidRPr="0093161F">
        <w:rPr>
          <w:rFonts w:cs="Arial"/>
          <w:spacing w:val="-2"/>
          <w:szCs w:val="20"/>
        </w:rPr>
        <w:t xml:space="preserve">(SR) </w:t>
      </w:r>
      <w:r w:rsidRPr="0093161F">
        <w:rPr>
          <w:rFonts w:cs="Arial"/>
          <w:spacing w:val="-2"/>
          <w:szCs w:val="20"/>
        </w:rPr>
        <w:t xml:space="preserve">skončilo </w:t>
      </w:r>
      <w:r w:rsidR="00F83573" w:rsidRPr="0093161F">
        <w:rPr>
          <w:rFonts w:cs="Arial"/>
          <w:spacing w:val="-2"/>
          <w:szCs w:val="20"/>
        </w:rPr>
        <w:t xml:space="preserve">v 1. pololetí </w:t>
      </w:r>
      <w:r w:rsidR="00F83573">
        <w:rPr>
          <w:rFonts w:cs="Arial"/>
          <w:spacing w:val="-2"/>
          <w:szCs w:val="20"/>
        </w:rPr>
        <w:t xml:space="preserve">(dle údajů MF o pokladním plnění) </w:t>
      </w:r>
      <w:r w:rsidRPr="0093161F">
        <w:rPr>
          <w:rFonts w:cs="Arial"/>
          <w:spacing w:val="-2"/>
          <w:szCs w:val="20"/>
        </w:rPr>
        <w:t>mírným přebytke</w:t>
      </w:r>
      <w:r w:rsidR="00F83573">
        <w:rPr>
          <w:rFonts w:cs="Arial"/>
          <w:spacing w:val="-2"/>
          <w:szCs w:val="20"/>
        </w:rPr>
        <w:t>m ve výši 4,6 mld. korun</w:t>
      </w:r>
      <w:r w:rsidRPr="0093161F">
        <w:rPr>
          <w:rFonts w:cs="Arial"/>
          <w:spacing w:val="-2"/>
          <w:szCs w:val="20"/>
        </w:rPr>
        <w:t>. Příjmy i výdaje SR byly podobn</w:t>
      </w:r>
      <w:r w:rsidR="00FF288B" w:rsidRPr="0093161F">
        <w:rPr>
          <w:rFonts w:cs="Arial"/>
          <w:spacing w:val="-2"/>
          <w:szCs w:val="20"/>
        </w:rPr>
        <w:t>ě jako v celém předchozí</w:t>
      </w:r>
      <w:r w:rsidRPr="0093161F">
        <w:rPr>
          <w:rFonts w:cs="Arial"/>
          <w:spacing w:val="-2"/>
          <w:szCs w:val="20"/>
        </w:rPr>
        <w:t xml:space="preserve">m roce </w:t>
      </w:r>
      <w:r w:rsidRPr="0093161F">
        <w:rPr>
          <w:rFonts w:cs="Arial"/>
          <w:color w:val="0D0D0D"/>
          <w:spacing w:val="-2"/>
        </w:rPr>
        <w:t xml:space="preserve">výrazně </w:t>
      </w:r>
      <w:r w:rsidRPr="0093161F">
        <w:rPr>
          <w:rFonts w:cs="Arial"/>
          <w:spacing w:val="-2"/>
          <w:szCs w:val="20"/>
        </w:rPr>
        <w:t xml:space="preserve">ovlivněny nepravidelnostmi v čerpání prostředků z rozpočtu EU. </w:t>
      </w:r>
      <w:r w:rsidR="00853C0F" w:rsidRPr="0093161F">
        <w:rPr>
          <w:rFonts w:cs="Arial"/>
          <w:spacing w:val="-2"/>
          <w:szCs w:val="20"/>
        </w:rPr>
        <w:t>Příjmy z rozpočtu EU poklesly o téměř 60 %. Pomalý náběh čerpání evropských fondů se odrazil v nízkém objemu všech kapitálových výdajů, jejich</w:t>
      </w:r>
      <w:r w:rsidR="00FF288B" w:rsidRPr="0093161F">
        <w:rPr>
          <w:rFonts w:cs="Arial"/>
          <w:spacing w:val="-2"/>
          <w:szCs w:val="20"/>
        </w:rPr>
        <w:t>ž</w:t>
      </w:r>
      <w:r w:rsidR="00853C0F" w:rsidRPr="0093161F">
        <w:rPr>
          <w:rFonts w:cs="Arial"/>
          <w:spacing w:val="-2"/>
          <w:szCs w:val="20"/>
        </w:rPr>
        <w:t xml:space="preserve"> podíl na celkových výdajích SR činil jen 3,2 %. Celkové daňové příjmy (vč. pojistného) </w:t>
      </w:r>
      <w:r w:rsidR="00F83573">
        <w:rPr>
          <w:rFonts w:cs="Arial"/>
          <w:spacing w:val="-2"/>
          <w:szCs w:val="20"/>
        </w:rPr>
        <w:t xml:space="preserve">SR </w:t>
      </w:r>
      <w:r w:rsidR="00853C0F" w:rsidRPr="0093161F">
        <w:rPr>
          <w:rFonts w:cs="Arial"/>
          <w:spacing w:val="-2"/>
          <w:szCs w:val="20"/>
        </w:rPr>
        <w:t xml:space="preserve">posílily především díky hospodářskému růstu 8,2 %. Deficit důchodového účtu se snižoval šestým rokem v řadě, </w:t>
      </w:r>
      <w:r w:rsidR="00FF288B" w:rsidRPr="0093161F">
        <w:rPr>
          <w:rFonts w:cs="Arial"/>
          <w:spacing w:val="-2"/>
          <w:szCs w:val="20"/>
        </w:rPr>
        <w:t>a v 1. pololetí dosáhl 6,8 mld. korun. Celková výše státního dluhu se po silném navýšení v 1. čtvrtletí (o 10,9 %) v další části roku stabilizovala.</w:t>
      </w:r>
    </w:p>
    <w:p w:rsidR="000E6184" w:rsidRDefault="000E6184">
      <w:pPr>
        <w:pStyle w:val="Odstavecseseznamem"/>
        <w:ind w:left="0"/>
        <w:rPr>
          <w:sz w:val="2"/>
        </w:rPr>
      </w:pPr>
    </w:p>
    <w:p w:rsidR="00DD0726" w:rsidRPr="00A74192" w:rsidRDefault="00DD0726" w:rsidP="00DD0726">
      <w:pPr>
        <w:pStyle w:val="Nadpis1"/>
        <w:numPr>
          <w:ilvl w:val="0"/>
          <w:numId w:val="12"/>
        </w:numPr>
        <w:ind w:left="709"/>
        <w:jc w:val="both"/>
      </w:pPr>
      <w:bookmarkStart w:id="5" w:name="_Toc454185150"/>
      <w:bookmarkStart w:id="6" w:name="_Toc469299930"/>
      <w:bookmarkStart w:id="7" w:name="_Toc493683634"/>
      <w:r w:rsidRPr="00A74192">
        <w:lastRenderedPageBreak/>
        <w:t>Souhrnná výkonnost</w:t>
      </w:r>
      <w:bookmarkEnd w:id="6"/>
      <w:bookmarkEnd w:id="7"/>
    </w:p>
    <w:p w:rsidR="00DD0726" w:rsidRPr="00A74192" w:rsidRDefault="00DD0726" w:rsidP="00DD0726">
      <w:pPr>
        <w:pStyle w:val="Textpoznpodarou"/>
        <w:jc w:val="both"/>
        <w:rPr>
          <w:sz w:val="2"/>
          <w:szCs w:val="2"/>
        </w:rPr>
      </w:pPr>
    </w:p>
    <w:tbl>
      <w:tblPr>
        <w:tblW w:w="5000" w:type="pct"/>
        <w:tblInd w:w="108" w:type="dxa"/>
        <w:tblLayout w:type="fixed"/>
        <w:tblLook w:val="00A0"/>
      </w:tblPr>
      <w:tblGrid>
        <w:gridCol w:w="1985"/>
        <w:gridCol w:w="284"/>
        <w:gridCol w:w="1133"/>
        <w:gridCol w:w="5104"/>
        <w:gridCol w:w="1348"/>
      </w:tblGrid>
      <w:tr w:rsidR="00DD0726" w:rsidRPr="00A74192" w:rsidTr="008C0F87">
        <w:tc>
          <w:tcPr>
            <w:tcW w:w="1007" w:type="pct"/>
          </w:tcPr>
          <w:p w:rsidR="00DD0726" w:rsidRPr="005E2AB2" w:rsidRDefault="00DD0726" w:rsidP="008C0F87">
            <w:pPr>
              <w:spacing w:line="240" w:lineRule="auto"/>
              <w:rPr>
                <w:rFonts w:cs="Arial"/>
                <w:sz w:val="16"/>
                <w:szCs w:val="16"/>
              </w:rPr>
            </w:pPr>
            <w:r>
              <w:rPr>
                <w:rFonts w:cs="Arial"/>
                <w:sz w:val="16"/>
                <w:szCs w:val="16"/>
              </w:rPr>
              <w:t xml:space="preserve">Meziroční i </w:t>
            </w:r>
            <w:proofErr w:type="spellStart"/>
            <w:r>
              <w:rPr>
                <w:rFonts w:cs="Arial"/>
                <w:sz w:val="16"/>
                <w:szCs w:val="16"/>
              </w:rPr>
              <w:t>mezičtvrtletní</w:t>
            </w:r>
            <w:proofErr w:type="spellEnd"/>
            <w:r>
              <w:rPr>
                <w:rFonts w:cs="Arial"/>
                <w:sz w:val="16"/>
                <w:szCs w:val="16"/>
              </w:rPr>
              <w:t xml:space="preserve"> růst ve 2. čtvrtletí výrazně zrychlil.</w:t>
            </w:r>
          </w:p>
        </w:tc>
        <w:tc>
          <w:tcPr>
            <w:tcW w:w="144" w:type="pct"/>
          </w:tcPr>
          <w:p w:rsidR="00DD0726" w:rsidRPr="005E2AB2" w:rsidRDefault="00DD0726" w:rsidP="008C0F87">
            <w:pPr>
              <w:pStyle w:val="Textpoznpodarou"/>
              <w:jc w:val="both"/>
              <w:rPr>
                <w:rFonts w:cs="Arial"/>
              </w:rPr>
            </w:pPr>
          </w:p>
        </w:tc>
        <w:tc>
          <w:tcPr>
            <w:tcW w:w="3849" w:type="pct"/>
            <w:gridSpan w:val="3"/>
          </w:tcPr>
          <w:p w:rsidR="00DD0726" w:rsidRDefault="00DD0726" w:rsidP="008C0F87">
            <w:pPr>
              <w:pStyle w:val="Textpoznpodarou"/>
              <w:jc w:val="both"/>
              <w:rPr>
                <w:rFonts w:cs="Arial"/>
                <w:sz w:val="16"/>
                <w:szCs w:val="16"/>
              </w:rPr>
            </w:pPr>
            <w:r w:rsidRPr="00594D31">
              <w:rPr>
                <w:rFonts w:cs="Arial"/>
              </w:rPr>
              <w:t>Zrychlování meziroční dynamiky růstu hrubého domácího produktu (HDP), které přišlo v 1. čtvrtletí 2017, pokračovalo i ve 2. kvartálu.  HDP ve druhé čtvrtině roku vzrostl o 4,7 %</w:t>
            </w:r>
            <w:r w:rsidRPr="00A74192">
              <w:rPr>
                <w:rStyle w:val="Znakapoznpodarou"/>
                <w:rFonts w:cs="Arial"/>
              </w:rPr>
              <w:footnoteReference w:id="3"/>
            </w:r>
            <w:r w:rsidRPr="00594D31">
              <w:rPr>
                <w:rFonts w:cs="Arial"/>
              </w:rPr>
              <w:t xml:space="preserve">. Takové tempo se blíží </w:t>
            </w:r>
            <w:r>
              <w:rPr>
                <w:rFonts w:cs="Arial"/>
              </w:rPr>
              <w:t xml:space="preserve">mimořádnému </w:t>
            </w:r>
            <w:r w:rsidRPr="00594D31">
              <w:rPr>
                <w:rFonts w:cs="Arial"/>
              </w:rPr>
              <w:t>roku 2015, ve kterém výrazně působil faktor dočerpávání evropských fondů.</w:t>
            </w:r>
            <w:r>
              <w:rPr>
                <w:rFonts w:cs="Arial"/>
              </w:rPr>
              <w:t xml:space="preserve"> Již v 1. čtvrtletí k růstu společně přispívaly rostoucí spotřeba i bilance zahraničního obchodu. K těmto faktorům se ve 2. čtvrtletí přidaly i nově rostoucí investiční výdaje. Stejným tempem jako HDP meziročně rostla i hrubá přidaná hodnota (HPH). Její růst podpořila většina odvětví průmyslu i služeb. </w:t>
            </w:r>
            <w:proofErr w:type="spellStart"/>
            <w:r>
              <w:rPr>
                <w:rFonts w:cs="Arial"/>
              </w:rPr>
              <w:t>Mezičtvrtletní</w:t>
            </w:r>
            <w:proofErr w:type="spellEnd"/>
            <w:r>
              <w:rPr>
                <w:rFonts w:cs="Arial"/>
              </w:rPr>
              <w:t xml:space="preserve"> nárůst HDP dosáhl 2,5 %, a byl tak nejvyšší v celé dostupné řadě národních účtů. Srovnatelně silný </w:t>
            </w:r>
            <w:proofErr w:type="spellStart"/>
            <w:r>
              <w:rPr>
                <w:rFonts w:cs="Arial"/>
              </w:rPr>
              <w:t>mezičtvrtletní</w:t>
            </w:r>
            <w:proofErr w:type="spellEnd"/>
            <w:r>
              <w:rPr>
                <w:rFonts w:cs="Arial"/>
              </w:rPr>
              <w:t xml:space="preserve"> růst byl zaznamenán jen na začátku roku 2006 (2,2 %). Z hlediska příspěvků k </w:t>
            </w:r>
            <w:proofErr w:type="spellStart"/>
            <w:r>
              <w:rPr>
                <w:rFonts w:cs="Arial"/>
              </w:rPr>
              <w:t>mezičtvrtletnímu</w:t>
            </w:r>
            <w:proofErr w:type="spellEnd"/>
            <w:r>
              <w:rPr>
                <w:rFonts w:cs="Arial"/>
              </w:rPr>
              <w:t xml:space="preserve"> růstu byly ve 2. čtvrtletí 2017 podstatné výrazný nárůst výdajů na konečnou spotřebu domácností a velmi silné zrychlení růstu výdajů na tvorbu hrubého fixního kapitálu. V porovnání s předchozím kvartálem byl slabší příspěvek zahraničního obchodu.</w:t>
            </w:r>
          </w:p>
          <w:p w:rsidR="00DD0726" w:rsidRPr="00594D31" w:rsidRDefault="00DD0726" w:rsidP="008C0F87">
            <w:pPr>
              <w:pStyle w:val="Textpoznpodarou"/>
              <w:jc w:val="both"/>
              <w:rPr>
                <w:rFonts w:cs="Arial"/>
                <w:sz w:val="16"/>
                <w:szCs w:val="16"/>
              </w:rPr>
            </w:pPr>
          </w:p>
        </w:tc>
      </w:tr>
      <w:tr w:rsidR="00DD0726" w:rsidRPr="00A74192" w:rsidTr="008C0F87">
        <w:tblPrEx>
          <w:tblCellMar>
            <w:left w:w="70" w:type="dxa"/>
            <w:right w:w="70" w:type="dxa"/>
          </w:tblCellMar>
        </w:tblPrEx>
        <w:tc>
          <w:tcPr>
            <w:tcW w:w="1007" w:type="pct"/>
          </w:tcPr>
          <w:p w:rsidR="00DD0726" w:rsidRDefault="00DD0726" w:rsidP="008C0F87">
            <w:pPr>
              <w:spacing w:line="240" w:lineRule="auto"/>
              <w:rPr>
                <w:rFonts w:cs="Arial"/>
                <w:sz w:val="16"/>
                <w:szCs w:val="16"/>
              </w:rPr>
            </w:pPr>
          </w:p>
        </w:tc>
        <w:tc>
          <w:tcPr>
            <w:tcW w:w="144" w:type="pct"/>
          </w:tcPr>
          <w:p w:rsidR="00DD0726" w:rsidRPr="005E2AB2" w:rsidRDefault="00DD0726" w:rsidP="008C0F87">
            <w:pPr>
              <w:pStyle w:val="Textpoznpodarou"/>
              <w:jc w:val="both"/>
              <w:rPr>
                <w:rFonts w:cs="Arial"/>
              </w:rPr>
            </w:pPr>
          </w:p>
        </w:tc>
        <w:tc>
          <w:tcPr>
            <w:tcW w:w="575" w:type="pct"/>
          </w:tcPr>
          <w:p w:rsidR="00DD0726" w:rsidRDefault="00DD0726" w:rsidP="008C0F87">
            <w:pPr>
              <w:pStyle w:val="Textpoznpodarou"/>
              <w:jc w:val="both"/>
              <w:rPr>
                <w:rFonts w:cs="Arial"/>
              </w:rPr>
            </w:pPr>
            <w:r>
              <w:rPr>
                <w:rFonts w:cs="Arial"/>
              </w:rPr>
              <w:t>Graf č. 1</w:t>
            </w:r>
          </w:p>
        </w:tc>
        <w:tc>
          <w:tcPr>
            <w:tcW w:w="3274" w:type="pct"/>
            <w:gridSpan w:val="2"/>
          </w:tcPr>
          <w:p w:rsidR="00DD0726" w:rsidRDefault="00DD0726" w:rsidP="008C0F87">
            <w:pPr>
              <w:pStyle w:val="Textpoznpodarou"/>
              <w:spacing w:after="60"/>
              <w:jc w:val="both"/>
              <w:rPr>
                <w:rFonts w:cs="Arial"/>
              </w:rPr>
            </w:pPr>
            <w:r w:rsidRPr="00A6766C">
              <w:rPr>
                <w:rFonts w:cs="Arial"/>
                <w:b/>
                <w:lang w:eastAsia="en-US"/>
              </w:rPr>
              <w:t xml:space="preserve">HDP </w:t>
            </w:r>
            <w:r w:rsidRPr="00A6766C">
              <w:rPr>
                <w:rFonts w:cs="Arial"/>
                <w:lang w:eastAsia="en-US"/>
              </w:rPr>
              <w:t>(</w:t>
            </w:r>
            <w:r>
              <w:rPr>
                <w:rFonts w:cs="Arial"/>
                <w:lang w:eastAsia="en-US"/>
              </w:rPr>
              <w:t>objemové indexy</w:t>
            </w:r>
            <w:r w:rsidRPr="00A6766C">
              <w:rPr>
                <w:rFonts w:cs="Arial"/>
                <w:lang w:eastAsia="en-US"/>
              </w:rPr>
              <w:t>, očištěno o sezónní a kalendářní vlivy, v %)</w:t>
            </w:r>
          </w:p>
        </w:tc>
      </w:tr>
      <w:tr w:rsidR="00DD0726" w:rsidRPr="00A74192" w:rsidTr="008C0F87">
        <w:tblPrEx>
          <w:tblCellMar>
            <w:left w:w="70" w:type="dxa"/>
            <w:right w:w="70" w:type="dxa"/>
          </w:tblCellMar>
        </w:tblPrEx>
        <w:tc>
          <w:tcPr>
            <w:tcW w:w="1007" w:type="pct"/>
          </w:tcPr>
          <w:p w:rsidR="00DD0726" w:rsidRDefault="00DD0726" w:rsidP="008C0F87">
            <w:pPr>
              <w:spacing w:line="240" w:lineRule="auto"/>
              <w:rPr>
                <w:rFonts w:cs="Arial"/>
                <w:sz w:val="16"/>
                <w:szCs w:val="16"/>
              </w:rPr>
            </w:pPr>
          </w:p>
        </w:tc>
        <w:tc>
          <w:tcPr>
            <w:tcW w:w="144" w:type="pct"/>
          </w:tcPr>
          <w:p w:rsidR="00DD0726" w:rsidRPr="005E2AB2" w:rsidRDefault="00DD0726" w:rsidP="008C0F87">
            <w:pPr>
              <w:pStyle w:val="Textpoznpodarou"/>
              <w:jc w:val="both"/>
              <w:rPr>
                <w:rFonts w:cs="Arial"/>
              </w:rPr>
            </w:pPr>
          </w:p>
        </w:tc>
        <w:tc>
          <w:tcPr>
            <w:tcW w:w="3849" w:type="pct"/>
            <w:gridSpan w:val="3"/>
          </w:tcPr>
          <w:p w:rsidR="00DD0726" w:rsidRDefault="00DD0726" w:rsidP="008C0F87">
            <w:pPr>
              <w:pStyle w:val="Textpoznpodarou"/>
              <w:rPr>
                <w:rFonts w:cs="Arial"/>
                <w:sz w:val="14"/>
                <w:szCs w:val="14"/>
              </w:rPr>
            </w:pPr>
            <w:r w:rsidRPr="002E4069">
              <w:rPr>
                <w:rFonts w:cs="Arial"/>
                <w:noProof/>
                <w:sz w:val="14"/>
                <w:szCs w:val="14"/>
              </w:rPr>
              <w:drawing>
                <wp:inline distT="0" distB="0" distL="0" distR="0">
                  <wp:extent cx="4737600" cy="3553200"/>
                  <wp:effectExtent l="0" t="0" r="0" b="0"/>
                  <wp:docPr id="1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D0726" w:rsidRDefault="00DD0726" w:rsidP="008C0F87">
            <w:pPr>
              <w:pStyle w:val="Textpoznpodarou"/>
              <w:jc w:val="right"/>
              <w:rPr>
                <w:rFonts w:cs="Arial"/>
                <w:sz w:val="14"/>
                <w:szCs w:val="14"/>
              </w:rPr>
            </w:pPr>
            <w:r w:rsidRPr="002E4069">
              <w:rPr>
                <w:rFonts w:cs="Arial"/>
                <w:sz w:val="14"/>
                <w:szCs w:val="14"/>
              </w:rPr>
              <w:t xml:space="preserve">Zdroj: ČSÚ, </w:t>
            </w:r>
            <w:proofErr w:type="spellStart"/>
            <w:r w:rsidRPr="002E4069">
              <w:rPr>
                <w:rFonts w:cs="Arial"/>
                <w:sz w:val="14"/>
                <w:szCs w:val="14"/>
              </w:rPr>
              <w:t>Eurostat</w:t>
            </w:r>
            <w:proofErr w:type="spellEnd"/>
          </w:p>
          <w:p w:rsidR="00DD0726" w:rsidRPr="002E4069" w:rsidRDefault="00DD0726" w:rsidP="008C0F87">
            <w:pPr>
              <w:pStyle w:val="Textpoznpodarou"/>
              <w:jc w:val="right"/>
              <w:rPr>
                <w:rFonts w:cs="Arial"/>
                <w:sz w:val="14"/>
                <w:szCs w:val="14"/>
              </w:rPr>
            </w:pPr>
          </w:p>
        </w:tc>
      </w:tr>
      <w:tr w:rsidR="00DD0726" w:rsidRPr="00A74192" w:rsidTr="008C0F87">
        <w:tblPrEx>
          <w:tblCellMar>
            <w:left w:w="70" w:type="dxa"/>
            <w:right w:w="70" w:type="dxa"/>
          </w:tblCellMar>
        </w:tblPrEx>
        <w:tc>
          <w:tcPr>
            <w:tcW w:w="1007" w:type="pct"/>
          </w:tcPr>
          <w:p w:rsidR="00DD0726" w:rsidRDefault="00DD0726" w:rsidP="008C0F87">
            <w:pPr>
              <w:spacing w:line="240" w:lineRule="auto"/>
              <w:rPr>
                <w:rFonts w:cs="Arial"/>
                <w:sz w:val="16"/>
                <w:szCs w:val="16"/>
              </w:rPr>
            </w:pPr>
            <w:r>
              <w:rPr>
                <w:rFonts w:cs="Arial"/>
                <w:sz w:val="16"/>
                <w:szCs w:val="16"/>
              </w:rPr>
              <w:t xml:space="preserve">Mírně </w:t>
            </w:r>
            <w:proofErr w:type="gramStart"/>
            <w:r>
              <w:rPr>
                <w:rFonts w:cs="Arial"/>
                <w:sz w:val="16"/>
                <w:szCs w:val="16"/>
              </w:rPr>
              <w:t>zrychlil  i hospodářský</w:t>
            </w:r>
            <w:proofErr w:type="gramEnd"/>
            <w:r>
              <w:rPr>
                <w:rFonts w:cs="Arial"/>
                <w:sz w:val="16"/>
                <w:szCs w:val="16"/>
              </w:rPr>
              <w:t xml:space="preserve"> růst v EU.</w:t>
            </w:r>
          </w:p>
        </w:tc>
        <w:tc>
          <w:tcPr>
            <w:tcW w:w="144" w:type="pct"/>
          </w:tcPr>
          <w:p w:rsidR="00DD0726" w:rsidRPr="005E2AB2" w:rsidRDefault="00DD0726" w:rsidP="008C0F87">
            <w:pPr>
              <w:pStyle w:val="Textpoznpodarou"/>
              <w:jc w:val="both"/>
              <w:rPr>
                <w:rFonts w:cs="Arial"/>
              </w:rPr>
            </w:pPr>
          </w:p>
        </w:tc>
        <w:tc>
          <w:tcPr>
            <w:tcW w:w="3849" w:type="pct"/>
            <w:gridSpan w:val="3"/>
          </w:tcPr>
          <w:p w:rsidR="00DD0726" w:rsidRDefault="00DD0726" w:rsidP="008C0F87">
            <w:pPr>
              <w:pStyle w:val="Textpoznpodarou"/>
              <w:jc w:val="both"/>
              <w:rPr>
                <w:rFonts w:cs="Arial"/>
              </w:rPr>
            </w:pPr>
            <w:r>
              <w:rPr>
                <w:rFonts w:cs="Arial"/>
              </w:rPr>
              <w:t>Meziroční růst v EU ve 2. čtvrtletí dosáhl hodnoty 2,4 %</w:t>
            </w:r>
            <w:r>
              <w:rPr>
                <w:rStyle w:val="Znakapoznpodarou"/>
              </w:rPr>
              <w:footnoteReference w:id="4"/>
            </w:r>
            <w:r>
              <w:rPr>
                <w:rFonts w:cs="Arial"/>
              </w:rPr>
              <w:t xml:space="preserve"> a byl nejrychlejší od 1. čtvrtletí 2011. </w:t>
            </w:r>
            <w:proofErr w:type="spellStart"/>
            <w:r>
              <w:rPr>
                <w:rFonts w:cs="Arial"/>
              </w:rPr>
              <w:t>Mezičtvrtletní</w:t>
            </w:r>
            <w:proofErr w:type="spellEnd"/>
            <w:r>
              <w:rPr>
                <w:rFonts w:cs="Arial"/>
              </w:rPr>
              <w:t xml:space="preserve"> změna HDP v EU činila 0,7 % a v porovnání s předchozím kvartálem byla vyšší o 0,2 </w:t>
            </w:r>
            <w:proofErr w:type="spellStart"/>
            <w:proofErr w:type="gramStart"/>
            <w:r>
              <w:rPr>
                <w:rFonts w:cs="Arial"/>
              </w:rPr>
              <w:t>p.b</w:t>
            </w:r>
            <w:proofErr w:type="spellEnd"/>
            <w:r>
              <w:rPr>
                <w:rFonts w:cs="Arial"/>
              </w:rPr>
              <w:t>.</w:t>
            </w:r>
            <w:proofErr w:type="gramEnd"/>
            <w:r>
              <w:rPr>
                <w:rFonts w:cs="Arial"/>
              </w:rPr>
              <w:t xml:space="preserve"> Růst v EU byl pozitivně ovlivněn rostoucí spotřebou i výdaji na tvorbu hrubého fixního kapitálu. </w:t>
            </w:r>
            <w:r w:rsidRPr="008C039C">
              <w:rPr>
                <w:rFonts w:cs="Arial"/>
              </w:rPr>
              <w:t>Z</w:t>
            </w:r>
            <w:r>
              <w:rPr>
                <w:rFonts w:cs="Arial"/>
              </w:rPr>
              <w:t>výšení</w:t>
            </w:r>
            <w:r w:rsidRPr="008C039C">
              <w:rPr>
                <w:rFonts w:cs="Arial"/>
              </w:rPr>
              <w:t xml:space="preserve"> meziroční i</w:t>
            </w:r>
            <w:r>
              <w:rPr>
                <w:rFonts w:cs="Arial"/>
              </w:rPr>
              <w:t> </w:t>
            </w:r>
            <w:proofErr w:type="spellStart"/>
            <w:r w:rsidRPr="008C039C">
              <w:rPr>
                <w:rFonts w:cs="Arial"/>
              </w:rPr>
              <w:t>mezičtvrtletní</w:t>
            </w:r>
            <w:proofErr w:type="spellEnd"/>
            <w:r w:rsidRPr="008C039C">
              <w:rPr>
                <w:rFonts w:cs="Arial"/>
              </w:rPr>
              <w:t xml:space="preserve"> dynamiky pak Česko posunul</w:t>
            </w:r>
            <w:r>
              <w:rPr>
                <w:rFonts w:cs="Arial"/>
              </w:rPr>
              <w:t xml:space="preserve">o mezi nejrychleji rostoucí země EU. </w:t>
            </w:r>
            <w:proofErr w:type="spellStart"/>
            <w:r>
              <w:rPr>
                <w:rFonts w:cs="Arial"/>
              </w:rPr>
              <w:t>Mezičtvrtletní</w:t>
            </w:r>
            <w:proofErr w:type="spellEnd"/>
            <w:r>
              <w:rPr>
                <w:rFonts w:cs="Arial"/>
              </w:rPr>
              <w:t xml:space="preserve"> přírůstek české ekonomiky byl nejvyšší v EU. S poměrně velkým odstupem se za Českem umístilo Švédsko (1,7 %), Rumunsko (1,6 %) a Nizozemí (1,5 %). Meziroční růst byl nejvyšší na Maltě (6,2 %), v Rumunsku (5,7 %), Estonsku (5,2 %) a Slovinsku (5,2 %). Nejbližším obchodním partnerům Česka se rovněž dařilo. Slovensko dosáhlo meziročního přírůstku ve výši 3,1 %</w:t>
            </w:r>
            <w:r>
              <w:rPr>
                <w:rStyle w:val="Znakapoznpodarou"/>
              </w:rPr>
              <w:footnoteReference w:id="5"/>
            </w:r>
            <w:r>
              <w:rPr>
                <w:rFonts w:cs="Arial"/>
              </w:rPr>
              <w:t xml:space="preserve">, stejně jako v 1. čtvrtletí. Mírně zrychlila německá ekonomika (z 1,9 % v 1. čtvrtletí na 2,1 %), rovněž ta </w:t>
            </w:r>
            <w:proofErr w:type="gramStart"/>
            <w:r>
              <w:rPr>
                <w:rFonts w:cs="Arial"/>
              </w:rPr>
              <w:t>polská (z 4,2</w:t>
            </w:r>
            <w:proofErr w:type="gramEnd"/>
            <w:r>
              <w:rPr>
                <w:rFonts w:cs="Arial"/>
              </w:rPr>
              <w:t xml:space="preserve"> % na 4,4 %). Zrychlilo i Rakousko (z 2,1 % na 2,9 %).</w:t>
            </w:r>
          </w:p>
          <w:p w:rsidR="00DD0726" w:rsidRPr="00DE0B1D" w:rsidRDefault="00DD0726" w:rsidP="008C0F87">
            <w:pPr>
              <w:pStyle w:val="Textpoznpodarou"/>
              <w:jc w:val="both"/>
              <w:rPr>
                <w:rFonts w:cs="Arial"/>
              </w:rPr>
            </w:pPr>
          </w:p>
        </w:tc>
      </w:tr>
      <w:tr w:rsidR="00DD0726" w:rsidRPr="00A6766C" w:rsidTr="008C0F87">
        <w:tc>
          <w:tcPr>
            <w:tcW w:w="1007" w:type="pct"/>
          </w:tcPr>
          <w:p w:rsidR="00DD0726" w:rsidRPr="00A6766C" w:rsidRDefault="00DD0726" w:rsidP="008C0F87">
            <w:pPr>
              <w:spacing w:line="240" w:lineRule="auto"/>
              <w:jc w:val="center"/>
              <w:rPr>
                <w:rFonts w:cs="Arial"/>
                <w:szCs w:val="20"/>
              </w:rPr>
            </w:pPr>
          </w:p>
        </w:tc>
        <w:tc>
          <w:tcPr>
            <w:tcW w:w="144" w:type="pct"/>
          </w:tcPr>
          <w:p w:rsidR="00DD0726" w:rsidRPr="00A6766C" w:rsidRDefault="00DD0726" w:rsidP="008C0F87">
            <w:pPr>
              <w:pStyle w:val="Textpoznpodarou"/>
              <w:jc w:val="both"/>
              <w:rPr>
                <w:rFonts w:cs="Arial"/>
              </w:rPr>
            </w:pPr>
          </w:p>
        </w:tc>
        <w:tc>
          <w:tcPr>
            <w:tcW w:w="575" w:type="pct"/>
          </w:tcPr>
          <w:p w:rsidR="00DD0726" w:rsidRPr="00A6766C" w:rsidRDefault="00DD0726" w:rsidP="008C0F87">
            <w:pPr>
              <w:pStyle w:val="Textpoznpodarou"/>
              <w:jc w:val="both"/>
              <w:rPr>
                <w:rFonts w:cs="Arial"/>
              </w:rPr>
            </w:pPr>
            <w:r w:rsidRPr="00A6766C">
              <w:rPr>
                <w:rFonts w:cs="Arial"/>
                <w:lang w:eastAsia="en-US"/>
              </w:rPr>
              <w:t>Graf č. 2</w:t>
            </w:r>
          </w:p>
        </w:tc>
        <w:tc>
          <w:tcPr>
            <w:tcW w:w="3274" w:type="pct"/>
            <w:gridSpan w:val="2"/>
          </w:tcPr>
          <w:p w:rsidR="00DD0726" w:rsidRPr="00A6766C" w:rsidRDefault="00DD0726" w:rsidP="008C0F87">
            <w:pPr>
              <w:pStyle w:val="Textpoznpodarou"/>
              <w:rPr>
                <w:rFonts w:cs="Arial"/>
                <w:lang w:eastAsia="en-US"/>
              </w:rPr>
            </w:pPr>
            <w:r w:rsidRPr="00A6766C">
              <w:rPr>
                <w:rFonts w:cs="Arial"/>
                <w:b/>
                <w:lang w:eastAsia="en-US"/>
              </w:rPr>
              <w:t xml:space="preserve">HDP </w:t>
            </w:r>
            <w:r w:rsidRPr="00A6766C">
              <w:rPr>
                <w:rFonts w:cs="Arial"/>
                <w:lang w:eastAsia="en-US"/>
              </w:rPr>
              <w:t>(</w:t>
            </w:r>
            <w:r>
              <w:rPr>
                <w:rFonts w:cs="Arial"/>
                <w:lang w:eastAsia="en-US"/>
              </w:rPr>
              <w:t>objemové indexy</w:t>
            </w:r>
            <w:r w:rsidRPr="00A6766C">
              <w:rPr>
                <w:rFonts w:cs="Arial"/>
                <w:lang w:eastAsia="en-US"/>
              </w:rPr>
              <w:t xml:space="preserve">, očištěno o sezónní a kalendářní vlivy, </w:t>
            </w:r>
            <w:r>
              <w:rPr>
                <w:rFonts w:cs="Arial"/>
                <w:lang w:eastAsia="en-US"/>
              </w:rPr>
              <w:t>meziročně</w:t>
            </w:r>
            <w:r w:rsidRPr="00A6766C">
              <w:rPr>
                <w:rFonts w:cs="Arial"/>
                <w:lang w:eastAsia="en-US"/>
              </w:rPr>
              <w:t xml:space="preserve"> v</w:t>
            </w:r>
            <w:r>
              <w:rPr>
                <w:rFonts w:cs="Arial"/>
                <w:lang w:eastAsia="en-US"/>
              </w:rPr>
              <w:t> </w:t>
            </w:r>
            <w:r w:rsidRPr="00A6766C">
              <w:rPr>
                <w:rFonts w:cs="Arial"/>
                <w:lang w:eastAsia="en-US"/>
              </w:rPr>
              <w:t xml:space="preserve">%, pravá osa) </w:t>
            </w:r>
            <w:r w:rsidRPr="00A6766C">
              <w:rPr>
                <w:rFonts w:cs="Arial"/>
                <w:b/>
                <w:lang w:eastAsia="en-US"/>
              </w:rPr>
              <w:t>a indikátory důvěry</w:t>
            </w:r>
            <w:r w:rsidRPr="00A6766C">
              <w:rPr>
                <w:rFonts w:cs="Arial"/>
                <w:lang w:eastAsia="en-US"/>
              </w:rPr>
              <w:t xml:space="preserve"> (2005=100, levá osa)</w:t>
            </w:r>
          </w:p>
        </w:tc>
      </w:tr>
      <w:tr w:rsidR="00DD0726" w:rsidRPr="00A74192" w:rsidTr="008C0F87">
        <w:tc>
          <w:tcPr>
            <w:tcW w:w="1007" w:type="pct"/>
          </w:tcPr>
          <w:p w:rsidR="00DD0726" w:rsidRDefault="00DD0726" w:rsidP="008C0F87">
            <w:pPr>
              <w:spacing w:line="240" w:lineRule="auto"/>
              <w:rPr>
                <w:rFonts w:cs="Arial"/>
                <w:sz w:val="16"/>
                <w:szCs w:val="16"/>
              </w:rPr>
            </w:pPr>
          </w:p>
        </w:tc>
        <w:tc>
          <w:tcPr>
            <w:tcW w:w="144" w:type="pct"/>
          </w:tcPr>
          <w:p w:rsidR="00DD0726" w:rsidRPr="005E2AB2" w:rsidRDefault="00DD0726" w:rsidP="008C0F87">
            <w:pPr>
              <w:pStyle w:val="Textpoznpodarou"/>
              <w:jc w:val="both"/>
              <w:rPr>
                <w:rFonts w:cs="Arial"/>
              </w:rPr>
            </w:pPr>
          </w:p>
        </w:tc>
        <w:tc>
          <w:tcPr>
            <w:tcW w:w="3849" w:type="pct"/>
            <w:gridSpan w:val="3"/>
          </w:tcPr>
          <w:p w:rsidR="00DD0726" w:rsidRDefault="00DD0726" w:rsidP="008C0F87">
            <w:pPr>
              <w:pStyle w:val="Textpoznpodarou"/>
              <w:ind w:left="-94"/>
              <w:jc w:val="both"/>
              <w:rPr>
                <w:rFonts w:cs="Arial"/>
              </w:rPr>
            </w:pPr>
            <w:r w:rsidRPr="002E4069">
              <w:rPr>
                <w:rFonts w:cs="Arial"/>
                <w:noProof/>
              </w:rPr>
              <w:drawing>
                <wp:inline distT="0" distB="0" distL="0" distR="0">
                  <wp:extent cx="4737600" cy="3553200"/>
                  <wp:effectExtent l="0" t="0" r="0" b="0"/>
                  <wp:docPr id="1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D0726" w:rsidRPr="007841BB" w:rsidRDefault="00DD0726" w:rsidP="008C0F87">
            <w:pPr>
              <w:pStyle w:val="Textpoznpodarou"/>
              <w:ind w:left="-94"/>
              <w:jc w:val="right"/>
              <w:rPr>
                <w:rFonts w:cs="Arial"/>
                <w:sz w:val="14"/>
                <w:szCs w:val="14"/>
              </w:rPr>
            </w:pPr>
            <w:r w:rsidRPr="007841BB">
              <w:rPr>
                <w:rFonts w:cs="Arial"/>
                <w:sz w:val="14"/>
                <w:szCs w:val="14"/>
              </w:rPr>
              <w:t>Zdroj: ČSÚ</w:t>
            </w:r>
          </w:p>
          <w:p w:rsidR="00DD0726" w:rsidRPr="000125F0" w:rsidRDefault="00DD0726" w:rsidP="008C0F87">
            <w:pPr>
              <w:pStyle w:val="Textpoznpodarou"/>
              <w:ind w:left="-94"/>
              <w:jc w:val="right"/>
              <w:rPr>
                <w:rFonts w:cs="Arial"/>
              </w:rPr>
            </w:pPr>
          </w:p>
        </w:tc>
      </w:tr>
      <w:tr w:rsidR="00DD0726" w:rsidRPr="00A74192" w:rsidTr="008C0F87">
        <w:tc>
          <w:tcPr>
            <w:tcW w:w="1007" w:type="pct"/>
          </w:tcPr>
          <w:p w:rsidR="00DD0726" w:rsidRPr="005E2AB2" w:rsidRDefault="00DD0726" w:rsidP="008C0F87">
            <w:pPr>
              <w:spacing w:line="240" w:lineRule="auto"/>
              <w:rPr>
                <w:rFonts w:cs="Arial"/>
                <w:sz w:val="16"/>
                <w:szCs w:val="16"/>
              </w:rPr>
            </w:pPr>
            <w:r>
              <w:rPr>
                <w:rFonts w:cs="Arial"/>
                <w:sz w:val="16"/>
                <w:szCs w:val="16"/>
              </w:rPr>
              <w:t>Růst HDP byl podpořen všemi jeho složkami.</w:t>
            </w:r>
          </w:p>
        </w:tc>
        <w:tc>
          <w:tcPr>
            <w:tcW w:w="144" w:type="pct"/>
          </w:tcPr>
          <w:p w:rsidR="00DD0726" w:rsidRPr="005E2AB2" w:rsidRDefault="00DD0726" w:rsidP="008C0F87">
            <w:pPr>
              <w:pStyle w:val="Textpoznpodarou"/>
              <w:jc w:val="both"/>
              <w:rPr>
                <w:rFonts w:cs="Arial"/>
              </w:rPr>
            </w:pPr>
          </w:p>
        </w:tc>
        <w:tc>
          <w:tcPr>
            <w:tcW w:w="3849" w:type="pct"/>
            <w:gridSpan w:val="3"/>
          </w:tcPr>
          <w:p w:rsidR="00DD0726" w:rsidRDefault="00DD0726" w:rsidP="008C0F87">
            <w:pPr>
              <w:pStyle w:val="Textpoznpodarou"/>
              <w:jc w:val="both"/>
              <w:rPr>
                <w:rFonts w:cs="Arial"/>
                <w:sz w:val="16"/>
                <w:szCs w:val="16"/>
              </w:rPr>
            </w:pPr>
            <w:r w:rsidRPr="00F623FE">
              <w:rPr>
                <w:rFonts w:cs="Arial"/>
              </w:rPr>
              <w:t xml:space="preserve">Ve 2. čtvrtletí 2017 se na </w:t>
            </w:r>
            <w:r>
              <w:rPr>
                <w:rFonts w:cs="Arial"/>
              </w:rPr>
              <w:t xml:space="preserve">meziročním </w:t>
            </w:r>
            <w:r w:rsidRPr="00F623FE">
              <w:rPr>
                <w:rFonts w:cs="Arial"/>
              </w:rPr>
              <w:t>růstu HDP podílely všechny jeho složky</w:t>
            </w:r>
            <w:r>
              <w:rPr>
                <w:rFonts w:cs="Arial"/>
              </w:rPr>
              <w:t xml:space="preserve">. Důležitým faktorem pro zrychlení meziroční dynamiky byly výdaje na tvorbu hrubého fixního kapitálu. Ty přispěly k růstu HDP 1,7 </w:t>
            </w:r>
            <w:proofErr w:type="spellStart"/>
            <w:proofErr w:type="gramStart"/>
            <w:r>
              <w:rPr>
                <w:rFonts w:cs="Arial"/>
              </w:rPr>
              <w:t>p.b</w:t>
            </w:r>
            <w:proofErr w:type="spellEnd"/>
            <w:r>
              <w:rPr>
                <w:rFonts w:cs="Arial"/>
              </w:rPr>
              <w:t>.</w:t>
            </w:r>
            <w:r>
              <w:rPr>
                <w:rStyle w:val="Znakapoznpodarou"/>
              </w:rPr>
              <w:footnoteReference w:id="6"/>
            </w:r>
            <w:r>
              <w:rPr>
                <w:rFonts w:cs="Arial"/>
              </w:rPr>
              <w:t>, což</w:t>
            </w:r>
            <w:proofErr w:type="gramEnd"/>
            <w:r>
              <w:rPr>
                <w:rFonts w:cs="Arial"/>
              </w:rPr>
              <w:t xml:space="preserve"> je nejvíce od 4. čtvrtletí 2015. Mírně však zesílil i příspěvek výdajů na konečnou spotřebu, který je již od konce roku 2014 stabilním základem hospodářského růstu. Výraznější vliv měla opět spotřeba domácností, která přispěla 1,5 </w:t>
            </w:r>
            <w:proofErr w:type="spellStart"/>
            <w:proofErr w:type="gramStart"/>
            <w:r>
              <w:rPr>
                <w:rFonts w:cs="Arial"/>
              </w:rPr>
              <w:t>p.b</w:t>
            </w:r>
            <w:proofErr w:type="spellEnd"/>
            <w:r>
              <w:rPr>
                <w:rFonts w:cs="Arial"/>
              </w:rPr>
              <w:t>.</w:t>
            </w:r>
            <w:proofErr w:type="gramEnd"/>
            <w:r>
              <w:rPr>
                <w:rFonts w:cs="Arial"/>
              </w:rPr>
              <w:t xml:space="preserve"> Příspěvek spotřeby vládních institucí činil 0,3 </w:t>
            </w:r>
            <w:proofErr w:type="spellStart"/>
            <w:proofErr w:type="gramStart"/>
            <w:r>
              <w:rPr>
                <w:rFonts w:cs="Arial"/>
              </w:rPr>
              <w:t>p.b</w:t>
            </w:r>
            <w:proofErr w:type="spellEnd"/>
            <w:r>
              <w:rPr>
                <w:rFonts w:cs="Arial"/>
              </w:rPr>
              <w:t>.</w:t>
            </w:r>
            <w:proofErr w:type="gramEnd"/>
            <w:r>
              <w:rPr>
                <w:rFonts w:cs="Arial"/>
              </w:rPr>
              <w:t xml:space="preserve"> Ve 2. čtvrtletí rovněž pokračoval silný růst zahraniční poptávky, který vedl k příspěvku bilance zahraničního obchodu k růstu HDP ve výši 2,1 </w:t>
            </w:r>
            <w:proofErr w:type="spellStart"/>
            <w:proofErr w:type="gramStart"/>
            <w:r>
              <w:rPr>
                <w:rFonts w:cs="Arial"/>
              </w:rPr>
              <w:t>p.b</w:t>
            </w:r>
            <w:proofErr w:type="spellEnd"/>
            <w:r>
              <w:rPr>
                <w:rFonts w:cs="Arial"/>
              </w:rPr>
              <w:t>.</w:t>
            </w:r>
            <w:proofErr w:type="gramEnd"/>
          </w:p>
          <w:p w:rsidR="00DD0726" w:rsidRPr="009B60D8" w:rsidRDefault="00DD0726" w:rsidP="008C0F87">
            <w:pPr>
              <w:pStyle w:val="Textpoznpodarou"/>
              <w:jc w:val="both"/>
              <w:rPr>
                <w:rFonts w:cs="Arial"/>
                <w:sz w:val="16"/>
                <w:szCs w:val="16"/>
                <w:highlight w:val="yellow"/>
              </w:rPr>
            </w:pPr>
          </w:p>
        </w:tc>
      </w:tr>
      <w:tr w:rsidR="00DD0726" w:rsidRPr="00A6766C" w:rsidTr="008C0F87">
        <w:tc>
          <w:tcPr>
            <w:tcW w:w="1007" w:type="pct"/>
          </w:tcPr>
          <w:p w:rsidR="00DD0726" w:rsidRPr="005E2AB2" w:rsidRDefault="00DD0726" w:rsidP="008C0F87">
            <w:pPr>
              <w:spacing w:line="240" w:lineRule="auto"/>
              <w:rPr>
                <w:rFonts w:cs="Arial"/>
                <w:sz w:val="16"/>
                <w:szCs w:val="16"/>
              </w:rPr>
            </w:pPr>
            <w:r>
              <w:rPr>
                <w:rFonts w:cs="Arial"/>
                <w:sz w:val="16"/>
                <w:szCs w:val="16"/>
              </w:rPr>
              <w:t>Výrazně zrychlil růst spotřeby domácností,…</w:t>
            </w:r>
          </w:p>
        </w:tc>
        <w:tc>
          <w:tcPr>
            <w:tcW w:w="144" w:type="pct"/>
          </w:tcPr>
          <w:p w:rsidR="00DD0726" w:rsidRPr="005E2AB2" w:rsidRDefault="00DD0726" w:rsidP="008C0F87">
            <w:pPr>
              <w:pStyle w:val="Textpoznpodarou"/>
              <w:jc w:val="both"/>
              <w:rPr>
                <w:rFonts w:cs="Arial"/>
              </w:rPr>
            </w:pPr>
          </w:p>
        </w:tc>
        <w:tc>
          <w:tcPr>
            <w:tcW w:w="3849" w:type="pct"/>
            <w:gridSpan w:val="3"/>
          </w:tcPr>
          <w:p w:rsidR="00DD0726" w:rsidRDefault="00DD0726" w:rsidP="008C0F87">
            <w:pPr>
              <w:pStyle w:val="Textpoznpodarou"/>
              <w:jc w:val="both"/>
              <w:rPr>
                <w:rFonts w:cs="Arial"/>
                <w:sz w:val="16"/>
                <w:szCs w:val="16"/>
              </w:rPr>
            </w:pPr>
            <w:r>
              <w:rPr>
                <w:rFonts w:cs="Arial"/>
              </w:rPr>
              <w:t>Meziroční r</w:t>
            </w:r>
            <w:r w:rsidRPr="00BF1D63">
              <w:rPr>
                <w:rFonts w:cs="Arial"/>
              </w:rPr>
              <w:t>ůst výdajů domácností na konečnou spotřebu ve 2. čtvrtletí zrychlil a</w:t>
            </w:r>
            <w:r>
              <w:rPr>
                <w:rFonts w:cs="Arial"/>
              </w:rPr>
              <w:t> </w:t>
            </w:r>
            <w:r w:rsidRPr="00BF1D63">
              <w:rPr>
                <w:rFonts w:cs="Arial"/>
              </w:rPr>
              <w:t>dosáhl 4,4</w:t>
            </w:r>
            <w:r>
              <w:rPr>
                <w:rFonts w:cs="Arial"/>
              </w:rPr>
              <w:t> </w:t>
            </w:r>
            <w:r w:rsidRPr="00BF1D63">
              <w:rPr>
                <w:rFonts w:cs="Arial"/>
              </w:rPr>
              <w:t>%. To je nejvyšší hodnota od počátku roku 2007</w:t>
            </w:r>
            <w:r>
              <w:rPr>
                <w:rFonts w:cs="Arial"/>
              </w:rPr>
              <w:t>.</w:t>
            </w:r>
            <w:r w:rsidRPr="00BF1D63">
              <w:rPr>
                <w:rFonts w:cs="Arial"/>
              </w:rPr>
              <w:t xml:space="preserve"> </w:t>
            </w:r>
            <w:r>
              <w:rPr>
                <w:rFonts w:cs="Arial"/>
              </w:rPr>
              <w:t>V</w:t>
            </w:r>
            <w:r w:rsidRPr="00BF1D63">
              <w:rPr>
                <w:rFonts w:cs="Arial"/>
              </w:rPr>
              <w:t xml:space="preserve"> posledních pěti letech se jí blíží jen dynamika na přelomu let 2015 a 2016. </w:t>
            </w:r>
            <w:r>
              <w:rPr>
                <w:rFonts w:cs="Arial"/>
              </w:rPr>
              <w:t xml:space="preserve">Nezanedbatelné bylo i zrychlení </w:t>
            </w:r>
            <w:proofErr w:type="spellStart"/>
            <w:r>
              <w:rPr>
                <w:rFonts w:cs="Arial"/>
              </w:rPr>
              <w:t>mezičtvrtletní</w:t>
            </w:r>
            <w:proofErr w:type="spellEnd"/>
            <w:r>
              <w:rPr>
                <w:rFonts w:cs="Arial"/>
              </w:rPr>
              <w:t xml:space="preserve"> dynamiky. Přírůstek ve výši 1,8 % byl dvakrát vyšší než v předchozím čtvrtletí. Byl také nejvyšší od 2. čtvrtletí 2008. Silně meziročně rostly všechny segmenty spotřeby. Výdaje na předměty dlouhodobé spotřeby vzrostly o 5,7 %, v případě střednědobé spotřeby o 6,8 %. Výdaje na krátkodobou spotřebu, které mají obvykle mírnější dynamiku, vzrostly o 3,6 %. Rostoucí kupní sílu domácností odrážel růst výdajů na služby, který zrychlil na 3,1 %. </w:t>
            </w:r>
            <w:r w:rsidRPr="00CD330F">
              <w:rPr>
                <w:rFonts w:cs="Arial"/>
              </w:rPr>
              <w:t xml:space="preserve">Meziroční růst výdajů na konečnou spotřebu vládních institucí v porovnání s předchozím čtvrtletím zpomalil </w:t>
            </w:r>
            <w:r>
              <w:rPr>
                <w:rFonts w:cs="Arial"/>
              </w:rPr>
              <w:t xml:space="preserve">o 0,5 </w:t>
            </w:r>
            <w:proofErr w:type="spellStart"/>
            <w:proofErr w:type="gramStart"/>
            <w:r>
              <w:rPr>
                <w:rFonts w:cs="Arial"/>
              </w:rPr>
              <w:t>p.b</w:t>
            </w:r>
            <w:proofErr w:type="spellEnd"/>
            <w:r>
              <w:rPr>
                <w:rFonts w:cs="Arial"/>
              </w:rPr>
              <w:t xml:space="preserve">. </w:t>
            </w:r>
            <w:r w:rsidRPr="00CD330F">
              <w:rPr>
                <w:rFonts w:cs="Arial"/>
              </w:rPr>
              <w:t>a dosáhl</w:t>
            </w:r>
            <w:proofErr w:type="gramEnd"/>
            <w:r w:rsidRPr="00CD330F">
              <w:rPr>
                <w:rFonts w:cs="Arial"/>
              </w:rPr>
              <w:t xml:space="preserve"> 1,9 %.</w:t>
            </w:r>
            <w:r>
              <w:rPr>
                <w:rFonts w:cs="Arial"/>
              </w:rPr>
              <w:t xml:space="preserve"> Růst vládní spotřeby se tak drží na úrovni minulého roku. Ani </w:t>
            </w:r>
            <w:proofErr w:type="spellStart"/>
            <w:r>
              <w:rPr>
                <w:rFonts w:cs="Arial"/>
              </w:rPr>
              <w:t>mezičtvrtletní</w:t>
            </w:r>
            <w:proofErr w:type="spellEnd"/>
            <w:r>
              <w:rPr>
                <w:rFonts w:cs="Arial"/>
              </w:rPr>
              <w:t xml:space="preserve"> dynamika nepřinesla výrazné výkyvy. Spotřeba vládních institucí se za 2. čtvrtletí zvýšila o 0,4 %, mírně rychleji než v předchozím kvartálu.</w:t>
            </w:r>
          </w:p>
          <w:p w:rsidR="00DD0726" w:rsidRPr="009952A2" w:rsidRDefault="00DD0726" w:rsidP="008C0F87">
            <w:pPr>
              <w:pStyle w:val="Textpoznpodarou"/>
              <w:jc w:val="both"/>
              <w:rPr>
                <w:rFonts w:cs="Arial"/>
                <w:sz w:val="16"/>
                <w:szCs w:val="16"/>
              </w:rPr>
            </w:pPr>
          </w:p>
        </w:tc>
      </w:tr>
      <w:tr w:rsidR="00DD0726" w:rsidRPr="00A74192" w:rsidTr="008C0F87">
        <w:tc>
          <w:tcPr>
            <w:tcW w:w="1007" w:type="pct"/>
          </w:tcPr>
          <w:p w:rsidR="00DD0726" w:rsidRPr="005E2AB2" w:rsidRDefault="00DD0726" w:rsidP="008C0F87">
            <w:pPr>
              <w:spacing w:line="240" w:lineRule="auto"/>
              <w:rPr>
                <w:rFonts w:cs="Arial"/>
                <w:sz w:val="16"/>
                <w:szCs w:val="16"/>
              </w:rPr>
            </w:pPr>
            <w:r>
              <w:rPr>
                <w:rFonts w:cs="Arial"/>
                <w:sz w:val="16"/>
                <w:szCs w:val="16"/>
              </w:rPr>
              <w:t>…který byl podpořen silným navýšením mezd a platů.</w:t>
            </w:r>
          </w:p>
        </w:tc>
        <w:tc>
          <w:tcPr>
            <w:tcW w:w="144" w:type="pct"/>
          </w:tcPr>
          <w:p w:rsidR="00DD0726" w:rsidRPr="005E2AB2" w:rsidRDefault="00DD0726" w:rsidP="008C0F87">
            <w:pPr>
              <w:pStyle w:val="Textpoznpodarou"/>
              <w:jc w:val="both"/>
              <w:rPr>
                <w:rFonts w:cs="Arial"/>
              </w:rPr>
            </w:pPr>
          </w:p>
        </w:tc>
        <w:tc>
          <w:tcPr>
            <w:tcW w:w="3849" w:type="pct"/>
            <w:gridSpan w:val="3"/>
          </w:tcPr>
          <w:p w:rsidR="00DD0726" w:rsidRDefault="00DD0726" w:rsidP="008C0F87">
            <w:pPr>
              <w:pStyle w:val="Textpoznpodarou"/>
              <w:jc w:val="both"/>
              <w:rPr>
                <w:rFonts w:cs="Arial"/>
                <w:sz w:val="16"/>
                <w:szCs w:val="16"/>
              </w:rPr>
            </w:pPr>
            <w:r w:rsidRPr="005578B2">
              <w:rPr>
                <w:rFonts w:cs="Arial"/>
              </w:rPr>
              <w:t xml:space="preserve">Růst výdajů domácností na spotřebu byl důsledkem </w:t>
            </w:r>
            <w:r>
              <w:rPr>
                <w:rFonts w:cs="Arial"/>
              </w:rPr>
              <w:t xml:space="preserve">růstu </w:t>
            </w:r>
            <w:r w:rsidRPr="005578B2">
              <w:rPr>
                <w:rFonts w:cs="Arial"/>
              </w:rPr>
              <w:t xml:space="preserve">mezd. Objem mezd </w:t>
            </w:r>
            <w:r>
              <w:rPr>
                <w:rFonts w:cs="Arial"/>
              </w:rPr>
              <w:t xml:space="preserve">a platů </w:t>
            </w:r>
            <w:r w:rsidRPr="005578B2">
              <w:rPr>
                <w:rFonts w:cs="Arial"/>
              </w:rPr>
              <w:t>vyplacených ve 2. čtvrtletí 2017 vzrostl meziročně o 8,2 % (reálně o</w:t>
            </w:r>
            <w:r>
              <w:rPr>
                <w:rFonts w:cs="Arial"/>
              </w:rPr>
              <w:t> </w:t>
            </w:r>
            <w:r w:rsidRPr="005578B2">
              <w:rPr>
                <w:rFonts w:cs="Arial"/>
              </w:rPr>
              <w:t>5,7</w:t>
            </w:r>
            <w:r>
              <w:rPr>
                <w:rFonts w:cs="Arial"/>
              </w:rPr>
              <w:t> </w:t>
            </w:r>
            <w:r w:rsidRPr="005578B2">
              <w:rPr>
                <w:rFonts w:cs="Arial"/>
              </w:rPr>
              <w:t>%</w:t>
            </w:r>
            <w:r>
              <w:rPr>
                <w:rStyle w:val="Znakapoznpodarou"/>
              </w:rPr>
              <w:footnoteReference w:id="7"/>
            </w:r>
            <w:r w:rsidRPr="005578B2">
              <w:rPr>
                <w:rFonts w:cs="Arial"/>
              </w:rPr>
              <w:t xml:space="preserve">). V porovnání s předchozím čtvrtletím se tempo růstu zrychlilo o 1,4 </w:t>
            </w:r>
            <w:proofErr w:type="spellStart"/>
            <w:proofErr w:type="gramStart"/>
            <w:r w:rsidRPr="005578B2">
              <w:rPr>
                <w:rFonts w:cs="Arial"/>
              </w:rPr>
              <w:t>p.b</w:t>
            </w:r>
            <w:proofErr w:type="spellEnd"/>
            <w:r w:rsidRPr="005578B2">
              <w:rPr>
                <w:rFonts w:cs="Arial"/>
              </w:rPr>
              <w:t>.</w:t>
            </w:r>
            <w:proofErr w:type="gramEnd"/>
            <w:r w:rsidRPr="005578B2">
              <w:rPr>
                <w:rFonts w:cs="Arial"/>
              </w:rPr>
              <w:t xml:space="preserve"> </w:t>
            </w:r>
            <w:r>
              <w:rPr>
                <w:rFonts w:cs="Arial"/>
              </w:rPr>
              <w:t>Meziroční růst počtu zaměstnanců ve stejném období dosáhl 1,2 %</w:t>
            </w:r>
            <w:r>
              <w:rPr>
                <w:rStyle w:val="Znakapoznpodarou"/>
              </w:rPr>
              <w:footnoteReference w:id="8"/>
            </w:r>
            <w:r>
              <w:rPr>
                <w:rFonts w:cs="Arial"/>
              </w:rPr>
              <w:t xml:space="preserve">, takže </w:t>
            </w:r>
            <w:r>
              <w:rPr>
                <w:rFonts w:cs="Arial"/>
              </w:rPr>
              <w:lastRenderedPageBreak/>
              <w:t xml:space="preserve">navýšení objemu vyplacených mezd a platů se promítalo do výše výdělků. Klíčovým byl růst vyplacených mezd ve zpracovatelském průmyslu, který zaměstnává nejvíce osob. Ten dosáhl 8,9 % a v porovnání s předchozím čtvrtletím se zrychlil o 2,1 </w:t>
            </w:r>
            <w:proofErr w:type="spellStart"/>
            <w:proofErr w:type="gramStart"/>
            <w:r>
              <w:rPr>
                <w:rFonts w:cs="Arial"/>
              </w:rPr>
              <w:t>p.b</w:t>
            </w:r>
            <w:proofErr w:type="spellEnd"/>
            <w:r>
              <w:rPr>
                <w:rFonts w:cs="Arial"/>
              </w:rPr>
              <w:t>.</w:t>
            </w:r>
            <w:proofErr w:type="gramEnd"/>
            <w:r>
              <w:rPr>
                <w:rFonts w:cs="Arial"/>
              </w:rPr>
              <w:t xml:space="preserve"> Nárůst byl přitom způsoben především růstem základních mezd, nikoli vyplácením odměn. Ve 2. čtvrtletí však výrazně rostly vyplácené mzdy ve všech sledovaných odvětvích. Zrychlil již v předchozích čtvrtletích výrazný růst u informačních komunikačních činností (9,8 % v 1. čtvrtletí, 10,3 % ve 2. čtvrtletí), který byl zčásti způsoben zvyšováním počtu zaměstnanců (3,2 % ve 2. čtvrtletí, nejvíce ze všech odvětví). Výrazně narostl objem mezd vyplacených v obchodě, dopravě, ubytování a pohostinství (8,9 %), zčásti jako důsledek zvýšení minimální mzdy. Zrychlil se objem vyplacených mezd u činností v oblasti nemovitostí (ze 7,6 % na 9,4 %), byl však doprovázen i navýšením počtu zaměstnanců o 2,9 % (přitom celková zaměstnanost v odvětví se zvýšila o 2,0 %, počet </w:t>
            </w:r>
            <w:proofErr w:type="spellStart"/>
            <w:r>
              <w:rPr>
                <w:rFonts w:cs="Arial"/>
              </w:rPr>
              <w:t>sebezaměstnaných</w:t>
            </w:r>
            <w:proofErr w:type="spellEnd"/>
            <w:r>
              <w:rPr>
                <w:rFonts w:cs="Arial"/>
              </w:rPr>
              <w:t>, který má v tomto odvětví významnou váhu, se meziročně prakticky neměnil). Růst objemu vyplacených mezd (8,4 %) i zaměstnanosti (4,8 %) probíhal u profesních, vědeckých, technických a administrativních činností. Podobně vysoký růst mezd (8,0 %) doprovázený téměř neměnným počtem zaměstnanců byl v odvětvích s dominancí státu.</w:t>
            </w:r>
          </w:p>
          <w:p w:rsidR="00DD0726" w:rsidRPr="00CD200D" w:rsidRDefault="00DD0726" w:rsidP="008C0F87">
            <w:pPr>
              <w:pStyle w:val="Textpoznpodarou"/>
              <w:jc w:val="both"/>
              <w:rPr>
                <w:rFonts w:cs="Arial"/>
                <w:highlight w:val="yellow"/>
              </w:rPr>
            </w:pPr>
            <w:r>
              <w:rPr>
                <w:rFonts w:cs="Arial"/>
              </w:rPr>
              <w:t xml:space="preserve">    </w:t>
            </w:r>
          </w:p>
        </w:tc>
      </w:tr>
      <w:tr w:rsidR="00DD0726" w:rsidRPr="00A74192" w:rsidTr="008C0F87">
        <w:tc>
          <w:tcPr>
            <w:tcW w:w="1007" w:type="pct"/>
          </w:tcPr>
          <w:p w:rsidR="00DD0726" w:rsidRPr="005E2AB2" w:rsidRDefault="00DD0726" w:rsidP="008C0F87">
            <w:pPr>
              <w:spacing w:line="240" w:lineRule="auto"/>
              <w:jc w:val="center"/>
              <w:rPr>
                <w:rFonts w:cs="Arial"/>
                <w:sz w:val="16"/>
                <w:szCs w:val="16"/>
              </w:rPr>
            </w:pPr>
          </w:p>
        </w:tc>
        <w:tc>
          <w:tcPr>
            <w:tcW w:w="144" w:type="pct"/>
          </w:tcPr>
          <w:p w:rsidR="00DD0726" w:rsidRPr="005E2AB2" w:rsidRDefault="00DD0726" w:rsidP="008C0F87">
            <w:pPr>
              <w:pStyle w:val="Textpoznpodarou"/>
              <w:jc w:val="both"/>
              <w:rPr>
                <w:rFonts w:cs="Arial"/>
              </w:rPr>
            </w:pPr>
          </w:p>
        </w:tc>
        <w:tc>
          <w:tcPr>
            <w:tcW w:w="575" w:type="pct"/>
          </w:tcPr>
          <w:p w:rsidR="00DD0726" w:rsidRPr="005E2AB2" w:rsidRDefault="00DD0726" w:rsidP="008C0F87">
            <w:pPr>
              <w:pStyle w:val="Textpoznpodarou"/>
              <w:rPr>
                <w:rFonts w:cs="Arial"/>
                <w:lang w:eastAsia="en-US"/>
              </w:rPr>
            </w:pPr>
            <w:r w:rsidRPr="005E2AB2">
              <w:rPr>
                <w:rFonts w:cs="Arial"/>
                <w:lang w:eastAsia="en-US"/>
              </w:rPr>
              <w:t>Graf č. 3</w:t>
            </w:r>
          </w:p>
        </w:tc>
        <w:tc>
          <w:tcPr>
            <w:tcW w:w="3274" w:type="pct"/>
            <w:gridSpan w:val="2"/>
          </w:tcPr>
          <w:p w:rsidR="00DD0726" w:rsidRPr="005E2AB2" w:rsidRDefault="00DD0726" w:rsidP="008C0F87">
            <w:pPr>
              <w:pStyle w:val="Textpoznpodarou"/>
              <w:rPr>
                <w:rFonts w:cs="Arial"/>
                <w:lang w:eastAsia="en-US"/>
              </w:rPr>
            </w:pPr>
            <w:r w:rsidRPr="005E2AB2">
              <w:rPr>
                <w:rFonts w:cs="Arial"/>
                <w:b/>
                <w:lang w:eastAsia="en-US"/>
              </w:rPr>
              <w:t>Příspěvky výdajových složek k</w:t>
            </w:r>
            <w:r>
              <w:rPr>
                <w:rFonts w:cs="Arial"/>
                <w:b/>
                <w:lang w:eastAsia="en-US"/>
              </w:rPr>
              <w:t xml:space="preserve"> reálné</w:t>
            </w:r>
            <w:r w:rsidRPr="005E2AB2">
              <w:rPr>
                <w:rFonts w:cs="Arial"/>
                <w:b/>
                <w:lang w:eastAsia="en-US"/>
              </w:rPr>
              <w:t> změně HDP*</w:t>
            </w:r>
            <w:r w:rsidRPr="005E2AB2">
              <w:rPr>
                <w:rFonts w:cs="Arial"/>
                <w:lang w:eastAsia="en-US"/>
              </w:rPr>
              <w:t xml:space="preserve"> (</w:t>
            </w:r>
            <w:r>
              <w:rPr>
                <w:rFonts w:cs="Arial"/>
                <w:lang w:eastAsia="en-US"/>
              </w:rPr>
              <w:t>objemové indexy</w:t>
            </w:r>
            <w:r w:rsidRPr="005E2AB2">
              <w:rPr>
                <w:rFonts w:cs="Arial"/>
                <w:lang w:eastAsia="en-US"/>
              </w:rPr>
              <w:t xml:space="preserve">, </w:t>
            </w:r>
            <w:r>
              <w:rPr>
                <w:rFonts w:cs="Arial"/>
                <w:lang w:eastAsia="en-US"/>
              </w:rPr>
              <w:t xml:space="preserve">meziroční růst, </w:t>
            </w:r>
            <w:r w:rsidRPr="005E2AB2">
              <w:rPr>
                <w:rFonts w:cs="Arial"/>
                <w:lang w:eastAsia="en-US"/>
              </w:rPr>
              <w:t>příspěvky v </w:t>
            </w:r>
            <w:proofErr w:type="spellStart"/>
            <w:proofErr w:type="gramStart"/>
            <w:r w:rsidRPr="005E2AB2">
              <w:rPr>
                <w:rFonts w:cs="Arial"/>
                <w:lang w:eastAsia="en-US"/>
              </w:rPr>
              <w:t>p.b</w:t>
            </w:r>
            <w:proofErr w:type="spellEnd"/>
            <w:r w:rsidRPr="005E2AB2">
              <w:rPr>
                <w:rFonts w:cs="Arial"/>
                <w:lang w:eastAsia="en-US"/>
              </w:rPr>
              <w:t>., HDP</w:t>
            </w:r>
            <w:proofErr w:type="gramEnd"/>
            <w:r w:rsidRPr="005E2AB2">
              <w:rPr>
                <w:rFonts w:cs="Arial"/>
                <w:lang w:eastAsia="en-US"/>
              </w:rPr>
              <w:t xml:space="preserve"> v %)</w:t>
            </w:r>
          </w:p>
        </w:tc>
      </w:tr>
      <w:tr w:rsidR="00DD0726" w:rsidRPr="00A74192" w:rsidTr="008C0F87">
        <w:tc>
          <w:tcPr>
            <w:tcW w:w="1007" w:type="pct"/>
          </w:tcPr>
          <w:p w:rsidR="00DD0726" w:rsidRPr="005E2AB2" w:rsidRDefault="00DD0726" w:rsidP="008C0F87">
            <w:pPr>
              <w:spacing w:line="240" w:lineRule="auto"/>
              <w:rPr>
                <w:rFonts w:cs="Arial"/>
                <w:sz w:val="16"/>
                <w:szCs w:val="16"/>
              </w:rPr>
            </w:pPr>
          </w:p>
        </w:tc>
        <w:tc>
          <w:tcPr>
            <w:tcW w:w="144" w:type="pct"/>
          </w:tcPr>
          <w:p w:rsidR="00DD0726" w:rsidRPr="00A74192" w:rsidRDefault="00DD0726" w:rsidP="008C0F87">
            <w:pPr>
              <w:pStyle w:val="Textpoznpodarou"/>
              <w:jc w:val="both"/>
              <w:rPr>
                <w:rFonts w:cs="Arial"/>
              </w:rPr>
            </w:pPr>
          </w:p>
        </w:tc>
        <w:tc>
          <w:tcPr>
            <w:tcW w:w="3849" w:type="pct"/>
            <w:gridSpan w:val="3"/>
          </w:tcPr>
          <w:p w:rsidR="00DD0726" w:rsidRPr="00E60FCE" w:rsidRDefault="00DD0726" w:rsidP="008C0F87">
            <w:pPr>
              <w:pStyle w:val="Textpoznpodarou"/>
              <w:ind w:left="-95"/>
              <w:jc w:val="both"/>
              <w:rPr>
                <w:rFonts w:cs="Arial"/>
                <w:sz w:val="14"/>
                <w:szCs w:val="14"/>
                <w:highlight w:val="yellow"/>
              </w:rPr>
            </w:pPr>
            <w:r w:rsidRPr="002E4069">
              <w:rPr>
                <w:rFonts w:cs="Arial"/>
                <w:noProof/>
                <w:sz w:val="14"/>
                <w:szCs w:val="14"/>
              </w:rPr>
              <w:drawing>
                <wp:inline distT="0" distB="0" distL="0" distR="0">
                  <wp:extent cx="4737600" cy="3553200"/>
                  <wp:effectExtent l="0" t="0" r="0" b="0"/>
                  <wp:docPr id="15"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DD0726" w:rsidRPr="00A74192" w:rsidTr="008C0F87">
        <w:tc>
          <w:tcPr>
            <w:tcW w:w="1007" w:type="pct"/>
          </w:tcPr>
          <w:p w:rsidR="00DD0726" w:rsidRPr="005E2AB2" w:rsidRDefault="00DD0726" w:rsidP="008C0F87">
            <w:pPr>
              <w:spacing w:line="240" w:lineRule="auto"/>
              <w:rPr>
                <w:rFonts w:cs="Arial"/>
                <w:sz w:val="16"/>
                <w:szCs w:val="16"/>
              </w:rPr>
            </w:pPr>
          </w:p>
        </w:tc>
        <w:tc>
          <w:tcPr>
            <w:tcW w:w="144" w:type="pct"/>
          </w:tcPr>
          <w:p w:rsidR="00DD0726" w:rsidRPr="00A74192" w:rsidRDefault="00DD0726" w:rsidP="008C0F87">
            <w:pPr>
              <w:pStyle w:val="Textpoznpodarou"/>
              <w:jc w:val="both"/>
              <w:rPr>
                <w:rFonts w:cs="Arial"/>
              </w:rPr>
            </w:pPr>
          </w:p>
        </w:tc>
        <w:tc>
          <w:tcPr>
            <w:tcW w:w="3165" w:type="pct"/>
            <w:gridSpan w:val="2"/>
          </w:tcPr>
          <w:p w:rsidR="00DD0726" w:rsidRPr="007841BB" w:rsidRDefault="00DD0726" w:rsidP="008C0F87">
            <w:pPr>
              <w:pStyle w:val="Textpoznpodarou"/>
              <w:jc w:val="both"/>
              <w:rPr>
                <w:rFonts w:cs="Arial"/>
                <w:sz w:val="14"/>
                <w:szCs w:val="14"/>
              </w:rPr>
            </w:pPr>
            <w:r>
              <w:rPr>
                <w:rFonts w:cs="Arial"/>
                <w:sz w:val="14"/>
                <w:szCs w:val="14"/>
                <w:lang w:eastAsia="en-US"/>
              </w:rPr>
              <w:t>*P</w:t>
            </w:r>
            <w:r w:rsidRPr="007841BB">
              <w:rPr>
                <w:rFonts w:cs="Arial"/>
                <w:sz w:val="14"/>
                <w:szCs w:val="14"/>
                <w:lang w:eastAsia="en-US"/>
              </w:rPr>
              <w:t>říspěvky ke změně HDP po vyloučení dovozu pro konečné užití</w:t>
            </w:r>
          </w:p>
        </w:tc>
        <w:tc>
          <w:tcPr>
            <w:tcW w:w="684" w:type="pct"/>
          </w:tcPr>
          <w:p w:rsidR="00DD0726" w:rsidRPr="007841BB" w:rsidRDefault="00DD0726" w:rsidP="008C0F87">
            <w:pPr>
              <w:pStyle w:val="Textpoznpodarou"/>
              <w:jc w:val="right"/>
              <w:rPr>
                <w:rFonts w:cs="Arial"/>
                <w:sz w:val="14"/>
                <w:szCs w:val="14"/>
              </w:rPr>
            </w:pPr>
            <w:r w:rsidRPr="007841BB">
              <w:rPr>
                <w:rFonts w:cs="Arial"/>
                <w:sz w:val="14"/>
                <w:szCs w:val="14"/>
              </w:rPr>
              <w:t>Zdroj: ČSÚ</w:t>
            </w:r>
          </w:p>
          <w:p w:rsidR="00DD0726" w:rsidRPr="007841BB" w:rsidRDefault="00DD0726" w:rsidP="008C0F87">
            <w:pPr>
              <w:pStyle w:val="Textpoznpodarou"/>
              <w:jc w:val="right"/>
              <w:rPr>
                <w:rFonts w:cs="Arial"/>
                <w:sz w:val="14"/>
                <w:szCs w:val="14"/>
              </w:rPr>
            </w:pPr>
          </w:p>
        </w:tc>
      </w:tr>
      <w:tr w:rsidR="00DD0726" w:rsidRPr="00A74192" w:rsidTr="008C0F87">
        <w:tc>
          <w:tcPr>
            <w:tcW w:w="1007" w:type="pct"/>
          </w:tcPr>
          <w:p w:rsidR="00DD0726" w:rsidRPr="005E2AB2" w:rsidRDefault="00DD0726" w:rsidP="008C0F87">
            <w:pPr>
              <w:spacing w:line="240" w:lineRule="auto"/>
              <w:rPr>
                <w:rFonts w:cs="Arial"/>
                <w:sz w:val="16"/>
                <w:szCs w:val="16"/>
              </w:rPr>
            </w:pPr>
            <w:r>
              <w:rPr>
                <w:rFonts w:cs="Arial"/>
                <w:sz w:val="16"/>
                <w:szCs w:val="16"/>
              </w:rPr>
              <w:t xml:space="preserve">Investiční výdaje po čtyřech čtvrtletích poklesů meziročně vzrostly. Velmi silné bylo i </w:t>
            </w:r>
            <w:proofErr w:type="spellStart"/>
            <w:r>
              <w:rPr>
                <w:rFonts w:cs="Arial"/>
                <w:sz w:val="16"/>
                <w:szCs w:val="16"/>
              </w:rPr>
              <w:t>mezičtvrtletní</w:t>
            </w:r>
            <w:proofErr w:type="spellEnd"/>
            <w:r>
              <w:rPr>
                <w:rFonts w:cs="Arial"/>
                <w:sz w:val="16"/>
                <w:szCs w:val="16"/>
              </w:rPr>
              <w:t xml:space="preserve"> navýšení.</w:t>
            </w:r>
          </w:p>
        </w:tc>
        <w:tc>
          <w:tcPr>
            <w:tcW w:w="144" w:type="pct"/>
          </w:tcPr>
          <w:p w:rsidR="00DD0726" w:rsidRPr="005E2AB2" w:rsidRDefault="00DD0726" w:rsidP="008C0F87">
            <w:pPr>
              <w:pStyle w:val="Textpoznpodarou"/>
              <w:jc w:val="both"/>
              <w:rPr>
                <w:rFonts w:cs="Arial"/>
              </w:rPr>
            </w:pPr>
          </w:p>
        </w:tc>
        <w:tc>
          <w:tcPr>
            <w:tcW w:w="3849" w:type="pct"/>
            <w:gridSpan w:val="3"/>
          </w:tcPr>
          <w:p w:rsidR="00DD0726" w:rsidRDefault="00DD0726" w:rsidP="008C0F87">
            <w:pPr>
              <w:pStyle w:val="Textpoznpodarou"/>
              <w:jc w:val="both"/>
              <w:rPr>
                <w:rFonts w:cs="Arial"/>
              </w:rPr>
            </w:pPr>
            <w:r>
              <w:rPr>
                <w:rFonts w:cs="Arial"/>
              </w:rPr>
              <w:t xml:space="preserve">Meziroční růst výdajů na tvorbu hrubého fixního kapitálu dosáhl ve 2. čtvrtletí 7,7 % a byl nejvyšší od 4. čtvrtletí 2015. Šlo o první nárůst po 4 čtvrtletích poklesů. Tento výsledek však nelze jednoznačně přisoudit nízké srovnávací základně předchozího roku. </w:t>
            </w:r>
            <w:proofErr w:type="spellStart"/>
            <w:r>
              <w:rPr>
                <w:rFonts w:cs="Arial"/>
              </w:rPr>
              <w:t>Mezičtvrtletní</w:t>
            </w:r>
            <w:proofErr w:type="spellEnd"/>
            <w:r>
              <w:rPr>
                <w:rFonts w:cs="Arial"/>
              </w:rPr>
              <w:t xml:space="preserve"> dynamika rovněž zažila výrazné oživení a investiční aktivita během 2. kvartálu vzrostla o 6,3 %. Z hlediska věcného složení investiční aktivity došlo k nejvýraznějšímu posunu u ostatních budov a staveb, které jsou druhou nejvýznamnější investiční kategorií a v předchozích čtyřech kvartálech investice do nich meziročně klesaly. Ve 2. čtvrtletí vzrostly o 3,1 %</w:t>
            </w:r>
            <w:r>
              <w:rPr>
                <w:rStyle w:val="Znakapoznpodarou"/>
              </w:rPr>
              <w:footnoteReference w:id="9"/>
            </w:r>
            <w:r>
              <w:rPr>
                <w:rFonts w:cs="Arial"/>
              </w:rPr>
              <w:t xml:space="preserve"> (ještě v 1. čtvrtletí klesly o 10,3 %). Zrychlil růst u váhově nejvýznamnější kategorie, tedy ICT, ostatních strojů a zařízení a zbraňových systémů (z 4,0 % v 1. čtvrtletí na 5,4 %), a také u investic do produktů duševního </w:t>
            </w:r>
            <w:proofErr w:type="gramStart"/>
            <w:r>
              <w:rPr>
                <w:rFonts w:cs="Arial"/>
              </w:rPr>
              <w:t>vlastnictví (z 4,3</w:t>
            </w:r>
            <w:proofErr w:type="gramEnd"/>
            <w:r>
              <w:rPr>
                <w:rFonts w:cs="Arial"/>
              </w:rPr>
              <w:t xml:space="preserve"> % na 5,2 %). Navzdory oslabení tempa zůstal silný růst u výdajů na obydlí (5,9 %), dopravních prostředků a zařízení (7,9 %).</w:t>
            </w:r>
          </w:p>
          <w:p w:rsidR="00DD0726" w:rsidRPr="00084BE9" w:rsidRDefault="00DD0726" w:rsidP="008C0F87">
            <w:pPr>
              <w:pStyle w:val="Textpoznpodarou"/>
              <w:jc w:val="both"/>
              <w:rPr>
                <w:rFonts w:cs="Arial"/>
                <w:sz w:val="16"/>
                <w:szCs w:val="16"/>
              </w:rPr>
            </w:pPr>
          </w:p>
        </w:tc>
      </w:tr>
      <w:tr w:rsidR="00DD0726" w:rsidRPr="00A74192" w:rsidTr="008C0F87">
        <w:tc>
          <w:tcPr>
            <w:tcW w:w="1007" w:type="pct"/>
          </w:tcPr>
          <w:p w:rsidR="00DD0726" w:rsidRPr="005E2AB2" w:rsidRDefault="00DD0726" w:rsidP="008C0F87">
            <w:pPr>
              <w:spacing w:line="240" w:lineRule="auto"/>
              <w:rPr>
                <w:rFonts w:cs="Arial"/>
                <w:sz w:val="16"/>
                <w:szCs w:val="16"/>
              </w:rPr>
            </w:pPr>
            <w:r>
              <w:rPr>
                <w:rFonts w:cs="Arial"/>
                <w:sz w:val="16"/>
                <w:szCs w:val="16"/>
              </w:rPr>
              <w:lastRenderedPageBreak/>
              <w:t>Nárůst přebytku bilance zahraničního obchodu byl tažen nárůstem přebytku obchodu se službami. Směnné relace zůstaly záporné.</w:t>
            </w:r>
          </w:p>
        </w:tc>
        <w:tc>
          <w:tcPr>
            <w:tcW w:w="144" w:type="pct"/>
          </w:tcPr>
          <w:p w:rsidR="00DD0726" w:rsidRPr="005E2AB2" w:rsidRDefault="00DD0726" w:rsidP="008C0F87">
            <w:pPr>
              <w:pStyle w:val="Textpoznpodarou"/>
              <w:jc w:val="both"/>
              <w:rPr>
                <w:rFonts w:cs="Arial"/>
              </w:rPr>
            </w:pPr>
          </w:p>
        </w:tc>
        <w:tc>
          <w:tcPr>
            <w:tcW w:w="3849" w:type="pct"/>
            <w:gridSpan w:val="3"/>
          </w:tcPr>
          <w:p w:rsidR="00DD0726" w:rsidRDefault="00DD0726" w:rsidP="008C0F87">
            <w:pPr>
              <w:pStyle w:val="Textpoznpodarou"/>
              <w:jc w:val="both"/>
              <w:rPr>
                <w:rFonts w:cs="Arial"/>
                <w:sz w:val="16"/>
                <w:szCs w:val="16"/>
              </w:rPr>
            </w:pPr>
            <w:r w:rsidRPr="00DA339E">
              <w:rPr>
                <w:rFonts w:cs="Arial"/>
              </w:rPr>
              <w:t xml:space="preserve">Přebytek bilance zahraničního obchodu </w:t>
            </w:r>
            <w:r>
              <w:rPr>
                <w:rFonts w:cs="Arial"/>
              </w:rPr>
              <w:t xml:space="preserve">(v běžných cenách) </w:t>
            </w:r>
            <w:r w:rsidRPr="00DA339E">
              <w:rPr>
                <w:rFonts w:cs="Arial"/>
              </w:rPr>
              <w:t>dosáhl v</w:t>
            </w:r>
            <w:r>
              <w:rPr>
                <w:rFonts w:cs="Arial"/>
              </w:rPr>
              <w:t>e</w:t>
            </w:r>
            <w:r w:rsidRPr="00DA339E">
              <w:rPr>
                <w:rFonts w:cs="Arial"/>
              </w:rPr>
              <w:t> 2. čtvrtletí 92,9 mld. korun</w:t>
            </w:r>
            <w:r>
              <w:rPr>
                <w:rStyle w:val="Znakapoznpodarou"/>
              </w:rPr>
              <w:footnoteReference w:id="10"/>
            </w:r>
            <w:r w:rsidRPr="00DA339E">
              <w:rPr>
                <w:rFonts w:cs="Arial"/>
              </w:rPr>
              <w:t xml:space="preserve"> a</w:t>
            </w:r>
            <w:r>
              <w:rPr>
                <w:rFonts w:cs="Arial"/>
              </w:rPr>
              <w:t xml:space="preserve"> meziročně se zvýšil o 1,3 mld. Meziroční růst přebytku byl přitom tažen nárůstem kladného salda obchodu se službami, které dosáhlo 29,8 mld. korun a zvýšilo se o 3,9 mld. Obchod se zbožím, jehož přebytek v předchozích pěti čtvrtletích rostl a ve 2. čtvrtletí dosáhl výše 63,0 mld. korun, se však meziročně snížil o 2,6 mld.</w:t>
            </w:r>
            <w:r w:rsidRPr="00171553">
              <w:rPr>
                <w:rFonts w:cs="Arial"/>
              </w:rPr>
              <w:t xml:space="preserve"> Stejně jako v 1. čtvrtletí i ve 2. kvartálu byly směnné relace záporné. Tentokrát dosáhly hodnoty 98,3 %. </w:t>
            </w:r>
            <w:r>
              <w:rPr>
                <w:rFonts w:cs="Arial"/>
              </w:rPr>
              <w:t>Hlavní podíl na tom má obchod se zbožím, jehož směnné relace ve 2. čtvrtletí činily 98,0 %. Růst cen dováženého zboží zpomalil, ale udržel se na 2,0 %</w:t>
            </w:r>
            <w:r>
              <w:rPr>
                <w:rStyle w:val="Znakapoznpodarou"/>
              </w:rPr>
              <w:footnoteReference w:id="11"/>
            </w:r>
            <w:r>
              <w:rPr>
                <w:rFonts w:cs="Arial"/>
              </w:rPr>
              <w:t>, zatímco ceny vývozu stagnovaly. Stejně jako v předchozím čtvrtletí byly směnné relace obchodu se službami kladné a mírně se zvýšily na 100,3 %. Ztráta ze směnných relací, o které nepřímo vypovídá reálný hrubý domácí důchod, dosáhla ve 2. čtvrtletí 12,7 mld. korun a ve srovnání s předchozím kvartálem se mírně snížila.</w:t>
            </w:r>
          </w:p>
          <w:p w:rsidR="00DD0726" w:rsidRPr="00167B30" w:rsidRDefault="00DD0726" w:rsidP="008C0F87">
            <w:pPr>
              <w:pStyle w:val="Textpoznpodarou"/>
              <w:jc w:val="both"/>
              <w:rPr>
                <w:rFonts w:cs="Arial"/>
                <w:sz w:val="16"/>
                <w:szCs w:val="16"/>
                <w:highlight w:val="yellow"/>
              </w:rPr>
            </w:pPr>
          </w:p>
        </w:tc>
      </w:tr>
      <w:tr w:rsidR="00DD0726" w:rsidRPr="00A74192" w:rsidTr="008C0F87">
        <w:tc>
          <w:tcPr>
            <w:tcW w:w="1007" w:type="pct"/>
          </w:tcPr>
          <w:p w:rsidR="00DD0726" w:rsidRPr="005E2AB2" w:rsidRDefault="00DD0726" w:rsidP="008C0F87">
            <w:pPr>
              <w:spacing w:line="240" w:lineRule="auto"/>
              <w:rPr>
                <w:rFonts w:cs="Arial"/>
                <w:sz w:val="16"/>
                <w:szCs w:val="16"/>
              </w:rPr>
            </w:pPr>
            <w:r>
              <w:rPr>
                <w:rFonts w:cs="Arial"/>
                <w:sz w:val="16"/>
                <w:szCs w:val="16"/>
              </w:rPr>
              <w:t>Růst HPH byl podpořen příznivým vývojem zpracovatelského průmyslu i odvětví služeb.</w:t>
            </w:r>
          </w:p>
        </w:tc>
        <w:tc>
          <w:tcPr>
            <w:tcW w:w="144" w:type="pct"/>
          </w:tcPr>
          <w:p w:rsidR="00DD0726" w:rsidRPr="005E2AB2" w:rsidRDefault="00DD0726" w:rsidP="008C0F87">
            <w:pPr>
              <w:pStyle w:val="Textpoznpodarou"/>
              <w:jc w:val="both"/>
              <w:rPr>
                <w:rFonts w:cs="Arial"/>
              </w:rPr>
            </w:pPr>
          </w:p>
        </w:tc>
        <w:tc>
          <w:tcPr>
            <w:tcW w:w="3849" w:type="pct"/>
            <w:gridSpan w:val="3"/>
          </w:tcPr>
          <w:p w:rsidR="00DD0726" w:rsidRDefault="00DD0726" w:rsidP="008C0F87">
            <w:pPr>
              <w:pStyle w:val="Textpoznpodarou"/>
              <w:jc w:val="both"/>
              <w:rPr>
                <w:rFonts w:cs="Arial"/>
                <w:sz w:val="16"/>
                <w:szCs w:val="16"/>
              </w:rPr>
            </w:pPr>
            <w:r>
              <w:rPr>
                <w:rFonts w:cs="Arial"/>
              </w:rPr>
              <w:t xml:space="preserve">Růst HPH dosáhl ve 2. čtvrtletí 4,7 % a v porovnání s předchozím čtvrtletím se zrychlil o 1,7 </w:t>
            </w:r>
            <w:proofErr w:type="spellStart"/>
            <w:proofErr w:type="gramStart"/>
            <w:r>
              <w:rPr>
                <w:rFonts w:cs="Arial"/>
              </w:rPr>
              <w:t>p.b</w:t>
            </w:r>
            <w:proofErr w:type="spellEnd"/>
            <w:r>
              <w:rPr>
                <w:rFonts w:cs="Arial"/>
              </w:rPr>
              <w:t>.</w:t>
            </w:r>
            <w:proofErr w:type="gramEnd"/>
            <w:r>
              <w:rPr>
                <w:rFonts w:cs="Arial"/>
              </w:rPr>
              <w:t xml:space="preserve"> Zrychlení napomohlo především posílení odvětví služeb, která dohromady přispěla k růstu HPH 2,2 </w:t>
            </w:r>
            <w:proofErr w:type="spellStart"/>
            <w:proofErr w:type="gramStart"/>
            <w:r>
              <w:rPr>
                <w:rFonts w:cs="Arial"/>
              </w:rPr>
              <w:t>p.b</w:t>
            </w:r>
            <w:proofErr w:type="spellEnd"/>
            <w:r>
              <w:rPr>
                <w:rFonts w:cs="Arial"/>
              </w:rPr>
              <w:t>.</w:t>
            </w:r>
            <w:proofErr w:type="gramEnd"/>
            <w:r>
              <w:rPr>
                <w:rFonts w:cs="Arial"/>
              </w:rPr>
              <w:t xml:space="preserve"> Přední místo mezi odvětvími služeb měly přitom obchod, doprava, ubytování a pohostinství, které přispěly 0,8 </w:t>
            </w:r>
            <w:proofErr w:type="spellStart"/>
            <w:proofErr w:type="gramStart"/>
            <w:r>
              <w:rPr>
                <w:rFonts w:cs="Arial"/>
              </w:rPr>
              <w:t>p.b</w:t>
            </w:r>
            <w:proofErr w:type="spellEnd"/>
            <w:r>
              <w:rPr>
                <w:rFonts w:cs="Arial"/>
              </w:rPr>
              <w:t>. (po</w:t>
            </w:r>
            <w:proofErr w:type="gramEnd"/>
            <w:r>
              <w:rPr>
                <w:rFonts w:cs="Arial"/>
              </w:rPr>
              <w:t xml:space="preserve"> třech čtvrtletích záporných příspěvků). HPH těchto oddílů se meziročně zvýšila o 4,1 %. Pokračoval i silný růst HPH peněžnictví a pojišťovnictví (8,3 %), která patří k objemově nejmenším odvětvím, přispěla však k růstu 0,3 </w:t>
            </w:r>
            <w:proofErr w:type="spellStart"/>
            <w:proofErr w:type="gramStart"/>
            <w:r>
              <w:rPr>
                <w:rFonts w:cs="Arial"/>
              </w:rPr>
              <w:t>p.b</w:t>
            </w:r>
            <w:proofErr w:type="spellEnd"/>
            <w:r>
              <w:rPr>
                <w:rFonts w:cs="Arial"/>
              </w:rPr>
              <w:t>.</w:t>
            </w:r>
            <w:proofErr w:type="gramEnd"/>
            <w:r>
              <w:rPr>
                <w:rFonts w:cs="Arial"/>
              </w:rPr>
              <w:t xml:space="preserve"> Ve 2. čtvrtletí zesílil příspěvek činností v oblasti nemovitostí a dosáhl 0,4 </w:t>
            </w:r>
            <w:proofErr w:type="spellStart"/>
            <w:proofErr w:type="gramStart"/>
            <w:r>
              <w:rPr>
                <w:rFonts w:cs="Arial"/>
              </w:rPr>
              <w:t>p.b</w:t>
            </w:r>
            <w:proofErr w:type="spellEnd"/>
            <w:r>
              <w:rPr>
                <w:rFonts w:cs="Arial"/>
              </w:rPr>
              <w:t>.</w:t>
            </w:r>
            <w:proofErr w:type="gramEnd"/>
            <w:r>
              <w:rPr>
                <w:rFonts w:cs="Arial"/>
              </w:rPr>
              <w:t xml:space="preserve"> Pevným pilířem růstu přidané hodnoty však zůstává zpracovatelský průmysl, jehož HPH se meziročně zvýšila o 7,9 %, což znamenalo příspěvek ve výši 2,1 </w:t>
            </w:r>
            <w:proofErr w:type="spellStart"/>
            <w:proofErr w:type="gramStart"/>
            <w:r>
              <w:rPr>
                <w:rFonts w:cs="Arial"/>
              </w:rPr>
              <w:t>p.b</w:t>
            </w:r>
            <w:proofErr w:type="spellEnd"/>
            <w:r>
              <w:rPr>
                <w:rFonts w:cs="Arial"/>
              </w:rPr>
              <w:t>.</w:t>
            </w:r>
            <w:proofErr w:type="gramEnd"/>
            <w:r>
              <w:rPr>
                <w:rFonts w:cs="Arial"/>
              </w:rPr>
              <w:t xml:space="preserve"> Po čtyřech čtvrtletích poklesu přišlo oživení do stavebnictví, jehož HPH vzrostla o 3,1 % (příspěvek k celkovému růstu na úrovni 0,2 </w:t>
            </w:r>
            <w:proofErr w:type="spellStart"/>
            <w:proofErr w:type="gramStart"/>
            <w:r>
              <w:rPr>
                <w:rFonts w:cs="Arial"/>
              </w:rPr>
              <w:t>p.b</w:t>
            </w:r>
            <w:proofErr w:type="spellEnd"/>
            <w:r>
              <w:rPr>
                <w:rFonts w:cs="Arial"/>
              </w:rPr>
              <w:t>. byl</w:t>
            </w:r>
            <w:proofErr w:type="gramEnd"/>
            <w:r>
              <w:rPr>
                <w:rFonts w:cs="Arial"/>
              </w:rPr>
              <w:t xml:space="preserve"> nejvyšší od 3. čtvrtletí 2015). Stejné výše dosáhl i příspěvek zemědělství, lesnictví a rybářství. Na této úrovni se odvětví udržuje již 3,5 roku. Jedinou částí hospodářství, která nepřispěla k růstu HPH ani jej netlumila, byla ostatní průmyslová odvětví.</w:t>
            </w:r>
          </w:p>
          <w:p w:rsidR="00DD0726" w:rsidRPr="00463E6A" w:rsidRDefault="00DD0726" w:rsidP="008C0F87">
            <w:pPr>
              <w:pStyle w:val="Textpoznpodarou"/>
              <w:jc w:val="both"/>
              <w:rPr>
                <w:rFonts w:cs="Arial"/>
                <w:sz w:val="16"/>
                <w:szCs w:val="16"/>
              </w:rPr>
            </w:pPr>
          </w:p>
        </w:tc>
      </w:tr>
      <w:tr w:rsidR="00DD0726" w:rsidRPr="00A74192" w:rsidTr="008C0F87">
        <w:tc>
          <w:tcPr>
            <w:tcW w:w="1007" w:type="pct"/>
          </w:tcPr>
          <w:p w:rsidR="00DD0726" w:rsidRDefault="00DD0726" w:rsidP="008C0F87">
            <w:pPr>
              <w:spacing w:line="240" w:lineRule="auto"/>
              <w:jc w:val="center"/>
              <w:rPr>
                <w:rFonts w:cs="Arial"/>
                <w:sz w:val="16"/>
                <w:szCs w:val="16"/>
              </w:rPr>
            </w:pPr>
          </w:p>
        </w:tc>
        <w:tc>
          <w:tcPr>
            <w:tcW w:w="144" w:type="pct"/>
          </w:tcPr>
          <w:p w:rsidR="00DD0726" w:rsidRPr="005E2AB2" w:rsidRDefault="00DD0726" w:rsidP="008C0F87">
            <w:pPr>
              <w:pStyle w:val="Textpoznpodarou"/>
              <w:jc w:val="both"/>
              <w:rPr>
                <w:rFonts w:cs="Arial"/>
              </w:rPr>
            </w:pPr>
          </w:p>
        </w:tc>
        <w:tc>
          <w:tcPr>
            <w:tcW w:w="575" w:type="pct"/>
          </w:tcPr>
          <w:p w:rsidR="00DD0726" w:rsidRDefault="00DD0726" w:rsidP="008C0F87">
            <w:pPr>
              <w:pStyle w:val="Textpoznpodarou"/>
              <w:jc w:val="both"/>
              <w:rPr>
                <w:rFonts w:cs="Arial"/>
              </w:rPr>
            </w:pPr>
            <w:r w:rsidRPr="005E2AB2">
              <w:rPr>
                <w:rFonts w:cs="Arial"/>
                <w:lang w:eastAsia="en-US"/>
              </w:rPr>
              <w:t>Graf č. 4</w:t>
            </w:r>
          </w:p>
        </w:tc>
        <w:tc>
          <w:tcPr>
            <w:tcW w:w="3274" w:type="pct"/>
            <w:gridSpan w:val="2"/>
          </w:tcPr>
          <w:p w:rsidR="00DD0726" w:rsidRDefault="00DD0726" w:rsidP="008C0F87">
            <w:pPr>
              <w:pStyle w:val="Textpoznpodarou"/>
              <w:rPr>
                <w:rFonts w:cs="Arial"/>
              </w:rPr>
            </w:pPr>
            <w:r>
              <w:rPr>
                <w:rFonts w:cs="Arial"/>
                <w:b/>
                <w:lang w:eastAsia="en-US"/>
              </w:rPr>
              <w:t>Příspěvky odvětví k reálné</w:t>
            </w:r>
            <w:r w:rsidRPr="005E2AB2">
              <w:rPr>
                <w:rFonts w:cs="Arial"/>
                <w:b/>
                <w:lang w:eastAsia="en-US"/>
              </w:rPr>
              <w:t> změně HPH</w:t>
            </w:r>
            <w:r w:rsidRPr="005E2AB2">
              <w:rPr>
                <w:rFonts w:cs="Arial"/>
                <w:lang w:eastAsia="en-US"/>
              </w:rPr>
              <w:t xml:space="preserve"> (</w:t>
            </w:r>
            <w:r>
              <w:rPr>
                <w:rFonts w:cs="Arial"/>
                <w:lang w:eastAsia="en-US"/>
              </w:rPr>
              <w:t>objemové indexy</w:t>
            </w:r>
            <w:r w:rsidRPr="005E2AB2">
              <w:rPr>
                <w:rFonts w:cs="Arial"/>
                <w:lang w:eastAsia="en-US"/>
              </w:rPr>
              <w:t>,</w:t>
            </w:r>
            <w:r>
              <w:rPr>
                <w:rFonts w:cs="Arial"/>
                <w:lang w:eastAsia="en-US"/>
              </w:rPr>
              <w:t xml:space="preserve"> meziroční</w:t>
            </w:r>
            <w:r w:rsidRPr="005E2AB2">
              <w:rPr>
                <w:rFonts w:cs="Arial"/>
                <w:lang w:eastAsia="en-US"/>
              </w:rPr>
              <w:t xml:space="preserve"> příspěvky v </w:t>
            </w:r>
            <w:proofErr w:type="spellStart"/>
            <w:proofErr w:type="gramStart"/>
            <w:r w:rsidRPr="005E2AB2">
              <w:rPr>
                <w:rFonts w:cs="Arial"/>
                <w:lang w:eastAsia="en-US"/>
              </w:rPr>
              <w:t>p.b</w:t>
            </w:r>
            <w:proofErr w:type="spellEnd"/>
            <w:r w:rsidRPr="005E2AB2">
              <w:rPr>
                <w:rFonts w:cs="Arial"/>
                <w:lang w:eastAsia="en-US"/>
              </w:rPr>
              <w:t>., HPH</w:t>
            </w:r>
            <w:proofErr w:type="gramEnd"/>
            <w:r w:rsidRPr="005E2AB2">
              <w:rPr>
                <w:rFonts w:cs="Arial"/>
                <w:lang w:eastAsia="en-US"/>
              </w:rPr>
              <w:t xml:space="preserve"> v %)</w:t>
            </w:r>
          </w:p>
        </w:tc>
      </w:tr>
      <w:tr w:rsidR="00DD0726" w:rsidRPr="00A74192" w:rsidTr="008C0F87">
        <w:tc>
          <w:tcPr>
            <w:tcW w:w="1007" w:type="pct"/>
          </w:tcPr>
          <w:p w:rsidR="00DD0726" w:rsidRDefault="00DD0726" w:rsidP="008C0F87">
            <w:pPr>
              <w:spacing w:line="240" w:lineRule="auto"/>
              <w:rPr>
                <w:rFonts w:cs="Arial"/>
                <w:sz w:val="16"/>
                <w:szCs w:val="16"/>
              </w:rPr>
            </w:pPr>
          </w:p>
        </w:tc>
        <w:tc>
          <w:tcPr>
            <w:tcW w:w="144" w:type="pct"/>
          </w:tcPr>
          <w:p w:rsidR="00DD0726" w:rsidRPr="005E2AB2" w:rsidRDefault="00DD0726" w:rsidP="008C0F87">
            <w:pPr>
              <w:pStyle w:val="Textpoznpodarou"/>
              <w:jc w:val="both"/>
              <w:rPr>
                <w:rFonts w:cs="Arial"/>
              </w:rPr>
            </w:pPr>
          </w:p>
        </w:tc>
        <w:tc>
          <w:tcPr>
            <w:tcW w:w="3849" w:type="pct"/>
            <w:gridSpan w:val="3"/>
          </w:tcPr>
          <w:p w:rsidR="00DD0726" w:rsidRDefault="00DD0726" w:rsidP="008C0F87">
            <w:pPr>
              <w:pStyle w:val="Textpoznpodarou"/>
              <w:ind w:left="-95"/>
              <w:jc w:val="both"/>
              <w:rPr>
                <w:rFonts w:cs="Arial"/>
              </w:rPr>
            </w:pPr>
            <w:r w:rsidRPr="002E4069">
              <w:rPr>
                <w:rFonts w:cs="Arial"/>
                <w:noProof/>
              </w:rPr>
              <w:drawing>
                <wp:inline distT="0" distB="0" distL="0" distR="0">
                  <wp:extent cx="4737600" cy="3553200"/>
                  <wp:effectExtent l="0" t="0" r="0" b="0"/>
                  <wp:docPr id="16"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D0726" w:rsidRDefault="00DD0726" w:rsidP="008C0F87">
            <w:pPr>
              <w:pStyle w:val="Textpoznpodarou"/>
              <w:ind w:left="-95"/>
              <w:jc w:val="right"/>
              <w:rPr>
                <w:rFonts w:cs="Arial"/>
                <w:sz w:val="14"/>
                <w:szCs w:val="14"/>
                <w:lang w:eastAsia="en-US"/>
              </w:rPr>
            </w:pPr>
            <w:r w:rsidRPr="007841BB">
              <w:rPr>
                <w:rFonts w:cs="Arial"/>
                <w:sz w:val="14"/>
                <w:szCs w:val="14"/>
                <w:lang w:eastAsia="en-US"/>
              </w:rPr>
              <w:t>Zdroj: ČSÚ</w:t>
            </w:r>
          </w:p>
          <w:p w:rsidR="00DD0726" w:rsidRPr="007841BB" w:rsidRDefault="00DD0726" w:rsidP="008C0F87">
            <w:pPr>
              <w:pStyle w:val="Textpoznpodarou"/>
              <w:ind w:left="-95"/>
              <w:jc w:val="right"/>
              <w:rPr>
                <w:rFonts w:cs="Arial"/>
                <w:sz w:val="14"/>
                <w:szCs w:val="14"/>
                <w:lang w:eastAsia="en-US"/>
              </w:rPr>
            </w:pPr>
          </w:p>
        </w:tc>
      </w:tr>
    </w:tbl>
    <w:p w:rsidR="005E4483" w:rsidRDefault="005E4483" w:rsidP="00DD0726">
      <w:pPr>
        <w:pStyle w:val="Nadpis1"/>
        <w:numPr>
          <w:ilvl w:val="0"/>
          <w:numId w:val="12"/>
        </w:numPr>
        <w:ind w:left="709"/>
        <w:jc w:val="both"/>
      </w:pPr>
      <w:bookmarkStart w:id="8" w:name="_Toc493683635"/>
      <w:r>
        <w:lastRenderedPageBreak/>
        <w:t>Výkonnost odvětví</w:t>
      </w:r>
      <w:bookmarkEnd w:id="5"/>
      <w:bookmarkEnd w:id="8"/>
    </w:p>
    <w:tbl>
      <w:tblPr>
        <w:tblW w:w="4986" w:type="pct"/>
        <w:tblInd w:w="107" w:type="dxa"/>
        <w:tblLayout w:type="fixed"/>
        <w:tblLook w:val="00A0"/>
      </w:tblPr>
      <w:tblGrid>
        <w:gridCol w:w="1997"/>
        <w:gridCol w:w="283"/>
        <w:gridCol w:w="7546"/>
      </w:tblGrid>
      <w:tr w:rsidR="00654093" w:rsidRPr="00DE32DB" w:rsidTr="00853C0F">
        <w:trPr>
          <w:trHeight w:val="145"/>
        </w:trPr>
        <w:tc>
          <w:tcPr>
            <w:tcW w:w="1016" w:type="pct"/>
          </w:tcPr>
          <w:p w:rsidR="00654093" w:rsidRPr="003E5346" w:rsidRDefault="00654093" w:rsidP="00853C0F">
            <w:pPr>
              <w:spacing w:line="240" w:lineRule="auto"/>
              <w:rPr>
                <w:spacing w:val="-2"/>
                <w:sz w:val="16"/>
                <w:szCs w:val="16"/>
              </w:rPr>
            </w:pPr>
            <w:r w:rsidRPr="003E5346">
              <w:rPr>
                <w:spacing w:val="-2"/>
                <w:sz w:val="16"/>
                <w:szCs w:val="16"/>
              </w:rPr>
              <w:t xml:space="preserve">Tempo růstu </w:t>
            </w:r>
            <w:r>
              <w:rPr>
                <w:spacing w:val="-2"/>
                <w:sz w:val="16"/>
                <w:szCs w:val="16"/>
              </w:rPr>
              <w:t>HPH v první polovině roku výrazně zrychlilo. Dařilo se všem hlavním odvětvím – nejvíce zemědělství, lesnictví rybářství a také zpracovatelskému průmyslu.</w:t>
            </w:r>
          </w:p>
        </w:tc>
        <w:tc>
          <w:tcPr>
            <w:tcW w:w="144" w:type="pct"/>
          </w:tcPr>
          <w:p w:rsidR="00654093" w:rsidRDefault="00654093" w:rsidP="00853C0F">
            <w:pPr>
              <w:pStyle w:val="Textpoznpodarou"/>
              <w:jc w:val="both"/>
            </w:pPr>
          </w:p>
        </w:tc>
        <w:tc>
          <w:tcPr>
            <w:tcW w:w="3840" w:type="pct"/>
          </w:tcPr>
          <w:p w:rsidR="00654093" w:rsidRPr="00C63A47" w:rsidRDefault="00654093" w:rsidP="00853C0F">
            <w:pPr>
              <w:pStyle w:val="Textpoznpodarou"/>
              <w:jc w:val="both"/>
              <w:rPr>
                <w:spacing w:val="-8"/>
              </w:rPr>
            </w:pPr>
            <w:r>
              <w:rPr>
                <w:spacing w:val="-4"/>
              </w:rPr>
              <w:t>Hrubá přidaná hodnota (HPH)</w:t>
            </w:r>
            <w:r>
              <w:rPr>
                <w:rStyle w:val="Znakapoznpodarou"/>
                <w:spacing w:val="-4"/>
              </w:rPr>
              <w:footnoteReference w:id="12"/>
            </w:r>
            <w:r>
              <w:rPr>
                <w:spacing w:val="-4"/>
              </w:rPr>
              <w:t xml:space="preserve"> ve všech odvětvích ekonomiky v 1. pololetí posílila meziročně </w:t>
            </w:r>
            <w:r w:rsidR="000C57C5">
              <w:rPr>
                <w:spacing w:val="-4"/>
              </w:rPr>
              <w:t xml:space="preserve">o </w:t>
            </w:r>
            <w:r>
              <w:rPr>
                <w:spacing w:val="-4"/>
              </w:rPr>
              <w:t xml:space="preserve">3,8 %. Zrychlení výkonu ilustrovala </w:t>
            </w:r>
            <w:proofErr w:type="spellStart"/>
            <w:r>
              <w:rPr>
                <w:spacing w:val="-4"/>
              </w:rPr>
              <w:t>mezikvartální</w:t>
            </w:r>
            <w:proofErr w:type="spellEnd"/>
            <w:r>
              <w:rPr>
                <w:spacing w:val="-4"/>
              </w:rPr>
              <w:t xml:space="preserve"> tempa. Zatímco na sklonku loňského roku byl vykázán růst 0,5 %, v 1. čtvrtletí 2017 pak 1,6 % a v následujících třech měsících již 2,3 % (nejsilnější </w:t>
            </w:r>
            <w:proofErr w:type="spellStart"/>
            <w:r>
              <w:rPr>
                <w:spacing w:val="-4"/>
              </w:rPr>
              <w:t>mezičtvrtletní</w:t>
            </w:r>
            <w:proofErr w:type="spellEnd"/>
            <w:r>
              <w:rPr>
                <w:spacing w:val="-4"/>
              </w:rPr>
              <w:t xml:space="preserve"> přírůstek ve více než dvacetileté historii sledování). HPH se navyšovala již sedmnácté čtvrtletí v řadě – v úhrnu se tak výkon všech odvětví posílil o celou šestinu. O meziroční růst HPH se v 1. pololetí zasloužilo všech deset hlavních odvětvových uskupení. Největší měrou přispěl tradičně zpracovatelský průmysl (2,0 </w:t>
            </w:r>
            <w:proofErr w:type="spellStart"/>
            <w:proofErr w:type="gramStart"/>
            <w:r>
              <w:rPr>
                <w:spacing w:val="-4"/>
              </w:rPr>
              <w:t>p.b</w:t>
            </w:r>
            <w:proofErr w:type="spellEnd"/>
            <w:r>
              <w:rPr>
                <w:spacing w:val="-4"/>
              </w:rPr>
              <w:t>.).</w:t>
            </w:r>
            <w:proofErr w:type="gramEnd"/>
            <w:r>
              <w:rPr>
                <w:spacing w:val="-4"/>
              </w:rPr>
              <w:t xml:space="preserve"> Nejdynamičtěji se letos</w:t>
            </w:r>
            <w:r w:rsidR="000C57C5">
              <w:rPr>
                <w:spacing w:val="-4"/>
              </w:rPr>
              <w:t>,</w:t>
            </w:r>
            <w:r>
              <w:rPr>
                <w:spacing w:val="-4"/>
              </w:rPr>
              <w:t xml:space="preserve"> stejně jako po celý loňský rok</w:t>
            </w:r>
            <w:r w:rsidR="000C57C5">
              <w:rPr>
                <w:spacing w:val="-4"/>
              </w:rPr>
              <w:t>,</w:t>
            </w:r>
            <w:r>
              <w:rPr>
                <w:spacing w:val="-4"/>
              </w:rPr>
              <w:t xml:space="preserve"> navyšovala HPH v odvětví zemědělství, lesnictví a rybářství (v 1. pololetí o </w:t>
            </w:r>
            <w:r w:rsidR="002B7937">
              <w:rPr>
                <w:spacing w:val="-4"/>
              </w:rPr>
              <w:t>+7,9 %</w:t>
            </w:r>
            <w:r>
              <w:rPr>
                <w:spacing w:val="-4"/>
              </w:rPr>
              <w:t xml:space="preserve"> </w:t>
            </w:r>
            <w:r w:rsidR="002B7937">
              <w:rPr>
                <w:spacing w:val="-4"/>
              </w:rPr>
              <w:t xml:space="preserve">meziročně, </w:t>
            </w:r>
            <w:r>
              <w:rPr>
                <w:spacing w:val="-4"/>
              </w:rPr>
              <w:t xml:space="preserve">za poslední čtyři roky v úhrnu dokonce o 31 %). </w:t>
            </w:r>
          </w:p>
          <w:p w:rsidR="00654093" w:rsidRPr="00BF7175" w:rsidRDefault="00654093" w:rsidP="00853C0F">
            <w:pPr>
              <w:pStyle w:val="Textpoznpodarou"/>
              <w:jc w:val="both"/>
              <w:rPr>
                <w:spacing w:val="-4"/>
                <w:sz w:val="15"/>
                <w:szCs w:val="15"/>
              </w:rPr>
            </w:pPr>
          </w:p>
        </w:tc>
      </w:tr>
      <w:tr w:rsidR="00654093" w:rsidRPr="00A74192" w:rsidTr="00853C0F">
        <w:trPr>
          <w:trHeight w:val="145"/>
        </w:trPr>
        <w:tc>
          <w:tcPr>
            <w:tcW w:w="1016" w:type="pct"/>
            <w:shd w:val="clear" w:color="auto" w:fill="auto"/>
          </w:tcPr>
          <w:p w:rsidR="00654093" w:rsidRPr="003E5346" w:rsidRDefault="00654093" w:rsidP="00853C0F">
            <w:pPr>
              <w:spacing w:line="240" w:lineRule="auto"/>
              <w:rPr>
                <w:spacing w:val="-2"/>
                <w:sz w:val="16"/>
                <w:szCs w:val="16"/>
              </w:rPr>
            </w:pPr>
            <w:r>
              <w:rPr>
                <w:spacing w:val="-2"/>
                <w:sz w:val="16"/>
                <w:szCs w:val="16"/>
              </w:rPr>
              <w:t xml:space="preserve">Příznivá ekonomická situace v hlavních exportních teritoriích společně se sílící tuzemskou poptávkou přispěly </w:t>
            </w:r>
            <w:proofErr w:type="gramStart"/>
            <w:r>
              <w:rPr>
                <w:spacing w:val="-2"/>
                <w:sz w:val="16"/>
                <w:szCs w:val="16"/>
              </w:rPr>
              <w:t>ve 2.čtvrtletí</w:t>
            </w:r>
            <w:proofErr w:type="gramEnd"/>
            <w:r>
              <w:rPr>
                <w:spacing w:val="-2"/>
                <w:sz w:val="16"/>
                <w:szCs w:val="16"/>
              </w:rPr>
              <w:t xml:space="preserve"> k téměř 7% růstu průmyslové produkce. </w:t>
            </w:r>
          </w:p>
        </w:tc>
        <w:tc>
          <w:tcPr>
            <w:tcW w:w="144" w:type="pct"/>
          </w:tcPr>
          <w:p w:rsidR="00654093" w:rsidRDefault="00654093" w:rsidP="00853C0F">
            <w:pPr>
              <w:pStyle w:val="Textpoznpodarou"/>
              <w:jc w:val="both"/>
            </w:pPr>
          </w:p>
        </w:tc>
        <w:tc>
          <w:tcPr>
            <w:tcW w:w="3840" w:type="pct"/>
          </w:tcPr>
          <w:p w:rsidR="00654093" w:rsidRDefault="00654093" w:rsidP="00853C0F">
            <w:pPr>
              <w:pStyle w:val="Textpoznpodarou"/>
              <w:jc w:val="both"/>
              <w:rPr>
                <w:spacing w:val="-4"/>
              </w:rPr>
            </w:pPr>
            <w:r>
              <w:rPr>
                <w:spacing w:val="-4"/>
              </w:rPr>
              <w:t xml:space="preserve">Velmi dobrou kondici průmyslu dokládají podrobnější údaje z podnikových statistik. Jeho </w:t>
            </w:r>
            <w:r>
              <w:rPr>
                <w:color w:val="000000" w:themeColor="text1"/>
                <w:spacing w:val="-4"/>
              </w:rPr>
              <w:t>výkon (dle indexu průmyslové</w:t>
            </w:r>
            <w:r w:rsidRPr="008D59A9">
              <w:rPr>
                <w:color w:val="000000" w:themeColor="text1"/>
                <w:spacing w:val="-4"/>
              </w:rPr>
              <w:t xml:space="preserve"> produkce)</w:t>
            </w:r>
            <w:r w:rsidRPr="008D59A9">
              <w:rPr>
                <w:color w:val="000000" w:themeColor="text1"/>
                <w:spacing w:val="-4"/>
                <w:vertAlign w:val="superscript"/>
              </w:rPr>
              <w:footnoteReference w:id="13"/>
            </w:r>
            <w:r w:rsidRPr="008D59A9">
              <w:rPr>
                <w:color w:val="000000" w:themeColor="text1"/>
                <w:spacing w:val="-4"/>
              </w:rPr>
              <w:t xml:space="preserve"> </w:t>
            </w:r>
            <w:r>
              <w:rPr>
                <w:color w:val="000000" w:themeColor="text1"/>
                <w:spacing w:val="-4"/>
              </w:rPr>
              <w:t xml:space="preserve">po silném </w:t>
            </w:r>
            <w:proofErr w:type="spellStart"/>
            <w:r>
              <w:rPr>
                <w:color w:val="000000" w:themeColor="text1"/>
                <w:spacing w:val="-4"/>
              </w:rPr>
              <w:t>mezikvartá</w:t>
            </w:r>
            <w:r w:rsidR="00B77FB7">
              <w:rPr>
                <w:color w:val="000000" w:themeColor="text1"/>
                <w:spacing w:val="-4"/>
              </w:rPr>
              <w:t>lním</w:t>
            </w:r>
            <w:proofErr w:type="spellEnd"/>
            <w:r w:rsidR="00B77FB7">
              <w:rPr>
                <w:color w:val="000000" w:themeColor="text1"/>
                <w:spacing w:val="-4"/>
              </w:rPr>
              <w:t xml:space="preserve"> růstu na počátku roku (+3,4</w:t>
            </w:r>
            <w:r>
              <w:rPr>
                <w:color w:val="000000" w:themeColor="text1"/>
                <w:spacing w:val="-4"/>
              </w:rPr>
              <w:t xml:space="preserve"> %, nejvyšším od konce roku 2014) posílil během 2. čtvrtletí o</w:t>
            </w:r>
            <w:r>
              <w:rPr>
                <w:spacing w:val="-4"/>
              </w:rPr>
              <w:t> </w:t>
            </w:r>
            <w:r>
              <w:rPr>
                <w:color w:val="000000" w:themeColor="text1"/>
                <w:spacing w:val="-4"/>
              </w:rPr>
              <w:t>dalších 1,8</w:t>
            </w:r>
            <w:r>
              <w:rPr>
                <w:spacing w:val="-4"/>
              </w:rPr>
              <w:t> </w:t>
            </w:r>
            <w:r>
              <w:rPr>
                <w:color w:val="000000" w:themeColor="text1"/>
                <w:spacing w:val="-4"/>
              </w:rPr>
              <w:t>%. Rostl tak téměř dvojnásobným tempem než v EU a mírně předčil i</w:t>
            </w:r>
            <w:r>
              <w:rPr>
                <w:spacing w:val="-4"/>
              </w:rPr>
              <w:t> </w:t>
            </w:r>
            <w:r>
              <w:rPr>
                <w:color w:val="000000" w:themeColor="text1"/>
                <w:spacing w:val="-4"/>
              </w:rPr>
              <w:t>sílící průmysl v Německu (+1,7 %). Meziroční výkon</w:t>
            </w:r>
            <w:r>
              <w:rPr>
                <w:rStyle w:val="Znakapoznpodarou"/>
                <w:color w:val="000000" w:themeColor="text1"/>
                <w:spacing w:val="-4"/>
              </w:rPr>
              <w:footnoteReference w:id="14"/>
            </w:r>
            <w:r>
              <w:rPr>
                <w:color w:val="000000" w:themeColor="text1"/>
                <w:spacing w:val="-4"/>
              </w:rPr>
              <w:t xml:space="preserve"> průmyslu v Česku </w:t>
            </w:r>
            <w:proofErr w:type="gramStart"/>
            <w:r>
              <w:rPr>
                <w:color w:val="000000" w:themeColor="text1"/>
                <w:spacing w:val="-4"/>
              </w:rPr>
              <w:t>vystoupal z 4,9</w:t>
            </w:r>
            <w:proofErr w:type="gramEnd"/>
            <w:r>
              <w:rPr>
                <w:color w:val="000000" w:themeColor="text1"/>
                <w:spacing w:val="-4"/>
              </w:rPr>
              <w:t xml:space="preserve"> % v 1. čtvrtletí na 6,8 % v následujícím kvartále</w:t>
            </w:r>
            <w:r w:rsidR="00F2490D">
              <w:rPr>
                <w:color w:val="000000" w:themeColor="text1"/>
                <w:spacing w:val="-4"/>
              </w:rPr>
              <w:t>,</w:t>
            </w:r>
            <w:r>
              <w:rPr>
                <w:color w:val="000000" w:themeColor="text1"/>
                <w:spacing w:val="-4"/>
              </w:rPr>
              <w:t xml:space="preserve"> a dosáhl tak nejlepšího tempa od pol</w:t>
            </w:r>
            <w:r w:rsidR="000C57C5">
              <w:rPr>
                <w:color w:val="000000" w:themeColor="text1"/>
                <w:spacing w:val="-4"/>
              </w:rPr>
              <w:t>oviny roku 2011, kdy se „</w:t>
            </w:r>
            <w:r>
              <w:rPr>
                <w:color w:val="000000" w:themeColor="text1"/>
                <w:spacing w:val="-4"/>
              </w:rPr>
              <w:t>vzpamatovával</w:t>
            </w:r>
            <w:r w:rsidR="000C57C5">
              <w:rPr>
                <w:color w:val="000000" w:themeColor="text1"/>
                <w:spacing w:val="-4"/>
              </w:rPr>
              <w:t>“</w:t>
            </w:r>
            <w:r>
              <w:rPr>
                <w:color w:val="000000" w:themeColor="text1"/>
                <w:spacing w:val="-4"/>
              </w:rPr>
              <w:t xml:space="preserve"> z důsledků hluboké recese. Za těmito výsledky stála dobrá ekonomická situace v hlavních exportních teritoriích, ale i sílící tuzemská poptávka. </w:t>
            </w:r>
          </w:p>
          <w:p w:rsidR="00654093" w:rsidRPr="001D1E02" w:rsidRDefault="00654093" w:rsidP="00853C0F">
            <w:pPr>
              <w:pStyle w:val="Textpoznpodarou"/>
              <w:jc w:val="both"/>
              <w:rPr>
                <w:spacing w:val="-4"/>
                <w:sz w:val="15"/>
                <w:szCs w:val="15"/>
              </w:rPr>
            </w:pPr>
          </w:p>
        </w:tc>
      </w:tr>
      <w:tr w:rsidR="00654093" w:rsidRPr="00A74192" w:rsidTr="00853C0F">
        <w:trPr>
          <w:trHeight w:val="145"/>
        </w:trPr>
        <w:tc>
          <w:tcPr>
            <w:tcW w:w="1016" w:type="pct"/>
            <w:shd w:val="clear" w:color="auto" w:fill="auto"/>
          </w:tcPr>
          <w:p w:rsidR="00654093" w:rsidRPr="00DA1318" w:rsidRDefault="00654093" w:rsidP="00853C0F">
            <w:pPr>
              <w:spacing w:line="240" w:lineRule="auto"/>
              <w:rPr>
                <w:sz w:val="16"/>
                <w:szCs w:val="16"/>
              </w:rPr>
            </w:pPr>
            <w:r>
              <w:rPr>
                <w:sz w:val="16"/>
                <w:szCs w:val="16"/>
              </w:rPr>
              <w:t>Přetrvával silný růst automobilového průmyslu i jeho hlavních subdodavatelů.</w:t>
            </w:r>
          </w:p>
        </w:tc>
        <w:tc>
          <w:tcPr>
            <w:tcW w:w="144" w:type="pct"/>
          </w:tcPr>
          <w:p w:rsidR="00654093" w:rsidRPr="009E7B1B" w:rsidRDefault="00654093" w:rsidP="00853C0F">
            <w:pPr>
              <w:pStyle w:val="Textpoznpodarou"/>
              <w:jc w:val="both"/>
              <w:rPr>
                <w:spacing w:val="-2"/>
              </w:rPr>
            </w:pPr>
          </w:p>
        </w:tc>
        <w:tc>
          <w:tcPr>
            <w:tcW w:w="3840" w:type="pct"/>
          </w:tcPr>
          <w:p w:rsidR="00654093" w:rsidRDefault="00654093" w:rsidP="00853C0F">
            <w:pPr>
              <w:pStyle w:val="Textpoznpodarou"/>
              <w:jc w:val="both"/>
              <w:rPr>
                <w:spacing w:val="-4"/>
              </w:rPr>
            </w:pPr>
            <w:r w:rsidRPr="00593922">
              <w:rPr>
                <w:spacing w:val="-4"/>
              </w:rPr>
              <w:t>Klíčovou roli</w:t>
            </w:r>
            <w:r>
              <w:rPr>
                <w:spacing w:val="-4"/>
              </w:rPr>
              <w:t xml:space="preserve"> si nadále udržovala tradiční „hnací odvětví“ českého průmyslu – výroba motorových vozidel spolu s nejbližšími návaznými obory. Produkce v automobilovém průmyslu byla v obou letošních čtvrtletích meziročně o desetinu vyšší. Na základě údajů o tržbách i zakázkách lze soudit, že rychleji rostla zahraniční poptávka. Pokračoval</w:t>
            </w:r>
            <w:r w:rsidRPr="00C00806">
              <w:rPr>
                <w:spacing w:val="-4"/>
              </w:rPr>
              <w:t xml:space="preserve"> i </w:t>
            </w:r>
            <w:r>
              <w:rPr>
                <w:spacing w:val="-4"/>
              </w:rPr>
              <w:t xml:space="preserve">další růst </w:t>
            </w:r>
            <w:r w:rsidRPr="00C00806">
              <w:rPr>
                <w:spacing w:val="-4"/>
              </w:rPr>
              <w:t>fyzické</w:t>
            </w:r>
            <w:r>
              <w:rPr>
                <w:spacing w:val="-4"/>
              </w:rPr>
              <w:t>ho</w:t>
            </w:r>
            <w:r w:rsidRPr="00C00806">
              <w:rPr>
                <w:spacing w:val="-4"/>
              </w:rPr>
              <w:t xml:space="preserve"> množství vyrobených osobních automobilů</w:t>
            </w:r>
            <w:r w:rsidRPr="00C00806">
              <w:rPr>
                <w:rStyle w:val="Znakapoznpodarou"/>
                <w:spacing w:val="-4"/>
              </w:rPr>
              <w:footnoteReference w:id="15"/>
            </w:r>
            <w:r>
              <w:rPr>
                <w:spacing w:val="-4"/>
              </w:rPr>
              <w:t xml:space="preserve">. Na vlně rozvoje automobilového průmyslu se v 1. pololetí vezla výroba elektrických zařízení (+8,4 %), jakož i </w:t>
            </w:r>
            <w:proofErr w:type="spellStart"/>
            <w:r>
              <w:rPr>
                <w:spacing w:val="-4"/>
              </w:rPr>
              <w:t>plastikářství</w:t>
            </w:r>
            <w:proofErr w:type="spellEnd"/>
            <w:r>
              <w:rPr>
                <w:spacing w:val="-4"/>
              </w:rPr>
              <w:t xml:space="preserve"> a gumárenství (+9,2 %). Výrazně zrychlilo tempo produkce ve výrobě počítačů, elektronických a optických přístrojů (ze 7,5 % z počátku roku na 18,1 % v následujícím čtvrtletí). Přispělo k tomu i oživení domácí poptávky (hodnota tuzemských zakázek vzrostla ve 2. čtvrtletí meziročně o 22 %).</w:t>
            </w:r>
          </w:p>
          <w:p w:rsidR="00654093" w:rsidRPr="00593922" w:rsidRDefault="00654093" w:rsidP="00853C0F">
            <w:pPr>
              <w:pStyle w:val="Textpoznpodarou"/>
              <w:jc w:val="both"/>
              <w:rPr>
                <w:spacing w:val="-4"/>
                <w:sz w:val="15"/>
                <w:szCs w:val="15"/>
              </w:rPr>
            </w:pPr>
          </w:p>
        </w:tc>
      </w:tr>
      <w:tr w:rsidR="00654093" w:rsidRPr="00A74192" w:rsidTr="00853C0F">
        <w:trPr>
          <w:trHeight w:val="145"/>
        </w:trPr>
        <w:tc>
          <w:tcPr>
            <w:tcW w:w="1016" w:type="pct"/>
            <w:shd w:val="clear" w:color="auto" w:fill="auto"/>
          </w:tcPr>
          <w:p w:rsidR="00654093" w:rsidRPr="003C0D68" w:rsidRDefault="00654093" w:rsidP="00853C0F">
            <w:pPr>
              <w:spacing w:line="240" w:lineRule="auto"/>
              <w:rPr>
                <w:spacing w:val="-2"/>
                <w:sz w:val="16"/>
                <w:szCs w:val="16"/>
              </w:rPr>
            </w:pPr>
            <w:r>
              <w:rPr>
                <w:spacing w:val="-2"/>
                <w:sz w:val="16"/>
                <w:szCs w:val="16"/>
              </w:rPr>
              <w:t>Strojírenská produkce zrychlila</w:t>
            </w:r>
            <w:r w:rsidR="00F2490D">
              <w:rPr>
                <w:spacing w:val="-2"/>
                <w:sz w:val="16"/>
                <w:szCs w:val="16"/>
              </w:rPr>
              <w:t xml:space="preserve"> na nejvyšší tempo</w:t>
            </w:r>
            <w:r>
              <w:rPr>
                <w:spacing w:val="-2"/>
                <w:sz w:val="16"/>
                <w:szCs w:val="16"/>
              </w:rPr>
              <w:t xml:space="preserve"> za posledních šest let. Plně obnovené kapacity chemického průmyslu umožnily překonat úroveň produkce před haváriemi.</w:t>
            </w:r>
          </w:p>
        </w:tc>
        <w:tc>
          <w:tcPr>
            <w:tcW w:w="144" w:type="pct"/>
          </w:tcPr>
          <w:p w:rsidR="00654093" w:rsidRPr="005A16AE" w:rsidRDefault="00654093" w:rsidP="00853C0F">
            <w:pPr>
              <w:rPr>
                <w:color w:val="000000" w:themeColor="text1"/>
                <w:szCs w:val="16"/>
              </w:rPr>
            </w:pPr>
          </w:p>
        </w:tc>
        <w:tc>
          <w:tcPr>
            <w:tcW w:w="3840" w:type="pct"/>
          </w:tcPr>
          <w:p w:rsidR="00654093" w:rsidRPr="008537CE" w:rsidRDefault="00654093" w:rsidP="00853C0F">
            <w:pPr>
              <w:pStyle w:val="Textpoznpodarou"/>
              <w:jc w:val="both"/>
              <w:rPr>
                <w:spacing w:val="-4"/>
              </w:rPr>
            </w:pPr>
            <w:r>
              <w:rPr>
                <w:spacing w:val="-4"/>
              </w:rPr>
              <w:t>Pro celou ekonomiku bylo příznivé, že v letošním roce ožily významné průmyslové obory, které jsou ve větší míře navázány i na domácí poptávku. Strojírenská produkce vzrostla v 1. pololetí nejvyšší</w:t>
            </w:r>
            <w:r w:rsidR="00F2490D">
              <w:rPr>
                <w:spacing w:val="-4"/>
              </w:rPr>
              <w:t>m</w:t>
            </w:r>
            <w:r>
              <w:rPr>
                <w:spacing w:val="-4"/>
              </w:rPr>
              <w:t xml:space="preserve"> tempem (7,7 %) za posledních šest let. Podstatné bylo i plné obnovení výrobních kapacit v chemickém průmyslu, jež se projevilo jak v zakázkách (+25 %), tak i navýšením produkce (21 %), která již překonala úroveň před haváriemi (2. čtvrtletí 2015). Navýšení dočasně omezených výrobních kapacit i relativně chladnější zima se odrazily ve </w:t>
            </w:r>
            <w:r w:rsidR="00B77FB7">
              <w:rPr>
                <w:spacing w:val="-4"/>
              </w:rPr>
              <w:t>vyšší produkci energetiky (o 2,6</w:t>
            </w:r>
            <w:r>
              <w:rPr>
                <w:spacing w:val="-4"/>
              </w:rPr>
              <w:t xml:space="preserve"> %). Z hlediska váhy produkce druhý nejvýznamnější zpracova</w:t>
            </w:r>
            <w:r w:rsidR="00F23F6C">
              <w:rPr>
                <w:spacing w:val="-4"/>
              </w:rPr>
              <w:t xml:space="preserve">telský obor – </w:t>
            </w:r>
            <w:proofErr w:type="gramStart"/>
            <w:r w:rsidR="00F23F6C">
              <w:rPr>
                <w:spacing w:val="-4"/>
              </w:rPr>
              <w:t>kovovýroba –rostl</w:t>
            </w:r>
            <w:proofErr w:type="gramEnd"/>
            <w:r w:rsidR="00B77FB7">
              <w:rPr>
                <w:spacing w:val="-4"/>
              </w:rPr>
              <w:t xml:space="preserve"> letos o 5,4</w:t>
            </w:r>
            <w:r>
              <w:rPr>
                <w:spacing w:val="-4"/>
              </w:rPr>
              <w:t xml:space="preserve"> % (v samotném 2. čtvrtletí se produkce navýšila o více než 8 %). Z malých oborů se dařilo zejména exportně zaměřenému farmaceutickému průmyslu, jehož produkce stoupla meziročně o desetinu a za čtyři roky o více než čtvrtinu. Od poslední recese plynule roste také papírenský, nábytkářský a textilní průmysl.</w:t>
            </w:r>
          </w:p>
          <w:p w:rsidR="00654093" w:rsidRPr="009E121A" w:rsidRDefault="00654093" w:rsidP="00853C0F">
            <w:pPr>
              <w:pStyle w:val="Textpoznpodarou"/>
              <w:jc w:val="both"/>
              <w:rPr>
                <w:color w:val="000000" w:themeColor="text1"/>
                <w:spacing w:val="-4"/>
                <w:sz w:val="15"/>
                <w:szCs w:val="15"/>
              </w:rPr>
            </w:pPr>
          </w:p>
        </w:tc>
      </w:tr>
      <w:tr w:rsidR="00654093" w:rsidRPr="003F0293" w:rsidTr="00853C0F">
        <w:trPr>
          <w:trHeight w:val="145"/>
        </w:trPr>
        <w:tc>
          <w:tcPr>
            <w:tcW w:w="1016" w:type="pct"/>
            <w:shd w:val="clear" w:color="auto" w:fill="auto"/>
          </w:tcPr>
          <w:p w:rsidR="00654093" w:rsidRDefault="00654093" w:rsidP="00853C0F">
            <w:pPr>
              <w:spacing w:line="240" w:lineRule="auto"/>
              <w:rPr>
                <w:spacing w:val="-2"/>
                <w:sz w:val="16"/>
                <w:szCs w:val="16"/>
              </w:rPr>
            </w:pPr>
            <w:r>
              <w:rPr>
                <w:spacing w:val="-2"/>
                <w:sz w:val="16"/>
                <w:szCs w:val="16"/>
              </w:rPr>
              <w:t xml:space="preserve">Produkce v těžebním průmyslu </w:t>
            </w:r>
            <w:proofErr w:type="spellStart"/>
            <w:r>
              <w:rPr>
                <w:spacing w:val="-2"/>
                <w:sz w:val="16"/>
                <w:szCs w:val="16"/>
              </w:rPr>
              <w:t>mezičtvrtletně</w:t>
            </w:r>
            <w:proofErr w:type="spellEnd"/>
            <w:r>
              <w:rPr>
                <w:spacing w:val="-2"/>
                <w:sz w:val="16"/>
                <w:szCs w:val="16"/>
              </w:rPr>
              <w:t xml:space="preserve"> klesala již posedmé v řadě, po loňském oživení se snížil výkon v hutnictví a slévárenství.</w:t>
            </w:r>
          </w:p>
          <w:p w:rsidR="00654093" w:rsidRDefault="00654093" w:rsidP="00853C0F">
            <w:pPr>
              <w:spacing w:line="240" w:lineRule="auto"/>
              <w:rPr>
                <w:spacing w:val="-2"/>
                <w:sz w:val="16"/>
                <w:szCs w:val="16"/>
              </w:rPr>
            </w:pPr>
          </w:p>
          <w:p w:rsidR="00654093" w:rsidRDefault="00654093" w:rsidP="00853C0F">
            <w:pPr>
              <w:spacing w:line="240" w:lineRule="auto"/>
              <w:rPr>
                <w:spacing w:val="-2"/>
                <w:sz w:val="16"/>
                <w:szCs w:val="16"/>
              </w:rPr>
            </w:pPr>
          </w:p>
          <w:p w:rsidR="00654093" w:rsidRPr="003C0D68" w:rsidRDefault="00654093" w:rsidP="00853C0F">
            <w:pPr>
              <w:spacing w:line="240" w:lineRule="auto"/>
              <w:rPr>
                <w:spacing w:val="-2"/>
                <w:sz w:val="16"/>
                <w:szCs w:val="16"/>
              </w:rPr>
            </w:pPr>
            <w:r>
              <w:rPr>
                <w:spacing w:val="-2"/>
                <w:sz w:val="16"/>
                <w:szCs w:val="16"/>
              </w:rPr>
              <w:lastRenderedPageBreak/>
              <w:t>Pokles objemu tuzemských zakázek se podepsal na nižších výkonech výrobců ostatních (především kolejových) dopravních prostředků.</w:t>
            </w:r>
          </w:p>
        </w:tc>
        <w:tc>
          <w:tcPr>
            <w:tcW w:w="144" w:type="pct"/>
          </w:tcPr>
          <w:p w:rsidR="00654093" w:rsidRPr="005A16AE" w:rsidRDefault="00654093" w:rsidP="00853C0F">
            <w:pPr>
              <w:rPr>
                <w:color w:val="000000" w:themeColor="text1"/>
                <w:szCs w:val="16"/>
              </w:rPr>
            </w:pPr>
          </w:p>
        </w:tc>
        <w:tc>
          <w:tcPr>
            <w:tcW w:w="3840" w:type="pct"/>
          </w:tcPr>
          <w:p w:rsidR="00654093" w:rsidRPr="003F0293" w:rsidRDefault="00654093" w:rsidP="00F23F6C">
            <w:pPr>
              <w:pStyle w:val="Textpoznpodarou"/>
              <w:jc w:val="both"/>
              <w:rPr>
                <w:color w:val="000000" w:themeColor="text1"/>
                <w:spacing w:val="-4"/>
              </w:rPr>
            </w:pPr>
            <w:r>
              <w:rPr>
                <w:color w:val="000000" w:themeColor="text1"/>
                <w:spacing w:val="-4"/>
              </w:rPr>
              <w:t xml:space="preserve">I přes příznivý vývoj průmyslu jako celku však </w:t>
            </w:r>
            <w:r w:rsidR="00F23F6C">
              <w:rPr>
                <w:color w:val="000000" w:themeColor="text1"/>
                <w:spacing w:val="-4"/>
              </w:rPr>
              <w:t xml:space="preserve">nadále existovaly </w:t>
            </w:r>
            <w:r>
              <w:rPr>
                <w:color w:val="000000" w:themeColor="text1"/>
                <w:spacing w:val="-4"/>
              </w:rPr>
              <w:t>obory</w:t>
            </w:r>
            <w:r w:rsidR="00F23F6C">
              <w:rPr>
                <w:color w:val="000000" w:themeColor="text1"/>
                <w:spacing w:val="-4"/>
              </w:rPr>
              <w:t>, u nichž se projevovaly negativní tendence.</w:t>
            </w:r>
            <w:r>
              <w:rPr>
                <w:color w:val="000000" w:themeColor="text1"/>
                <w:spacing w:val="-4"/>
              </w:rPr>
              <w:t xml:space="preserve"> V tě</w:t>
            </w:r>
            <w:r w:rsidR="00F23F6C">
              <w:rPr>
                <w:color w:val="000000" w:themeColor="text1"/>
                <w:spacing w:val="-4"/>
              </w:rPr>
              <w:t>žebním průmyslu poznamenaném útlu</w:t>
            </w:r>
            <w:r>
              <w:rPr>
                <w:color w:val="000000" w:themeColor="text1"/>
                <w:spacing w:val="-4"/>
              </w:rPr>
              <w:t>mem těžby černého uhlí se produkce v </w:t>
            </w:r>
            <w:proofErr w:type="spellStart"/>
            <w:r>
              <w:rPr>
                <w:color w:val="000000" w:themeColor="text1"/>
                <w:spacing w:val="-4"/>
              </w:rPr>
              <w:t>mezičtvrtletním</w:t>
            </w:r>
            <w:proofErr w:type="spellEnd"/>
            <w:r>
              <w:rPr>
                <w:color w:val="000000" w:themeColor="text1"/>
                <w:spacing w:val="-4"/>
              </w:rPr>
              <w:t xml:space="preserve"> vyjádření snižovala již posedmé v řadě. V úhrnu se tak za necelé dva roky zredukoval</w:t>
            </w:r>
            <w:r w:rsidR="00F23F6C">
              <w:rPr>
                <w:color w:val="000000" w:themeColor="text1"/>
                <w:spacing w:val="-4"/>
              </w:rPr>
              <w:t>a o bezmála 20 %. V hutnictví a </w:t>
            </w:r>
            <w:r>
              <w:rPr>
                <w:color w:val="000000" w:themeColor="text1"/>
                <w:spacing w:val="-4"/>
              </w:rPr>
              <w:t xml:space="preserve">slévárenství došlo během loňského roku k částečně stabilizaci (i vlivem zavedení antidumpingových cel na dovozu některých výrobků z oceli z Číny do EU). V letošním roce se však produkce v tomto odvětví v Česku (na rozdíl od EU) opět </w:t>
            </w:r>
            <w:proofErr w:type="spellStart"/>
            <w:r>
              <w:rPr>
                <w:color w:val="000000" w:themeColor="text1"/>
                <w:spacing w:val="-4"/>
              </w:rPr>
              <w:t>mezičtvrtletně</w:t>
            </w:r>
            <w:proofErr w:type="spellEnd"/>
            <w:r>
              <w:rPr>
                <w:color w:val="000000" w:themeColor="text1"/>
                <w:spacing w:val="-4"/>
              </w:rPr>
              <w:t xml:space="preserve"> </w:t>
            </w:r>
            <w:r>
              <w:rPr>
                <w:color w:val="000000" w:themeColor="text1"/>
                <w:spacing w:val="-4"/>
              </w:rPr>
              <w:lastRenderedPageBreak/>
              <w:t>snižovala, nadále se mírné redukovala rovněž zaměstnanost. Po krátkodobém oživení v letech 2015 a 2016 produkce v oděvním prů</w:t>
            </w:r>
            <w:r w:rsidR="00B77FB7">
              <w:rPr>
                <w:color w:val="000000" w:themeColor="text1"/>
                <w:spacing w:val="-4"/>
              </w:rPr>
              <w:t>myslu letos opět poklesla (o 4,5</w:t>
            </w:r>
            <w:r>
              <w:rPr>
                <w:color w:val="000000" w:themeColor="text1"/>
                <w:spacing w:val="-4"/>
              </w:rPr>
              <w:t xml:space="preserve"> % meziročně). Zatímco domácí poptávka nadále rostla, objem zahraničních zakázek, jakož i tržby z přímého vývozu oděvním podnikům</w:t>
            </w:r>
            <w:r w:rsidR="00F2490D">
              <w:rPr>
                <w:color w:val="000000" w:themeColor="text1"/>
                <w:spacing w:val="-4"/>
              </w:rPr>
              <w:t>,</w:t>
            </w:r>
            <w:r>
              <w:rPr>
                <w:color w:val="000000" w:themeColor="text1"/>
                <w:spacing w:val="-4"/>
              </w:rPr>
              <w:t xml:space="preserve"> kles</w:t>
            </w:r>
            <w:r w:rsidR="00F2490D">
              <w:rPr>
                <w:color w:val="000000" w:themeColor="text1"/>
                <w:spacing w:val="-4"/>
              </w:rPr>
              <w:t>al</w:t>
            </w:r>
            <w:r>
              <w:rPr>
                <w:color w:val="000000" w:themeColor="text1"/>
                <w:spacing w:val="-4"/>
              </w:rPr>
              <w:t xml:space="preserve">. O více než 7 % nižší výkon zaznamenala oprava a instalace strojů a zařízení. Šlo zároveň o jediný zpracovatelský obor, jehož letošní produkce byla oproti konci poslední recese (1. pololetí 2013) nižší. O desetinu se letos snížil výkon i ve výrobě ostatních (zejména kolejových) dopravních prostředků. Ten je však tradičně vzhledem k charakteru zakázek značně </w:t>
            </w:r>
            <w:proofErr w:type="spellStart"/>
            <w:r>
              <w:rPr>
                <w:color w:val="000000" w:themeColor="text1"/>
                <w:spacing w:val="-4"/>
              </w:rPr>
              <w:t>volatilní</w:t>
            </w:r>
            <w:proofErr w:type="spellEnd"/>
            <w:r>
              <w:rPr>
                <w:color w:val="000000" w:themeColor="text1"/>
                <w:spacing w:val="-4"/>
              </w:rPr>
              <w:t>. Na výsledku se podepsal nižší objem tuzemských objednávek.</w:t>
            </w:r>
          </w:p>
        </w:tc>
      </w:tr>
    </w:tbl>
    <w:p w:rsidR="00654093" w:rsidRPr="006B2F92" w:rsidRDefault="00654093" w:rsidP="00654093">
      <w:pPr>
        <w:pStyle w:val="Textpoznpodarou"/>
        <w:jc w:val="both"/>
        <w:rPr>
          <w:sz w:val="15"/>
          <w:szCs w:val="15"/>
        </w:rPr>
      </w:pPr>
    </w:p>
    <w:tbl>
      <w:tblPr>
        <w:tblW w:w="4963" w:type="pct"/>
        <w:tblInd w:w="108" w:type="dxa"/>
        <w:tblLayout w:type="fixed"/>
        <w:tblLook w:val="00A0"/>
      </w:tblPr>
      <w:tblGrid>
        <w:gridCol w:w="1997"/>
        <w:gridCol w:w="284"/>
        <w:gridCol w:w="1121"/>
        <w:gridCol w:w="6379"/>
      </w:tblGrid>
      <w:tr w:rsidR="00654093" w:rsidRPr="00AA4A76" w:rsidTr="00853C0F">
        <w:trPr>
          <w:trHeight w:val="145"/>
        </w:trPr>
        <w:tc>
          <w:tcPr>
            <w:tcW w:w="1021" w:type="pct"/>
            <w:shd w:val="clear" w:color="auto" w:fill="auto"/>
          </w:tcPr>
          <w:p w:rsidR="00654093" w:rsidRPr="00AA4A76" w:rsidRDefault="00654093" w:rsidP="00853C0F">
            <w:pPr>
              <w:spacing w:line="240" w:lineRule="auto"/>
              <w:jc w:val="center"/>
              <w:rPr>
                <w:color w:val="000000"/>
                <w:szCs w:val="20"/>
              </w:rPr>
            </w:pPr>
          </w:p>
        </w:tc>
        <w:tc>
          <w:tcPr>
            <w:tcW w:w="145" w:type="pct"/>
          </w:tcPr>
          <w:p w:rsidR="00654093" w:rsidRPr="00AA4A76" w:rsidRDefault="00654093" w:rsidP="00853C0F">
            <w:pPr>
              <w:pStyle w:val="Textpoznpodarou"/>
              <w:jc w:val="both"/>
              <w:rPr>
                <w:highlight w:val="yellow"/>
              </w:rPr>
            </w:pPr>
          </w:p>
        </w:tc>
        <w:tc>
          <w:tcPr>
            <w:tcW w:w="573" w:type="pct"/>
          </w:tcPr>
          <w:p w:rsidR="00654093" w:rsidRPr="00540CB3" w:rsidRDefault="00654093" w:rsidP="00853C0F">
            <w:pPr>
              <w:pStyle w:val="Textpoznpodarou"/>
              <w:jc w:val="both"/>
              <w:rPr>
                <w:highlight w:val="yellow"/>
              </w:rPr>
            </w:pPr>
            <w:r w:rsidRPr="00540CB3">
              <w:rPr>
                <w:color w:val="000000"/>
              </w:rPr>
              <w:t>Graf č. 5</w:t>
            </w:r>
          </w:p>
        </w:tc>
        <w:tc>
          <w:tcPr>
            <w:tcW w:w="3261" w:type="pct"/>
          </w:tcPr>
          <w:p w:rsidR="00654093" w:rsidRPr="003C6DB9" w:rsidRDefault="00654093" w:rsidP="00853C0F">
            <w:pPr>
              <w:pStyle w:val="Textpoznpodarou"/>
              <w:rPr>
                <w:b/>
              </w:rPr>
            </w:pPr>
            <w:r w:rsidRPr="001D04BA">
              <w:rPr>
                <w:b/>
              </w:rPr>
              <w:t>Produkce v průmyslu a</w:t>
            </w:r>
            <w:r>
              <w:rPr>
                <w:b/>
              </w:rPr>
              <w:t xml:space="preserve"> ve</w:t>
            </w:r>
            <w:r w:rsidRPr="001D04BA">
              <w:rPr>
                <w:b/>
              </w:rPr>
              <w:t xml:space="preserve"> vyb</w:t>
            </w:r>
            <w:r>
              <w:rPr>
                <w:b/>
              </w:rPr>
              <w:t xml:space="preserve">raných zpracovatelských odvětvích </w:t>
            </w:r>
            <w:r>
              <w:t>(reálně, očištěno o kalendářní vlivy,</w:t>
            </w:r>
            <w:r w:rsidRPr="001D04BA">
              <w:t xml:space="preserve"> </w:t>
            </w:r>
            <w:r>
              <w:t>meziročně</w:t>
            </w:r>
            <w:r w:rsidRPr="001D04BA">
              <w:t xml:space="preserve"> v %)</w:t>
            </w:r>
          </w:p>
        </w:tc>
      </w:tr>
      <w:tr w:rsidR="00654093" w:rsidRPr="00AA4A76" w:rsidTr="00853C0F">
        <w:trPr>
          <w:trHeight w:val="145"/>
        </w:trPr>
        <w:tc>
          <w:tcPr>
            <w:tcW w:w="1021" w:type="pct"/>
            <w:shd w:val="clear" w:color="auto" w:fill="auto"/>
          </w:tcPr>
          <w:p w:rsidR="00654093" w:rsidRPr="006D3F53" w:rsidRDefault="00654093" w:rsidP="00853C0F">
            <w:pPr>
              <w:spacing w:line="240" w:lineRule="auto"/>
              <w:rPr>
                <w:color w:val="000000"/>
                <w:sz w:val="16"/>
                <w:szCs w:val="16"/>
                <w:highlight w:val="yellow"/>
              </w:rPr>
            </w:pPr>
          </w:p>
        </w:tc>
        <w:tc>
          <w:tcPr>
            <w:tcW w:w="145" w:type="pct"/>
          </w:tcPr>
          <w:p w:rsidR="00654093" w:rsidRPr="00A74192" w:rsidRDefault="00654093" w:rsidP="00853C0F">
            <w:pPr>
              <w:pStyle w:val="Textpoznpodarou"/>
              <w:jc w:val="both"/>
            </w:pPr>
          </w:p>
        </w:tc>
        <w:tc>
          <w:tcPr>
            <w:tcW w:w="3834" w:type="pct"/>
            <w:gridSpan w:val="2"/>
          </w:tcPr>
          <w:p w:rsidR="00654093" w:rsidRPr="00A82C52" w:rsidRDefault="00F2490D" w:rsidP="00853C0F">
            <w:pPr>
              <w:pStyle w:val="Textpoznpodarou"/>
              <w:ind w:left="-124"/>
              <w:jc w:val="right"/>
              <w:rPr>
                <w:sz w:val="16"/>
                <w:szCs w:val="16"/>
              </w:rPr>
            </w:pPr>
            <w:r w:rsidRPr="00F2490D">
              <w:rPr>
                <w:noProof/>
                <w:sz w:val="14"/>
                <w:szCs w:val="14"/>
              </w:rPr>
              <w:drawing>
                <wp:inline distT="0" distB="0" distL="0" distR="0">
                  <wp:extent cx="4769902" cy="3553200"/>
                  <wp:effectExtent l="0" t="0" r="0" b="0"/>
                  <wp:docPr id="8"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654093" w:rsidRPr="00540CB3">
              <w:rPr>
                <w:sz w:val="14"/>
                <w:szCs w:val="14"/>
              </w:rPr>
              <w:t>Zdroj: ČSÚ</w:t>
            </w:r>
          </w:p>
        </w:tc>
      </w:tr>
    </w:tbl>
    <w:p w:rsidR="00654093" w:rsidRPr="006B2F92" w:rsidRDefault="00654093" w:rsidP="00654093">
      <w:pPr>
        <w:pStyle w:val="Textpoznpodarou"/>
        <w:jc w:val="both"/>
        <w:rPr>
          <w:sz w:val="15"/>
          <w:szCs w:val="15"/>
        </w:rPr>
      </w:pPr>
    </w:p>
    <w:tbl>
      <w:tblPr>
        <w:tblW w:w="4986" w:type="pct"/>
        <w:tblInd w:w="107" w:type="dxa"/>
        <w:tblLayout w:type="fixed"/>
        <w:tblLook w:val="00A0"/>
      </w:tblPr>
      <w:tblGrid>
        <w:gridCol w:w="1997"/>
        <w:gridCol w:w="283"/>
        <w:gridCol w:w="7546"/>
      </w:tblGrid>
      <w:tr w:rsidR="00654093" w:rsidRPr="00A74192" w:rsidTr="00853C0F">
        <w:trPr>
          <w:trHeight w:val="145"/>
        </w:trPr>
        <w:tc>
          <w:tcPr>
            <w:tcW w:w="1016" w:type="pct"/>
            <w:shd w:val="clear" w:color="auto" w:fill="auto"/>
          </w:tcPr>
          <w:p w:rsidR="00654093" w:rsidRPr="003E5346" w:rsidRDefault="00654093" w:rsidP="00853C0F">
            <w:pPr>
              <w:spacing w:line="240" w:lineRule="auto"/>
              <w:rPr>
                <w:spacing w:val="-2"/>
                <w:sz w:val="16"/>
                <w:szCs w:val="16"/>
              </w:rPr>
            </w:pPr>
            <w:r>
              <w:rPr>
                <w:spacing w:val="-2"/>
                <w:sz w:val="16"/>
                <w:szCs w:val="16"/>
              </w:rPr>
              <w:t>Růst objemu nových zakázek ve většině sledovaných průmyslových odvětví pokračoval. Projevil se efekt obnovení výrobních kapacit v chemickém průmyslu.</w:t>
            </w:r>
          </w:p>
          <w:p w:rsidR="00654093" w:rsidRPr="00DA1318" w:rsidRDefault="00654093" w:rsidP="00853C0F">
            <w:pPr>
              <w:spacing w:line="240" w:lineRule="auto"/>
              <w:rPr>
                <w:sz w:val="16"/>
                <w:szCs w:val="16"/>
              </w:rPr>
            </w:pPr>
            <w:r>
              <w:rPr>
                <w:sz w:val="16"/>
                <w:szCs w:val="16"/>
              </w:rPr>
              <w:t xml:space="preserve"> </w:t>
            </w:r>
          </w:p>
        </w:tc>
        <w:tc>
          <w:tcPr>
            <w:tcW w:w="144" w:type="pct"/>
          </w:tcPr>
          <w:p w:rsidR="00654093" w:rsidRPr="009E7B1B" w:rsidRDefault="00654093" w:rsidP="00853C0F">
            <w:pPr>
              <w:pStyle w:val="Textpoznpodarou"/>
              <w:jc w:val="both"/>
              <w:rPr>
                <w:spacing w:val="-2"/>
              </w:rPr>
            </w:pPr>
          </w:p>
        </w:tc>
        <w:tc>
          <w:tcPr>
            <w:tcW w:w="3840" w:type="pct"/>
          </w:tcPr>
          <w:p w:rsidR="00654093" w:rsidRDefault="00654093" w:rsidP="00853C0F">
            <w:pPr>
              <w:pStyle w:val="Textpoznpodarou"/>
              <w:jc w:val="both"/>
              <w:rPr>
                <w:spacing w:val="-4"/>
              </w:rPr>
            </w:pPr>
            <w:r>
              <w:rPr>
                <w:spacing w:val="-4"/>
              </w:rPr>
              <w:t>Zásoba práce v podobě nových průmyslových zakázek</w:t>
            </w:r>
            <w:r>
              <w:rPr>
                <w:rStyle w:val="Znakapoznpodarou"/>
                <w:spacing w:val="-4"/>
              </w:rPr>
              <w:footnoteReference w:id="16"/>
            </w:r>
            <w:r>
              <w:rPr>
                <w:spacing w:val="-4"/>
              </w:rPr>
              <w:t xml:space="preserve"> nadále rostla. Její meziroční dynamika byla v úhrnu za celé pololetí srovnatelná s tempem dosaženým v první polovině roku 2016. Zatímco na počátku letošního roku přibylo zakázek o desetinu, v následujícím čtvrtletí o 3,6 %. V obou čtvrtletích zaznamenala meziroční růst většina z dvanácti sledovaných odvětví. Horší výsledky pocítil textilní průmysl a také výrobci dopravních prostředků. Mírný pokles v automobilovém průmyslu ve 2. čtv</w:t>
            </w:r>
            <w:r w:rsidR="00F23F6C">
              <w:rPr>
                <w:spacing w:val="-4"/>
              </w:rPr>
              <w:t>rtletí (o 2 %) souvisel s velmi</w:t>
            </w:r>
            <w:r>
              <w:rPr>
                <w:spacing w:val="-4"/>
              </w:rPr>
              <w:t xml:space="preserve"> vysokou loňskou základnou (růst o 32 %). Tempo růstu tuzemských zakázek převýšilo v obou letošních čtvrtletích obdobná tempa u zahraniční poptávky. Projevil se zde efekt plného obnovení výrobních kapacit chemického průmyslu, který mohl opět ve větší míře akceptovat rostoucí poptávku tuzemských podniků.</w:t>
            </w:r>
          </w:p>
          <w:p w:rsidR="00654093" w:rsidRPr="001D0A06" w:rsidRDefault="00654093" w:rsidP="00853C0F">
            <w:pPr>
              <w:pStyle w:val="Textpoznpodarou"/>
              <w:jc w:val="both"/>
              <w:rPr>
                <w:spacing w:val="-4"/>
                <w:sz w:val="15"/>
                <w:szCs w:val="15"/>
              </w:rPr>
            </w:pPr>
          </w:p>
        </w:tc>
      </w:tr>
      <w:tr w:rsidR="00654093" w:rsidRPr="000B2BE9" w:rsidTr="00853C0F">
        <w:trPr>
          <w:trHeight w:val="145"/>
        </w:trPr>
        <w:tc>
          <w:tcPr>
            <w:tcW w:w="1016" w:type="pct"/>
            <w:shd w:val="clear" w:color="auto" w:fill="auto"/>
          </w:tcPr>
          <w:p w:rsidR="00654093" w:rsidRPr="000B2BE9" w:rsidRDefault="00654093" w:rsidP="00853C0F">
            <w:pPr>
              <w:spacing w:line="240" w:lineRule="auto"/>
              <w:rPr>
                <w:spacing w:val="-2"/>
                <w:sz w:val="16"/>
                <w:szCs w:val="16"/>
              </w:rPr>
            </w:pPr>
            <w:r w:rsidRPr="000B2BE9">
              <w:rPr>
                <w:sz w:val="16"/>
                <w:szCs w:val="16"/>
              </w:rPr>
              <w:t>Nálada podnikatelů v průmyslu zůstávala přes mírné zhoršení v posledních šesti měsících stále pozitivní.</w:t>
            </w:r>
          </w:p>
        </w:tc>
        <w:tc>
          <w:tcPr>
            <w:tcW w:w="144" w:type="pct"/>
          </w:tcPr>
          <w:p w:rsidR="00654093" w:rsidRPr="000B2BE9" w:rsidRDefault="00654093" w:rsidP="00853C0F">
            <w:pPr>
              <w:rPr>
                <w:color w:val="000000" w:themeColor="text1"/>
                <w:szCs w:val="16"/>
              </w:rPr>
            </w:pPr>
          </w:p>
        </w:tc>
        <w:tc>
          <w:tcPr>
            <w:tcW w:w="3840" w:type="pct"/>
          </w:tcPr>
          <w:p w:rsidR="00654093" w:rsidRPr="000B2BE9" w:rsidRDefault="00654093" w:rsidP="00853C0F">
            <w:pPr>
              <w:pStyle w:val="Textpoznpodarou"/>
              <w:jc w:val="both"/>
              <w:rPr>
                <w:color w:val="000000" w:themeColor="text1"/>
                <w:spacing w:val="-4"/>
              </w:rPr>
            </w:pPr>
            <w:r w:rsidRPr="000B2BE9">
              <w:rPr>
                <w:spacing w:val="-4"/>
              </w:rPr>
              <w:t>N</w:t>
            </w:r>
            <w:r w:rsidRPr="000B2BE9">
              <w:rPr>
                <w:color w:val="000000" w:themeColor="text1"/>
                <w:spacing w:val="-4"/>
              </w:rPr>
              <w:t>álada podnikatelů v průmyslu (dle sezónně očištěného salda indikátoru důvěry) zůstávala nadále mírně pozitivní. V průběhu roku 2017 však mírně oslabovala a</w:t>
            </w:r>
            <w:r w:rsidRPr="000B2BE9">
              <w:rPr>
                <w:spacing w:val="-4"/>
              </w:rPr>
              <w:t> </w:t>
            </w:r>
            <w:r w:rsidR="00F2490D">
              <w:rPr>
                <w:spacing w:val="-4"/>
              </w:rPr>
              <w:t>v</w:t>
            </w:r>
            <w:r w:rsidR="00F2490D" w:rsidRPr="000B2BE9">
              <w:rPr>
                <w:spacing w:val="-4"/>
              </w:rPr>
              <w:t> </w:t>
            </w:r>
            <w:r w:rsidRPr="000B2BE9">
              <w:rPr>
                <w:color w:val="000000" w:themeColor="text1"/>
                <w:spacing w:val="-4"/>
              </w:rPr>
              <w:t>květnu dosáhla nejnižší hodnoty za posledních devatenáct měsíců. Růst výrobní činnosti v příštích třech měsících očekávalo v průběhu srpna 24 % průmyslových podniků (v samotné energetice 40 %). Meziročně se mírně zvýšil podíl podniků uvažujících ve stejném horizontu o navýšení zaměstnanosti (z 16 %</w:t>
            </w:r>
            <w:r>
              <w:rPr>
                <w:color w:val="000000" w:themeColor="text1"/>
                <w:spacing w:val="-4"/>
              </w:rPr>
              <w:t xml:space="preserve"> na 20 %), a to především ve zpracovatelském</w:t>
            </w:r>
            <w:r w:rsidR="00F23F6C">
              <w:rPr>
                <w:color w:val="000000" w:themeColor="text1"/>
                <w:spacing w:val="-4"/>
              </w:rPr>
              <w:t xml:space="preserve"> prů</w:t>
            </w:r>
            <w:r w:rsidRPr="000B2BE9">
              <w:rPr>
                <w:color w:val="000000" w:themeColor="text1"/>
                <w:spacing w:val="-4"/>
              </w:rPr>
              <w:t>myslu. Podniky v těžebním průmyslu ve větší míř</w:t>
            </w:r>
            <w:r w:rsidR="00F23F6C">
              <w:rPr>
                <w:color w:val="000000" w:themeColor="text1"/>
                <w:spacing w:val="-4"/>
              </w:rPr>
              <w:t>e naznačovaly možnou stabilizaci</w:t>
            </w:r>
            <w:r w:rsidRPr="000B2BE9">
              <w:rPr>
                <w:color w:val="000000" w:themeColor="text1"/>
                <w:spacing w:val="-4"/>
              </w:rPr>
              <w:t xml:space="preserve"> zaměstnanosti. Podíl podniků považujících nedostatek pracovní síly za bariéru růstu se na počátku 3. čtvrtletí vyšplhal na rekordních 41 %. Poprvé od 1. čtvrtletí 2008 předčil vliv nedostatečné poptávky</w:t>
            </w:r>
            <w:r w:rsidR="00F2490D">
              <w:rPr>
                <w:color w:val="000000" w:themeColor="text1"/>
                <w:spacing w:val="-4"/>
              </w:rPr>
              <w:t>,</w:t>
            </w:r>
            <w:r w:rsidRPr="000B2BE9">
              <w:rPr>
                <w:color w:val="000000" w:themeColor="text1"/>
                <w:spacing w:val="-4"/>
              </w:rPr>
              <w:t xml:space="preserve"> a stal se tak nejvýznamnějším limitujícím faktorem dalšího rozvoje průmyslových podniků</w:t>
            </w:r>
            <w:r>
              <w:rPr>
                <w:color w:val="000000" w:themeColor="text1"/>
                <w:spacing w:val="-4"/>
              </w:rPr>
              <w:t>.</w:t>
            </w:r>
          </w:p>
        </w:tc>
      </w:tr>
    </w:tbl>
    <w:p w:rsidR="00654093" w:rsidRPr="000B2BE9" w:rsidRDefault="00654093" w:rsidP="00654093">
      <w:pPr>
        <w:pStyle w:val="Textpoznpodarou"/>
        <w:jc w:val="both"/>
        <w:rPr>
          <w:sz w:val="4"/>
          <w:szCs w:val="4"/>
        </w:rPr>
      </w:pPr>
    </w:p>
    <w:tbl>
      <w:tblPr>
        <w:tblW w:w="4963" w:type="pct"/>
        <w:tblInd w:w="108" w:type="dxa"/>
        <w:tblLayout w:type="fixed"/>
        <w:tblLook w:val="00A0"/>
      </w:tblPr>
      <w:tblGrid>
        <w:gridCol w:w="1997"/>
        <w:gridCol w:w="284"/>
        <w:gridCol w:w="980"/>
        <w:gridCol w:w="6520"/>
      </w:tblGrid>
      <w:tr w:rsidR="00654093" w:rsidRPr="00AA4A76" w:rsidTr="00853C0F">
        <w:trPr>
          <w:trHeight w:val="145"/>
        </w:trPr>
        <w:tc>
          <w:tcPr>
            <w:tcW w:w="1021" w:type="pct"/>
            <w:shd w:val="clear" w:color="auto" w:fill="auto"/>
          </w:tcPr>
          <w:p w:rsidR="00654093" w:rsidRPr="00AA4A76" w:rsidRDefault="00654093" w:rsidP="00853C0F">
            <w:pPr>
              <w:spacing w:line="240" w:lineRule="auto"/>
              <w:jc w:val="center"/>
              <w:rPr>
                <w:color w:val="000000"/>
                <w:szCs w:val="20"/>
              </w:rPr>
            </w:pPr>
          </w:p>
        </w:tc>
        <w:tc>
          <w:tcPr>
            <w:tcW w:w="145" w:type="pct"/>
          </w:tcPr>
          <w:p w:rsidR="00654093" w:rsidRPr="00AA4A76" w:rsidRDefault="00654093" w:rsidP="00853C0F">
            <w:pPr>
              <w:pStyle w:val="Textpoznpodarou"/>
              <w:jc w:val="both"/>
              <w:rPr>
                <w:highlight w:val="yellow"/>
              </w:rPr>
            </w:pPr>
          </w:p>
        </w:tc>
        <w:tc>
          <w:tcPr>
            <w:tcW w:w="501" w:type="pct"/>
          </w:tcPr>
          <w:p w:rsidR="00654093" w:rsidRPr="00540CB3" w:rsidRDefault="00654093" w:rsidP="00853C0F">
            <w:pPr>
              <w:pStyle w:val="Textpoznpodarou"/>
              <w:jc w:val="both"/>
              <w:rPr>
                <w:spacing w:val="-4"/>
                <w:highlight w:val="yellow"/>
              </w:rPr>
            </w:pPr>
            <w:r w:rsidRPr="00540CB3">
              <w:rPr>
                <w:color w:val="000000"/>
                <w:spacing w:val="-4"/>
              </w:rPr>
              <w:t>Graf č. 6</w:t>
            </w:r>
          </w:p>
        </w:tc>
        <w:tc>
          <w:tcPr>
            <w:tcW w:w="3333" w:type="pct"/>
          </w:tcPr>
          <w:p w:rsidR="00654093" w:rsidRPr="00540CB3" w:rsidRDefault="00654093" w:rsidP="00853C0F">
            <w:pPr>
              <w:pStyle w:val="Textpoznpodarou"/>
              <w:rPr>
                <w:b/>
                <w:spacing w:val="-2"/>
              </w:rPr>
            </w:pPr>
            <w:r w:rsidRPr="00540CB3">
              <w:rPr>
                <w:b/>
                <w:spacing w:val="-2"/>
              </w:rPr>
              <w:t xml:space="preserve">Nové zakázky v automobilovém průmyslu, v průmyslu celkem </w:t>
            </w:r>
          </w:p>
          <w:p w:rsidR="00654093" w:rsidRPr="002B6B7A" w:rsidRDefault="00654093" w:rsidP="00853C0F">
            <w:pPr>
              <w:pStyle w:val="Textpoznpodarou"/>
              <w:rPr>
                <w:bCs/>
              </w:rPr>
            </w:pPr>
            <w:r>
              <w:rPr>
                <w:bCs/>
                <w:spacing w:val="-2"/>
              </w:rPr>
              <w:t>(v běž.</w:t>
            </w:r>
            <w:r w:rsidRPr="00540CB3">
              <w:rPr>
                <w:bCs/>
                <w:spacing w:val="-2"/>
              </w:rPr>
              <w:t xml:space="preserve"> </w:t>
            </w:r>
            <w:proofErr w:type="gramStart"/>
            <w:r w:rsidRPr="00540CB3">
              <w:rPr>
                <w:bCs/>
                <w:spacing w:val="-2"/>
              </w:rPr>
              <w:t>cenách</w:t>
            </w:r>
            <w:proofErr w:type="gramEnd"/>
            <w:r w:rsidRPr="00540CB3">
              <w:rPr>
                <w:bCs/>
                <w:spacing w:val="-2"/>
              </w:rPr>
              <w:t xml:space="preserve">, </w:t>
            </w:r>
            <w:r w:rsidRPr="00540CB3">
              <w:rPr>
                <w:spacing w:val="-2"/>
              </w:rPr>
              <w:t>meziročně</w:t>
            </w:r>
            <w:r w:rsidRPr="00540CB3">
              <w:rPr>
                <w:bCs/>
                <w:spacing w:val="-2"/>
              </w:rPr>
              <w:t xml:space="preserve"> v %) </w:t>
            </w:r>
            <w:r w:rsidRPr="00540CB3">
              <w:rPr>
                <w:b/>
                <w:spacing w:val="-2"/>
              </w:rPr>
              <w:t>a saldo indikátoru důvěry v</w:t>
            </w:r>
            <w:r>
              <w:rPr>
                <w:b/>
                <w:spacing w:val="-2"/>
              </w:rPr>
              <w:t> </w:t>
            </w:r>
            <w:r w:rsidRPr="00540CB3">
              <w:rPr>
                <w:b/>
                <w:spacing w:val="-2"/>
              </w:rPr>
              <w:t>průmyslu</w:t>
            </w:r>
          </w:p>
        </w:tc>
      </w:tr>
      <w:tr w:rsidR="00654093" w:rsidRPr="00AA4A76" w:rsidTr="00853C0F">
        <w:trPr>
          <w:trHeight w:val="145"/>
        </w:trPr>
        <w:tc>
          <w:tcPr>
            <w:tcW w:w="1021" w:type="pct"/>
            <w:shd w:val="clear" w:color="auto" w:fill="auto"/>
          </w:tcPr>
          <w:p w:rsidR="00654093" w:rsidRPr="006D3F53" w:rsidRDefault="00654093" w:rsidP="00853C0F">
            <w:pPr>
              <w:spacing w:line="240" w:lineRule="auto"/>
              <w:rPr>
                <w:color w:val="000000"/>
                <w:sz w:val="16"/>
                <w:szCs w:val="16"/>
                <w:highlight w:val="yellow"/>
              </w:rPr>
            </w:pPr>
          </w:p>
        </w:tc>
        <w:tc>
          <w:tcPr>
            <w:tcW w:w="145" w:type="pct"/>
          </w:tcPr>
          <w:p w:rsidR="00654093" w:rsidRPr="00A74192" w:rsidRDefault="00654093" w:rsidP="00853C0F">
            <w:pPr>
              <w:pStyle w:val="Textpoznpodarou"/>
              <w:jc w:val="both"/>
            </w:pPr>
          </w:p>
        </w:tc>
        <w:tc>
          <w:tcPr>
            <w:tcW w:w="3834" w:type="pct"/>
            <w:gridSpan w:val="2"/>
          </w:tcPr>
          <w:p w:rsidR="00654093" w:rsidRPr="00540CB3" w:rsidRDefault="00F2490D" w:rsidP="00853C0F">
            <w:pPr>
              <w:pStyle w:val="Textpoznpodarou"/>
              <w:ind w:left="-124"/>
              <w:jc w:val="right"/>
              <w:rPr>
                <w:sz w:val="16"/>
                <w:szCs w:val="16"/>
              </w:rPr>
            </w:pPr>
            <w:r w:rsidRPr="00F2490D">
              <w:rPr>
                <w:noProof/>
                <w:sz w:val="14"/>
                <w:szCs w:val="14"/>
              </w:rPr>
              <w:drawing>
                <wp:inline distT="0" distB="0" distL="0" distR="0">
                  <wp:extent cx="4770234" cy="3476530"/>
                  <wp:effectExtent l="0" t="0" r="0" b="0"/>
                  <wp:docPr id="9"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2490D">
              <w:rPr>
                <w:sz w:val="14"/>
                <w:szCs w:val="14"/>
              </w:rPr>
              <w:t xml:space="preserve"> </w:t>
            </w:r>
            <w:r w:rsidR="00654093" w:rsidRPr="00540CB3">
              <w:rPr>
                <w:sz w:val="14"/>
                <w:szCs w:val="14"/>
              </w:rPr>
              <w:t>Zdroj: ČSÚ</w:t>
            </w:r>
          </w:p>
        </w:tc>
      </w:tr>
    </w:tbl>
    <w:p w:rsidR="00654093" w:rsidRPr="00FF58EC" w:rsidRDefault="00654093" w:rsidP="00654093">
      <w:pPr>
        <w:pStyle w:val="Textpoznpodarou"/>
        <w:jc w:val="both"/>
        <w:rPr>
          <w:sz w:val="14"/>
          <w:szCs w:val="14"/>
        </w:rPr>
      </w:pPr>
    </w:p>
    <w:tbl>
      <w:tblPr>
        <w:tblW w:w="4986" w:type="pct"/>
        <w:tblInd w:w="107" w:type="dxa"/>
        <w:tblLayout w:type="fixed"/>
        <w:tblLook w:val="00A0"/>
      </w:tblPr>
      <w:tblGrid>
        <w:gridCol w:w="1997"/>
        <w:gridCol w:w="283"/>
        <w:gridCol w:w="7546"/>
      </w:tblGrid>
      <w:tr w:rsidR="00654093" w:rsidRPr="00656A4E" w:rsidTr="00853C0F">
        <w:tc>
          <w:tcPr>
            <w:tcW w:w="1016" w:type="pct"/>
            <w:shd w:val="clear" w:color="auto" w:fill="auto"/>
          </w:tcPr>
          <w:p w:rsidR="00654093" w:rsidRPr="00A51051" w:rsidRDefault="00654093" w:rsidP="00853C0F">
            <w:pPr>
              <w:spacing w:line="240" w:lineRule="auto"/>
              <w:rPr>
                <w:color w:val="0D0D0D" w:themeColor="text1" w:themeTint="F2"/>
                <w:spacing w:val="-2"/>
                <w:sz w:val="16"/>
                <w:szCs w:val="16"/>
              </w:rPr>
            </w:pPr>
            <w:r w:rsidRPr="00A51051">
              <w:rPr>
                <w:color w:val="0D0D0D" w:themeColor="text1" w:themeTint="F2"/>
                <w:spacing w:val="-2"/>
                <w:sz w:val="16"/>
                <w:szCs w:val="16"/>
              </w:rPr>
              <w:t>Stavební produkce ve 2.</w:t>
            </w:r>
            <w:r w:rsidRPr="00A51051">
              <w:rPr>
                <w:color w:val="0D0D0D" w:themeColor="text1" w:themeTint="F2"/>
                <w:spacing w:val="-4"/>
                <w:sz w:val="16"/>
                <w:szCs w:val="16"/>
              </w:rPr>
              <w:t> </w:t>
            </w:r>
            <w:r w:rsidRPr="00A51051">
              <w:rPr>
                <w:color w:val="0D0D0D" w:themeColor="text1" w:themeTint="F2"/>
                <w:spacing w:val="-2"/>
                <w:sz w:val="16"/>
                <w:szCs w:val="16"/>
              </w:rPr>
              <w:t>čtvrtletí ožila. Mezi</w:t>
            </w:r>
            <w:r>
              <w:rPr>
                <w:color w:val="0D0D0D" w:themeColor="text1" w:themeTint="F2"/>
                <w:spacing w:val="-2"/>
                <w:sz w:val="16"/>
                <w:szCs w:val="16"/>
              </w:rPr>
              <w:t>-</w:t>
            </w:r>
            <w:r w:rsidRPr="00A51051">
              <w:rPr>
                <w:color w:val="0D0D0D" w:themeColor="text1" w:themeTint="F2"/>
                <w:spacing w:val="-2"/>
                <w:sz w:val="16"/>
                <w:szCs w:val="16"/>
              </w:rPr>
              <w:t xml:space="preserve">čtvrtletně posílila nejvíce od počátku roku 2015. </w:t>
            </w:r>
          </w:p>
          <w:p w:rsidR="00654093" w:rsidRPr="00DE2D00" w:rsidRDefault="00654093" w:rsidP="00853C0F">
            <w:pPr>
              <w:spacing w:line="240" w:lineRule="auto"/>
              <w:rPr>
                <w:color w:val="0D0D0D" w:themeColor="text1" w:themeTint="F2"/>
                <w:spacing w:val="-2"/>
                <w:sz w:val="16"/>
                <w:szCs w:val="16"/>
              </w:rPr>
            </w:pPr>
          </w:p>
          <w:p w:rsidR="00654093" w:rsidRDefault="00654093" w:rsidP="00853C0F">
            <w:pPr>
              <w:spacing w:line="240" w:lineRule="auto"/>
              <w:rPr>
                <w:color w:val="0D0D0D" w:themeColor="text1" w:themeTint="F2"/>
                <w:spacing w:val="-2"/>
                <w:sz w:val="16"/>
                <w:szCs w:val="16"/>
              </w:rPr>
            </w:pPr>
          </w:p>
          <w:p w:rsidR="00654093" w:rsidRPr="00DE2D00" w:rsidRDefault="00654093" w:rsidP="00853C0F">
            <w:pPr>
              <w:spacing w:line="240" w:lineRule="auto"/>
              <w:rPr>
                <w:color w:val="0D0D0D" w:themeColor="text1" w:themeTint="F2"/>
                <w:spacing w:val="-2"/>
                <w:sz w:val="16"/>
                <w:szCs w:val="16"/>
              </w:rPr>
            </w:pPr>
          </w:p>
          <w:p w:rsidR="00654093" w:rsidRPr="00DE2D00" w:rsidRDefault="00654093" w:rsidP="00853C0F">
            <w:pPr>
              <w:spacing w:line="240" w:lineRule="auto"/>
              <w:rPr>
                <w:color w:val="0D0D0D" w:themeColor="text1" w:themeTint="F2"/>
                <w:spacing w:val="-2"/>
                <w:sz w:val="16"/>
                <w:szCs w:val="16"/>
              </w:rPr>
            </w:pPr>
            <w:r w:rsidRPr="00DE2D00">
              <w:rPr>
                <w:color w:val="0D0D0D" w:themeColor="text1" w:themeTint="F2"/>
                <w:spacing w:val="-2"/>
                <w:sz w:val="16"/>
                <w:szCs w:val="16"/>
              </w:rPr>
              <w:t>Inženýrské stavitelství zatím k oživení stavebnictví nepřispělo. Jeho výkon limituje nízký objem veřejných investic.</w:t>
            </w:r>
          </w:p>
          <w:p w:rsidR="00654093" w:rsidRPr="00DE2D00" w:rsidRDefault="00654093" w:rsidP="00853C0F">
            <w:pPr>
              <w:spacing w:line="240" w:lineRule="auto"/>
              <w:rPr>
                <w:color w:val="0D0D0D" w:themeColor="text1" w:themeTint="F2"/>
                <w:spacing w:val="-2"/>
                <w:sz w:val="16"/>
                <w:szCs w:val="16"/>
              </w:rPr>
            </w:pPr>
          </w:p>
          <w:p w:rsidR="00654093" w:rsidRDefault="00654093" w:rsidP="00853C0F">
            <w:pPr>
              <w:spacing w:line="240" w:lineRule="auto"/>
              <w:rPr>
                <w:color w:val="0D0D0D" w:themeColor="text1" w:themeTint="F2"/>
                <w:spacing w:val="-2"/>
                <w:sz w:val="16"/>
                <w:szCs w:val="16"/>
              </w:rPr>
            </w:pPr>
          </w:p>
          <w:p w:rsidR="00654093" w:rsidRPr="00DE2D00" w:rsidRDefault="00654093" w:rsidP="00853C0F">
            <w:pPr>
              <w:spacing w:line="240" w:lineRule="auto"/>
              <w:rPr>
                <w:color w:val="0D0D0D" w:themeColor="text1" w:themeTint="F2"/>
                <w:spacing w:val="-2"/>
                <w:sz w:val="16"/>
                <w:szCs w:val="16"/>
              </w:rPr>
            </w:pPr>
          </w:p>
          <w:p w:rsidR="00654093" w:rsidRPr="00DE2D00" w:rsidRDefault="00654093" w:rsidP="00853C0F">
            <w:pPr>
              <w:spacing w:line="240" w:lineRule="auto"/>
              <w:rPr>
                <w:color w:val="0D0D0D" w:themeColor="text1" w:themeTint="F2"/>
                <w:spacing w:val="-2"/>
                <w:sz w:val="16"/>
                <w:szCs w:val="16"/>
              </w:rPr>
            </w:pPr>
          </w:p>
          <w:p w:rsidR="00654093" w:rsidRPr="00DE2D00" w:rsidRDefault="00654093" w:rsidP="00853C0F">
            <w:pPr>
              <w:spacing w:line="240" w:lineRule="auto"/>
              <w:rPr>
                <w:color w:val="0D0D0D" w:themeColor="text1" w:themeTint="F2"/>
                <w:spacing w:val="-4"/>
                <w:sz w:val="16"/>
                <w:szCs w:val="16"/>
              </w:rPr>
            </w:pPr>
            <w:r w:rsidRPr="00DE2D00">
              <w:rPr>
                <w:color w:val="0D0D0D" w:themeColor="text1" w:themeTint="F2"/>
                <w:spacing w:val="-4"/>
                <w:sz w:val="16"/>
                <w:szCs w:val="16"/>
              </w:rPr>
              <w:t>Mírné oživení zahajované bytové výstavby na přelomu let 2016 a 2017 však zatím rostoucí napětí mezi nabídkou a poptávkou příliš neovlivnilo.</w:t>
            </w:r>
          </w:p>
          <w:p w:rsidR="00654093" w:rsidRPr="00DE2D00" w:rsidRDefault="00654093" w:rsidP="00853C0F">
            <w:pPr>
              <w:spacing w:line="240" w:lineRule="auto"/>
              <w:rPr>
                <w:color w:val="0D0D0D" w:themeColor="text1" w:themeTint="F2"/>
                <w:spacing w:val="-2"/>
                <w:sz w:val="16"/>
                <w:szCs w:val="16"/>
              </w:rPr>
            </w:pPr>
          </w:p>
          <w:p w:rsidR="00654093" w:rsidRDefault="00654093" w:rsidP="00853C0F">
            <w:pPr>
              <w:spacing w:line="240" w:lineRule="auto"/>
              <w:rPr>
                <w:sz w:val="16"/>
                <w:szCs w:val="16"/>
              </w:rPr>
            </w:pPr>
          </w:p>
        </w:tc>
        <w:tc>
          <w:tcPr>
            <w:tcW w:w="144" w:type="pct"/>
          </w:tcPr>
          <w:p w:rsidR="00654093" w:rsidRPr="00636F97" w:rsidRDefault="00654093" w:rsidP="00853C0F">
            <w:pPr>
              <w:rPr>
                <w:spacing w:val="-4"/>
                <w:szCs w:val="20"/>
              </w:rPr>
            </w:pPr>
          </w:p>
        </w:tc>
        <w:tc>
          <w:tcPr>
            <w:tcW w:w="3840" w:type="pct"/>
          </w:tcPr>
          <w:p w:rsidR="00654093" w:rsidRDefault="00654093" w:rsidP="00853C0F">
            <w:pPr>
              <w:pStyle w:val="Textpoznpodarou"/>
              <w:jc w:val="both"/>
              <w:rPr>
                <w:spacing w:val="-4"/>
              </w:rPr>
            </w:pPr>
            <w:r>
              <w:rPr>
                <w:spacing w:val="-4"/>
              </w:rPr>
              <w:t>Výkon stavebnictví se po silném loňském poklesu způsobeném výpadkem mimořádných růstových faktorů v první polovině roku 2017 mírně zlepšil. Stavební produkce v </w:t>
            </w:r>
            <w:proofErr w:type="spellStart"/>
            <w:r>
              <w:rPr>
                <w:spacing w:val="-4"/>
              </w:rPr>
              <w:t>mezikvartálním</w:t>
            </w:r>
            <w:proofErr w:type="spellEnd"/>
            <w:r>
              <w:rPr>
                <w:spacing w:val="-4"/>
              </w:rPr>
              <w:t xml:space="preserve"> vyjádření na počátku roku sice stagnovala, ve 2. čtvrtletí již ale posílila o 3,6 % (nejvíce od začátku roku 2015). Po pěti čtvrtletích se zastavil meziroční pokles produkce, jejíž tempo ve 2. čtvrtletí vzrostlo o 7,7 %</w:t>
            </w:r>
            <w:r>
              <w:rPr>
                <w:rStyle w:val="Znakapoznpodarou"/>
                <w:spacing w:val="-4"/>
              </w:rPr>
              <w:footnoteReference w:id="17"/>
            </w:r>
            <w:r>
              <w:rPr>
                <w:spacing w:val="-4"/>
              </w:rPr>
              <w:t>. Přispělo k tomu však pouze váhově významnější pozemní stavitelství (s růstem o 13,4 %), neboť výkon inženýrské</w:t>
            </w:r>
            <w:r w:rsidR="00F23F6C">
              <w:rPr>
                <w:spacing w:val="-4"/>
              </w:rPr>
              <w:t>ho</w:t>
            </w:r>
            <w:r>
              <w:rPr>
                <w:spacing w:val="-4"/>
              </w:rPr>
              <w:t xml:space="preserve"> stavitelství nadále klesal (-4,5 %). Oproti 2. čtvrtletí 2013, kdy celé stavebnictví dosáhlo nejnižšího výkonu od vstupu ČR do EU, byla letošní produkce o 14</w:t>
            </w:r>
            <w:r w:rsidR="00AC69CA">
              <w:rPr>
                <w:spacing w:val="-4"/>
              </w:rPr>
              <w:t>,1</w:t>
            </w:r>
            <w:r>
              <w:rPr>
                <w:spacing w:val="-4"/>
              </w:rPr>
              <w:t xml:space="preserve"> % vyšší. Za absolutním vrcholem (4. čtvrtletí</w:t>
            </w:r>
            <w:r w:rsidR="00AC69CA">
              <w:rPr>
                <w:spacing w:val="-4"/>
              </w:rPr>
              <w:t xml:space="preserve"> 200</w:t>
            </w:r>
            <w:r w:rsidR="00F23F6C">
              <w:rPr>
                <w:spacing w:val="-4"/>
              </w:rPr>
              <w:t>7) však stále o bezmála o pětinu</w:t>
            </w:r>
            <w:r>
              <w:rPr>
                <w:spacing w:val="-4"/>
              </w:rPr>
              <w:t xml:space="preserve"> zaostávala. Příznivějším výsledkům pozemního stavitelství pomáhalo v první polovině roku i oživení bytové výstavby. Počet zahájených bytů meziročně stoupl o pětinu, na čemž se nejvíce podílely rodinné domy (+1,3 tis.). Proti velmi nízké loňské základně výrazněji přibylo i </w:t>
            </w:r>
            <w:r w:rsidR="007F0DF6">
              <w:rPr>
                <w:spacing w:val="-4"/>
              </w:rPr>
              <w:t xml:space="preserve">bytů v </w:t>
            </w:r>
            <w:r>
              <w:rPr>
                <w:spacing w:val="-4"/>
              </w:rPr>
              <w:t>bytových dom</w:t>
            </w:r>
            <w:r w:rsidR="007F0DF6">
              <w:rPr>
                <w:spacing w:val="-4"/>
              </w:rPr>
              <w:t>ech (BD). Jejich počet (3,6 </w:t>
            </w:r>
            <w:r>
              <w:rPr>
                <w:spacing w:val="-4"/>
              </w:rPr>
              <w:t>tis.) se však oproti 1. pololetím let 2014 i 2015 prakticky nelišil a v relaci s </w:t>
            </w:r>
            <w:r w:rsidRPr="007F0DF6">
              <w:rPr>
                <w:color w:val="0D0D0D" w:themeColor="text1" w:themeTint="F2"/>
                <w:spacing w:val="-4"/>
              </w:rPr>
              <w:t>dosud rekordní hladinou (1. pololetí 2008) nedosahoval ani poloviny. Na meziročně vyšším počtu BD se podílela především výstavba v Olomouckém kraji a</w:t>
            </w:r>
            <w:r w:rsidR="007F0DF6" w:rsidRPr="007F0DF6">
              <w:rPr>
                <w:color w:val="0D0D0D" w:themeColor="text1" w:themeTint="F2"/>
                <w:spacing w:val="-4"/>
              </w:rPr>
              <w:t xml:space="preserve"> také Praze, ve které počet BD narostl z 522 na 1022 (přesto šlo v tomto období roku o druhý nejnižší počet zahájených bytů po roce 2001).</w:t>
            </w:r>
            <w:r w:rsidRPr="007F0DF6">
              <w:rPr>
                <w:color w:val="0D0D0D" w:themeColor="text1" w:themeTint="F2"/>
                <w:spacing w:val="-4"/>
              </w:rPr>
              <w:t xml:space="preserve"> Přetrvávající</w:t>
            </w:r>
            <w:r>
              <w:rPr>
                <w:spacing w:val="-4"/>
              </w:rPr>
              <w:t xml:space="preserve"> nízký objem výstavby ještě více vyostřoval napětí mezi nabídkou a poptávkou (posílenou rostoucími příjmy domácností i stále nízkými úrokovými sazbami hypoték) a přispíval k silnému růstu cen rezidenčních nemovitostí v Praze, ale i v ostatních regionech.</w:t>
            </w:r>
          </w:p>
          <w:p w:rsidR="00654093" w:rsidRPr="00FF58EC" w:rsidRDefault="00654093" w:rsidP="00853C0F">
            <w:pPr>
              <w:pStyle w:val="Textpoznpodarou"/>
              <w:jc w:val="both"/>
              <w:rPr>
                <w:spacing w:val="-4"/>
                <w:sz w:val="14"/>
                <w:szCs w:val="14"/>
              </w:rPr>
            </w:pPr>
          </w:p>
        </w:tc>
      </w:tr>
      <w:tr w:rsidR="00654093" w:rsidRPr="00156294" w:rsidTr="00853C0F">
        <w:tc>
          <w:tcPr>
            <w:tcW w:w="1016" w:type="pct"/>
            <w:shd w:val="clear" w:color="auto" w:fill="auto"/>
          </w:tcPr>
          <w:p w:rsidR="00654093" w:rsidRPr="002A564C" w:rsidRDefault="00654093" w:rsidP="00853C0F">
            <w:pPr>
              <w:spacing w:line="240" w:lineRule="auto"/>
              <w:rPr>
                <w:color w:val="0D0D0D" w:themeColor="text1" w:themeTint="F2"/>
                <w:spacing w:val="-4"/>
                <w:sz w:val="16"/>
                <w:szCs w:val="16"/>
              </w:rPr>
            </w:pPr>
            <w:r w:rsidRPr="002A564C">
              <w:rPr>
                <w:color w:val="0D0D0D" w:themeColor="text1" w:themeTint="F2"/>
                <w:spacing w:val="-4"/>
                <w:sz w:val="16"/>
                <w:szCs w:val="16"/>
              </w:rPr>
              <w:t xml:space="preserve">Hodnota nových tuzemských zakázek meziročně posílila již třetí čtvrtletí v řadě. Přispělo k tomu i inženýrské stavitelství. </w:t>
            </w:r>
          </w:p>
          <w:p w:rsidR="00654093" w:rsidRPr="002A564C" w:rsidRDefault="00654093" w:rsidP="00853C0F">
            <w:pPr>
              <w:spacing w:line="240" w:lineRule="auto"/>
              <w:rPr>
                <w:color w:val="0D0D0D" w:themeColor="text1" w:themeTint="F2"/>
                <w:spacing w:val="-4"/>
                <w:sz w:val="16"/>
                <w:szCs w:val="16"/>
              </w:rPr>
            </w:pPr>
          </w:p>
          <w:p w:rsidR="00654093" w:rsidRDefault="00654093" w:rsidP="00853C0F">
            <w:pPr>
              <w:spacing w:line="240" w:lineRule="auto"/>
              <w:rPr>
                <w:color w:val="0D0D0D" w:themeColor="text1" w:themeTint="F2"/>
                <w:spacing w:val="-4"/>
                <w:sz w:val="16"/>
                <w:szCs w:val="16"/>
              </w:rPr>
            </w:pPr>
          </w:p>
          <w:p w:rsidR="00654093" w:rsidRPr="002A564C" w:rsidRDefault="00654093" w:rsidP="00853C0F">
            <w:pPr>
              <w:spacing w:line="240" w:lineRule="auto"/>
              <w:rPr>
                <w:color w:val="0D0D0D" w:themeColor="text1" w:themeTint="F2"/>
                <w:spacing w:val="-4"/>
                <w:sz w:val="16"/>
                <w:szCs w:val="16"/>
              </w:rPr>
            </w:pPr>
          </w:p>
          <w:p w:rsidR="00654093" w:rsidRDefault="00654093" w:rsidP="00853C0F">
            <w:pPr>
              <w:spacing w:line="240" w:lineRule="auto"/>
              <w:rPr>
                <w:color w:val="0D0D0D" w:themeColor="text1" w:themeTint="F2"/>
                <w:spacing w:val="-4"/>
                <w:sz w:val="16"/>
                <w:szCs w:val="16"/>
              </w:rPr>
            </w:pPr>
            <w:r w:rsidRPr="002A564C">
              <w:rPr>
                <w:color w:val="0D0D0D" w:themeColor="text1" w:themeTint="F2"/>
                <w:spacing w:val="-4"/>
                <w:sz w:val="16"/>
                <w:szCs w:val="16"/>
              </w:rPr>
              <w:t xml:space="preserve">Větší zakázky </w:t>
            </w:r>
            <w:r>
              <w:rPr>
                <w:color w:val="0D0D0D" w:themeColor="text1" w:themeTint="F2"/>
                <w:spacing w:val="-4"/>
                <w:sz w:val="16"/>
                <w:szCs w:val="16"/>
              </w:rPr>
              <w:t>však stavebnictví nadále scházely.</w:t>
            </w:r>
          </w:p>
          <w:p w:rsidR="00654093" w:rsidRDefault="00654093" w:rsidP="00853C0F">
            <w:pPr>
              <w:spacing w:line="240" w:lineRule="auto"/>
              <w:rPr>
                <w:color w:val="0D0D0D" w:themeColor="text1" w:themeTint="F2"/>
                <w:spacing w:val="-4"/>
                <w:sz w:val="16"/>
                <w:szCs w:val="16"/>
              </w:rPr>
            </w:pPr>
            <w:r>
              <w:rPr>
                <w:color w:val="0D0D0D" w:themeColor="text1" w:themeTint="F2"/>
                <w:spacing w:val="-4"/>
                <w:sz w:val="16"/>
                <w:szCs w:val="16"/>
              </w:rPr>
              <w:lastRenderedPageBreak/>
              <w:t>Důvěra podnikatelů ve stavebnictví se od konce roku 2016 mírně zvyšovala, nadále však zůstávala hluboce v negativním pásmu.</w:t>
            </w:r>
          </w:p>
          <w:p w:rsidR="00654093" w:rsidRDefault="00654093" w:rsidP="00853C0F">
            <w:pPr>
              <w:spacing w:line="240" w:lineRule="auto"/>
              <w:rPr>
                <w:color w:val="0D0D0D" w:themeColor="text1" w:themeTint="F2"/>
                <w:spacing w:val="-4"/>
                <w:sz w:val="16"/>
                <w:szCs w:val="16"/>
              </w:rPr>
            </w:pPr>
          </w:p>
          <w:p w:rsidR="00654093" w:rsidRDefault="00654093" w:rsidP="00853C0F">
            <w:pPr>
              <w:spacing w:line="240" w:lineRule="auto"/>
              <w:rPr>
                <w:color w:val="0D0D0D" w:themeColor="text1" w:themeTint="F2"/>
                <w:spacing w:val="-4"/>
                <w:sz w:val="16"/>
                <w:szCs w:val="16"/>
              </w:rPr>
            </w:pPr>
          </w:p>
          <w:p w:rsidR="00654093" w:rsidRDefault="00654093" w:rsidP="00853C0F">
            <w:pPr>
              <w:spacing w:line="240" w:lineRule="auto"/>
              <w:rPr>
                <w:color w:val="0D0D0D" w:themeColor="text1" w:themeTint="F2"/>
                <w:spacing w:val="-4"/>
                <w:sz w:val="16"/>
                <w:szCs w:val="16"/>
              </w:rPr>
            </w:pPr>
          </w:p>
          <w:p w:rsidR="00654093" w:rsidRPr="002D2E79" w:rsidRDefault="00654093" w:rsidP="00853C0F">
            <w:pPr>
              <w:spacing w:line="240" w:lineRule="auto"/>
              <w:rPr>
                <w:color w:val="0D0D0D" w:themeColor="text1" w:themeTint="F2"/>
                <w:spacing w:val="-4"/>
                <w:sz w:val="16"/>
                <w:szCs w:val="16"/>
              </w:rPr>
            </w:pPr>
            <w:r>
              <w:rPr>
                <w:color w:val="0D0D0D" w:themeColor="text1" w:themeTint="F2"/>
                <w:spacing w:val="-4"/>
                <w:sz w:val="16"/>
                <w:szCs w:val="16"/>
              </w:rPr>
              <w:t>Vnímání nedostatečné poptávky jako bariéry růstu se za poslední rok snížilo. Faktor nedostatku zaměstnanců naopak posílil trojnásobně.</w:t>
            </w:r>
          </w:p>
          <w:p w:rsidR="00654093" w:rsidRPr="002D2E79" w:rsidRDefault="00654093" w:rsidP="00853C0F">
            <w:pPr>
              <w:spacing w:line="240" w:lineRule="auto"/>
              <w:rPr>
                <w:color w:val="0D0D0D" w:themeColor="text1" w:themeTint="F2"/>
                <w:spacing w:val="-2"/>
                <w:sz w:val="16"/>
                <w:szCs w:val="16"/>
              </w:rPr>
            </w:pPr>
          </w:p>
        </w:tc>
        <w:tc>
          <w:tcPr>
            <w:tcW w:w="144" w:type="pct"/>
          </w:tcPr>
          <w:p w:rsidR="00654093" w:rsidRPr="005B2702" w:rsidRDefault="00654093" w:rsidP="00853C0F">
            <w:pPr>
              <w:rPr>
                <w:spacing w:val="-4"/>
                <w:szCs w:val="20"/>
              </w:rPr>
            </w:pPr>
          </w:p>
        </w:tc>
        <w:tc>
          <w:tcPr>
            <w:tcW w:w="3840" w:type="pct"/>
          </w:tcPr>
          <w:p w:rsidR="00654093" w:rsidRPr="009860EC" w:rsidRDefault="00654093" w:rsidP="00853C0F">
            <w:pPr>
              <w:pStyle w:val="Textpoznpodarou"/>
              <w:spacing w:before="20"/>
              <w:jc w:val="both"/>
              <w:rPr>
                <w:color w:val="000000" w:themeColor="text1"/>
                <w:spacing w:val="-4"/>
              </w:rPr>
            </w:pPr>
            <w:r>
              <w:rPr>
                <w:spacing w:val="-4"/>
              </w:rPr>
              <w:t>Poptávka po stavebních pracích ožila. Hodnota nových tuzemských zakázek</w:t>
            </w:r>
            <w:r>
              <w:rPr>
                <w:rStyle w:val="Znakapoznpodarou"/>
                <w:spacing w:val="-4"/>
              </w:rPr>
              <w:footnoteReference w:id="18"/>
            </w:r>
            <w:r>
              <w:rPr>
                <w:spacing w:val="-4"/>
              </w:rPr>
              <w:t xml:space="preserve"> se navyšovala již třetí čtvrtletí v řadě. V úhrnu za 1. pololetí 2017 meziročně posílila o osminu. Důležité bylo, že pozitivní vývoj signalizovalo jak pozemní (+5,3 %), tak i inženýrské stavitelství (+18,9 %). Pololetní růst byl v obou hlavních stavebních oborech naposledy zaznamenán v roce 2014. I přes dílčí oživení nadále stavebnictví scházely větší stavby. Průměrná hodnota nově uzav</w:t>
            </w:r>
            <w:r w:rsidR="007F0DF6">
              <w:rPr>
                <w:spacing w:val="-4"/>
              </w:rPr>
              <w:t>řené zakázky sice proti velmi</w:t>
            </w:r>
            <w:r>
              <w:rPr>
                <w:spacing w:val="-4"/>
              </w:rPr>
              <w:t xml:space="preserve"> nízké loňské úrovni o dese</w:t>
            </w:r>
            <w:r w:rsidR="00F23F6C">
              <w:rPr>
                <w:spacing w:val="-4"/>
              </w:rPr>
              <w:t>tinu vzrostla na 3,2 mil. korun</w:t>
            </w:r>
            <w:r>
              <w:rPr>
                <w:spacing w:val="-4"/>
              </w:rPr>
              <w:t xml:space="preserve"> </w:t>
            </w:r>
            <w:r w:rsidR="00F23F6C">
              <w:rPr>
                <w:spacing w:val="-4"/>
              </w:rPr>
              <w:t>(</w:t>
            </w:r>
            <w:r>
              <w:rPr>
                <w:spacing w:val="-4"/>
              </w:rPr>
              <w:t>v roce 2014 se však blížila 4 mil</w:t>
            </w:r>
            <w:r w:rsidR="00F23F6C">
              <w:rPr>
                <w:spacing w:val="-4"/>
              </w:rPr>
              <w:t>)</w:t>
            </w:r>
            <w:r>
              <w:rPr>
                <w:spacing w:val="-4"/>
              </w:rPr>
              <w:t xml:space="preserve">. Celková zásoba práce zahrnující všechny dosud nerealizované zakázky </w:t>
            </w:r>
            <w:r w:rsidR="00AC69CA">
              <w:rPr>
                <w:spacing w:val="-4"/>
              </w:rPr>
              <w:t>činila na konci 2. čtvrtletí 142</w:t>
            </w:r>
            <w:r>
              <w:rPr>
                <w:spacing w:val="-4"/>
              </w:rPr>
              <w:t xml:space="preserve"> mld. korun. Její mezir</w:t>
            </w:r>
            <w:r w:rsidR="00AC69CA">
              <w:rPr>
                <w:spacing w:val="-4"/>
              </w:rPr>
              <w:t>oční pokles (o 3,6</w:t>
            </w:r>
            <w:r>
              <w:rPr>
                <w:spacing w:val="-4"/>
              </w:rPr>
              <w:t xml:space="preserve"> %) byl téměř výhradně</w:t>
            </w:r>
            <w:r w:rsidR="00AC69CA">
              <w:rPr>
                <w:spacing w:val="-4"/>
              </w:rPr>
              <w:t xml:space="preserve"> ovlivněn zakázkami v zahraničí</w:t>
            </w:r>
            <w:r>
              <w:rPr>
                <w:spacing w:val="-4"/>
              </w:rPr>
              <w:t xml:space="preserve">, jejichž váha na celkové zásobě práce stavebních </w:t>
            </w:r>
            <w:r>
              <w:rPr>
                <w:spacing w:val="-4"/>
              </w:rPr>
              <w:lastRenderedPageBreak/>
              <w:t xml:space="preserve">podniků v průběhu roku 2017 poklesla na nižší hodnotu (12,4 %) za poslední čtyři roky. Již </w:t>
            </w:r>
            <w:r w:rsidRPr="00143F22">
              <w:rPr>
                <w:spacing w:val="-4"/>
              </w:rPr>
              <w:t>čtyři pololetí v řadě pokračoval růst orientační hodnoty vydaných stavebních povolení</w:t>
            </w:r>
            <w:r>
              <w:rPr>
                <w:spacing w:val="-4"/>
              </w:rPr>
              <w:t xml:space="preserve"> – nejvyšších temp dosáhla letos</w:t>
            </w:r>
            <w:r w:rsidR="00F23F6C">
              <w:rPr>
                <w:spacing w:val="-4"/>
              </w:rPr>
              <w:t>,</w:t>
            </w:r>
            <w:r>
              <w:rPr>
                <w:spacing w:val="-4"/>
              </w:rPr>
              <w:t xml:space="preserve"> podobně jako vloni</w:t>
            </w:r>
            <w:r w:rsidR="00F23F6C">
              <w:rPr>
                <w:spacing w:val="-4"/>
              </w:rPr>
              <w:t>,</w:t>
            </w:r>
            <w:r>
              <w:rPr>
                <w:spacing w:val="-4"/>
              </w:rPr>
              <w:t xml:space="preserve"> nová výstavba nebytových budov. </w:t>
            </w:r>
            <w:r w:rsidRPr="00D163CC">
              <w:rPr>
                <w:color w:val="000000" w:themeColor="text1"/>
                <w:spacing w:val="-4"/>
              </w:rPr>
              <w:t xml:space="preserve">Sezónně očištěné </w:t>
            </w:r>
            <w:r w:rsidRPr="005F1091">
              <w:rPr>
                <w:color w:val="000000" w:themeColor="text1"/>
                <w:spacing w:val="-4"/>
              </w:rPr>
              <w:t>saldo důvěry podnikatelů</w:t>
            </w:r>
            <w:r w:rsidRPr="00CD12E2">
              <w:rPr>
                <w:color w:val="000000" w:themeColor="text1"/>
                <w:spacing w:val="-4"/>
              </w:rPr>
              <w:t xml:space="preserve"> ve stavebnictví</w:t>
            </w:r>
            <w:r>
              <w:rPr>
                <w:color w:val="000000" w:themeColor="text1"/>
                <w:spacing w:val="-4"/>
              </w:rPr>
              <w:t xml:space="preserve"> se během první poloviny roku mírně zlepšovalo a v červnu dosáhlo nejlepšího výsledku od února 2016, kdy ještě dozníval mimořádný vliv dočerpávání evropských fondů na infrastrukturní projekty. I nadále však zůstávalo saldo důvěry v hluboce negativním pásmu. Dle nejaktuálnějších srpnových údajů očekávala v příštích třech měsících růst výrobní činnosti necelá šestina pod</w:t>
            </w:r>
            <w:r w:rsidR="00B6493D">
              <w:rPr>
                <w:color w:val="000000" w:themeColor="text1"/>
                <w:spacing w:val="-4"/>
              </w:rPr>
              <w:t>niků a jen o málo menší podíl pr</w:t>
            </w:r>
            <w:r>
              <w:rPr>
                <w:color w:val="000000" w:themeColor="text1"/>
                <w:spacing w:val="-4"/>
              </w:rPr>
              <w:t xml:space="preserve">edikoval pokles. Přibírat zaměstnance plánovala desetina podniků. Očekávání celkové poptávky, stavební činnosti i zaměstnanosti se ve srovnání s loňským srpnem významně nezměnilo. Nedostatečnou poptávku indikovala jako bariéru růstu polovina stavebních podniků (nejméně od dubna 2009). Na druhou stranu faktor nedostatku zaměstnanců byl </w:t>
            </w:r>
            <w:r w:rsidR="00B6493D">
              <w:rPr>
                <w:color w:val="000000" w:themeColor="text1"/>
                <w:spacing w:val="-4"/>
              </w:rPr>
              <w:t xml:space="preserve">v </w:t>
            </w:r>
            <w:r>
              <w:rPr>
                <w:color w:val="000000" w:themeColor="text1"/>
                <w:spacing w:val="-4"/>
              </w:rPr>
              <w:t>srpnu 2017 zmiňován třikrát častěji než o rok dříve (8 %).</w:t>
            </w:r>
          </w:p>
        </w:tc>
      </w:tr>
    </w:tbl>
    <w:p w:rsidR="00654093" w:rsidRPr="00A61C04" w:rsidRDefault="00654093" w:rsidP="00654093">
      <w:pPr>
        <w:pStyle w:val="Textpoznpodarou"/>
        <w:jc w:val="both"/>
        <w:rPr>
          <w:sz w:val="15"/>
          <w:szCs w:val="15"/>
        </w:rPr>
      </w:pPr>
    </w:p>
    <w:tbl>
      <w:tblPr>
        <w:tblW w:w="4963" w:type="pct"/>
        <w:tblInd w:w="108" w:type="dxa"/>
        <w:tblLayout w:type="fixed"/>
        <w:tblLook w:val="00A0"/>
      </w:tblPr>
      <w:tblGrid>
        <w:gridCol w:w="1997"/>
        <w:gridCol w:w="284"/>
        <w:gridCol w:w="1119"/>
        <w:gridCol w:w="6381"/>
      </w:tblGrid>
      <w:tr w:rsidR="00654093" w:rsidRPr="00AA4A76" w:rsidTr="00853C0F">
        <w:trPr>
          <w:trHeight w:val="145"/>
        </w:trPr>
        <w:tc>
          <w:tcPr>
            <w:tcW w:w="1021" w:type="pct"/>
            <w:shd w:val="clear" w:color="auto" w:fill="auto"/>
          </w:tcPr>
          <w:p w:rsidR="00654093" w:rsidRPr="00AA4A76" w:rsidRDefault="00654093" w:rsidP="00853C0F">
            <w:pPr>
              <w:spacing w:line="240" w:lineRule="auto"/>
              <w:jc w:val="center"/>
              <w:rPr>
                <w:color w:val="000000"/>
                <w:szCs w:val="20"/>
              </w:rPr>
            </w:pPr>
          </w:p>
        </w:tc>
        <w:tc>
          <w:tcPr>
            <w:tcW w:w="145" w:type="pct"/>
          </w:tcPr>
          <w:p w:rsidR="00654093" w:rsidRPr="00AA4A76" w:rsidRDefault="00654093" w:rsidP="00853C0F">
            <w:pPr>
              <w:pStyle w:val="Textpoznpodarou"/>
              <w:jc w:val="both"/>
              <w:rPr>
                <w:highlight w:val="yellow"/>
              </w:rPr>
            </w:pPr>
          </w:p>
        </w:tc>
        <w:tc>
          <w:tcPr>
            <w:tcW w:w="572" w:type="pct"/>
          </w:tcPr>
          <w:p w:rsidR="00654093" w:rsidRPr="00AA4A76" w:rsidRDefault="00654093" w:rsidP="00853C0F">
            <w:pPr>
              <w:pStyle w:val="Textpoznpodarou"/>
              <w:jc w:val="both"/>
              <w:rPr>
                <w:highlight w:val="yellow"/>
              </w:rPr>
            </w:pPr>
            <w:r>
              <w:rPr>
                <w:color w:val="000000"/>
              </w:rPr>
              <w:t>Graf č. 7</w:t>
            </w:r>
          </w:p>
        </w:tc>
        <w:tc>
          <w:tcPr>
            <w:tcW w:w="3262" w:type="pct"/>
          </w:tcPr>
          <w:p w:rsidR="00654093" w:rsidRDefault="00654093" w:rsidP="00853C0F">
            <w:pPr>
              <w:pStyle w:val="Textpoznpodarou"/>
              <w:rPr>
                <w:bCs/>
              </w:rPr>
            </w:pPr>
            <w:r>
              <w:rPr>
                <w:b/>
              </w:rPr>
              <w:t xml:space="preserve">Stavební produkce*, hodnota nových zakázek </w:t>
            </w:r>
            <w:r>
              <w:rPr>
                <w:bCs/>
              </w:rPr>
              <w:t>(</w:t>
            </w:r>
            <w:r w:rsidRPr="00540CB3">
              <w:rPr>
                <w:spacing w:val="-2"/>
              </w:rPr>
              <w:t>meziročně</w:t>
            </w:r>
            <w:r w:rsidRPr="00540CB3">
              <w:rPr>
                <w:bCs/>
                <w:spacing w:val="-2"/>
              </w:rPr>
              <w:t xml:space="preserve"> v %)</w:t>
            </w:r>
            <w:r>
              <w:rPr>
                <w:bCs/>
              </w:rPr>
              <w:t xml:space="preserve"> </w:t>
            </w:r>
          </w:p>
          <w:p w:rsidR="00654093" w:rsidRPr="00886A8F" w:rsidRDefault="00654093" w:rsidP="00853C0F">
            <w:pPr>
              <w:pStyle w:val="Textpoznpodarou"/>
              <w:rPr>
                <w:spacing w:val="-2"/>
                <w:lang w:eastAsia="en-US"/>
              </w:rPr>
            </w:pPr>
            <w:r w:rsidRPr="006B4FFB">
              <w:rPr>
                <w:b/>
              </w:rPr>
              <w:t>a</w:t>
            </w:r>
            <w:r>
              <w:rPr>
                <w:b/>
              </w:rPr>
              <w:t xml:space="preserve"> saldo indikátoru důvěry ve stavebnictví</w:t>
            </w:r>
          </w:p>
        </w:tc>
      </w:tr>
      <w:tr w:rsidR="00654093" w:rsidRPr="00AA4A76" w:rsidTr="00853C0F">
        <w:trPr>
          <w:trHeight w:val="145"/>
        </w:trPr>
        <w:tc>
          <w:tcPr>
            <w:tcW w:w="1021" w:type="pct"/>
            <w:shd w:val="clear" w:color="auto" w:fill="auto"/>
          </w:tcPr>
          <w:p w:rsidR="00654093" w:rsidRPr="006D3F53" w:rsidRDefault="00654093" w:rsidP="00853C0F">
            <w:pPr>
              <w:spacing w:line="240" w:lineRule="auto"/>
              <w:rPr>
                <w:color w:val="000000"/>
                <w:sz w:val="16"/>
                <w:szCs w:val="16"/>
                <w:highlight w:val="yellow"/>
              </w:rPr>
            </w:pPr>
          </w:p>
        </w:tc>
        <w:tc>
          <w:tcPr>
            <w:tcW w:w="145" w:type="pct"/>
          </w:tcPr>
          <w:p w:rsidR="00654093" w:rsidRPr="00A74192" w:rsidRDefault="00654093" w:rsidP="00853C0F">
            <w:pPr>
              <w:pStyle w:val="Textpoznpodarou"/>
              <w:jc w:val="both"/>
            </w:pPr>
          </w:p>
        </w:tc>
        <w:tc>
          <w:tcPr>
            <w:tcW w:w="3833" w:type="pct"/>
            <w:gridSpan w:val="2"/>
          </w:tcPr>
          <w:p w:rsidR="00654093" w:rsidRPr="00AA4A76" w:rsidRDefault="00B6493D" w:rsidP="00853C0F">
            <w:pPr>
              <w:pStyle w:val="Textpoznpodarou"/>
              <w:ind w:left="-124"/>
              <w:rPr>
                <w:sz w:val="18"/>
                <w:szCs w:val="18"/>
              </w:rPr>
            </w:pPr>
            <w:r w:rsidRPr="00B6493D">
              <w:rPr>
                <w:rFonts w:cs="Arial"/>
                <w:noProof/>
                <w:sz w:val="14"/>
                <w:szCs w:val="14"/>
              </w:rPr>
              <w:drawing>
                <wp:inline distT="0" distB="0" distL="0" distR="0">
                  <wp:extent cx="4749196" cy="3548230"/>
                  <wp:effectExtent l="19050" t="0" r="0" b="0"/>
                  <wp:docPr id="10"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B6493D">
              <w:rPr>
                <w:rFonts w:cs="Arial"/>
                <w:sz w:val="14"/>
                <w:szCs w:val="14"/>
              </w:rPr>
              <w:t xml:space="preserve"> </w:t>
            </w:r>
            <w:r w:rsidR="00654093">
              <w:rPr>
                <w:rFonts w:cs="Arial"/>
                <w:sz w:val="14"/>
                <w:szCs w:val="14"/>
              </w:rPr>
              <w:t>*O</w:t>
            </w:r>
            <w:r w:rsidR="00654093" w:rsidRPr="00540CB3">
              <w:rPr>
                <w:rFonts w:cs="Arial"/>
                <w:sz w:val="14"/>
                <w:szCs w:val="14"/>
              </w:rPr>
              <w:t xml:space="preserve">čištěno od vlivu počtu pracovních </w:t>
            </w:r>
            <w:r w:rsidR="00654093">
              <w:rPr>
                <w:rFonts w:cs="Arial"/>
                <w:sz w:val="14"/>
                <w:szCs w:val="14"/>
              </w:rPr>
              <w:t>dnů.</w:t>
            </w:r>
            <w:r w:rsidR="00654093" w:rsidRPr="00540CB3">
              <w:rPr>
                <w:rFonts w:cs="Arial"/>
                <w:sz w:val="14"/>
                <w:szCs w:val="14"/>
              </w:rPr>
              <w:t xml:space="preserve">                                                           </w:t>
            </w:r>
            <w:r w:rsidR="00654093">
              <w:rPr>
                <w:rFonts w:cs="Arial"/>
                <w:sz w:val="14"/>
                <w:szCs w:val="14"/>
              </w:rPr>
              <w:t xml:space="preserve">      </w:t>
            </w:r>
            <w:r>
              <w:rPr>
                <w:rFonts w:cs="Arial"/>
                <w:sz w:val="14"/>
                <w:szCs w:val="14"/>
              </w:rPr>
              <w:t xml:space="preserve">                               </w:t>
            </w:r>
            <w:r w:rsidR="00654093">
              <w:rPr>
                <w:rFonts w:cs="Arial"/>
                <w:sz w:val="14"/>
                <w:szCs w:val="14"/>
              </w:rPr>
              <w:t xml:space="preserve">    </w:t>
            </w:r>
            <w:r w:rsidR="00654093" w:rsidRPr="00540CB3">
              <w:rPr>
                <w:rFonts w:cs="Arial"/>
                <w:sz w:val="14"/>
                <w:szCs w:val="14"/>
              </w:rPr>
              <w:t xml:space="preserve">      </w:t>
            </w:r>
            <w:r w:rsidR="00654093" w:rsidRPr="00540CB3">
              <w:rPr>
                <w:sz w:val="14"/>
                <w:szCs w:val="14"/>
              </w:rPr>
              <w:t>Zdroj: ČSÚ</w:t>
            </w:r>
          </w:p>
        </w:tc>
      </w:tr>
    </w:tbl>
    <w:p w:rsidR="00654093" w:rsidRPr="00654093" w:rsidRDefault="00654093" w:rsidP="00654093">
      <w:pPr>
        <w:pStyle w:val="Textpoznpodarou"/>
        <w:jc w:val="both"/>
        <w:rPr>
          <w:sz w:val="14"/>
          <w:szCs w:val="14"/>
        </w:rPr>
      </w:pPr>
    </w:p>
    <w:tbl>
      <w:tblPr>
        <w:tblW w:w="4986" w:type="pct"/>
        <w:tblInd w:w="107" w:type="dxa"/>
        <w:tblLayout w:type="fixed"/>
        <w:tblLook w:val="00A0"/>
      </w:tblPr>
      <w:tblGrid>
        <w:gridCol w:w="1997"/>
        <w:gridCol w:w="283"/>
        <w:gridCol w:w="7546"/>
      </w:tblGrid>
      <w:tr w:rsidR="00654093" w:rsidRPr="00656A4E" w:rsidTr="00853C0F">
        <w:tc>
          <w:tcPr>
            <w:tcW w:w="1016" w:type="pct"/>
            <w:shd w:val="clear" w:color="auto" w:fill="auto"/>
          </w:tcPr>
          <w:p w:rsidR="00654093" w:rsidRDefault="00654093" w:rsidP="00853C0F">
            <w:pPr>
              <w:spacing w:line="240" w:lineRule="auto"/>
              <w:rPr>
                <w:sz w:val="16"/>
                <w:szCs w:val="16"/>
              </w:rPr>
            </w:pPr>
            <w:r>
              <w:rPr>
                <w:sz w:val="16"/>
                <w:szCs w:val="16"/>
              </w:rPr>
              <w:t>Růst tržeb ve vybraných službách výrazně zrychlil. Dařilo se všem hlavním odvětvím.</w:t>
            </w:r>
          </w:p>
        </w:tc>
        <w:tc>
          <w:tcPr>
            <w:tcW w:w="144" w:type="pct"/>
          </w:tcPr>
          <w:p w:rsidR="00654093" w:rsidRPr="00636F97" w:rsidRDefault="00654093" w:rsidP="00853C0F">
            <w:pPr>
              <w:rPr>
                <w:spacing w:val="-4"/>
                <w:szCs w:val="20"/>
              </w:rPr>
            </w:pPr>
          </w:p>
        </w:tc>
        <w:tc>
          <w:tcPr>
            <w:tcW w:w="3840" w:type="pct"/>
          </w:tcPr>
          <w:p w:rsidR="00654093" w:rsidRPr="00B6493D" w:rsidRDefault="00654093" w:rsidP="00853C0F">
            <w:pPr>
              <w:pStyle w:val="Textpoznpodarou"/>
              <w:jc w:val="both"/>
              <w:rPr>
                <w:color w:val="000000" w:themeColor="text1"/>
                <w:spacing w:val="-4"/>
              </w:rPr>
            </w:pPr>
            <w:r w:rsidRPr="00B6493D">
              <w:rPr>
                <w:color w:val="000000" w:themeColor="text1"/>
                <w:spacing w:val="-4"/>
              </w:rPr>
              <w:t>Růst tržeb ve vybraných službách</w:t>
            </w:r>
            <w:r w:rsidRPr="00B6493D">
              <w:rPr>
                <w:color w:val="000000" w:themeColor="text1"/>
                <w:spacing w:val="-4"/>
                <w:vertAlign w:val="superscript"/>
              </w:rPr>
              <w:footnoteReference w:id="19"/>
            </w:r>
            <w:r w:rsidRPr="00B6493D">
              <w:rPr>
                <w:color w:val="000000" w:themeColor="text1"/>
                <w:spacing w:val="-4"/>
              </w:rPr>
              <w:t xml:space="preserve"> na počátku roku výrazně zrychlil. Zatímco v poslední čtvrtině loňského roku činil meziroční růst tržeb „jen“ 1,6 %, na počátku roku 2017 vystoupal na 5,3 % (nejvíce od konce roku 2007). Následující čtvrtletí tento pozitivní vývoj potvrdilo (+5,7 %). V obou letošních čtvrtletích přispívaly k růstu všechny sledované o</w:t>
            </w:r>
            <w:r w:rsidR="00B6493D">
              <w:rPr>
                <w:color w:val="000000" w:themeColor="text1"/>
                <w:spacing w:val="-4"/>
              </w:rPr>
              <w:t>dvětvové sekce služeb. N</w:t>
            </w:r>
            <w:r w:rsidRPr="00B6493D">
              <w:rPr>
                <w:color w:val="000000" w:themeColor="text1"/>
                <w:spacing w:val="-4"/>
              </w:rPr>
              <w:t>a počátku r</w:t>
            </w:r>
            <w:r w:rsidR="00D9266B" w:rsidRPr="00B6493D">
              <w:rPr>
                <w:color w:val="000000" w:themeColor="text1"/>
                <w:spacing w:val="-4"/>
              </w:rPr>
              <w:t>oku byly služby taženy hlavně</w:t>
            </w:r>
            <w:r w:rsidRPr="00B6493D">
              <w:rPr>
                <w:color w:val="000000" w:themeColor="text1"/>
                <w:spacing w:val="-4"/>
              </w:rPr>
              <w:t xml:space="preserve"> váhově nejsilněj</w:t>
            </w:r>
            <w:r w:rsidR="00D9266B" w:rsidRPr="00B6493D">
              <w:rPr>
                <w:color w:val="000000" w:themeColor="text1"/>
                <w:spacing w:val="-4"/>
              </w:rPr>
              <w:t>ším odvětvím</w:t>
            </w:r>
            <w:r w:rsidRPr="00B6493D">
              <w:rPr>
                <w:color w:val="000000" w:themeColor="text1"/>
                <w:spacing w:val="-4"/>
              </w:rPr>
              <w:t xml:space="preserve"> – dopravou a skladováním (s téměř třetinový</w:t>
            </w:r>
            <w:r w:rsidR="00B6493D">
              <w:rPr>
                <w:color w:val="000000" w:themeColor="text1"/>
                <w:spacing w:val="-4"/>
              </w:rPr>
              <w:t>m příspěvkem k celkovému růstu).</w:t>
            </w:r>
            <w:r w:rsidRPr="00B6493D">
              <w:rPr>
                <w:color w:val="000000" w:themeColor="text1"/>
                <w:spacing w:val="-4"/>
              </w:rPr>
              <w:t xml:space="preserve"> </w:t>
            </w:r>
            <w:r w:rsidR="00B6493D">
              <w:rPr>
                <w:color w:val="000000" w:themeColor="text1"/>
                <w:spacing w:val="-4"/>
              </w:rPr>
              <w:t>V</w:t>
            </w:r>
            <w:r w:rsidR="00D9266B" w:rsidRPr="00B6493D">
              <w:rPr>
                <w:color w:val="000000" w:themeColor="text1"/>
                <w:spacing w:val="-4"/>
              </w:rPr>
              <w:t>e 2. čtvrtletí role tohoto odvětví oslabila ve prospěch</w:t>
            </w:r>
            <w:r w:rsidRPr="00B6493D">
              <w:rPr>
                <w:color w:val="000000" w:themeColor="text1"/>
                <w:spacing w:val="-4"/>
              </w:rPr>
              <w:t xml:space="preserve"> inform</w:t>
            </w:r>
            <w:r w:rsidR="00D9266B" w:rsidRPr="00B6493D">
              <w:rPr>
                <w:color w:val="000000" w:themeColor="text1"/>
                <w:spacing w:val="-4"/>
              </w:rPr>
              <w:t>ačních a komunikačních činností a též ubytování, stravování a pohostinství.</w:t>
            </w:r>
            <w:r w:rsidRPr="00B6493D">
              <w:rPr>
                <w:color w:val="000000" w:themeColor="text1"/>
                <w:spacing w:val="-4"/>
              </w:rPr>
              <w:t xml:space="preserve"> </w:t>
            </w:r>
          </w:p>
          <w:p w:rsidR="00654093" w:rsidRPr="00654093" w:rsidRDefault="00654093" w:rsidP="00853C0F">
            <w:pPr>
              <w:pStyle w:val="Textpoznpodarou"/>
              <w:jc w:val="both"/>
              <w:rPr>
                <w:spacing w:val="-4"/>
                <w:sz w:val="14"/>
                <w:szCs w:val="14"/>
              </w:rPr>
            </w:pPr>
          </w:p>
        </w:tc>
      </w:tr>
      <w:tr w:rsidR="00654093" w:rsidRPr="00156294" w:rsidTr="00853C0F">
        <w:tc>
          <w:tcPr>
            <w:tcW w:w="1016" w:type="pct"/>
            <w:shd w:val="clear" w:color="auto" w:fill="auto"/>
          </w:tcPr>
          <w:p w:rsidR="00654093" w:rsidRPr="00FB051E" w:rsidRDefault="00654093" w:rsidP="00853C0F">
            <w:pPr>
              <w:spacing w:line="240" w:lineRule="auto"/>
              <w:rPr>
                <w:color w:val="0D0D0D" w:themeColor="text1" w:themeTint="F2"/>
                <w:spacing w:val="-2"/>
                <w:sz w:val="16"/>
                <w:szCs w:val="16"/>
              </w:rPr>
            </w:pPr>
            <w:r w:rsidRPr="00FB051E">
              <w:rPr>
                <w:color w:val="0D0D0D" w:themeColor="text1" w:themeTint="F2"/>
                <w:spacing w:val="-2"/>
                <w:sz w:val="16"/>
                <w:szCs w:val="16"/>
              </w:rPr>
              <w:t>Tržby v letecké dopravě výrazně ožily, rostly nejvyšším tempem po roce 2005.</w:t>
            </w:r>
          </w:p>
          <w:p w:rsidR="00654093" w:rsidRPr="00FB051E" w:rsidRDefault="00654093" w:rsidP="00853C0F">
            <w:pPr>
              <w:spacing w:line="240" w:lineRule="auto"/>
              <w:rPr>
                <w:color w:val="0D0D0D" w:themeColor="text1" w:themeTint="F2"/>
                <w:spacing w:val="-2"/>
                <w:sz w:val="16"/>
                <w:szCs w:val="16"/>
              </w:rPr>
            </w:pPr>
          </w:p>
          <w:p w:rsidR="00654093" w:rsidRDefault="00654093" w:rsidP="00853C0F">
            <w:pPr>
              <w:spacing w:line="240" w:lineRule="auto"/>
              <w:rPr>
                <w:color w:val="0D0D0D" w:themeColor="text1" w:themeTint="F2"/>
                <w:spacing w:val="-2"/>
                <w:sz w:val="16"/>
                <w:szCs w:val="16"/>
              </w:rPr>
            </w:pPr>
            <w:r>
              <w:rPr>
                <w:color w:val="0D0D0D" w:themeColor="text1" w:themeTint="F2"/>
                <w:spacing w:val="-2"/>
                <w:sz w:val="16"/>
                <w:szCs w:val="16"/>
              </w:rPr>
              <w:t>Rozvoj</w:t>
            </w:r>
            <w:r w:rsidRPr="00FB051E">
              <w:rPr>
                <w:color w:val="0D0D0D" w:themeColor="text1" w:themeTint="F2"/>
                <w:spacing w:val="-2"/>
                <w:sz w:val="16"/>
                <w:szCs w:val="16"/>
              </w:rPr>
              <w:t xml:space="preserve"> cestovního ruchu se odrazil také ve vysokém růstu tržeb v ubytování, stravování a pohostinství.</w:t>
            </w:r>
          </w:p>
          <w:p w:rsidR="00654093" w:rsidRPr="00FB051E" w:rsidRDefault="00654093" w:rsidP="00853C0F">
            <w:pPr>
              <w:spacing w:line="240" w:lineRule="auto"/>
              <w:rPr>
                <w:color w:val="0D0D0D" w:themeColor="text1" w:themeTint="F2"/>
                <w:spacing w:val="-2"/>
                <w:sz w:val="16"/>
                <w:szCs w:val="16"/>
              </w:rPr>
            </w:pPr>
            <w:r>
              <w:rPr>
                <w:color w:val="0D0D0D" w:themeColor="text1" w:themeTint="F2"/>
                <w:spacing w:val="-2"/>
                <w:sz w:val="16"/>
                <w:szCs w:val="16"/>
              </w:rPr>
              <w:lastRenderedPageBreak/>
              <w:t>Sílila poptávka po informačních a</w:t>
            </w:r>
            <w:r w:rsidRPr="00FB051E">
              <w:rPr>
                <w:color w:val="0D0D0D" w:themeColor="text1" w:themeTint="F2"/>
                <w:spacing w:val="-2"/>
                <w:sz w:val="16"/>
                <w:szCs w:val="16"/>
              </w:rPr>
              <w:t> </w:t>
            </w:r>
            <w:r>
              <w:rPr>
                <w:color w:val="0D0D0D" w:themeColor="text1" w:themeTint="F2"/>
                <w:spacing w:val="-2"/>
                <w:sz w:val="16"/>
                <w:szCs w:val="16"/>
              </w:rPr>
              <w:t>komunikačních činnostech. Dlouhodobě se dařilo i pracovním agenturám.</w:t>
            </w:r>
          </w:p>
          <w:p w:rsidR="00654093" w:rsidRDefault="00654093" w:rsidP="00853C0F">
            <w:pPr>
              <w:spacing w:line="240" w:lineRule="auto"/>
              <w:rPr>
                <w:color w:val="0D0D0D" w:themeColor="text1" w:themeTint="F2"/>
                <w:spacing w:val="-2"/>
                <w:sz w:val="16"/>
                <w:szCs w:val="16"/>
              </w:rPr>
            </w:pPr>
          </w:p>
          <w:p w:rsidR="00654093" w:rsidRDefault="00654093" w:rsidP="00853C0F">
            <w:pPr>
              <w:spacing w:line="240" w:lineRule="auto"/>
              <w:rPr>
                <w:color w:val="0D0D0D" w:themeColor="text1" w:themeTint="F2"/>
                <w:spacing w:val="-2"/>
                <w:sz w:val="16"/>
                <w:szCs w:val="16"/>
              </w:rPr>
            </w:pPr>
          </w:p>
          <w:p w:rsidR="00654093" w:rsidRPr="00932899" w:rsidRDefault="00654093" w:rsidP="00853C0F">
            <w:pPr>
              <w:spacing w:line="240" w:lineRule="auto"/>
              <w:rPr>
                <w:color w:val="0D0D0D" w:themeColor="text1" w:themeTint="F2"/>
                <w:spacing w:val="-2"/>
                <w:sz w:val="16"/>
                <w:szCs w:val="16"/>
              </w:rPr>
            </w:pPr>
          </w:p>
          <w:p w:rsidR="00654093" w:rsidRDefault="00654093" w:rsidP="00853C0F">
            <w:pPr>
              <w:spacing w:line="240" w:lineRule="auto"/>
              <w:rPr>
                <w:color w:val="0D0D0D" w:themeColor="text1" w:themeTint="F2"/>
                <w:spacing w:val="-2"/>
                <w:sz w:val="16"/>
                <w:szCs w:val="16"/>
              </w:rPr>
            </w:pPr>
          </w:p>
          <w:p w:rsidR="00654093" w:rsidRPr="00932899" w:rsidRDefault="00654093" w:rsidP="00853C0F">
            <w:pPr>
              <w:spacing w:line="240" w:lineRule="auto"/>
              <w:rPr>
                <w:color w:val="0D0D0D" w:themeColor="text1" w:themeTint="F2"/>
                <w:spacing w:val="-2"/>
                <w:sz w:val="16"/>
                <w:szCs w:val="16"/>
              </w:rPr>
            </w:pPr>
            <w:r>
              <w:rPr>
                <w:color w:val="0D0D0D" w:themeColor="text1" w:themeTint="F2"/>
                <w:spacing w:val="-2"/>
                <w:sz w:val="16"/>
                <w:szCs w:val="16"/>
              </w:rPr>
              <w:t>Růst zakázek ve stavebnictví se projevil také vyšší poptávkou po projektových činnostech.  Tržby architektonických a</w:t>
            </w:r>
            <w:r w:rsidRPr="00FB051E">
              <w:rPr>
                <w:color w:val="0D0D0D" w:themeColor="text1" w:themeTint="F2"/>
                <w:spacing w:val="-2"/>
                <w:sz w:val="16"/>
                <w:szCs w:val="16"/>
              </w:rPr>
              <w:t> </w:t>
            </w:r>
            <w:r>
              <w:rPr>
                <w:color w:val="0D0D0D" w:themeColor="text1" w:themeTint="F2"/>
                <w:spacing w:val="-2"/>
                <w:sz w:val="16"/>
                <w:szCs w:val="16"/>
              </w:rPr>
              <w:t>inženýrských činností po šesti čtvrtletích opět vzrostly.</w:t>
            </w:r>
          </w:p>
          <w:p w:rsidR="00654093" w:rsidRPr="005B2702" w:rsidRDefault="00654093" w:rsidP="00853C0F">
            <w:pPr>
              <w:spacing w:line="240" w:lineRule="auto"/>
              <w:rPr>
                <w:spacing w:val="-2"/>
                <w:sz w:val="16"/>
                <w:szCs w:val="16"/>
              </w:rPr>
            </w:pPr>
          </w:p>
        </w:tc>
        <w:tc>
          <w:tcPr>
            <w:tcW w:w="144" w:type="pct"/>
          </w:tcPr>
          <w:p w:rsidR="00654093" w:rsidRPr="005B2702" w:rsidRDefault="00654093" w:rsidP="00853C0F">
            <w:pPr>
              <w:rPr>
                <w:spacing w:val="-4"/>
                <w:szCs w:val="20"/>
              </w:rPr>
            </w:pPr>
          </w:p>
        </w:tc>
        <w:tc>
          <w:tcPr>
            <w:tcW w:w="3840" w:type="pct"/>
          </w:tcPr>
          <w:p w:rsidR="00654093" w:rsidRPr="00787688" w:rsidRDefault="00654093" w:rsidP="00853C0F">
            <w:pPr>
              <w:pStyle w:val="Textpoznpodarou"/>
              <w:jc w:val="both"/>
              <w:rPr>
                <w:color w:val="000000" w:themeColor="text1"/>
                <w:spacing w:val="-4"/>
              </w:rPr>
            </w:pPr>
            <w:r>
              <w:rPr>
                <w:spacing w:val="-4"/>
              </w:rPr>
              <w:t xml:space="preserve">Tržby v dopravě a skladování rostly letos oproti 1. pololetí 2016 o 4,6 %. Příznivějšího výsledku dosáhly všechny druhy dopravy. Z nich vyčnívala především vleklou recesí silně zasažená letecká doprava, jež zaznamenala nejlepší výsledek (+14,9 %) po roce 2005. Dařilo se i skladování a vedlejším činnostem v dopravě (+5,3 %), které díky úzké vazbě na průmysl patří dlouhodobě k nejdynamičtější oblasti služeb. Silný růst vykázalo také ubytování (+11,9 %) spolu se stravováním a pohostinstvím (13,2 %). Obě odvětví těžila z rostoucí spotřeby domácností doplněné rozvojem příjezdového cestovního ruchu. V samotném 2. čtvrtletí vzrostl počet přenocování nerezidentů </w:t>
            </w:r>
            <w:r>
              <w:rPr>
                <w:spacing w:val="-4"/>
              </w:rPr>
              <w:lastRenderedPageBreak/>
              <w:t>v hromadných ubytovacích zařízeních o 15,6 %. O 4,4 % posílily v 1. pololetí také informační a komunikační činnosti, kde dlouhodobě roste poptávka zejména po zpracování</w:t>
            </w:r>
            <w:r w:rsidRPr="00B24AF0">
              <w:rPr>
                <w:spacing w:val="-4"/>
              </w:rPr>
              <w:t xml:space="preserve"> dat</w:t>
            </w:r>
            <w:r>
              <w:rPr>
                <w:spacing w:val="-4"/>
              </w:rPr>
              <w:t xml:space="preserve">, webových portálech a </w:t>
            </w:r>
            <w:proofErr w:type="spellStart"/>
            <w:r>
              <w:rPr>
                <w:spacing w:val="-4"/>
              </w:rPr>
              <w:t>hostingu</w:t>
            </w:r>
            <w:proofErr w:type="spellEnd"/>
            <w:r>
              <w:rPr>
                <w:spacing w:val="-4"/>
              </w:rPr>
              <w:t>, programování a poradenství v oblasti IT. Opačně na tom byl filmový a hudební průmysl, ve kterém se letos tržby o osminu snížily. V odvětví profesní, vědecké a technické činnosti tržby posílily o 3,2 % a zazna</w:t>
            </w:r>
            <w:r w:rsidR="004A26AF">
              <w:rPr>
                <w:spacing w:val="-4"/>
              </w:rPr>
              <w:t>menaly také v rámci prvních pololetí</w:t>
            </w:r>
            <w:r>
              <w:rPr>
                <w:spacing w:val="-4"/>
              </w:rPr>
              <w:t xml:space="preserve"> teprve druhý meziroční růst po roce 2008. K letošnímu růstu v tomto odvětví přispěly se stavebnictvím silně provázané </w:t>
            </w:r>
            <w:r>
              <w:rPr>
                <w:color w:val="000000" w:themeColor="text1"/>
                <w:spacing w:val="-4"/>
              </w:rPr>
              <w:t>architektonické</w:t>
            </w:r>
            <w:r w:rsidRPr="007B2C32">
              <w:rPr>
                <w:color w:val="000000" w:themeColor="text1"/>
                <w:spacing w:val="-4"/>
              </w:rPr>
              <w:t xml:space="preserve"> a</w:t>
            </w:r>
            <w:r>
              <w:rPr>
                <w:spacing w:val="-4"/>
              </w:rPr>
              <w:t> </w:t>
            </w:r>
            <w:r w:rsidRPr="007B2C32">
              <w:rPr>
                <w:color w:val="000000" w:themeColor="text1"/>
                <w:spacing w:val="-4"/>
              </w:rPr>
              <w:t>inženýrské činnost</w:t>
            </w:r>
            <w:r>
              <w:rPr>
                <w:color w:val="000000" w:themeColor="text1"/>
                <w:spacing w:val="-4"/>
              </w:rPr>
              <w:t>i, které ožily po šesti čtvrtletích nepříznivého vývoje. V 1. pololetí výrazně vzrostla poptávka také po fotografických, návrhářských, překladatelských činnostech (+8,5 %). Pokračoval dynamický růst tržeb za průzkum tr</w:t>
            </w:r>
            <w:r w:rsidR="00D9640A">
              <w:rPr>
                <w:color w:val="000000" w:themeColor="text1"/>
                <w:spacing w:val="-4"/>
              </w:rPr>
              <w:t>hu a veřejného mínění, naopak</w:t>
            </w:r>
            <w:r>
              <w:rPr>
                <w:color w:val="000000" w:themeColor="text1"/>
                <w:spacing w:val="-4"/>
              </w:rPr>
              <w:t xml:space="preserve"> reklamní činnosti spíše stagnovaly. O téměř desetinu letos vzrostly tržby v odvětví administrativní a podpůrné činnosti, kde se tradičně dařilo zejména pracovním agenturám (+17,3 %). Výrazně ožily cestovní agentury, kanceláře</w:t>
            </w:r>
            <w:r w:rsidRPr="004825E9">
              <w:rPr>
                <w:color w:val="000000" w:themeColor="text1"/>
                <w:spacing w:val="-4"/>
              </w:rPr>
              <w:t xml:space="preserve"> a jiné rezervační a související činnosti</w:t>
            </w:r>
            <w:r>
              <w:rPr>
                <w:color w:val="000000" w:themeColor="text1"/>
                <w:spacing w:val="-4"/>
              </w:rPr>
              <w:t xml:space="preserve">, které dosáhly nejlepšího výsledku (13,2 %) za posledních deset let. Proti vrcholu konjunktury (1. pololetí 2008) byly však jejich letošní tržby stále o více než čtvrtinu slabší. </w:t>
            </w:r>
          </w:p>
        </w:tc>
      </w:tr>
    </w:tbl>
    <w:p w:rsidR="00654093" w:rsidRPr="00535F78" w:rsidRDefault="00654093" w:rsidP="00654093">
      <w:pPr>
        <w:pStyle w:val="Textpoznpodarou"/>
        <w:jc w:val="both"/>
        <w:rPr>
          <w:sz w:val="14"/>
          <w:szCs w:val="14"/>
        </w:rPr>
      </w:pPr>
    </w:p>
    <w:tbl>
      <w:tblPr>
        <w:tblW w:w="4963" w:type="pct"/>
        <w:tblInd w:w="108" w:type="dxa"/>
        <w:tblLayout w:type="fixed"/>
        <w:tblLook w:val="00A0"/>
      </w:tblPr>
      <w:tblGrid>
        <w:gridCol w:w="1997"/>
        <w:gridCol w:w="284"/>
        <w:gridCol w:w="980"/>
        <w:gridCol w:w="6520"/>
      </w:tblGrid>
      <w:tr w:rsidR="00654093" w:rsidRPr="00AA4A76" w:rsidTr="00853C0F">
        <w:trPr>
          <w:trHeight w:val="145"/>
        </w:trPr>
        <w:tc>
          <w:tcPr>
            <w:tcW w:w="1021" w:type="pct"/>
            <w:shd w:val="clear" w:color="auto" w:fill="auto"/>
          </w:tcPr>
          <w:p w:rsidR="00654093" w:rsidRPr="00AA4A76" w:rsidRDefault="00654093" w:rsidP="00853C0F">
            <w:pPr>
              <w:spacing w:line="240" w:lineRule="auto"/>
              <w:jc w:val="center"/>
              <w:rPr>
                <w:color w:val="000000"/>
                <w:szCs w:val="20"/>
              </w:rPr>
            </w:pPr>
          </w:p>
        </w:tc>
        <w:tc>
          <w:tcPr>
            <w:tcW w:w="145" w:type="pct"/>
          </w:tcPr>
          <w:p w:rsidR="00654093" w:rsidRPr="00AA4A76" w:rsidRDefault="00654093" w:rsidP="00853C0F">
            <w:pPr>
              <w:pStyle w:val="Textpoznpodarou"/>
              <w:jc w:val="both"/>
              <w:rPr>
                <w:highlight w:val="yellow"/>
              </w:rPr>
            </w:pPr>
          </w:p>
        </w:tc>
        <w:tc>
          <w:tcPr>
            <w:tcW w:w="501" w:type="pct"/>
          </w:tcPr>
          <w:p w:rsidR="00654093" w:rsidRPr="00E62A33" w:rsidRDefault="00654093" w:rsidP="00853C0F">
            <w:pPr>
              <w:pStyle w:val="Textpoznpodarou"/>
              <w:jc w:val="both"/>
              <w:rPr>
                <w:spacing w:val="-2"/>
                <w:highlight w:val="yellow"/>
              </w:rPr>
            </w:pPr>
            <w:r w:rsidRPr="00E62A33">
              <w:rPr>
                <w:color w:val="000000"/>
                <w:spacing w:val="-2"/>
              </w:rPr>
              <w:t>Graf č. 8</w:t>
            </w:r>
          </w:p>
        </w:tc>
        <w:tc>
          <w:tcPr>
            <w:tcW w:w="3333" w:type="pct"/>
          </w:tcPr>
          <w:p w:rsidR="00654093" w:rsidRDefault="00654093" w:rsidP="00853C0F">
            <w:pPr>
              <w:pStyle w:val="Textpoznpodarou"/>
              <w:rPr>
                <w:b/>
                <w:spacing w:val="-2"/>
              </w:rPr>
            </w:pPr>
            <w:r>
              <w:rPr>
                <w:b/>
                <w:spacing w:val="-2"/>
              </w:rPr>
              <w:t>Tržby ve službách* a jejich vybraných odvětvových sekcích</w:t>
            </w:r>
            <w:r w:rsidRPr="00E62A33">
              <w:rPr>
                <w:b/>
                <w:spacing w:val="-2"/>
              </w:rPr>
              <w:t xml:space="preserve"> </w:t>
            </w:r>
          </w:p>
          <w:p w:rsidR="00654093" w:rsidRPr="00E62A33" w:rsidRDefault="00654093" w:rsidP="00853C0F">
            <w:pPr>
              <w:pStyle w:val="Textpoznpodarou"/>
              <w:rPr>
                <w:spacing w:val="-2"/>
                <w:lang w:eastAsia="en-US"/>
              </w:rPr>
            </w:pPr>
            <w:r w:rsidRPr="00E62A33">
              <w:rPr>
                <w:bCs/>
                <w:spacing w:val="-2"/>
              </w:rPr>
              <w:t xml:space="preserve">(reálně, </w:t>
            </w:r>
            <w:r w:rsidRPr="00E62A33">
              <w:rPr>
                <w:rFonts w:cs="Arial"/>
                <w:spacing w:val="-2"/>
              </w:rPr>
              <w:t xml:space="preserve">očištěno od vlivu počtu pracovních dnů, </w:t>
            </w:r>
            <w:r w:rsidRPr="00E62A33">
              <w:rPr>
                <w:spacing w:val="-2"/>
              </w:rPr>
              <w:t>meziročně</w:t>
            </w:r>
            <w:r w:rsidRPr="00E62A33">
              <w:rPr>
                <w:bCs/>
                <w:spacing w:val="-2"/>
              </w:rPr>
              <w:t xml:space="preserve"> v %)</w:t>
            </w:r>
          </w:p>
        </w:tc>
      </w:tr>
      <w:tr w:rsidR="00654093" w:rsidRPr="00AA4A76" w:rsidTr="00853C0F">
        <w:trPr>
          <w:trHeight w:val="145"/>
        </w:trPr>
        <w:tc>
          <w:tcPr>
            <w:tcW w:w="1021" w:type="pct"/>
            <w:shd w:val="clear" w:color="auto" w:fill="auto"/>
          </w:tcPr>
          <w:p w:rsidR="00654093" w:rsidRPr="006D3F53" w:rsidRDefault="00654093" w:rsidP="00853C0F">
            <w:pPr>
              <w:spacing w:line="240" w:lineRule="auto"/>
              <w:rPr>
                <w:color w:val="000000"/>
                <w:sz w:val="16"/>
                <w:szCs w:val="16"/>
                <w:highlight w:val="yellow"/>
              </w:rPr>
            </w:pPr>
          </w:p>
        </w:tc>
        <w:tc>
          <w:tcPr>
            <w:tcW w:w="145" w:type="pct"/>
          </w:tcPr>
          <w:p w:rsidR="00654093" w:rsidRPr="00A74192" w:rsidRDefault="00654093" w:rsidP="00853C0F">
            <w:pPr>
              <w:pStyle w:val="Textpoznpodarou"/>
              <w:jc w:val="both"/>
            </w:pPr>
          </w:p>
        </w:tc>
        <w:tc>
          <w:tcPr>
            <w:tcW w:w="3834" w:type="pct"/>
            <w:gridSpan w:val="2"/>
          </w:tcPr>
          <w:p w:rsidR="00654093" w:rsidRPr="00E62A33" w:rsidRDefault="00654093" w:rsidP="00853C0F">
            <w:pPr>
              <w:pStyle w:val="Textpoznpodarou"/>
              <w:ind w:left="-124"/>
              <w:rPr>
                <w:sz w:val="16"/>
                <w:szCs w:val="16"/>
              </w:rPr>
            </w:pPr>
            <w:r w:rsidRPr="00A84D8E">
              <w:rPr>
                <w:noProof/>
                <w:color w:val="0D0D0D" w:themeColor="text1" w:themeTint="F2"/>
                <w:spacing w:val="-4"/>
                <w:sz w:val="14"/>
                <w:szCs w:val="14"/>
              </w:rPr>
              <w:drawing>
                <wp:inline distT="0" distB="0" distL="0" distR="0">
                  <wp:extent cx="4785863" cy="3459192"/>
                  <wp:effectExtent l="19050" t="0" r="0" b="0"/>
                  <wp:docPr id="2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612A06">
              <w:rPr>
                <w:color w:val="0D0D0D" w:themeColor="text1" w:themeTint="F2"/>
                <w:spacing w:val="-4"/>
                <w:sz w:val="14"/>
                <w:szCs w:val="14"/>
              </w:rPr>
              <w:t>*Bez obchodu, peněžnictví, poji</w:t>
            </w:r>
            <w:r>
              <w:rPr>
                <w:color w:val="0D0D0D" w:themeColor="text1" w:themeTint="F2"/>
                <w:spacing w:val="-4"/>
                <w:sz w:val="14"/>
                <w:szCs w:val="14"/>
              </w:rPr>
              <w:t>šťovnictví, vědy, výzkumu a veřejných</w:t>
            </w:r>
            <w:r w:rsidRPr="00612A06">
              <w:rPr>
                <w:color w:val="0D0D0D" w:themeColor="text1" w:themeTint="F2"/>
                <w:spacing w:val="-4"/>
                <w:sz w:val="14"/>
                <w:szCs w:val="14"/>
              </w:rPr>
              <w:t xml:space="preserve"> služeb.      </w:t>
            </w:r>
            <w:r>
              <w:rPr>
                <w:color w:val="0D0D0D" w:themeColor="text1" w:themeTint="F2"/>
                <w:spacing w:val="-4"/>
                <w:sz w:val="14"/>
                <w:szCs w:val="14"/>
              </w:rPr>
              <w:t xml:space="preserve">                                                </w:t>
            </w:r>
            <w:r w:rsidRPr="00612A06">
              <w:rPr>
                <w:color w:val="0D0D0D" w:themeColor="text1" w:themeTint="F2"/>
                <w:spacing w:val="-4"/>
                <w:sz w:val="14"/>
                <w:szCs w:val="14"/>
              </w:rPr>
              <w:t xml:space="preserve">         </w:t>
            </w:r>
            <w:r w:rsidRPr="00E62A33">
              <w:rPr>
                <w:sz w:val="14"/>
                <w:szCs w:val="14"/>
              </w:rPr>
              <w:t>Zdroj: ČSÚ</w:t>
            </w:r>
          </w:p>
        </w:tc>
      </w:tr>
    </w:tbl>
    <w:p w:rsidR="00654093" w:rsidRPr="00787688" w:rsidRDefault="00654093" w:rsidP="00654093">
      <w:pPr>
        <w:pStyle w:val="Textpoznpodarou"/>
        <w:jc w:val="both"/>
        <w:rPr>
          <w:sz w:val="15"/>
          <w:szCs w:val="15"/>
        </w:rPr>
      </w:pPr>
    </w:p>
    <w:tbl>
      <w:tblPr>
        <w:tblW w:w="4986" w:type="pct"/>
        <w:tblInd w:w="107" w:type="dxa"/>
        <w:tblLayout w:type="fixed"/>
        <w:tblLook w:val="00A0"/>
      </w:tblPr>
      <w:tblGrid>
        <w:gridCol w:w="1997"/>
        <w:gridCol w:w="283"/>
        <w:gridCol w:w="7546"/>
      </w:tblGrid>
      <w:tr w:rsidR="00654093" w:rsidRPr="006C5BE9" w:rsidTr="00853C0F">
        <w:tc>
          <w:tcPr>
            <w:tcW w:w="1016" w:type="pct"/>
            <w:shd w:val="clear" w:color="auto" w:fill="auto"/>
          </w:tcPr>
          <w:p w:rsidR="00654093" w:rsidRDefault="00654093" w:rsidP="00853C0F">
            <w:pPr>
              <w:spacing w:line="240" w:lineRule="auto"/>
              <w:rPr>
                <w:color w:val="0D0D0D" w:themeColor="text1" w:themeTint="F2"/>
                <w:spacing w:val="-2"/>
                <w:sz w:val="16"/>
                <w:szCs w:val="16"/>
              </w:rPr>
            </w:pPr>
            <w:r w:rsidRPr="00424344">
              <w:rPr>
                <w:color w:val="0D0D0D" w:themeColor="text1" w:themeTint="F2"/>
                <w:spacing w:val="-2"/>
                <w:sz w:val="16"/>
                <w:szCs w:val="16"/>
              </w:rPr>
              <w:t xml:space="preserve">Růst maloobchodních tržeb byl v posledních </w:t>
            </w:r>
            <w:r>
              <w:rPr>
                <w:color w:val="0D0D0D" w:themeColor="text1" w:themeTint="F2"/>
                <w:spacing w:val="-2"/>
                <w:sz w:val="16"/>
                <w:szCs w:val="16"/>
              </w:rPr>
              <w:t xml:space="preserve">dvou a půl letech </w:t>
            </w:r>
            <w:r w:rsidRPr="00424344">
              <w:rPr>
                <w:color w:val="0D0D0D" w:themeColor="text1" w:themeTint="F2"/>
                <w:spacing w:val="-2"/>
                <w:sz w:val="16"/>
                <w:szCs w:val="16"/>
              </w:rPr>
              <w:t>stabilní, mírně kolísal těsně p</w:t>
            </w:r>
            <w:r>
              <w:rPr>
                <w:color w:val="0D0D0D" w:themeColor="text1" w:themeTint="F2"/>
                <w:spacing w:val="-2"/>
                <w:sz w:val="16"/>
                <w:szCs w:val="16"/>
              </w:rPr>
              <w:t>o</w:t>
            </w:r>
            <w:r w:rsidRPr="00424344">
              <w:rPr>
                <w:color w:val="0D0D0D" w:themeColor="text1" w:themeTint="F2"/>
                <w:spacing w:val="-2"/>
                <w:sz w:val="16"/>
                <w:szCs w:val="16"/>
              </w:rPr>
              <w:t>d 6% hranicí.</w:t>
            </w:r>
          </w:p>
          <w:p w:rsidR="00654093" w:rsidRDefault="00654093" w:rsidP="00853C0F">
            <w:pPr>
              <w:spacing w:line="240" w:lineRule="auto"/>
              <w:rPr>
                <w:color w:val="0D0D0D" w:themeColor="text1" w:themeTint="F2"/>
                <w:spacing w:val="-2"/>
                <w:sz w:val="16"/>
                <w:szCs w:val="16"/>
              </w:rPr>
            </w:pPr>
          </w:p>
          <w:p w:rsidR="00654093" w:rsidRDefault="00654093" w:rsidP="00853C0F">
            <w:pPr>
              <w:spacing w:line="240" w:lineRule="auto"/>
              <w:rPr>
                <w:color w:val="0D0D0D" w:themeColor="text1" w:themeTint="F2"/>
                <w:spacing w:val="-2"/>
                <w:sz w:val="16"/>
                <w:szCs w:val="16"/>
              </w:rPr>
            </w:pPr>
          </w:p>
          <w:p w:rsidR="00654093" w:rsidRDefault="00654093" w:rsidP="00853C0F">
            <w:pPr>
              <w:spacing w:line="240" w:lineRule="auto"/>
              <w:rPr>
                <w:color w:val="0D0D0D" w:themeColor="text1" w:themeTint="F2"/>
                <w:spacing w:val="-2"/>
                <w:sz w:val="16"/>
                <w:szCs w:val="16"/>
              </w:rPr>
            </w:pPr>
          </w:p>
          <w:p w:rsidR="00654093" w:rsidRDefault="00654093" w:rsidP="00853C0F">
            <w:pPr>
              <w:spacing w:line="240" w:lineRule="auto"/>
              <w:rPr>
                <w:color w:val="0D0D0D" w:themeColor="text1" w:themeTint="F2"/>
                <w:spacing w:val="-2"/>
                <w:sz w:val="16"/>
                <w:szCs w:val="16"/>
              </w:rPr>
            </w:pPr>
          </w:p>
          <w:p w:rsidR="00654093" w:rsidRPr="00424344" w:rsidRDefault="00654093" w:rsidP="00853C0F">
            <w:pPr>
              <w:spacing w:line="240" w:lineRule="auto"/>
              <w:rPr>
                <w:color w:val="0D0D0D" w:themeColor="text1" w:themeTint="F2"/>
                <w:spacing w:val="-2"/>
                <w:sz w:val="16"/>
                <w:szCs w:val="16"/>
              </w:rPr>
            </w:pPr>
            <w:r>
              <w:rPr>
                <w:color w:val="0D0D0D" w:themeColor="text1" w:themeTint="F2"/>
                <w:spacing w:val="-2"/>
                <w:sz w:val="16"/>
                <w:szCs w:val="16"/>
              </w:rPr>
              <w:t xml:space="preserve">Tempo růstu tržeb za </w:t>
            </w:r>
            <w:proofErr w:type="spellStart"/>
            <w:r>
              <w:rPr>
                <w:color w:val="0D0D0D" w:themeColor="text1" w:themeTint="F2"/>
                <w:spacing w:val="-2"/>
                <w:sz w:val="16"/>
                <w:szCs w:val="16"/>
              </w:rPr>
              <w:t>nepotravinářské</w:t>
            </w:r>
            <w:proofErr w:type="spellEnd"/>
            <w:r>
              <w:rPr>
                <w:color w:val="0D0D0D" w:themeColor="text1" w:themeTint="F2"/>
                <w:spacing w:val="-2"/>
                <w:sz w:val="16"/>
                <w:szCs w:val="16"/>
              </w:rPr>
              <w:t xml:space="preserve"> zboží vystoupalo nejvýše za posledních deset let. Pokračoval i dynamický růst internetového prodeje.</w:t>
            </w:r>
          </w:p>
          <w:p w:rsidR="00654093" w:rsidRPr="005B2702" w:rsidRDefault="00654093" w:rsidP="00853C0F">
            <w:pPr>
              <w:spacing w:line="240" w:lineRule="auto"/>
              <w:rPr>
                <w:spacing w:val="-2"/>
                <w:sz w:val="16"/>
                <w:szCs w:val="16"/>
              </w:rPr>
            </w:pPr>
          </w:p>
        </w:tc>
        <w:tc>
          <w:tcPr>
            <w:tcW w:w="144" w:type="pct"/>
          </w:tcPr>
          <w:p w:rsidR="00654093" w:rsidRPr="005B2702" w:rsidRDefault="00654093" w:rsidP="00853C0F">
            <w:pPr>
              <w:rPr>
                <w:spacing w:val="-4"/>
                <w:szCs w:val="20"/>
              </w:rPr>
            </w:pPr>
          </w:p>
        </w:tc>
        <w:tc>
          <w:tcPr>
            <w:tcW w:w="3840" w:type="pct"/>
          </w:tcPr>
          <w:p w:rsidR="00654093" w:rsidRPr="005F5129" w:rsidRDefault="00654093" w:rsidP="004A26AF">
            <w:pPr>
              <w:pStyle w:val="Textpoznpodarou"/>
              <w:jc w:val="both"/>
              <w:rPr>
                <w:color w:val="000000" w:themeColor="text1"/>
                <w:spacing w:val="-4"/>
              </w:rPr>
            </w:pPr>
            <w:r>
              <w:rPr>
                <w:spacing w:val="-4"/>
              </w:rPr>
              <w:t xml:space="preserve">Z pohledu zaměstnanců </w:t>
            </w:r>
            <w:r w:rsidR="00D9640A">
              <w:rPr>
                <w:spacing w:val="-4"/>
              </w:rPr>
              <w:t xml:space="preserve">se </w:t>
            </w:r>
            <w:r>
              <w:rPr>
                <w:spacing w:val="-4"/>
              </w:rPr>
              <w:t>velmi přízni</w:t>
            </w:r>
            <w:r w:rsidR="00D9640A">
              <w:rPr>
                <w:spacing w:val="-4"/>
              </w:rPr>
              <w:t xml:space="preserve">vá situace na pracovním trhu </w:t>
            </w:r>
            <w:r>
              <w:rPr>
                <w:spacing w:val="-4"/>
              </w:rPr>
              <w:t xml:space="preserve">odrážela ve svižném růstu disponibilních příjmů domácností. Tento faktor společně s více než dva roky trvajícím optimistickým naladěním spotřebitelů vyústil </w:t>
            </w:r>
            <w:r w:rsidR="00B77FB7">
              <w:rPr>
                <w:spacing w:val="-4"/>
              </w:rPr>
              <w:t>ve vysokých tempech</w:t>
            </w:r>
            <w:r>
              <w:rPr>
                <w:spacing w:val="-4"/>
              </w:rPr>
              <w:t xml:space="preserve"> růstu maloobchodních tržeb. Ty v 1. čtvrtletí meziročně vzrostly o 5,7 %, ve 2. čtvrtletí o 6,5 %</w:t>
            </w:r>
            <w:r>
              <w:rPr>
                <w:rStyle w:val="Znakapoznpodarou"/>
                <w:spacing w:val="-4"/>
              </w:rPr>
              <w:footnoteReference w:id="20"/>
            </w:r>
            <w:r>
              <w:rPr>
                <w:spacing w:val="-4"/>
              </w:rPr>
              <w:t xml:space="preserve">. </w:t>
            </w:r>
            <w:r w:rsidR="004A26AF">
              <w:rPr>
                <w:spacing w:val="-4"/>
              </w:rPr>
              <w:t xml:space="preserve">O téměř čtvrtinu více stržili internetoví prodejci. </w:t>
            </w:r>
            <w:r>
              <w:rPr>
                <w:spacing w:val="-4"/>
              </w:rPr>
              <w:t xml:space="preserve">Maloobchod tradičně táhly váhově nejvýznamnější tržby za </w:t>
            </w:r>
            <w:proofErr w:type="spellStart"/>
            <w:r>
              <w:rPr>
                <w:spacing w:val="-4"/>
              </w:rPr>
              <w:t>nepotravinářské</w:t>
            </w:r>
            <w:proofErr w:type="spellEnd"/>
            <w:r>
              <w:rPr>
                <w:spacing w:val="-4"/>
              </w:rPr>
              <w:t xml:space="preserve"> zboží, jejichž růst se během roku vyšplhal až na 9,4 % (ve 2. čtvrtletí) a dosáhl nejvyššího tempa od konce roku 2007. V 1. pololetí se dařilo hlavně prodeji počítačového a komunikačního zařízení, výrobkům</w:t>
            </w:r>
            <w:r w:rsidRPr="00C20A0D">
              <w:rPr>
                <w:spacing w:val="-4"/>
              </w:rPr>
              <w:t xml:space="preserve"> pro kulturu a rekreaci</w:t>
            </w:r>
            <w:r w:rsidR="00BA6D2C">
              <w:rPr>
                <w:spacing w:val="-4"/>
              </w:rPr>
              <w:t>. Výrazně</w:t>
            </w:r>
            <w:r>
              <w:rPr>
                <w:spacing w:val="-4"/>
              </w:rPr>
              <w:t xml:space="preserve"> ožil také maloobchod s </w:t>
            </w:r>
            <w:r w:rsidRPr="00C20A0D">
              <w:rPr>
                <w:spacing w:val="-4"/>
              </w:rPr>
              <w:t>odě</w:t>
            </w:r>
            <w:r w:rsidR="00BA6D2C">
              <w:rPr>
                <w:spacing w:val="-4"/>
              </w:rPr>
              <w:t>vy, obuví a </w:t>
            </w:r>
            <w:r w:rsidRPr="00C20A0D">
              <w:rPr>
                <w:spacing w:val="-4"/>
              </w:rPr>
              <w:t>koženým zbožím</w:t>
            </w:r>
            <w:r>
              <w:rPr>
                <w:spacing w:val="-4"/>
              </w:rPr>
              <w:t xml:space="preserve"> (10,6 %). </w:t>
            </w:r>
            <w:r w:rsidRPr="009034AA">
              <w:rPr>
                <w:color w:val="000000" w:themeColor="text1"/>
                <w:spacing w:val="-4"/>
              </w:rPr>
              <w:t xml:space="preserve">Tržby za potraviny </w:t>
            </w:r>
            <w:r>
              <w:rPr>
                <w:color w:val="000000" w:themeColor="text1"/>
                <w:spacing w:val="-4"/>
              </w:rPr>
              <w:t>proti tempům z první poloviny loňského roku letos ubraly (na +2,4 %), totéž platilo i pro prodejce pohonných hmot (+4,8 %, z loňských +7,2 %). Celkové maloobchodní tržby rostly v ČR v 1. pololetí víc</w:t>
            </w:r>
            <w:r w:rsidR="00D9640A">
              <w:rPr>
                <w:color w:val="000000" w:themeColor="text1"/>
                <w:spacing w:val="-4"/>
              </w:rPr>
              <w:t xml:space="preserve">e než dvojnásobným tempem k </w:t>
            </w:r>
            <w:r>
              <w:rPr>
                <w:color w:val="000000" w:themeColor="text1"/>
                <w:spacing w:val="-4"/>
              </w:rPr>
              <w:t xml:space="preserve">EU (+2,7 %). </w:t>
            </w:r>
            <w:r w:rsidRPr="00E533B7">
              <w:rPr>
                <w:color w:val="0D0D0D" w:themeColor="text1" w:themeTint="F2"/>
                <w:spacing w:val="-4"/>
              </w:rPr>
              <w:t>Česko se tak zařadilo v pořadí zemí na šesté místo</w:t>
            </w:r>
            <w:r>
              <w:rPr>
                <w:color w:val="0D0D0D" w:themeColor="text1" w:themeTint="F2"/>
                <w:spacing w:val="-4"/>
              </w:rPr>
              <w:t xml:space="preserve"> (u </w:t>
            </w:r>
            <w:proofErr w:type="spellStart"/>
            <w:r>
              <w:rPr>
                <w:color w:val="0D0D0D" w:themeColor="text1" w:themeTint="F2"/>
                <w:spacing w:val="-4"/>
              </w:rPr>
              <w:t>nepotravinářského</w:t>
            </w:r>
            <w:proofErr w:type="spellEnd"/>
            <w:r>
              <w:rPr>
                <w:color w:val="0D0D0D" w:themeColor="text1" w:themeTint="F2"/>
                <w:spacing w:val="-4"/>
              </w:rPr>
              <w:t xml:space="preserve"> zboží na čtvrté). Těžiště růstu v EU bylo soustředěno v zemích střední a východní Evropy. V Německu i Francii maloobchod rostl mírně přes 3 %, růst pod 1,5 % zaznamenaly Belgie, Dánsko, Itálie a Španělsko.</w:t>
            </w:r>
          </w:p>
        </w:tc>
      </w:tr>
    </w:tbl>
    <w:p w:rsidR="00813CB4" w:rsidRPr="00654093" w:rsidRDefault="00813CB4" w:rsidP="00492991">
      <w:pPr>
        <w:pStyle w:val="Textpoznpodarou"/>
        <w:jc w:val="both"/>
        <w:rPr>
          <w:sz w:val="2"/>
          <w:szCs w:val="2"/>
        </w:rPr>
      </w:pPr>
    </w:p>
    <w:p w:rsidR="00DD0726" w:rsidRPr="00A74192" w:rsidRDefault="00DD0726" w:rsidP="00DD0726">
      <w:pPr>
        <w:pStyle w:val="Nadpis1"/>
        <w:numPr>
          <w:ilvl w:val="0"/>
          <w:numId w:val="12"/>
        </w:numPr>
        <w:ind w:left="709"/>
        <w:jc w:val="both"/>
      </w:pPr>
      <w:bookmarkStart w:id="9" w:name="_Toc469299933"/>
      <w:bookmarkStart w:id="10" w:name="_Toc469299932"/>
      <w:bookmarkStart w:id="11" w:name="_Toc493683636"/>
      <w:r>
        <w:lastRenderedPageBreak/>
        <w:t>V</w:t>
      </w:r>
      <w:r w:rsidRPr="00A74192">
        <w:t>nější ekonomické vztahy</w:t>
      </w:r>
      <w:bookmarkEnd w:id="10"/>
      <w:bookmarkEnd w:id="11"/>
    </w:p>
    <w:tbl>
      <w:tblPr>
        <w:tblW w:w="4963" w:type="pct"/>
        <w:tblInd w:w="108" w:type="dxa"/>
        <w:tblLayout w:type="fixed"/>
        <w:tblLook w:val="00A0"/>
      </w:tblPr>
      <w:tblGrid>
        <w:gridCol w:w="1985"/>
        <w:gridCol w:w="282"/>
        <w:gridCol w:w="1135"/>
        <w:gridCol w:w="143"/>
        <w:gridCol w:w="2533"/>
        <w:gridCol w:w="3703"/>
      </w:tblGrid>
      <w:tr w:rsidR="00DD0726" w:rsidRPr="00A74192" w:rsidTr="008C0F87">
        <w:tc>
          <w:tcPr>
            <w:tcW w:w="1015" w:type="pct"/>
          </w:tcPr>
          <w:p w:rsidR="00DD0726" w:rsidRPr="00532819" w:rsidRDefault="00DD0726" w:rsidP="008C0F87">
            <w:pPr>
              <w:spacing w:line="240" w:lineRule="auto"/>
              <w:rPr>
                <w:sz w:val="16"/>
                <w:szCs w:val="16"/>
              </w:rPr>
            </w:pPr>
            <w:r w:rsidRPr="00532819">
              <w:rPr>
                <w:sz w:val="16"/>
                <w:szCs w:val="16"/>
              </w:rPr>
              <w:t>Na běžném účtu platební bilance bylo opět dosaženo přebytku</w:t>
            </w:r>
            <w:r>
              <w:rPr>
                <w:sz w:val="16"/>
                <w:szCs w:val="16"/>
              </w:rPr>
              <w:t xml:space="preserve">. </w:t>
            </w:r>
          </w:p>
        </w:tc>
        <w:tc>
          <w:tcPr>
            <w:tcW w:w="144" w:type="pct"/>
          </w:tcPr>
          <w:p w:rsidR="00DD0726" w:rsidRPr="002804BB" w:rsidRDefault="00DD0726" w:rsidP="008C0F87">
            <w:pPr>
              <w:pStyle w:val="Textpoznpodarou"/>
              <w:jc w:val="both"/>
              <w:rPr>
                <w:color w:val="FF0000"/>
                <w:highlight w:val="yellow"/>
              </w:rPr>
            </w:pPr>
          </w:p>
        </w:tc>
        <w:tc>
          <w:tcPr>
            <w:tcW w:w="3841" w:type="pct"/>
            <w:gridSpan w:val="4"/>
          </w:tcPr>
          <w:p w:rsidR="00DD0726" w:rsidRPr="00DC21E2" w:rsidRDefault="00DD0726" w:rsidP="008C0F87">
            <w:pPr>
              <w:pStyle w:val="Textpoznpodarou"/>
              <w:jc w:val="both"/>
              <w:rPr>
                <w:spacing w:val="-4"/>
                <w:sz w:val="16"/>
                <w:szCs w:val="16"/>
              </w:rPr>
            </w:pPr>
            <w:r w:rsidRPr="00DC21E2">
              <w:rPr>
                <w:spacing w:val="-4"/>
              </w:rPr>
              <w:t>Saldo běžného účtu platební bilance v 1. pololetí 2017 dosáhlo 9</w:t>
            </w:r>
            <w:r>
              <w:rPr>
                <w:spacing w:val="-4"/>
              </w:rPr>
              <w:t>0</w:t>
            </w:r>
            <w:r w:rsidRPr="00DC21E2">
              <w:rPr>
                <w:spacing w:val="-4"/>
              </w:rPr>
              <w:t>,</w:t>
            </w:r>
            <w:r>
              <w:rPr>
                <w:spacing w:val="-4"/>
              </w:rPr>
              <w:t>0</w:t>
            </w:r>
            <w:r w:rsidRPr="00DC21E2">
              <w:rPr>
                <w:spacing w:val="-4"/>
              </w:rPr>
              <w:t xml:space="preserve"> mld. korun a</w:t>
            </w:r>
            <w:r>
              <w:rPr>
                <w:spacing w:val="-4"/>
              </w:rPr>
              <w:t> </w:t>
            </w:r>
            <w:r w:rsidRPr="00DC21E2">
              <w:rPr>
                <w:spacing w:val="-4"/>
              </w:rPr>
              <w:t xml:space="preserve">meziročně se snížilo o </w:t>
            </w:r>
            <w:r>
              <w:rPr>
                <w:spacing w:val="-4"/>
              </w:rPr>
              <w:t>8</w:t>
            </w:r>
            <w:r w:rsidRPr="00DC21E2">
              <w:rPr>
                <w:spacing w:val="-4"/>
              </w:rPr>
              <w:t>,</w:t>
            </w:r>
            <w:r>
              <w:rPr>
                <w:spacing w:val="-4"/>
              </w:rPr>
              <w:t>3</w:t>
            </w:r>
            <w:r w:rsidRPr="00DC21E2">
              <w:rPr>
                <w:spacing w:val="-4"/>
              </w:rPr>
              <w:t xml:space="preserve"> mld. korun. </w:t>
            </w:r>
            <w:r>
              <w:rPr>
                <w:spacing w:val="-4"/>
              </w:rPr>
              <w:t>Přebytek obchodu se zbožím zůstal prakticky nezměněn a dosáhl 165,5 mld., přebytek obchodu se službami se zvýšil o 7,6 mld. korun.</w:t>
            </w:r>
            <w:r w:rsidRPr="00DC21E2">
              <w:rPr>
                <w:spacing w:val="-4"/>
              </w:rPr>
              <w:t xml:space="preserve"> </w:t>
            </w:r>
            <w:r>
              <w:rPr>
                <w:spacing w:val="-4"/>
              </w:rPr>
              <w:t xml:space="preserve">Ve směru deficitu působilo saldo </w:t>
            </w:r>
            <w:r w:rsidRPr="00DC21E2">
              <w:rPr>
                <w:spacing w:val="-4"/>
              </w:rPr>
              <w:t>prvotních důchodů (dosáhl</w:t>
            </w:r>
            <w:r>
              <w:rPr>
                <w:spacing w:val="-4"/>
              </w:rPr>
              <w:t>o</w:t>
            </w:r>
            <w:r w:rsidRPr="00DC21E2">
              <w:rPr>
                <w:spacing w:val="-4"/>
              </w:rPr>
              <w:t xml:space="preserve"> </w:t>
            </w:r>
            <w:r>
              <w:rPr>
                <w:spacing w:val="-4"/>
              </w:rPr>
              <w:t>102,1 </w:t>
            </w:r>
            <w:r w:rsidRPr="00DC21E2">
              <w:rPr>
                <w:spacing w:val="-4"/>
              </w:rPr>
              <w:t>mld.</w:t>
            </w:r>
            <w:r>
              <w:rPr>
                <w:spacing w:val="-4"/>
              </w:rPr>
              <w:t xml:space="preserve"> korun</w:t>
            </w:r>
            <w:r w:rsidRPr="00DC21E2">
              <w:rPr>
                <w:spacing w:val="-4"/>
              </w:rPr>
              <w:t xml:space="preserve">, </w:t>
            </w:r>
            <w:r>
              <w:rPr>
                <w:spacing w:val="-4"/>
              </w:rPr>
              <w:t>meziročně se snížilo</w:t>
            </w:r>
            <w:r w:rsidRPr="00DC21E2">
              <w:rPr>
                <w:spacing w:val="-4"/>
              </w:rPr>
              <w:t xml:space="preserve"> o </w:t>
            </w:r>
            <w:r>
              <w:rPr>
                <w:spacing w:val="-4"/>
              </w:rPr>
              <w:t>9,5</w:t>
            </w:r>
            <w:r w:rsidRPr="00DC21E2">
              <w:rPr>
                <w:spacing w:val="-4"/>
              </w:rPr>
              <w:t xml:space="preserve"> mld.)</w:t>
            </w:r>
            <w:r>
              <w:rPr>
                <w:spacing w:val="-4"/>
              </w:rPr>
              <w:t xml:space="preserve">, na němž měl největší podíl čistý odliv důchodů z investic. Ten v 1. pololetí dosáhl 143,7 mld. korun. O 25,7 mld. se prohloubil </w:t>
            </w:r>
            <w:r w:rsidRPr="00DC21E2">
              <w:rPr>
                <w:spacing w:val="-4"/>
              </w:rPr>
              <w:t>deficit druhotných důchodů</w:t>
            </w:r>
            <w:r>
              <w:rPr>
                <w:spacing w:val="-4"/>
              </w:rPr>
              <w:t>.</w:t>
            </w:r>
            <w:r w:rsidRPr="00DC21E2">
              <w:rPr>
                <w:spacing w:val="-4"/>
              </w:rPr>
              <w:t xml:space="preserve"> Saldo finančního účtu skončilo v 1. pololetí v přebytku </w:t>
            </w:r>
            <w:r>
              <w:rPr>
                <w:spacing w:val="-4"/>
              </w:rPr>
              <w:t>123,6 </w:t>
            </w:r>
            <w:r w:rsidRPr="00DC21E2">
              <w:rPr>
                <w:spacing w:val="-4"/>
              </w:rPr>
              <w:t>mld. korun (</w:t>
            </w:r>
            <w:r>
              <w:rPr>
                <w:spacing w:val="-4"/>
              </w:rPr>
              <w:t>96,3</w:t>
            </w:r>
            <w:r w:rsidRPr="00DC21E2">
              <w:rPr>
                <w:spacing w:val="-4"/>
              </w:rPr>
              <w:t xml:space="preserve"> mld. v 1.</w:t>
            </w:r>
            <w:r>
              <w:rPr>
                <w:spacing w:val="-4"/>
              </w:rPr>
              <w:t> </w:t>
            </w:r>
            <w:r w:rsidRPr="00DC21E2">
              <w:rPr>
                <w:spacing w:val="-4"/>
              </w:rPr>
              <w:t xml:space="preserve">a </w:t>
            </w:r>
            <w:r>
              <w:rPr>
                <w:spacing w:val="-4"/>
              </w:rPr>
              <w:t>2</w:t>
            </w:r>
            <w:r w:rsidRPr="00DC21E2">
              <w:rPr>
                <w:spacing w:val="-4"/>
              </w:rPr>
              <w:t>7,</w:t>
            </w:r>
            <w:r>
              <w:rPr>
                <w:spacing w:val="-4"/>
              </w:rPr>
              <w:t>3</w:t>
            </w:r>
            <w:r w:rsidRPr="00DC21E2">
              <w:rPr>
                <w:spacing w:val="-4"/>
              </w:rPr>
              <w:t xml:space="preserve"> mld. ve 2. čtvrtletí)</w:t>
            </w:r>
            <w:r>
              <w:rPr>
                <w:spacing w:val="-4"/>
              </w:rPr>
              <w:t>.</w:t>
            </w:r>
            <w:r w:rsidRPr="00DC21E2">
              <w:rPr>
                <w:spacing w:val="-4"/>
              </w:rPr>
              <w:t xml:space="preserve"> </w:t>
            </w:r>
            <w:r>
              <w:rPr>
                <w:spacing w:val="-4"/>
              </w:rPr>
              <w:t>D</w:t>
            </w:r>
            <w:r w:rsidRPr="00DC21E2">
              <w:rPr>
                <w:spacing w:val="-4"/>
              </w:rPr>
              <w:t xml:space="preserve">ubnové ukončení režimu intervencí však vytvořilo zlom mezi 1. a 2. čtvrtletím. Toky na finančním účtu, jejichž výše v 1. čtvrtletí několikanásobně převyšovala dlouhodobý průměr, ve 2. čtvrtletí ustaly. Ve směru přebytku stále působil nárůst rezervních aktiv, který byl však desetinový v porovnání s 1. kvartálem. </w:t>
            </w:r>
            <w:r>
              <w:rPr>
                <w:spacing w:val="-4"/>
              </w:rPr>
              <w:t>Snížil se</w:t>
            </w:r>
            <w:r w:rsidRPr="00DC21E2">
              <w:rPr>
                <w:spacing w:val="-4"/>
              </w:rPr>
              <w:t xml:space="preserve"> čistý příliv portfoliových investic, který dosáhl </w:t>
            </w:r>
            <w:r>
              <w:rPr>
                <w:spacing w:val="-4"/>
              </w:rPr>
              <w:t>353</w:t>
            </w:r>
            <w:r w:rsidRPr="00DC21E2">
              <w:rPr>
                <w:spacing w:val="-4"/>
              </w:rPr>
              <w:t>,</w:t>
            </w:r>
            <w:r>
              <w:rPr>
                <w:spacing w:val="-4"/>
              </w:rPr>
              <w:t>8</w:t>
            </w:r>
            <w:r w:rsidRPr="00DC21E2">
              <w:rPr>
                <w:spacing w:val="-4"/>
              </w:rPr>
              <w:t xml:space="preserve"> mld. v</w:t>
            </w:r>
            <w:r>
              <w:rPr>
                <w:spacing w:val="-4"/>
              </w:rPr>
              <w:t> 1. </w:t>
            </w:r>
            <w:r w:rsidRPr="00DC21E2">
              <w:rPr>
                <w:spacing w:val="-4"/>
              </w:rPr>
              <w:t xml:space="preserve">čtvrtletí. </w:t>
            </w:r>
            <w:r>
              <w:rPr>
                <w:spacing w:val="-4"/>
              </w:rPr>
              <w:t>Ve 2. čtvrtletí</w:t>
            </w:r>
            <w:r w:rsidRPr="00DC21E2">
              <w:rPr>
                <w:spacing w:val="-4"/>
              </w:rPr>
              <w:t xml:space="preserve"> došlo k čistému </w:t>
            </w:r>
            <w:r>
              <w:rPr>
                <w:spacing w:val="-4"/>
              </w:rPr>
              <w:t>přílivu</w:t>
            </w:r>
            <w:r w:rsidRPr="00DC21E2">
              <w:rPr>
                <w:spacing w:val="-4"/>
              </w:rPr>
              <w:t xml:space="preserve"> ve výši 45</w:t>
            </w:r>
            <w:r>
              <w:rPr>
                <w:spacing w:val="-4"/>
              </w:rPr>
              <w:t>,9</w:t>
            </w:r>
            <w:r w:rsidRPr="00DC21E2">
              <w:rPr>
                <w:spacing w:val="-4"/>
              </w:rPr>
              <w:t xml:space="preserve"> mld. korun. Na</w:t>
            </w:r>
            <w:r>
              <w:rPr>
                <w:spacing w:val="-4"/>
              </w:rPr>
              <w:t xml:space="preserve"> méně než</w:t>
            </w:r>
            <w:r w:rsidRPr="00DC21E2">
              <w:rPr>
                <w:spacing w:val="-4"/>
              </w:rPr>
              <w:t xml:space="preserve"> </w:t>
            </w:r>
            <w:r>
              <w:rPr>
                <w:spacing w:val="-4"/>
              </w:rPr>
              <w:t>třicetinu</w:t>
            </w:r>
            <w:r w:rsidRPr="00DC21E2">
              <w:rPr>
                <w:spacing w:val="-4"/>
              </w:rPr>
              <w:t xml:space="preserve"> se </w:t>
            </w:r>
            <w:proofErr w:type="spellStart"/>
            <w:r w:rsidRPr="00DC21E2">
              <w:rPr>
                <w:spacing w:val="-4"/>
              </w:rPr>
              <w:t>mezičtvrtletně</w:t>
            </w:r>
            <w:proofErr w:type="spellEnd"/>
            <w:r w:rsidRPr="00DC21E2">
              <w:rPr>
                <w:spacing w:val="-4"/>
              </w:rPr>
              <w:t xml:space="preserve"> zredukoval i čistý příliv ostatních investic.</w:t>
            </w:r>
          </w:p>
          <w:p w:rsidR="00DD0726" w:rsidRPr="00ED7C3C" w:rsidRDefault="00DD0726" w:rsidP="008C0F87">
            <w:pPr>
              <w:pStyle w:val="Textpoznpodarou"/>
              <w:jc w:val="both"/>
              <w:rPr>
                <w:spacing w:val="-4"/>
                <w:sz w:val="14"/>
                <w:szCs w:val="14"/>
                <w:highlight w:val="yellow"/>
              </w:rPr>
            </w:pPr>
          </w:p>
        </w:tc>
      </w:tr>
      <w:tr w:rsidR="00DD0726" w:rsidRPr="006647AD" w:rsidTr="008C0F87">
        <w:tc>
          <w:tcPr>
            <w:tcW w:w="1015" w:type="pct"/>
          </w:tcPr>
          <w:p w:rsidR="00DD0726" w:rsidRPr="006647AD" w:rsidRDefault="00DD0726" w:rsidP="008C0F87">
            <w:pPr>
              <w:spacing w:line="240" w:lineRule="auto"/>
              <w:rPr>
                <w:szCs w:val="20"/>
                <w:highlight w:val="yellow"/>
              </w:rPr>
            </w:pPr>
          </w:p>
        </w:tc>
        <w:tc>
          <w:tcPr>
            <w:tcW w:w="144" w:type="pct"/>
          </w:tcPr>
          <w:p w:rsidR="00DD0726" w:rsidRPr="006647AD" w:rsidRDefault="00DD0726" w:rsidP="008C0F87">
            <w:pPr>
              <w:pStyle w:val="Textpoznpodarou"/>
              <w:rPr>
                <w:color w:val="FF0000"/>
              </w:rPr>
            </w:pPr>
          </w:p>
        </w:tc>
        <w:tc>
          <w:tcPr>
            <w:tcW w:w="580" w:type="pct"/>
          </w:tcPr>
          <w:p w:rsidR="00DD0726" w:rsidRPr="00DC21E2" w:rsidRDefault="00DD0726" w:rsidP="008C0F87">
            <w:pPr>
              <w:pStyle w:val="Textpoznpodarou"/>
              <w:rPr>
                <w:color w:val="FF0000"/>
                <w:spacing w:val="-4"/>
                <w:highlight w:val="yellow"/>
              </w:rPr>
            </w:pPr>
            <w:r w:rsidRPr="00DC21E2">
              <w:rPr>
                <w:spacing w:val="-4"/>
              </w:rPr>
              <w:t>Graf č. 9</w:t>
            </w:r>
          </w:p>
        </w:tc>
        <w:tc>
          <w:tcPr>
            <w:tcW w:w="3261" w:type="pct"/>
            <w:gridSpan w:val="3"/>
          </w:tcPr>
          <w:p w:rsidR="00DD0726" w:rsidRPr="00DC21E2" w:rsidRDefault="00DD0726" w:rsidP="008C0F87">
            <w:pPr>
              <w:pStyle w:val="Textpoznpodarou"/>
              <w:jc w:val="both"/>
              <w:rPr>
                <w:color w:val="FF0000"/>
                <w:spacing w:val="-4"/>
                <w:highlight w:val="yellow"/>
              </w:rPr>
            </w:pPr>
            <w:r w:rsidRPr="00DC21E2">
              <w:rPr>
                <w:b/>
                <w:spacing w:val="-4"/>
              </w:rPr>
              <w:t xml:space="preserve">Běžný účet platební bilance </w:t>
            </w:r>
            <w:r w:rsidRPr="00DC21E2">
              <w:rPr>
                <w:spacing w:val="-4"/>
              </w:rPr>
              <w:t>(kumulace 1. a 2. čtvrtletí v mld. korun)</w:t>
            </w:r>
          </w:p>
        </w:tc>
      </w:tr>
      <w:tr w:rsidR="00DD0726" w:rsidRPr="00A74192" w:rsidTr="008C0F87">
        <w:tc>
          <w:tcPr>
            <w:tcW w:w="1015" w:type="pct"/>
          </w:tcPr>
          <w:p w:rsidR="00DD0726" w:rsidRPr="002804BB" w:rsidRDefault="00DD0726" w:rsidP="008C0F87">
            <w:pPr>
              <w:spacing w:line="240" w:lineRule="auto"/>
              <w:rPr>
                <w:sz w:val="16"/>
                <w:szCs w:val="16"/>
                <w:highlight w:val="yellow"/>
              </w:rPr>
            </w:pPr>
          </w:p>
        </w:tc>
        <w:tc>
          <w:tcPr>
            <w:tcW w:w="144" w:type="pct"/>
          </w:tcPr>
          <w:p w:rsidR="00DD0726" w:rsidRPr="00A74192" w:rsidRDefault="00DD0726" w:rsidP="008C0F87">
            <w:pPr>
              <w:pStyle w:val="Textpoznpodarou"/>
              <w:rPr>
                <w:color w:val="FF0000"/>
              </w:rPr>
            </w:pPr>
          </w:p>
        </w:tc>
        <w:tc>
          <w:tcPr>
            <w:tcW w:w="3841" w:type="pct"/>
            <w:gridSpan w:val="4"/>
          </w:tcPr>
          <w:p w:rsidR="00DD0726" w:rsidRPr="00DC21E2" w:rsidRDefault="00DD0726" w:rsidP="008C0F87">
            <w:pPr>
              <w:pStyle w:val="Textpoznpodarou"/>
              <w:ind w:left="-73"/>
              <w:jc w:val="both"/>
              <w:rPr>
                <w:spacing w:val="-4"/>
                <w:sz w:val="16"/>
                <w:highlight w:val="yellow"/>
              </w:rPr>
            </w:pPr>
            <w:r w:rsidRPr="00875740">
              <w:rPr>
                <w:noProof/>
                <w:spacing w:val="-4"/>
                <w:sz w:val="16"/>
              </w:rPr>
              <w:drawing>
                <wp:inline distT="0" distB="0" distL="0" distR="0">
                  <wp:extent cx="4737100" cy="3473450"/>
                  <wp:effectExtent l="0" t="0" r="0" b="0"/>
                  <wp:docPr id="17"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D0726" w:rsidRPr="00DC21E2" w:rsidRDefault="00DD0726" w:rsidP="008C0F87">
            <w:pPr>
              <w:pStyle w:val="Textpoznpodarou"/>
              <w:ind w:left="-73"/>
              <w:jc w:val="right"/>
              <w:rPr>
                <w:spacing w:val="-4"/>
                <w:sz w:val="14"/>
                <w:szCs w:val="14"/>
              </w:rPr>
            </w:pPr>
            <w:r w:rsidRPr="00DC21E2">
              <w:rPr>
                <w:spacing w:val="-4"/>
                <w:sz w:val="14"/>
                <w:szCs w:val="14"/>
              </w:rPr>
              <w:t>Zdroj: ČNB</w:t>
            </w:r>
          </w:p>
          <w:p w:rsidR="00DD0726" w:rsidRPr="00ED7C3C" w:rsidRDefault="00DD0726" w:rsidP="008C0F87">
            <w:pPr>
              <w:pStyle w:val="Textpoznpodarou"/>
              <w:ind w:left="-73"/>
              <w:jc w:val="right"/>
              <w:rPr>
                <w:color w:val="FF0000"/>
                <w:spacing w:val="-4"/>
                <w:sz w:val="15"/>
                <w:szCs w:val="15"/>
                <w:highlight w:val="yellow"/>
              </w:rPr>
            </w:pPr>
          </w:p>
        </w:tc>
      </w:tr>
      <w:tr w:rsidR="00DD0726" w:rsidRPr="00A74192" w:rsidTr="008C0F87">
        <w:tc>
          <w:tcPr>
            <w:tcW w:w="1015" w:type="pct"/>
          </w:tcPr>
          <w:p w:rsidR="00DD0726" w:rsidRPr="00532819" w:rsidRDefault="00DD0726" w:rsidP="008C0F87">
            <w:pPr>
              <w:spacing w:line="240" w:lineRule="auto"/>
              <w:rPr>
                <w:sz w:val="16"/>
                <w:szCs w:val="16"/>
              </w:rPr>
            </w:pPr>
            <w:r w:rsidRPr="00532819">
              <w:rPr>
                <w:sz w:val="16"/>
                <w:szCs w:val="16"/>
              </w:rPr>
              <w:t>Vývoz z Česka meziročně vzrostl.</w:t>
            </w:r>
          </w:p>
        </w:tc>
        <w:tc>
          <w:tcPr>
            <w:tcW w:w="144" w:type="pct"/>
          </w:tcPr>
          <w:p w:rsidR="00DD0726" w:rsidRPr="002804BB" w:rsidRDefault="00DD0726" w:rsidP="008C0F87">
            <w:pPr>
              <w:pStyle w:val="Textpoznpodarou"/>
              <w:jc w:val="both"/>
              <w:rPr>
                <w:highlight w:val="yellow"/>
              </w:rPr>
            </w:pPr>
          </w:p>
        </w:tc>
        <w:tc>
          <w:tcPr>
            <w:tcW w:w="3841" w:type="pct"/>
            <w:gridSpan w:val="4"/>
          </w:tcPr>
          <w:p w:rsidR="00DD0726" w:rsidRPr="00ED7C3C" w:rsidRDefault="00DD0726" w:rsidP="008C0F87">
            <w:pPr>
              <w:pStyle w:val="Textpoznpodarou"/>
              <w:jc w:val="both"/>
              <w:rPr>
                <w:spacing w:val="-4"/>
                <w:sz w:val="16"/>
                <w:szCs w:val="16"/>
              </w:rPr>
            </w:pPr>
            <w:r w:rsidRPr="00ED7C3C">
              <w:rPr>
                <w:spacing w:val="-4"/>
              </w:rPr>
              <w:t>Během první poloviny roku 2017 bylo z Česka vyvezeno zboží v hodnotě 1 796,9 mld. korun</w:t>
            </w:r>
            <w:r w:rsidRPr="00ED7C3C">
              <w:rPr>
                <w:rStyle w:val="Znakapoznpodarou"/>
                <w:spacing w:val="-4"/>
              </w:rPr>
              <w:footnoteReference w:id="21"/>
            </w:r>
            <w:r w:rsidRPr="00ED7C3C">
              <w:rPr>
                <w:spacing w:val="-4"/>
              </w:rPr>
              <w:t xml:space="preserve"> a stejné období předchozího roku bylo převýšeno o 111,0 mld. korun (6,6 %). Velké části poměrně silného meziročního navýšení bylo dosaženo hlavně díky mimořádnému 1. čtvrtletí (75,4 mld. korun). Druhý kvartál převýšil stejné období minulého roku o 35,6 mld. korun, zároveň však měl o čtyři pracovní dny méně. </w:t>
            </w:r>
          </w:p>
          <w:p w:rsidR="00DD0726" w:rsidRPr="00ED7C3C" w:rsidRDefault="00DD0726" w:rsidP="008C0F87">
            <w:pPr>
              <w:pStyle w:val="Textpoznpodarou"/>
              <w:jc w:val="both"/>
              <w:rPr>
                <w:spacing w:val="-4"/>
                <w:sz w:val="14"/>
                <w:szCs w:val="14"/>
                <w:highlight w:val="yellow"/>
              </w:rPr>
            </w:pPr>
          </w:p>
        </w:tc>
      </w:tr>
      <w:tr w:rsidR="00DD0726" w:rsidRPr="00A74192" w:rsidTr="008C0F87">
        <w:tc>
          <w:tcPr>
            <w:tcW w:w="1015" w:type="pct"/>
          </w:tcPr>
          <w:p w:rsidR="00DD0726" w:rsidRPr="00532819" w:rsidRDefault="00DD0726" w:rsidP="008C0F87">
            <w:pPr>
              <w:spacing w:line="240" w:lineRule="auto"/>
              <w:rPr>
                <w:sz w:val="16"/>
                <w:szCs w:val="16"/>
              </w:rPr>
            </w:pPr>
            <w:r w:rsidRPr="00532819">
              <w:rPr>
                <w:sz w:val="16"/>
                <w:szCs w:val="16"/>
              </w:rPr>
              <w:t>Rostl vývoz do většiny hlavních exportních destinací.</w:t>
            </w:r>
          </w:p>
        </w:tc>
        <w:tc>
          <w:tcPr>
            <w:tcW w:w="144" w:type="pct"/>
          </w:tcPr>
          <w:p w:rsidR="00DD0726" w:rsidRPr="002804BB" w:rsidRDefault="00DD0726" w:rsidP="008C0F87">
            <w:pPr>
              <w:pStyle w:val="Textpoznpodarou"/>
              <w:jc w:val="both"/>
              <w:rPr>
                <w:highlight w:val="yellow"/>
              </w:rPr>
            </w:pPr>
          </w:p>
        </w:tc>
        <w:tc>
          <w:tcPr>
            <w:tcW w:w="3841" w:type="pct"/>
            <w:gridSpan w:val="4"/>
          </w:tcPr>
          <w:p w:rsidR="00DD0726" w:rsidRPr="00ED7C3C" w:rsidRDefault="00DD0726" w:rsidP="008C0F87">
            <w:pPr>
              <w:pStyle w:val="Textpoznpodarou"/>
              <w:jc w:val="both"/>
              <w:rPr>
                <w:spacing w:val="-4"/>
                <w:sz w:val="16"/>
                <w:szCs w:val="16"/>
              </w:rPr>
            </w:pPr>
            <w:r w:rsidRPr="00ED7C3C">
              <w:rPr>
                <w:spacing w:val="-4"/>
              </w:rPr>
              <w:t xml:space="preserve">Teritoriální struktura českého exportu se v 1. a 2. čtvrtletí 2017 prakticky nelišila od stejného období předchozího roku. Do EU zamířilo 83,9 % vývozu a jeho hodnota se meziročně zvýšila o 82,3 mld. (5,8 %). S výjimkou Slovenska, kam bylo v 1. pololetí vyvezeno o 6,7 % méně než minulý rok, vzrostl vývoz do všech hlavních exportních destinací. Vývoz do Německa vzrostl o 7,7 %, do Polska o 8,7 % a do Francie o 9,2 %. Nezaostávaly ani menší exportní destinace. Silně vzrostl vývoz do Rakouska (12,1 %) i Nizozemí (14,2 %). Posiloval i vývoz do zemí mimo EU. Ten v 1. pololetí dosáhl 287,2 mld. korun a meziročně vzrostl o 10,9 %. Vývoz do Spojených států </w:t>
            </w:r>
            <w:r w:rsidRPr="00ED7C3C">
              <w:rPr>
                <w:spacing w:val="-4"/>
              </w:rPr>
              <w:lastRenderedPageBreak/>
              <w:t>dosáhl 39,7 mld. a zvýšil se o 6,1 %. Dvacetiprocentního meziročního přírůstku dosáhl export do Ruské federace, do Číny bylo vyvezeno o 20,6 % více. U Ruska to</w:t>
            </w:r>
            <w:r>
              <w:rPr>
                <w:spacing w:val="-4"/>
              </w:rPr>
              <w:t> </w:t>
            </w:r>
            <w:r w:rsidRPr="00ED7C3C">
              <w:rPr>
                <w:spacing w:val="-4"/>
              </w:rPr>
              <w:t>znamenalo navýšení o 5,8 mld. korun, u Číny o 3,5 mld.</w:t>
            </w:r>
          </w:p>
          <w:p w:rsidR="00DD0726" w:rsidRPr="00ED7C3C" w:rsidRDefault="00DD0726" w:rsidP="008C0F87">
            <w:pPr>
              <w:pStyle w:val="Textpoznpodarou"/>
              <w:jc w:val="both"/>
              <w:rPr>
                <w:spacing w:val="-4"/>
                <w:sz w:val="14"/>
                <w:szCs w:val="14"/>
              </w:rPr>
            </w:pPr>
          </w:p>
        </w:tc>
      </w:tr>
      <w:tr w:rsidR="00DD0726" w:rsidRPr="00A74192" w:rsidTr="008C0F87">
        <w:tc>
          <w:tcPr>
            <w:tcW w:w="1015" w:type="pct"/>
          </w:tcPr>
          <w:p w:rsidR="00DD0726" w:rsidRPr="001841D7" w:rsidRDefault="00DD0726" w:rsidP="008C0F87">
            <w:pPr>
              <w:spacing w:line="240" w:lineRule="auto"/>
              <w:rPr>
                <w:sz w:val="16"/>
                <w:szCs w:val="16"/>
                <w:highlight w:val="yellow"/>
              </w:rPr>
            </w:pPr>
            <w:r w:rsidRPr="00532819">
              <w:rPr>
                <w:sz w:val="16"/>
                <w:szCs w:val="16"/>
              </w:rPr>
              <w:lastRenderedPageBreak/>
              <w:t>Dařilo se zahraničnímu obchodu s motorovými vozidly i stroji.</w:t>
            </w:r>
          </w:p>
        </w:tc>
        <w:tc>
          <w:tcPr>
            <w:tcW w:w="144" w:type="pct"/>
          </w:tcPr>
          <w:p w:rsidR="00DD0726" w:rsidRPr="002804BB" w:rsidRDefault="00DD0726" w:rsidP="008C0F87">
            <w:pPr>
              <w:pStyle w:val="Textpoznpodarou"/>
              <w:jc w:val="both"/>
              <w:rPr>
                <w:highlight w:val="yellow"/>
              </w:rPr>
            </w:pPr>
          </w:p>
        </w:tc>
        <w:tc>
          <w:tcPr>
            <w:tcW w:w="3841" w:type="pct"/>
            <w:gridSpan w:val="4"/>
          </w:tcPr>
          <w:p w:rsidR="00DD0726" w:rsidRPr="00ED7C3C" w:rsidRDefault="00DD0726" w:rsidP="008C0F87">
            <w:pPr>
              <w:pStyle w:val="Textpoznpodarou"/>
              <w:jc w:val="both"/>
              <w:rPr>
                <w:spacing w:val="-4"/>
                <w:sz w:val="16"/>
                <w:szCs w:val="16"/>
              </w:rPr>
            </w:pPr>
            <w:r w:rsidRPr="00ED7C3C">
              <w:rPr>
                <w:spacing w:val="-4"/>
              </w:rPr>
              <w:t>Motorová vozidla, která v 1. pololetí tvořila 29,4 % vývozů, opět mírně posílila svůj vliv. Hodnota jejich vývozu oproti stejnému období minulého roku vzrostla o 8,6 % a dosáhla 528,5 mld. korun. Silné navýšení exportu v 1. pololetí zaznamenaly i ostatní oddíly významné pro český vývoz. Export strojů a zařízení se zvýšil o 8,9 %, u počítačů, elektronických a optických přístrojů o 5,5 %. Elektrických zařízení se</w:t>
            </w:r>
            <w:r>
              <w:rPr>
                <w:spacing w:val="-4"/>
              </w:rPr>
              <w:t> </w:t>
            </w:r>
            <w:r w:rsidRPr="00ED7C3C">
              <w:rPr>
                <w:spacing w:val="-4"/>
              </w:rPr>
              <w:t>vyvezlo o 7,7 % více. Pokračovaly i pozitivní tendence vývozu chemických látek a přípravků, který se meziročně zvýšil o 15,2 %. Zároveň se dostal na úroveň, kterou měl v roce 2014, tedy před havárií výrobních kapacit, které byly obnoveny na konci roku 2016. Jediné dva oddíly, které v 1. pololetí zaznamenaly meziroční pokles, byly kovodělné (-6,3 %) a potravinářské výrobky (-3,7 %).</w:t>
            </w:r>
          </w:p>
          <w:p w:rsidR="00DD0726" w:rsidRPr="00ED7C3C" w:rsidRDefault="00DD0726" w:rsidP="008C0F87">
            <w:pPr>
              <w:pStyle w:val="Textpoznpodarou"/>
              <w:jc w:val="both"/>
              <w:rPr>
                <w:spacing w:val="-4"/>
                <w:sz w:val="14"/>
                <w:szCs w:val="14"/>
              </w:rPr>
            </w:pPr>
          </w:p>
        </w:tc>
      </w:tr>
      <w:tr w:rsidR="00DD0726" w:rsidRPr="00A74192" w:rsidTr="008C0F87">
        <w:tc>
          <w:tcPr>
            <w:tcW w:w="1015" w:type="pct"/>
          </w:tcPr>
          <w:p w:rsidR="00DD0726" w:rsidRPr="001841D7" w:rsidRDefault="00DD0726" w:rsidP="008C0F87">
            <w:pPr>
              <w:spacing w:line="240" w:lineRule="auto"/>
              <w:rPr>
                <w:sz w:val="16"/>
                <w:szCs w:val="16"/>
                <w:highlight w:val="yellow"/>
              </w:rPr>
            </w:pPr>
            <w:r w:rsidRPr="00532819">
              <w:rPr>
                <w:sz w:val="16"/>
                <w:szCs w:val="16"/>
              </w:rPr>
              <w:t>Hodnota dovozu rovněž rostla, mimo jiné v důsledku navýšení cen ropy.</w:t>
            </w:r>
          </w:p>
        </w:tc>
        <w:tc>
          <w:tcPr>
            <w:tcW w:w="144" w:type="pct"/>
          </w:tcPr>
          <w:p w:rsidR="00DD0726" w:rsidRPr="002804BB" w:rsidRDefault="00DD0726" w:rsidP="008C0F87">
            <w:pPr>
              <w:pStyle w:val="Textpoznpodarou"/>
              <w:jc w:val="both"/>
              <w:rPr>
                <w:highlight w:val="yellow"/>
              </w:rPr>
            </w:pPr>
          </w:p>
        </w:tc>
        <w:tc>
          <w:tcPr>
            <w:tcW w:w="3841" w:type="pct"/>
            <w:gridSpan w:val="4"/>
          </w:tcPr>
          <w:p w:rsidR="00DD0726" w:rsidRPr="00ED7C3C" w:rsidRDefault="00DD0726" w:rsidP="008C0F87">
            <w:pPr>
              <w:pStyle w:val="Textpoznpodarou"/>
              <w:jc w:val="both"/>
              <w:rPr>
                <w:spacing w:val="-4"/>
                <w:sz w:val="16"/>
                <w:szCs w:val="16"/>
              </w:rPr>
            </w:pPr>
            <w:r>
              <w:rPr>
                <w:spacing w:val="-4"/>
              </w:rPr>
              <w:t>Do ČR</w:t>
            </w:r>
            <w:r w:rsidRPr="00ED7C3C">
              <w:rPr>
                <w:spacing w:val="-4"/>
              </w:rPr>
              <w:t xml:space="preserve"> bylo v 1. pololetí dovezeno zboží v hodnotě 1 681,6 mld. korun, což je o 7,6 % více než ve stejném období minulého roku. Sílil především dovoz ze zemí mimo EU, ve kterém dominuje ropa a zemní plyn, jejichž rostoucí ceny ovlivnily i nominální hodnotu importu. Samotná hodnota dovezené ropy a zemního plynu se zvýšila meziročně o 20,1 mld. korun (45,7 %). Dovoz z Ruska, které je většinovým zdrojem této komodity, se zvýšil o 22,0 mld. korun (55,3 %). Výrazně vzrostl dovoz základních kovů (19,5 %, 22,2 mld. korun), silný nárůst pokračoval u motorových vozidel (11,2 %, 28,7 mld.) i elektrických zařízení (10,0 %, 11,6 mld.). Poklesla hodnota dovozu u</w:t>
            </w:r>
            <w:r>
              <w:rPr>
                <w:spacing w:val="-4"/>
              </w:rPr>
              <w:t> </w:t>
            </w:r>
            <w:r w:rsidRPr="00ED7C3C">
              <w:rPr>
                <w:spacing w:val="-4"/>
              </w:rPr>
              <w:t>kovodělných výrobků o 6,2 % (5,5 mld.), u koksu a rafinovaných ropných výrobků o</w:t>
            </w:r>
            <w:r>
              <w:rPr>
                <w:spacing w:val="-4"/>
              </w:rPr>
              <w:t> </w:t>
            </w:r>
            <w:r w:rsidRPr="00ED7C3C">
              <w:rPr>
                <w:spacing w:val="-4"/>
              </w:rPr>
              <w:t>10,3 % (</w:t>
            </w:r>
            <w:r>
              <w:rPr>
                <w:spacing w:val="-4"/>
              </w:rPr>
              <w:t>2</w:t>
            </w:r>
            <w:r w:rsidRPr="00ED7C3C">
              <w:rPr>
                <w:spacing w:val="-4"/>
              </w:rPr>
              <w:t>,</w:t>
            </w:r>
            <w:r>
              <w:rPr>
                <w:spacing w:val="-4"/>
              </w:rPr>
              <w:t>7</w:t>
            </w:r>
            <w:r w:rsidRPr="00ED7C3C">
              <w:rPr>
                <w:spacing w:val="-4"/>
              </w:rPr>
              <w:t xml:space="preserve"> mld.) a mírně u potravinářských výrobků (-1,6 %, 1,2 mld.).</w:t>
            </w:r>
          </w:p>
          <w:p w:rsidR="00DD0726" w:rsidRPr="00ED7C3C" w:rsidRDefault="00DD0726" w:rsidP="008C0F87">
            <w:pPr>
              <w:pStyle w:val="Textpoznpodarou"/>
              <w:jc w:val="both"/>
              <w:rPr>
                <w:spacing w:val="-4"/>
                <w:sz w:val="14"/>
                <w:szCs w:val="14"/>
                <w:highlight w:val="yellow"/>
              </w:rPr>
            </w:pPr>
          </w:p>
        </w:tc>
      </w:tr>
      <w:tr w:rsidR="00DD0726" w:rsidRPr="00A74192" w:rsidTr="008C0F87">
        <w:tc>
          <w:tcPr>
            <w:tcW w:w="1015" w:type="pct"/>
          </w:tcPr>
          <w:p w:rsidR="00DD0726" w:rsidRPr="002804BB" w:rsidRDefault="00DD0726" w:rsidP="008C0F87">
            <w:pPr>
              <w:spacing w:line="240" w:lineRule="auto"/>
              <w:rPr>
                <w:sz w:val="16"/>
                <w:szCs w:val="16"/>
                <w:highlight w:val="yellow"/>
              </w:rPr>
            </w:pPr>
          </w:p>
        </w:tc>
        <w:tc>
          <w:tcPr>
            <w:tcW w:w="144" w:type="pct"/>
          </w:tcPr>
          <w:p w:rsidR="00DD0726" w:rsidRPr="00A74192" w:rsidRDefault="00DD0726" w:rsidP="008C0F87">
            <w:pPr>
              <w:pStyle w:val="Textpoznpodarou"/>
              <w:jc w:val="both"/>
            </w:pPr>
          </w:p>
        </w:tc>
        <w:tc>
          <w:tcPr>
            <w:tcW w:w="653" w:type="pct"/>
            <w:gridSpan w:val="2"/>
          </w:tcPr>
          <w:p w:rsidR="00DD0726" w:rsidRPr="00DC21E2" w:rsidRDefault="00DD0726" w:rsidP="008C0F87">
            <w:pPr>
              <w:pStyle w:val="Textpoznpodarou"/>
              <w:jc w:val="both"/>
              <w:rPr>
                <w:spacing w:val="-4"/>
                <w:sz w:val="16"/>
                <w:szCs w:val="16"/>
                <w:highlight w:val="yellow"/>
              </w:rPr>
            </w:pPr>
            <w:r w:rsidRPr="00DC21E2">
              <w:rPr>
                <w:spacing w:val="-4"/>
              </w:rPr>
              <w:t>Graf č. 10</w:t>
            </w:r>
          </w:p>
        </w:tc>
        <w:tc>
          <w:tcPr>
            <w:tcW w:w="3188" w:type="pct"/>
            <w:gridSpan w:val="2"/>
          </w:tcPr>
          <w:p w:rsidR="00DD0726" w:rsidRPr="00DC21E2" w:rsidRDefault="00DD0726" w:rsidP="008C0F87">
            <w:pPr>
              <w:pStyle w:val="Textpoznpodarou"/>
              <w:rPr>
                <w:spacing w:val="-4"/>
                <w:sz w:val="16"/>
                <w:szCs w:val="16"/>
                <w:highlight w:val="yellow"/>
              </w:rPr>
            </w:pPr>
            <w:r w:rsidRPr="00DC21E2">
              <w:rPr>
                <w:b/>
                <w:spacing w:val="-4"/>
              </w:rPr>
              <w:t xml:space="preserve">Bilance zahraničního obchodu* ve statistice zahraničního obchodu </w:t>
            </w:r>
            <w:r w:rsidRPr="00DC21E2">
              <w:rPr>
                <w:spacing w:val="-4"/>
              </w:rPr>
              <w:t>(kumulace 1. a 2. čtvrtletí, v mld. korun, vybrané oddíly klasifikace CPA)</w:t>
            </w:r>
          </w:p>
        </w:tc>
      </w:tr>
      <w:tr w:rsidR="00DD0726" w:rsidRPr="00A74192" w:rsidTr="008C0F87">
        <w:tc>
          <w:tcPr>
            <w:tcW w:w="1015" w:type="pct"/>
          </w:tcPr>
          <w:p w:rsidR="00DD0726" w:rsidRPr="002804BB" w:rsidRDefault="00DD0726" w:rsidP="008C0F87">
            <w:pPr>
              <w:spacing w:line="240" w:lineRule="auto"/>
              <w:rPr>
                <w:sz w:val="16"/>
                <w:szCs w:val="16"/>
                <w:highlight w:val="yellow"/>
              </w:rPr>
            </w:pPr>
          </w:p>
        </w:tc>
        <w:tc>
          <w:tcPr>
            <w:tcW w:w="144" w:type="pct"/>
          </w:tcPr>
          <w:p w:rsidR="00DD0726" w:rsidRPr="00A74192" w:rsidRDefault="00DD0726" w:rsidP="008C0F87">
            <w:pPr>
              <w:pStyle w:val="Textpoznpodarou"/>
              <w:jc w:val="both"/>
            </w:pPr>
          </w:p>
        </w:tc>
        <w:tc>
          <w:tcPr>
            <w:tcW w:w="3841" w:type="pct"/>
            <w:gridSpan w:val="4"/>
          </w:tcPr>
          <w:p w:rsidR="00DD0726" w:rsidRPr="00DC21E2" w:rsidRDefault="00DD0726" w:rsidP="008C0F87">
            <w:pPr>
              <w:pStyle w:val="Textpoznpodarou"/>
              <w:ind w:left="-73"/>
              <w:jc w:val="right"/>
              <w:rPr>
                <w:spacing w:val="-4"/>
                <w:sz w:val="14"/>
                <w:szCs w:val="14"/>
              </w:rPr>
            </w:pPr>
            <w:r w:rsidRPr="009B7518">
              <w:rPr>
                <w:noProof/>
                <w:spacing w:val="-4"/>
                <w:sz w:val="14"/>
                <w:szCs w:val="14"/>
              </w:rPr>
              <w:drawing>
                <wp:inline distT="0" distB="0" distL="0" distR="0">
                  <wp:extent cx="4737100" cy="3479800"/>
                  <wp:effectExtent l="19050" t="0" r="0" b="0"/>
                  <wp:docPr id="18"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DD0726" w:rsidRPr="008F1638" w:rsidTr="008C0F87">
        <w:tc>
          <w:tcPr>
            <w:tcW w:w="1015" w:type="pct"/>
          </w:tcPr>
          <w:p w:rsidR="00DD0726" w:rsidRPr="00F35066" w:rsidRDefault="00DD0726" w:rsidP="008C0F87">
            <w:pPr>
              <w:spacing w:line="240" w:lineRule="auto"/>
              <w:rPr>
                <w:sz w:val="16"/>
                <w:szCs w:val="16"/>
              </w:rPr>
            </w:pPr>
          </w:p>
        </w:tc>
        <w:tc>
          <w:tcPr>
            <w:tcW w:w="144" w:type="pct"/>
          </w:tcPr>
          <w:p w:rsidR="00DD0726" w:rsidRPr="002804BB" w:rsidRDefault="00DD0726" w:rsidP="008C0F87">
            <w:pPr>
              <w:pStyle w:val="Textpoznpodarou"/>
              <w:jc w:val="both"/>
              <w:rPr>
                <w:highlight w:val="yellow"/>
              </w:rPr>
            </w:pPr>
          </w:p>
        </w:tc>
        <w:tc>
          <w:tcPr>
            <w:tcW w:w="1948" w:type="pct"/>
            <w:gridSpan w:val="3"/>
          </w:tcPr>
          <w:p w:rsidR="00DD0726" w:rsidRPr="00DC21E2" w:rsidRDefault="00DD0726" w:rsidP="008C0F87">
            <w:pPr>
              <w:pStyle w:val="Textpoznpodarou"/>
              <w:jc w:val="both"/>
              <w:rPr>
                <w:spacing w:val="-4"/>
                <w:sz w:val="14"/>
                <w:szCs w:val="14"/>
              </w:rPr>
            </w:pPr>
            <w:r w:rsidRPr="00DC21E2">
              <w:rPr>
                <w:spacing w:val="-4"/>
                <w:sz w:val="14"/>
                <w:szCs w:val="14"/>
              </w:rPr>
              <w:t>*v národním pojetí</w:t>
            </w:r>
          </w:p>
        </w:tc>
        <w:tc>
          <w:tcPr>
            <w:tcW w:w="1893" w:type="pct"/>
          </w:tcPr>
          <w:p w:rsidR="00DD0726" w:rsidRPr="00DC21E2" w:rsidRDefault="00DD0726" w:rsidP="008C0F87">
            <w:pPr>
              <w:pStyle w:val="Textpoznpodarou"/>
              <w:jc w:val="right"/>
              <w:rPr>
                <w:spacing w:val="-4"/>
                <w:sz w:val="14"/>
                <w:szCs w:val="14"/>
              </w:rPr>
            </w:pPr>
            <w:r w:rsidRPr="00DC21E2">
              <w:rPr>
                <w:spacing w:val="-4"/>
                <w:sz w:val="14"/>
                <w:szCs w:val="14"/>
              </w:rPr>
              <w:t>Zdroj: ČSÚ</w:t>
            </w:r>
          </w:p>
          <w:p w:rsidR="00DD0726" w:rsidRPr="00DC21E2" w:rsidRDefault="00DD0726" w:rsidP="008C0F87">
            <w:pPr>
              <w:pStyle w:val="Textpoznpodarou"/>
              <w:jc w:val="right"/>
              <w:rPr>
                <w:spacing w:val="-4"/>
                <w:sz w:val="14"/>
                <w:szCs w:val="14"/>
              </w:rPr>
            </w:pPr>
          </w:p>
        </w:tc>
      </w:tr>
      <w:tr w:rsidR="00DD0726" w:rsidRPr="00A74192" w:rsidTr="008C0F87">
        <w:tc>
          <w:tcPr>
            <w:tcW w:w="1015" w:type="pct"/>
          </w:tcPr>
          <w:p w:rsidR="00DD0726" w:rsidRPr="001841D7" w:rsidRDefault="00DD0726" w:rsidP="008C0F87">
            <w:pPr>
              <w:spacing w:line="240" w:lineRule="auto"/>
              <w:rPr>
                <w:sz w:val="16"/>
                <w:szCs w:val="16"/>
                <w:highlight w:val="yellow"/>
              </w:rPr>
            </w:pPr>
            <w:r w:rsidRPr="00532819">
              <w:rPr>
                <w:sz w:val="16"/>
                <w:szCs w:val="16"/>
              </w:rPr>
              <w:t>Bilance zahraničního obchodu zůstává kladná, i když mírně nižší než v loňském roce.</w:t>
            </w:r>
          </w:p>
        </w:tc>
        <w:tc>
          <w:tcPr>
            <w:tcW w:w="144" w:type="pct"/>
          </w:tcPr>
          <w:p w:rsidR="00DD0726" w:rsidRPr="002804BB" w:rsidRDefault="00DD0726" w:rsidP="008C0F87">
            <w:pPr>
              <w:pStyle w:val="Textpoznpodarou"/>
              <w:jc w:val="both"/>
              <w:rPr>
                <w:highlight w:val="yellow"/>
              </w:rPr>
            </w:pPr>
          </w:p>
        </w:tc>
        <w:tc>
          <w:tcPr>
            <w:tcW w:w="3841" w:type="pct"/>
            <w:gridSpan w:val="4"/>
          </w:tcPr>
          <w:p w:rsidR="00DD0726" w:rsidRPr="00DC21E2" w:rsidRDefault="00DD0726" w:rsidP="008C0F87">
            <w:pPr>
              <w:pStyle w:val="Textpoznpodarou"/>
              <w:jc w:val="both"/>
              <w:rPr>
                <w:spacing w:val="-4"/>
                <w:sz w:val="16"/>
                <w:szCs w:val="16"/>
              </w:rPr>
            </w:pPr>
            <w:r w:rsidRPr="00DC21E2">
              <w:rPr>
                <w:spacing w:val="-4"/>
              </w:rPr>
              <w:t>Bilance zahraničního obchodu za 1. pololetí skončila v přebytku 1</w:t>
            </w:r>
            <w:r>
              <w:rPr>
                <w:spacing w:val="-4"/>
              </w:rPr>
              <w:t>15</w:t>
            </w:r>
            <w:r w:rsidRPr="00DC21E2">
              <w:rPr>
                <w:spacing w:val="-4"/>
              </w:rPr>
              <w:t>,</w:t>
            </w:r>
            <w:r>
              <w:rPr>
                <w:spacing w:val="-4"/>
              </w:rPr>
              <w:t>3</w:t>
            </w:r>
            <w:r w:rsidRPr="00DC21E2">
              <w:rPr>
                <w:spacing w:val="-4"/>
              </w:rPr>
              <w:t xml:space="preserve"> mld. korun. To</w:t>
            </w:r>
            <w:r>
              <w:rPr>
                <w:spacing w:val="-4"/>
              </w:rPr>
              <w:t> </w:t>
            </w:r>
            <w:r w:rsidRPr="00DC21E2">
              <w:rPr>
                <w:spacing w:val="-4"/>
              </w:rPr>
              <w:t>odpovídá meziročnímu snížení o 7</w:t>
            </w:r>
            <w:r>
              <w:rPr>
                <w:spacing w:val="-4"/>
              </w:rPr>
              <w:t>,2</w:t>
            </w:r>
            <w:r w:rsidRPr="00DC21E2">
              <w:rPr>
                <w:spacing w:val="-4"/>
              </w:rPr>
              <w:t xml:space="preserve"> mld. Za snížením přebytku stojí prohloubení deficitu obchodu se zeměmi mimo EU o 36,</w:t>
            </w:r>
            <w:r>
              <w:rPr>
                <w:spacing w:val="-4"/>
              </w:rPr>
              <w:t>6 mld. korun, a to</w:t>
            </w:r>
            <w:r w:rsidRPr="00DC21E2">
              <w:rPr>
                <w:spacing w:val="-4"/>
              </w:rPr>
              <w:t xml:space="preserve"> především s Ruskem (deficit 2</w:t>
            </w:r>
            <w:r>
              <w:rPr>
                <w:spacing w:val="-4"/>
              </w:rPr>
              <w:t>7</w:t>
            </w:r>
            <w:r w:rsidRPr="00DC21E2">
              <w:rPr>
                <w:spacing w:val="-4"/>
              </w:rPr>
              <w:t>,</w:t>
            </w:r>
            <w:r>
              <w:rPr>
                <w:spacing w:val="-4"/>
              </w:rPr>
              <w:t>0 </w:t>
            </w:r>
            <w:r w:rsidRPr="00DC21E2">
              <w:rPr>
                <w:spacing w:val="-4"/>
              </w:rPr>
              <w:t>mld. prohloubení o 16,</w:t>
            </w:r>
            <w:r>
              <w:rPr>
                <w:spacing w:val="-4"/>
              </w:rPr>
              <w:t>2</w:t>
            </w:r>
            <w:r w:rsidRPr="00DC21E2">
              <w:rPr>
                <w:spacing w:val="-4"/>
              </w:rPr>
              <w:t xml:space="preserve"> mld. korun). Mírně se prohloubil i deficit s Čínou. Jedním z důvodů je z</w:t>
            </w:r>
            <w:r>
              <w:rPr>
                <w:spacing w:val="-4"/>
              </w:rPr>
              <w:t>výšení</w:t>
            </w:r>
            <w:r w:rsidRPr="00DC21E2">
              <w:rPr>
                <w:spacing w:val="-4"/>
              </w:rPr>
              <w:t xml:space="preserve"> cen ropy. Deficit obchodu s ropou a zemním plynem se zvýšil o</w:t>
            </w:r>
            <w:r>
              <w:rPr>
                <w:spacing w:val="-4"/>
              </w:rPr>
              <w:t> </w:t>
            </w:r>
            <w:r w:rsidRPr="00DC21E2">
              <w:rPr>
                <w:spacing w:val="-4"/>
              </w:rPr>
              <w:t>26,</w:t>
            </w:r>
            <w:r>
              <w:rPr>
                <w:spacing w:val="-4"/>
              </w:rPr>
              <w:t>5</w:t>
            </w:r>
            <w:r w:rsidRPr="00DC21E2">
              <w:rPr>
                <w:spacing w:val="-4"/>
              </w:rPr>
              <w:t xml:space="preserve"> mld. korun, se základními kovy o 1</w:t>
            </w:r>
            <w:r>
              <w:rPr>
                <w:spacing w:val="-4"/>
              </w:rPr>
              <w:t>3</w:t>
            </w:r>
            <w:r w:rsidRPr="00DC21E2">
              <w:rPr>
                <w:spacing w:val="-4"/>
              </w:rPr>
              <w:t>,</w:t>
            </w:r>
            <w:r>
              <w:rPr>
                <w:spacing w:val="-4"/>
              </w:rPr>
              <w:t>8</w:t>
            </w:r>
            <w:r w:rsidRPr="00DC21E2">
              <w:rPr>
                <w:spacing w:val="-4"/>
              </w:rPr>
              <w:t xml:space="preserve"> mld. Dlouhodobý přebytek obchodu s motorovými vozidly nebo stroji se naopak zvýšil</w:t>
            </w:r>
            <w:r>
              <w:rPr>
                <w:spacing w:val="-4"/>
              </w:rPr>
              <w:t xml:space="preserve"> (o 13,1 mld. a 10,6 mld. korun)</w:t>
            </w:r>
            <w:r w:rsidRPr="00DC21E2">
              <w:rPr>
                <w:spacing w:val="-4"/>
              </w:rPr>
              <w:t>.</w:t>
            </w:r>
          </w:p>
        </w:tc>
      </w:tr>
    </w:tbl>
    <w:p w:rsidR="00DD0726" w:rsidRPr="00A74192" w:rsidRDefault="00DD0726" w:rsidP="00DD0726">
      <w:pPr>
        <w:pStyle w:val="Nadpis1"/>
        <w:numPr>
          <w:ilvl w:val="0"/>
          <w:numId w:val="12"/>
        </w:numPr>
        <w:ind w:left="709"/>
        <w:jc w:val="both"/>
      </w:pPr>
      <w:bookmarkStart w:id="12" w:name="_Toc454185153"/>
      <w:bookmarkStart w:id="13" w:name="_Toc493683637"/>
      <w:bookmarkEnd w:id="9"/>
      <w:r w:rsidRPr="00A74192">
        <w:lastRenderedPageBreak/>
        <w:t>Ceny</w:t>
      </w:r>
      <w:bookmarkEnd w:id="13"/>
    </w:p>
    <w:tbl>
      <w:tblPr>
        <w:tblW w:w="4963" w:type="pct"/>
        <w:tblInd w:w="108" w:type="dxa"/>
        <w:tblLayout w:type="fixed"/>
        <w:tblLook w:val="00A0"/>
      </w:tblPr>
      <w:tblGrid>
        <w:gridCol w:w="1985"/>
        <w:gridCol w:w="282"/>
        <w:gridCol w:w="1135"/>
        <w:gridCol w:w="6379"/>
      </w:tblGrid>
      <w:tr w:rsidR="00DD0726" w:rsidRPr="00A74192" w:rsidTr="008C0F87">
        <w:tc>
          <w:tcPr>
            <w:tcW w:w="1015" w:type="pct"/>
          </w:tcPr>
          <w:p w:rsidR="00DD0726" w:rsidRPr="00A74192" w:rsidRDefault="00DD0726" w:rsidP="008C0F87">
            <w:pPr>
              <w:spacing w:line="240" w:lineRule="auto"/>
              <w:ind w:right="-19"/>
              <w:rPr>
                <w:sz w:val="16"/>
                <w:szCs w:val="16"/>
              </w:rPr>
            </w:pPr>
            <w:r>
              <w:rPr>
                <w:sz w:val="16"/>
                <w:szCs w:val="16"/>
              </w:rPr>
              <w:t>Celková cenová hladina se zvýšila.</w:t>
            </w:r>
          </w:p>
        </w:tc>
        <w:tc>
          <w:tcPr>
            <w:tcW w:w="144" w:type="pct"/>
          </w:tcPr>
          <w:p w:rsidR="00DD0726" w:rsidRPr="00A74192" w:rsidRDefault="00DD0726" w:rsidP="008C0F87">
            <w:pPr>
              <w:pStyle w:val="Textpoznpodarou"/>
              <w:jc w:val="both"/>
            </w:pPr>
          </w:p>
        </w:tc>
        <w:tc>
          <w:tcPr>
            <w:tcW w:w="3841" w:type="pct"/>
            <w:gridSpan w:val="2"/>
          </w:tcPr>
          <w:p w:rsidR="00DD0726" w:rsidRPr="00B6271C" w:rsidRDefault="00DD0726" w:rsidP="008C0F87">
            <w:pPr>
              <w:pStyle w:val="Textpoznpodarou"/>
              <w:ind w:right="-35"/>
              <w:jc w:val="both"/>
              <w:rPr>
                <w:spacing w:val="-5"/>
                <w:sz w:val="16"/>
                <w:szCs w:val="16"/>
              </w:rPr>
            </w:pPr>
            <w:r w:rsidRPr="00B6271C">
              <w:rPr>
                <w:spacing w:val="-5"/>
              </w:rPr>
              <w:t>Celková cenová hladina měřená deflátorem HDP se ve 2. čtvrtletí meziročně zvýšila o</w:t>
            </w:r>
            <w:r>
              <w:rPr>
                <w:spacing w:val="-5"/>
              </w:rPr>
              <w:t> </w:t>
            </w:r>
            <w:r w:rsidRPr="00B6271C">
              <w:rPr>
                <w:spacing w:val="-5"/>
              </w:rPr>
              <w:t xml:space="preserve">1,0 %. To je o 0,5 </w:t>
            </w:r>
            <w:proofErr w:type="spellStart"/>
            <w:proofErr w:type="gramStart"/>
            <w:r w:rsidRPr="00B6271C">
              <w:rPr>
                <w:spacing w:val="-5"/>
              </w:rPr>
              <w:t>p.b</w:t>
            </w:r>
            <w:proofErr w:type="spellEnd"/>
            <w:r w:rsidRPr="00B6271C">
              <w:rPr>
                <w:spacing w:val="-5"/>
              </w:rPr>
              <w:t>. více</w:t>
            </w:r>
            <w:proofErr w:type="gramEnd"/>
            <w:r w:rsidRPr="00B6271C">
              <w:rPr>
                <w:spacing w:val="-5"/>
              </w:rPr>
              <w:t xml:space="preserve"> než v 1. čtvrtletí, ale stále pod úrovní roku 2016. Na zpomalení cenového růstu měly hlavní podíl záporné směnné relace (98,3 %). Ceny statků spotřebovávaných domácnostmi vzrostly o 2,4 %, stejně jako v předchozím čtvrtletí. Růst cen kapitálových statků dosáhl 1,6 %.</w:t>
            </w:r>
          </w:p>
          <w:p w:rsidR="00DD0726" w:rsidRPr="00B6271C" w:rsidRDefault="00DD0726" w:rsidP="008C0F87">
            <w:pPr>
              <w:pStyle w:val="Textpoznpodarou"/>
              <w:ind w:right="-35"/>
              <w:jc w:val="both"/>
              <w:rPr>
                <w:spacing w:val="-5"/>
                <w:sz w:val="16"/>
                <w:szCs w:val="16"/>
              </w:rPr>
            </w:pPr>
          </w:p>
        </w:tc>
      </w:tr>
      <w:tr w:rsidR="00DD0726" w:rsidRPr="00F81A26" w:rsidTr="008C0F87">
        <w:tc>
          <w:tcPr>
            <w:tcW w:w="1015" w:type="pct"/>
          </w:tcPr>
          <w:p w:rsidR="00DD0726" w:rsidRPr="00F81A26" w:rsidRDefault="00DD0726" w:rsidP="008C0F87">
            <w:pPr>
              <w:spacing w:line="240" w:lineRule="auto"/>
              <w:ind w:right="-19"/>
              <w:rPr>
                <w:spacing w:val="-4"/>
                <w:sz w:val="16"/>
                <w:szCs w:val="16"/>
              </w:rPr>
            </w:pPr>
            <w:r>
              <w:rPr>
                <w:spacing w:val="-4"/>
                <w:sz w:val="16"/>
                <w:szCs w:val="16"/>
              </w:rPr>
              <w:t>Růst spotřebitelských cen překročil 2% hranici, ale dále již nezrychloval.</w:t>
            </w:r>
          </w:p>
        </w:tc>
        <w:tc>
          <w:tcPr>
            <w:tcW w:w="144" w:type="pct"/>
          </w:tcPr>
          <w:p w:rsidR="00DD0726" w:rsidRPr="00F81A26" w:rsidRDefault="00DD0726" w:rsidP="008C0F87">
            <w:pPr>
              <w:pStyle w:val="Textpoznpodarou"/>
              <w:jc w:val="both"/>
              <w:rPr>
                <w:spacing w:val="-4"/>
              </w:rPr>
            </w:pPr>
          </w:p>
        </w:tc>
        <w:tc>
          <w:tcPr>
            <w:tcW w:w="3841" w:type="pct"/>
            <w:gridSpan w:val="2"/>
          </w:tcPr>
          <w:p w:rsidR="00DD0726" w:rsidRPr="00B6271C" w:rsidRDefault="00DD0726" w:rsidP="008C0F87">
            <w:pPr>
              <w:pStyle w:val="Textpoznpodarou"/>
              <w:ind w:right="-35"/>
              <w:jc w:val="both"/>
              <w:rPr>
                <w:spacing w:val="-5"/>
                <w:sz w:val="16"/>
                <w:szCs w:val="16"/>
              </w:rPr>
            </w:pPr>
            <w:r w:rsidRPr="00B6271C">
              <w:rPr>
                <w:spacing w:val="-5"/>
              </w:rPr>
              <w:t xml:space="preserve">Spotřebitelské ceny v první polovině roku 2017 meziročně vzrostly o 2,3 %. Mírně rychlejší dynamiku měl cenový růst v 1. čtvrtletí, kdy dosáhl 2,4 %. Ve 2. čtvrtletí činil meziroční přírůstek spotřebitelských cen 2,2 %. Zrychlování cenového růstu, které bylo v 1. čtvrtletím spojeno s meziročním nárůstem cen dopravy, se ve druhém čtvrtletí zastavilo a spotřebitelská inflace jen mírně překonávala 2% inflační cíl. Těžiště cenového růstu se přesunulo do položky potravin a nealkoholických nápojů. Na mírném zpomalení dynamiky se podepsala i stagnace cen alkoholických nápojů, které působily </w:t>
            </w:r>
            <w:proofErr w:type="spellStart"/>
            <w:r w:rsidRPr="00B6271C">
              <w:rPr>
                <w:spacing w:val="-5"/>
              </w:rPr>
              <w:t>proinflačně</w:t>
            </w:r>
            <w:proofErr w:type="spellEnd"/>
            <w:r w:rsidRPr="00B6271C">
              <w:rPr>
                <w:spacing w:val="-5"/>
              </w:rPr>
              <w:t xml:space="preserve"> v předchozích dvou letech.</w:t>
            </w:r>
          </w:p>
          <w:p w:rsidR="00DD0726" w:rsidRPr="00B6271C" w:rsidRDefault="00DD0726" w:rsidP="008C0F87">
            <w:pPr>
              <w:pStyle w:val="Textpoznpodarou"/>
              <w:ind w:right="-35"/>
              <w:jc w:val="both"/>
              <w:rPr>
                <w:spacing w:val="-5"/>
                <w:sz w:val="16"/>
                <w:szCs w:val="16"/>
              </w:rPr>
            </w:pPr>
          </w:p>
        </w:tc>
      </w:tr>
      <w:tr w:rsidR="00DD0726" w:rsidRPr="00F81A26" w:rsidTr="008C0F87">
        <w:tc>
          <w:tcPr>
            <w:tcW w:w="1015" w:type="pct"/>
          </w:tcPr>
          <w:p w:rsidR="00DD0726" w:rsidRPr="00F81A26" w:rsidRDefault="00DD0726" w:rsidP="008C0F87">
            <w:pPr>
              <w:spacing w:line="240" w:lineRule="auto"/>
              <w:ind w:right="-19"/>
              <w:rPr>
                <w:spacing w:val="-4"/>
                <w:sz w:val="16"/>
                <w:szCs w:val="16"/>
              </w:rPr>
            </w:pPr>
            <w:r>
              <w:rPr>
                <w:spacing w:val="-4"/>
                <w:sz w:val="16"/>
                <w:szCs w:val="16"/>
              </w:rPr>
              <w:t>Jedním z důvodů byla i meziroční dynamika cen ropy. Ceny dopravy ve 2. čtvrtletí nerostly tak rychle jako v předchozím kvartálu.</w:t>
            </w:r>
          </w:p>
        </w:tc>
        <w:tc>
          <w:tcPr>
            <w:tcW w:w="144" w:type="pct"/>
          </w:tcPr>
          <w:p w:rsidR="00DD0726" w:rsidRPr="00F81A26" w:rsidRDefault="00DD0726" w:rsidP="008C0F87">
            <w:pPr>
              <w:pStyle w:val="Textpoznpodarou"/>
              <w:jc w:val="both"/>
              <w:rPr>
                <w:spacing w:val="-4"/>
              </w:rPr>
            </w:pPr>
          </w:p>
        </w:tc>
        <w:tc>
          <w:tcPr>
            <w:tcW w:w="3841" w:type="pct"/>
            <w:gridSpan w:val="2"/>
          </w:tcPr>
          <w:p w:rsidR="00DD0726" w:rsidRPr="00B6271C" w:rsidRDefault="00DD0726" w:rsidP="008C0F87">
            <w:pPr>
              <w:pStyle w:val="Textpoznpodarou"/>
              <w:jc w:val="both"/>
              <w:rPr>
                <w:spacing w:val="-5"/>
                <w:sz w:val="16"/>
                <w:szCs w:val="16"/>
              </w:rPr>
            </w:pPr>
            <w:r w:rsidRPr="00B6271C">
              <w:rPr>
                <w:spacing w:val="-5"/>
              </w:rPr>
              <w:t xml:space="preserve">Ceny ropy prudce poklesly na přelomu let 2015 a 2016 (ze 44,3 dolarů za barel v listopadu 2015 na 30,7 v lednu 2016) a zpátky nad úroveň 45 dolarů za barel se vrátily již v dubnu 2016. Tyto posuny se následně promítly do meziroční dynamiky cen ropy a dopravy v první polovině roku 2017. V 1. čtvrtletí dosáhla průměrná cena ropy 53,7 dolarů za barel, což bylo o 59,3 % více než ve stejném období předchozího roku. Na zvýšení cen ropy se podepsalo i oslabení kurzu koruny vůči dolaru. Ceny dopravy tak v 1. čtvrtletí meziročně vzrostly o 6,0 % (z toho ceny provozu osobních dopravních prostředků o 10,7 %). Ve druhém kvartálu se nepodařilo udržet mírný cenový růst započatý na podzim 2016 a průměrná cena za barel ropy se mírně snížila na 49,7 dolarů, což znamenalo meziroční nárůst o 9,1 %. I proto se růst cen dopravy zpomalil na 3,9 % (z toho růst nákladů na provoz dopravních prostředků činil 5,8 %). Navzdory zpomalení růstu však ceny dopravy přispěly k celkové inflaci spotřebitelských cen ve 2. čtvrtletí 0,4 </w:t>
            </w:r>
            <w:proofErr w:type="spellStart"/>
            <w:proofErr w:type="gramStart"/>
            <w:r w:rsidRPr="00B6271C">
              <w:rPr>
                <w:spacing w:val="-5"/>
              </w:rPr>
              <w:t>p.b</w:t>
            </w:r>
            <w:proofErr w:type="spellEnd"/>
            <w:r w:rsidRPr="00B6271C">
              <w:rPr>
                <w:spacing w:val="-5"/>
              </w:rPr>
              <w:t>.</w:t>
            </w:r>
            <w:proofErr w:type="gramEnd"/>
            <w:r w:rsidRPr="00B6271C">
              <w:rPr>
                <w:spacing w:val="-5"/>
              </w:rPr>
              <w:t xml:space="preserve"> </w:t>
            </w:r>
          </w:p>
          <w:p w:rsidR="00DD0726" w:rsidRPr="00B6271C" w:rsidRDefault="00DD0726" w:rsidP="008C0F87">
            <w:pPr>
              <w:pStyle w:val="Textpoznpodarou"/>
              <w:jc w:val="both"/>
              <w:rPr>
                <w:spacing w:val="-5"/>
                <w:sz w:val="16"/>
                <w:szCs w:val="16"/>
              </w:rPr>
            </w:pPr>
          </w:p>
        </w:tc>
      </w:tr>
      <w:tr w:rsidR="00DD0726" w:rsidRPr="00F81A26" w:rsidTr="008C0F87">
        <w:tc>
          <w:tcPr>
            <w:tcW w:w="1015" w:type="pct"/>
          </w:tcPr>
          <w:p w:rsidR="00DD0726" w:rsidRPr="00F81A26" w:rsidRDefault="00DD0726" w:rsidP="008C0F87">
            <w:pPr>
              <w:spacing w:line="240" w:lineRule="auto"/>
              <w:ind w:right="-19"/>
              <w:jc w:val="center"/>
              <w:rPr>
                <w:spacing w:val="-4"/>
                <w:szCs w:val="20"/>
              </w:rPr>
            </w:pPr>
          </w:p>
        </w:tc>
        <w:tc>
          <w:tcPr>
            <w:tcW w:w="144" w:type="pct"/>
          </w:tcPr>
          <w:p w:rsidR="00DD0726" w:rsidRPr="00F81A26" w:rsidRDefault="00DD0726" w:rsidP="008C0F87">
            <w:pPr>
              <w:pStyle w:val="Textpoznpodarou"/>
              <w:jc w:val="both"/>
              <w:rPr>
                <w:spacing w:val="-4"/>
              </w:rPr>
            </w:pPr>
          </w:p>
        </w:tc>
        <w:tc>
          <w:tcPr>
            <w:tcW w:w="580" w:type="pct"/>
          </w:tcPr>
          <w:p w:rsidR="00DD0726" w:rsidRPr="00F81A26" w:rsidRDefault="00DD0726" w:rsidP="008C0F87">
            <w:pPr>
              <w:pStyle w:val="Textpoznpodarou"/>
              <w:jc w:val="both"/>
              <w:rPr>
                <w:spacing w:val="-4"/>
              </w:rPr>
            </w:pPr>
            <w:r w:rsidRPr="00F81A26">
              <w:rPr>
                <w:spacing w:val="-4"/>
              </w:rPr>
              <w:t>Graf č. 11</w:t>
            </w:r>
          </w:p>
        </w:tc>
        <w:tc>
          <w:tcPr>
            <w:tcW w:w="3261" w:type="pct"/>
          </w:tcPr>
          <w:p w:rsidR="00DD0726" w:rsidRPr="00F81A26" w:rsidRDefault="00DD0726" w:rsidP="008C0F87">
            <w:pPr>
              <w:pStyle w:val="Textpoznpodarou"/>
              <w:rPr>
                <w:spacing w:val="-4"/>
              </w:rPr>
            </w:pPr>
            <w:r w:rsidRPr="00F81A26">
              <w:rPr>
                <w:b/>
                <w:spacing w:val="-4"/>
              </w:rPr>
              <w:t>Ceny ve vybraných oddílech indexu spotřebitelských cen</w:t>
            </w:r>
            <w:r w:rsidRPr="00F81A26">
              <w:rPr>
                <w:spacing w:val="-4"/>
              </w:rPr>
              <w:t xml:space="preserve"> (meziroční změna, v %)</w:t>
            </w:r>
          </w:p>
        </w:tc>
      </w:tr>
      <w:tr w:rsidR="00DD0726" w:rsidRPr="00F81A26" w:rsidTr="008C0F87">
        <w:tc>
          <w:tcPr>
            <w:tcW w:w="1015" w:type="pct"/>
          </w:tcPr>
          <w:p w:rsidR="00DD0726" w:rsidRPr="00F81A26" w:rsidRDefault="00DD0726" w:rsidP="008C0F87">
            <w:pPr>
              <w:spacing w:line="240" w:lineRule="auto"/>
              <w:ind w:right="-19"/>
              <w:rPr>
                <w:spacing w:val="-4"/>
                <w:sz w:val="16"/>
                <w:szCs w:val="16"/>
              </w:rPr>
            </w:pPr>
          </w:p>
        </w:tc>
        <w:tc>
          <w:tcPr>
            <w:tcW w:w="144" w:type="pct"/>
          </w:tcPr>
          <w:p w:rsidR="00DD0726" w:rsidRPr="00F81A26" w:rsidRDefault="00DD0726" w:rsidP="008C0F87">
            <w:pPr>
              <w:pStyle w:val="Textpoznpodarou"/>
              <w:jc w:val="both"/>
              <w:rPr>
                <w:spacing w:val="-4"/>
              </w:rPr>
            </w:pPr>
          </w:p>
        </w:tc>
        <w:tc>
          <w:tcPr>
            <w:tcW w:w="3841" w:type="pct"/>
            <w:gridSpan w:val="2"/>
          </w:tcPr>
          <w:p w:rsidR="00DD0726" w:rsidRPr="00F81A26" w:rsidRDefault="00DD0726" w:rsidP="008C0F87">
            <w:pPr>
              <w:pStyle w:val="Textpoznpodarou"/>
              <w:ind w:left="-54"/>
              <w:jc w:val="both"/>
              <w:rPr>
                <w:spacing w:val="-4"/>
              </w:rPr>
            </w:pPr>
            <w:r w:rsidRPr="00F81A26">
              <w:rPr>
                <w:noProof/>
                <w:spacing w:val="-4"/>
              </w:rPr>
              <w:drawing>
                <wp:inline distT="0" distB="0" distL="0" distR="0">
                  <wp:extent cx="4737600" cy="3553200"/>
                  <wp:effectExtent l="0" t="0" r="0" b="0"/>
                  <wp:docPr id="19"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D0726" w:rsidRPr="00F81A26" w:rsidRDefault="00DD0726" w:rsidP="008C0F87">
            <w:pPr>
              <w:pStyle w:val="Textpoznpodarou"/>
              <w:ind w:left="-54"/>
              <w:jc w:val="right"/>
              <w:rPr>
                <w:spacing w:val="-4"/>
                <w:sz w:val="14"/>
                <w:szCs w:val="14"/>
              </w:rPr>
            </w:pPr>
            <w:r w:rsidRPr="00F81A26">
              <w:rPr>
                <w:spacing w:val="-4"/>
                <w:sz w:val="14"/>
                <w:szCs w:val="14"/>
              </w:rPr>
              <w:t>Zdroj: ČSÚ</w:t>
            </w:r>
          </w:p>
          <w:p w:rsidR="00DD0726" w:rsidRPr="00F81A26" w:rsidRDefault="00DD0726" w:rsidP="008C0F87">
            <w:pPr>
              <w:pStyle w:val="Textpoznpodarou"/>
              <w:ind w:left="-54"/>
              <w:jc w:val="right"/>
              <w:rPr>
                <w:spacing w:val="-4"/>
                <w:sz w:val="14"/>
                <w:szCs w:val="14"/>
              </w:rPr>
            </w:pPr>
          </w:p>
        </w:tc>
      </w:tr>
      <w:tr w:rsidR="00DD0726" w:rsidRPr="00F81A26" w:rsidTr="008C0F87">
        <w:tc>
          <w:tcPr>
            <w:tcW w:w="1015" w:type="pct"/>
          </w:tcPr>
          <w:p w:rsidR="00DD0726" w:rsidRPr="00F81A26" w:rsidRDefault="00DD0726" w:rsidP="008C0F87">
            <w:pPr>
              <w:spacing w:line="240" w:lineRule="auto"/>
              <w:ind w:right="-19"/>
              <w:rPr>
                <w:spacing w:val="-4"/>
                <w:sz w:val="16"/>
                <w:szCs w:val="16"/>
              </w:rPr>
            </w:pPr>
            <w:r>
              <w:rPr>
                <w:spacing w:val="-4"/>
                <w:sz w:val="16"/>
                <w:szCs w:val="16"/>
              </w:rPr>
              <w:t>Ceny potravin dále silně rostly.</w:t>
            </w:r>
          </w:p>
        </w:tc>
        <w:tc>
          <w:tcPr>
            <w:tcW w:w="144" w:type="pct"/>
          </w:tcPr>
          <w:p w:rsidR="00DD0726" w:rsidRPr="00F81A26" w:rsidRDefault="00DD0726" w:rsidP="008C0F87">
            <w:pPr>
              <w:pStyle w:val="Textpoznpodarou"/>
              <w:jc w:val="both"/>
              <w:rPr>
                <w:spacing w:val="-4"/>
              </w:rPr>
            </w:pPr>
          </w:p>
        </w:tc>
        <w:tc>
          <w:tcPr>
            <w:tcW w:w="3841" w:type="pct"/>
            <w:gridSpan w:val="2"/>
          </w:tcPr>
          <w:p w:rsidR="00DD0726" w:rsidRPr="00B6271C" w:rsidRDefault="00DD0726" w:rsidP="008C0F87">
            <w:pPr>
              <w:pStyle w:val="Textpoznpodarou"/>
              <w:jc w:val="both"/>
              <w:rPr>
                <w:spacing w:val="-5"/>
                <w:sz w:val="16"/>
                <w:szCs w:val="16"/>
              </w:rPr>
            </w:pPr>
            <w:r w:rsidRPr="00B6271C">
              <w:rPr>
                <w:spacing w:val="-5"/>
              </w:rPr>
              <w:t xml:space="preserve">Ceny potravin a nealkoholických nápojů se ve druhém čtvrtletí meziročně zvýšily o 4,5 % a oproti předchozímu kvartálu mírně zrychlily. K celkovému růstu spotřebitelských cen přispěly 0,8 </w:t>
            </w:r>
            <w:proofErr w:type="spellStart"/>
            <w:proofErr w:type="gramStart"/>
            <w:r w:rsidRPr="00B6271C">
              <w:rPr>
                <w:spacing w:val="-5"/>
              </w:rPr>
              <w:t>p.b</w:t>
            </w:r>
            <w:proofErr w:type="spellEnd"/>
            <w:r w:rsidRPr="00B6271C">
              <w:rPr>
                <w:spacing w:val="-5"/>
              </w:rPr>
              <w:t>.</w:t>
            </w:r>
            <w:proofErr w:type="gramEnd"/>
            <w:r w:rsidRPr="00B6271C">
              <w:rPr>
                <w:spacing w:val="-5"/>
              </w:rPr>
              <w:t xml:space="preserve"> Nejrychleji rostly ceny olejů a tuků (11,0 %), </w:t>
            </w:r>
            <w:r w:rsidRPr="00B6271C">
              <w:rPr>
                <w:spacing w:val="-5"/>
              </w:rPr>
              <w:lastRenderedPageBreak/>
              <w:t>do kterých patří máslo, jehož cena se meziročně zvýšila o 21,7 %, a mléka, sýrů a vajec (9,8 %). U obou položek se cenový růst oproti předchozímu čtvrtletí zrychloval. Zrychlil i meziroční růst cen pekárenských výrobků (ze 3,5 % na 5,2 %) a masa (</w:t>
            </w:r>
            <w:proofErr w:type="gramStart"/>
            <w:r w:rsidRPr="00B6271C">
              <w:rPr>
                <w:spacing w:val="-5"/>
              </w:rPr>
              <w:t>ze</w:t>
            </w:r>
            <w:proofErr w:type="gramEnd"/>
            <w:r w:rsidRPr="00B6271C">
              <w:rPr>
                <w:spacing w:val="-5"/>
              </w:rPr>
              <w:t> 2,2 % na 5,1 %). Jediným produktem, který ve druhém čtvrtletí meziročně zlevňoval, byla zelenina (o 4,8 %). Nealkoholické nápoje zdražily o mírných 1,1 %. Za</w:t>
            </w:r>
            <w:r>
              <w:rPr>
                <w:spacing w:val="-5"/>
              </w:rPr>
              <w:t> </w:t>
            </w:r>
            <w:r w:rsidRPr="00B6271C">
              <w:rPr>
                <w:spacing w:val="-5"/>
              </w:rPr>
              <w:t>zmínku stojí i vývoj ceny kávy, která meziročně zdražila o 5,4 % (přitom ceny čaje stagnovaly). Zde je možné vidět souvislost se zprávami o nedostatku kávových zrn vlivem neúrody v hlavních pěstitelských destinacích i možný úbytek kávy vlivem globální změny klimatu.</w:t>
            </w:r>
          </w:p>
          <w:p w:rsidR="00DD0726" w:rsidRPr="00B6271C" w:rsidRDefault="00DD0726" w:rsidP="008C0F87">
            <w:pPr>
              <w:pStyle w:val="Textpoznpodarou"/>
              <w:jc w:val="both"/>
              <w:rPr>
                <w:spacing w:val="-5"/>
                <w:sz w:val="16"/>
                <w:szCs w:val="16"/>
              </w:rPr>
            </w:pPr>
          </w:p>
        </w:tc>
      </w:tr>
      <w:tr w:rsidR="00DD0726" w:rsidRPr="00F81A26" w:rsidTr="008C0F87">
        <w:tc>
          <w:tcPr>
            <w:tcW w:w="1015" w:type="pct"/>
          </w:tcPr>
          <w:p w:rsidR="00DD0726" w:rsidRPr="00F81A26" w:rsidRDefault="00DD0726" w:rsidP="008C0F87">
            <w:pPr>
              <w:spacing w:line="240" w:lineRule="auto"/>
              <w:ind w:right="-19"/>
              <w:rPr>
                <w:spacing w:val="-4"/>
                <w:sz w:val="16"/>
                <w:szCs w:val="16"/>
              </w:rPr>
            </w:pPr>
            <w:r>
              <w:rPr>
                <w:spacing w:val="-4"/>
                <w:sz w:val="16"/>
                <w:szCs w:val="16"/>
              </w:rPr>
              <w:lastRenderedPageBreak/>
              <w:t>Zrychlil se i růst cen bydlení a energií.</w:t>
            </w:r>
          </w:p>
        </w:tc>
        <w:tc>
          <w:tcPr>
            <w:tcW w:w="144" w:type="pct"/>
          </w:tcPr>
          <w:p w:rsidR="00DD0726" w:rsidRPr="00F81A26" w:rsidRDefault="00DD0726" w:rsidP="008C0F87">
            <w:pPr>
              <w:pStyle w:val="Textpoznpodarou"/>
              <w:jc w:val="both"/>
              <w:rPr>
                <w:spacing w:val="-4"/>
              </w:rPr>
            </w:pPr>
          </w:p>
        </w:tc>
        <w:tc>
          <w:tcPr>
            <w:tcW w:w="3841" w:type="pct"/>
            <w:gridSpan w:val="2"/>
          </w:tcPr>
          <w:p w:rsidR="00DD0726" w:rsidRPr="00B6271C" w:rsidRDefault="00DD0726" w:rsidP="008C0F87">
            <w:pPr>
              <w:pStyle w:val="Textpoznpodarou"/>
              <w:ind w:right="-35"/>
              <w:jc w:val="both"/>
              <w:rPr>
                <w:spacing w:val="-5"/>
                <w:sz w:val="16"/>
                <w:szCs w:val="16"/>
              </w:rPr>
            </w:pPr>
            <w:r w:rsidRPr="00B6271C">
              <w:rPr>
                <w:spacing w:val="-5"/>
              </w:rPr>
              <w:t xml:space="preserve">Nejvýznamnější položkou v českém spotřebním koši je bydlení, voda, energie a paliva, jejichž cenový růst především v květnu a červnu výrazně zrychlil oproti předchozímu období. Celkově náklady na bydlení a energie </w:t>
            </w:r>
            <w:r>
              <w:rPr>
                <w:spacing w:val="-5"/>
              </w:rPr>
              <w:t>ve 2</w:t>
            </w:r>
            <w:r w:rsidRPr="00B6271C">
              <w:rPr>
                <w:spacing w:val="-5"/>
              </w:rPr>
              <w:t xml:space="preserve">. čtvrtletí meziročně zdražily o 1,5 %, což je o 0,7 </w:t>
            </w:r>
            <w:proofErr w:type="spellStart"/>
            <w:proofErr w:type="gramStart"/>
            <w:r w:rsidRPr="00B6271C">
              <w:rPr>
                <w:spacing w:val="-5"/>
              </w:rPr>
              <w:t>p.b</w:t>
            </w:r>
            <w:proofErr w:type="spellEnd"/>
            <w:r w:rsidRPr="00B6271C">
              <w:rPr>
                <w:spacing w:val="-5"/>
              </w:rPr>
              <w:t>. více</w:t>
            </w:r>
            <w:proofErr w:type="gramEnd"/>
            <w:r w:rsidRPr="00B6271C">
              <w:rPr>
                <w:spacing w:val="-5"/>
              </w:rPr>
              <w:t xml:space="preserve"> než v předchozím kvartálu. Tento pohyb ovlivnily ceny imputovaného nájemného, které zrychlovaly svůj růst od začátku roku a </w:t>
            </w:r>
            <w:r>
              <w:rPr>
                <w:spacing w:val="-5"/>
              </w:rPr>
              <w:t>ve 2</w:t>
            </w:r>
            <w:r w:rsidRPr="00B6271C">
              <w:rPr>
                <w:spacing w:val="-5"/>
              </w:rPr>
              <w:t>. čtvrtletí vzrostly o 3,9 %. Mírně zrychlil růst cen nájemného z bytů, které se zvýšilo o 2,1 %. Naopak stále zlevňovala (v menší míře než dřív) elektrická a tepelná energie, plyn a</w:t>
            </w:r>
            <w:r>
              <w:rPr>
                <w:spacing w:val="-5"/>
              </w:rPr>
              <w:t> </w:t>
            </w:r>
            <w:r w:rsidRPr="00B6271C">
              <w:rPr>
                <w:spacing w:val="-5"/>
              </w:rPr>
              <w:t xml:space="preserve">ostatní paliva (o 0,7 % </w:t>
            </w:r>
            <w:r>
              <w:rPr>
                <w:spacing w:val="-5"/>
              </w:rPr>
              <w:t>ve 2</w:t>
            </w:r>
            <w:r w:rsidRPr="00B6271C">
              <w:rPr>
                <w:spacing w:val="-5"/>
              </w:rPr>
              <w:t>. čtvrtletí).</w:t>
            </w:r>
          </w:p>
          <w:p w:rsidR="00DD0726" w:rsidRPr="00B6271C" w:rsidRDefault="00DD0726" w:rsidP="008C0F87">
            <w:pPr>
              <w:pStyle w:val="Textpoznpodarou"/>
              <w:ind w:right="-35"/>
              <w:jc w:val="both"/>
              <w:rPr>
                <w:spacing w:val="-5"/>
                <w:sz w:val="16"/>
                <w:szCs w:val="16"/>
              </w:rPr>
            </w:pPr>
          </w:p>
        </w:tc>
      </w:tr>
      <w:tr w:rsidR="00DD0726" w:rsidRPr="00F81A26" w:rsidTr="008C0F87">
        <w:tc>
          <w:tcPr>
            <w:tcW w:w="1015" w:type="pct"/>
          </w:tcPr>
          <w:p w:rsidR="00DD0726" w:rsidRPr="00F81A26" w:rsidRDefault="00DD0726" w:rsidP="008C0F87">
            <w:pPr>
              <w:spacing w:line="240" w:lineRule="auto"/>
              <w:ind w:right="-19"/>
              <w:rPr>
                <w:spacing w:val="-4"/>
                <w:sz w:val="16"/>
                <w:szCs w:val="16"/>
              </w:rPr>
            </w:pPr>
            <w:r w:rsidRPr="00F81A26">
              <w:rPr>
                <w:spacing w:val="-4"/>
                <w:sz w:val="16"/>
                <w:szCs w:val="16"/>
              </w:rPr>
              <w:t>Nemovitosti stále zdražují a nárůst jejich cen zrychluje.</w:t>
            </w:r>
          </w:p>
        </w:tc>
        <w:tc>
          <w:tcPr>
            <w:tcW w:w="144" w:type="pct"/>
          </w:tcPr>
          <w:p w:rsidR="00DD0726" w:rsidRPr="00F81A26" w:rsidRDefault="00DD0726" w:rsidP="008C0F87">
            <w:pPr>
              <w:pStyle w:val="Textpoznpodarou"/>
              <w:jc w:val="both"/>
              <w:rPr>
                <w:spacing w:val="-4"/>
              </w:rPr>
            </w:pPr>
          </w:p>
        </w:tc>
        <w:tc>
          <w:tcPr>
            <w:tcW w:w="3841" w:type="pct"/>
            <w:gridSpan w:val="2"/>
          </w:tcPr>
          <w:p w:rsidR="00DD0726" w:rsidRPr="00B6271C" w:rsidRDefault="00DD0726" w:rsidP="008C0F87">
            <w:pPr>
              <w:pStyle w:val="Textpoznpodarou"/>
              <w:ind w:right="-35"/>
              <w:jc w:val="both"/>
              <w:rPr>
                <w:spacing w:val="-5"/>
                <w:sz w:val="16"/>
                <w:szCs w:val="16"/>
              </w:rPr>
            </w:pPr>
            <w:r w:rsidRPr="00B6271C">
              <w:rPr>
                <w:spacing w:val="-5"/>
              </w:rPr>
              <w:t>Růst nabídkových cen nemovitostí v ČR ve 2. čtvrtletí proti stejnému období předchozího roku dosáhl 9,5 % a oproti předchozímu čtvrtletí se nezměnil. Opět však zrychlil růst nabídkových cen v Praze (z 13,6 % na 14,6 %). Naopak růst nabídkových cen nemovitostí mimo Prahu se ve 2. čtvrtletí snížil na 3,6 %. Realizované ceny starších bytů svůj růst ve 2. čtvrtletí zrychlily poměrně výrazně. V celé ČR se meziročně zvýšily o 18,7 %, v Praze o 18,0 %.</w:t>
            </w:r>
          </w:p>
          <w:p w:rsidR="00DD0726" w:rsidRPr="00B6271C" w:rsidRDefault="00DD0726" w:rsidP="008C0F87">
            <w:pPr>
              <w:pStyle w:val="Textpoznpodarou"/>
              <w:ind w:right="-35"/>
              <w:jc w:val="both"/>
              <w:rPr>
                <w:spacing w:val="-5"/>
                <w:sz w:val="16"/>
                <w:szCs w:val="16"/>
              </w:rPr>
            </w:pPr>
          </w:p>
        </w:tc>
      </w:tr>
      <w:tr w:rsidR="00DD0726" w:rsidRPr="00F81A26" w:rsidTr="008C0F87">
        <w:tc>
          <w:tcPr>
            <w:tcW w:w="1015" w:type="pct"/>
          </w:tcPr>
          <w:p w:rsidR="00DD0726" w:rsidRPr="00F81A26" w:rsidRDefault="00DD0726" w:rsidP="008C0F87">
            <w:pPr>
              <w:pStyle w:val="Textpoznpodarou"/>
              <w:jc w:val="center"/>
              <w:rPr>
                <w:spacing w:val="-4"/>
              </w:rPr>
            </w:pPr>
          </w:p>
        </w:tc>
        <w:tc>
          <w:tcPr>
            <w:tcW w:w="144" w:type="pct"/>
          </w:tcPr>
          <w:p w:rsidR="00DD0726" w:rsidRPr="00F81A26" w:rsidRDefault="00DD0726" w:rsidP="008C0F87">
            <w:pPr>
              <w:pStyle w:val="Textpoznpodarou"/>
              <w:jc w:val="both"/>
              <w:rPr>
                <w:spacing w:val="-4"/>
              </w:rPr>
            </w:pPr>
          </w:p>
        </w:tc>
        <w:tc>
          <w:tcPr>
            <w:tcW w:w="580" w:type="pct"/>
          </w:tcPr>
          <w:p w:rsidR="00DD0726" w:rsidRPr="00F81A26" w:rsidRDefault="00DD0726" w:rsidP="008C0F87">
            <w:pPr>
              <w:pStyle w:val="Textpoznpodarou"/>
              <w:ind w:right="-35"/>
              <w:jc w:val="both"/>
              <w:rPr>
                <w:spacing w:val="-4"/>
              </w:rPr>
            </w:pPr>
            <w:r w:rsidRPr="00F81A26">
              <w:rPr>
                <w:spacing w:val="-4"/>
              </w:rPr>
              <w:t>Graf č. 12</w:t>
            </w:r>
          </w:p>
        </w:tc>
        <w:tc>
          <w:tcPr>
            <w:tcW w:w="3261" w:type="pct"/>
          </w:tcPr>
          <w:p w:rsidR="00DD0726" w:rsidRPr="00F81A26" w:rsidRDefault="00DD0726" w:rsidP="008C0F87">
            <w:pPr>
              <w:pStyle w:val="Textpoznpodarou"/>
              <w:ind w:right="-35"/>
              <w:rPr>
                <w:spacing w:val="-4"/>
              </w:rPr>
            </w:pPr>
            <w:r w:rsidRPr="00F81A26">
              <w:rPr>
                <w:b/>
                <w:spacing w:val="-4"/>
                <w:lang w:eastAsia="en-US"/>
              </w:rPr>
              <w:t xml:space="preserve">Ceny nemovitostí </w:t>
            </w:r>
            <w:r w:rsidRPr="00F81A26">
              <w:rPr>
                <w:spacing w:val="-4"/>
                <w:lang w:eastAsia="en-US"/>
              </w:rPr>
              <w:t>(meziroční změna, v %)</w:t>
            </w:r>
          </w:p>
        </w:tc>
      </w:tr>
      <w:tr w:rsidR="00DD0726" w:rsidRPr="00F81A26" w:rsidTr="008C0F87">
        <w:tc>
          <w:tcPr>
            <w:tcW w:w="1015" w:type="pct"/>
          </w:tcPr>
          <w:p w:rsidR="00DD0726" w:rsidRPr="00F81A26" w:rsidRDefault="00DD0726" w:rsidP="008C0F87">
            <w:pPr>
              <w:spacing w:line="240" w:lineRule="auto"/>
              <w:ind w:right="-19"/>
              <w:rPr>
                <w:spacing w:val="-4"/>
                <w:sz w:val="16"/>
                <w:szCs w:val="16"/>
              </w:rPr>
            </w:pPr>
          </w:p>
        </w:tc>
        <w:tc>
          <w:tcPr>
            <w:tcW w:w="144" w:type="pct"/>
          </w:tcPr>
          <w:p w:rsidR="00DD0726" w:rsidRPr="00F81A26" w:rsidRDefault="00DD0726" w:rsidP="008C0F87">
            <w:pPr>
              <w:pStyle w:val="Textpoznpodarou"/>
              <w:jc w:val="both"/>
              <w:rPr>
                <w:spacing w:val="-4"/>
              </w:rPr>
            </w:pPr>
          </w:p>
        </w:tc>
        <w:tc>
          <w:tcPr>
            <w:tcW w:w="3841" w:type="pct"/>
            <w:gridSpan w:val="2"/>
          </w:tcPr>
          <w:p w:rsidR="00DD0726" w:rsidRPr="00F81A26" w:rsidRDefault="00DD0726" w:rsidP="008C0F87">
            <w:pPr>
              <w:pStyle w:val="Textpoznpodarou"/>
              <w:ind w:left="-54" w:right="-35"/>
              <w:jc w:val="both"/>
              <w:rPr>
                <w:spacing w:val="-4"/>
              </w:rPr>
            </w:pPr>
            <w:r w:rsidRPr="00977A4D">
              <w:rPr>
                <w:noProof/>
                <w:spacing w:val="-4"/>
              </w:rPr>
              <w:drawing>
                <wp:inline distT="0" distB="0" distL="0" distR="0">
                  <wp:extent cx="4737600" cy="3553200"/>
                  <wp:effectExtent l="19050" t="0" r="0" b="0"/>
                  <wp:docPr id="28"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D0726" w:rsidRPr="00F81A26" w:rsidRDefault="00DD0726" w:rsidP="008C0F87">
            <w:pPr>
              <w:pStyle w:val="Textpoznpodarou"/>
              <w:ind w:left="-54" w:right="-35"/>
              <w:jc w:val="right"/>
              <w:rPr>
                <w:spacing w:val="-4"/>
                <w:sz w:val="14"/>
                <w:szCs w:val="14"/>
              </w:rPr>
            </w:pPr>
            <w:r w:rsidRPr="00F81A26">
              <w:rPr>
                <w:spacing w:val="-4"/>
                <w:sz w:val="14"/>
                <w:szCs w:val="14"/>
              </w:rPr>
              <w:t>Zdroj: ČSÚ</w:t>
            </w:r>
          </w:p>
          <w:p w:rsidR="00DD0726" w:rsidRPr="00F81A26" w:rsidRDefault="00DD0726" w:rsidP="008C0F87">
            <w:pPr>
              <w:pStyle w:val="Textpoznpodarou"/>
              <w:ind w:left="-54" w:right="-35"/>
              <w:jc w:val="right"/>
              <w:rPr>
                <w:spacing w:val="-4"/>
                <w:sz w:val="14"/>
                <w:szCs w:val="14"/>
              </w:rPr>
            </w:pPr>
          </w:p>
        </w:tc>
      </w:tr>
      <w:tr w:rsidR="00DD0726" w:rsidRPr="00F81A26" w:rsidTr="008C0F87">
        <w:tc>
          <w:tcPr>
            <w:tcW w:w="1015" w:type="pct"/>
          </w:tcPr>
          <w:p w:rsidR="00DD0726" w:rsidRPr="00F81A26" w:rsidRDefault="00DD0726" w:rsidP="008C0F87">
            <w:pPr>
              <w:spacing w:line="240" w:lineRule="auto"/>
              <w:ind w:right="-19"/>
              <w:rPr>
                <w:spacing w:val="-4"/>
                <w:sz w:val="16"/>
                <w:szCs w:val="16"/>
              </w:rPr>
            </w:pPr>
            <w:r>
              <w:rPr>
                <w:spacing w:val="-4"/>
                <w:sz w:val="16"/>
                <w:szCs w:val="16"/>
              </w:rPr>
              <w:t xml:space="preserve">Zmírnění meziročního růstu spotřebitelských cen bylo společné většině EU. </w:t>
            </w:r>
          </w:p>
        </w:tc>
        <w:tc>
          <w:tcPr>
            <w:tcW w:w="144" w:type="pct"/>
          </w:tcPr>
          <w:p w:rsidR="00DD0726" w:rsidRPr="00F81A26" w:rsidRDefault="00DD0726" w:rsidP="008C0F87">
            <w:pPr>
              <w:pStyle w:val="Textpoznpodarou"/>
              <w:jc w:val="both"/>
              <w:rPr>
                <w:spacing w:val="-4"/>
              </w:rPr>
            </w:pPr>
          </w:p>
        </w:tc>
        <w:tc>
          <w:tcPr>
            <w:tcW w:w="3841" w:type="pct"/>
            <w:gridSpan w:val="2"/>
          </w:tcPr>
          <w:p w:rsidR="00DD0726" w:rsidRPr="00B6271C" w:rsidRDefault="00DD0726" w:rsidP="008C0F87">
            <w:pPr>
              <w:pStyle w:val="Textpoznpodarou"/>
              <w:ind w:right="-35"/>
              <w:jc w:val="both"/>
              <w:rPr>
                <w:spacing w:val="-5"/>
              </w:rPr>
            </w:pPr>
            <w:r w:rsidRPr="00B6271C">
              <w:rPr>
                <w:spacing w:val="-5"/>
              </w:rPr>
              <w:t>Zrychlení meziročního cenového růstu v EU, ke kterému došlo v 1. čtvrtletí roku (meziroční nárůst harmonizovaného indexu spotřebních cen o 1,8 %) se neudrželo a</w:t>
            </w:r>
            <w:r>
              <w:rPr>
                <w:spacing w:val="-5"/>
              </w:rPr>
              <w:t> </w:t>
            </w:r>
            <w:r w:rsidRPr="00B6271C">
              <w:rPr>
                <w:spacing w:val="-5"/>
              </w:rPr>
              <w:t xml:space="preserve">meziroční růst ve 2. čtvrtletí zpomalil na 1,6 %. Uvedené zpomalení bylo společné většině států Unie, nepřekročilo však 0,6 </w:t>
            </w:r>
            <w:proofErr w:type="spellStart"/>
            <w:proofErr w:type="gramStart"/>
            <w:r w:rsidRPr="00B6271C">
              <w:rPr>
                <w:spacing w:val="-5"/>
              </w:rPr>
              <w:t>p.b</w:t>
            </w:r>
            <w:proofErr w:type="spellEnd"/>
            <w:r w:rsidRPr="00B6271C">
              <w:rPr>
                <w:spacing w:val="-5"/>
              </w:rPr>
              <w:t>.</w:t>
            </w:r>
            <w:proofErr w:type="gramEnd"/>
            <w:r w:rsidRPr="00B6271C">
              <w:rPr>
                <w:spacing w:val="-5"/>
              </w:rPr>
              <w:t xml:space="preserve"> Nejrychleji </w:t>
            </w:r>
            <w:r>
              <w:rPr>
                <w:spacing w:val="-5"/>
              </w:rPr>
              <w:t>ve 2</w:t>
            </w:r>
            <w:r w:rsidRPr="00B6271C">
              <w:rPr>
                <w:spacing w:val="-5"/>
              </w:rPr>
              <w:t xml:space="preserve">. čtvrtletí rostly spotřebitelské ceny v Estonsku (3,4 %), Litvě (3,4 %) a Lotyšsku (3,0 %). Česká republika se v tomto ohledu rovněž umístila mezi zeměmi s nejrychlejším cenovým růstem. Růst spotřebitelských cen se </w:t>
            </w:r>
            <w:r>
              <w:rPr>
                <w:spacing w:val="-5"/>
              </w:rPr>
              <w:t>ve 2</w:t>
            </w:r>
            <w:r w:rsidRPr="00B6271C">
              <w:rPr>
                <w:spacing w:val="-5"/>
              </w:rPr>
              <w:t>. čtvrtletí zastavil v Irsku a pod jedním procentem se držel v Rumunsku (0,6 %, došlo však ke zrychlení oproti předchozímu kvartálu), Dánsku (0,7 %) a Finsku (0,9 %).</w:t>
            </w:r>
          </w:p>
          <w:p w:rsidR="00DD0726" w:rsidRPr="00B6271C" w:rsidRDefault="00DD0726" w:rsidP="008C0F87">
            <w:pPr>
              <w:pStyle w:val="Textpoznpodarou"/>
              <w:ind w:right="-35"/>
              <w:jc w:val="both"/>
              <w:rPr>
                <w:spacing w:val="-5"/>
                <w:sz w:val="16"/>
                <w:szCs w:val="16"/>
              </w:rPr>
            </w:pPr>
          </w:p>
        </w:tc>
      </w:tr>
      <w:tr w:rsidR="00DD0726" w:rsidRPr="00F81A26" w:rsidTr="008C0F87">
        <w:tc>
          <w:tcPr>
            <w:tcW w:w="1015" w:type="pct"/>
          </w:tcPr>
          <w:p w:rsidR="00DD0726" w:rsidRPr="00F81A26" w:rsidRDefault="00DD0726" w:rsidP="008C0F87">
            <w:pPr>
              <w:spacing w:line="240" w:lineRule="auto"/>
              <w:ind w:right="-19"/>
              <w:rPr>
                <w:spacing w:val="-4"/>
                <w:sz w:val="16"/>
                <w:szCs w:val="16"/>
              </w:rPr>
            </w:pPr>
            <w:r>
              <w:rPr>
                <w:spacing w:val="-4"/>
                <w:sz w:val="16"/>
                <w:szCs w:val="16"/>
              </w:rPr>
              <w:lastRenderedPageBreak/>
              <w:t>Ceny průmyslových výrobců ve 2. čtvrtletí meziročně rostly.</w:t>
            </w:r>
          </w:p>
        </w:tc>
        <w:tc>
          <w:tcPr>
            <w:tcW w:w="144" w:type="pct"/>
          </w:tcPr>
          <w:p w:rsidR="00DD0726" w:rsidRPr="00F81A26" w:rsidRDefault="00DD0726" w:rsidP="008C0F87">
            <w:pPr>
              <w:pStyle w:val="Textpoznpodarou"/>
              <w:jc w:val="both"/>
              <w:rPr>
                <w:spacing w:val="-4"/>
              </w:rPr>
            </w:pPr>
          </w:p>
        </w:tc>
        <w:tc>
          <w:tcPr>
            <w:tcW w:w="3841" w:type="pct"/>
            <w:gridSpan w:val="2"/>
          </w:tcPr>
          <w:p w:rsidR="00DD0726" w:rsidRPr="00B6271C" w:rsidRDefault="00DD0726" w:rsidP="008C0F87">
            <w:pPr>
              <w:pStyle w:val="Textpoznpodarou"/>
              <w:ind w:right="-35"/>
              <w:jc w:val="both"/>
              <w:rPr>
                <w:spacing w:val="-5"/>
                <w:sz w:val="16"/>
                <w:szCs w:val="16"/>
              </w:rPr>
            </w:pPr>
            <w:r w:rsidRPr="00B6271C">
              <w:rPr>
                <w:spacing w:val="-5"/>
              </w:rPr>
              <w:t>Meziroční růst cen průmyslových výrobců, který se obnovil v 1. čtvrtletí (2,7 %), po</w:t>
            </w:r>
            <w:r>
              <w:rPr>
                <w:spacing w:val="-5"/>
              </w:rPr>
              <w:t> </w:t>
            </w:r>
            <w:r w:rsidRPr="00B6271C">
              <w:rPr>
                <w:spacing w:val="-5"/>
              </w:rPr>
              <w:t xml:space="preserve">dubnovém vrcholu opět zpomaloval. Ve 2. čtvrtletí </w:t>
            </w:r>
            <w:r>
              <w:rPr>
                <w:spacing w:val="-5"/>
              </w:rPr>
              <w:t xml:space="preserve">tak </w:t>
            </w:r>
            <w:r w:rsidRPr="00B6271C">
              <w:rPr>
                <w:spacing w:val="-5"/>
              </w:rPr>
              <w:t>ceny průmyslových výrobců vzrostly oproti stejnému období minulého roku o 2,3 %. Popsanou dynamiku výrazně ovlivnil vývoj cen koksu a rafinovaných ropných produktů. Ty výrazně rostly v 1. čtvrtletí a následně se růst zpomalil. Od začátku roku stabilně rostly ceny těžby a</w:t>
            </w:r>
            <w:r>
              <w:rPr>
                <w:spacing w:val="-5"/>
              </w:rPr>
              <w:t> </w:t>
            </w:r>
            <w:r w:rsidRPr="00B6271C">
              <w:rPr>
                <w:spacing w:val="-5"/>
              </w:rPr>
              <w:t>dobývání (meziroční růst ve 2. čtvrtletí činil 4,9 %). U váhově nejvýznamnějšího zpracovatelského průmyslu meziroční cenový růst zpomalil a dosáhl 2,8 % ve</w:t>
            </w:r>
            <w:r>
              <w:rPr>
                <w:spacing w:val="-5"/>
              </w:rPr>
              <w:t> </w:t>
            </w:r>
            <w:r w:rsidRPr="00B6271C">
              <w:rPr>
                <w:spacing w:val="-5"/>
              </w:rPr>
              <w:t>2.</w:t>
            </w:r>
            <w:r>
              <w:rPr>
                <w:spacing w:val="-5"/>
              </w:rPr>
              <w:t> </w:t>
            </w:r>
            <w:r w:rsidRPr="00B6271C">
              <w:rPr>
                <w:spacing w:val="-5"/>
              </w:rPr>
              <w:t xml:space="preserve">čtvrtletí (o 0,6 </w:t>
            </w:r>
            <w:proofErr w:type="spellStart"/>
            <w:proofErr w:type="gramStart"/>
            <w:r w:rsidRPr="00B6271C">
              <w:rPr>
                <w:spacing w:val="-5"/>
              </w:rPr>
              <w:t>p.b</w:t>
            </w:r>
            <w:proofErr w:type="spellEnd"/>
            <w:r w:rsidRPr="00B6271C">
              <w:rPr>
                <w:spacing w:val="-5"/>
              </w:rPr>
              <w:t>. méně</w:t>
            </w:r>
            <w:proofErr w:type="gramEnd"/>
            <w:r w:rsidRPr="00B6271C">
              <w:rPr>
                <w:spacing w:val="-5"/>
              </w:rPr>
              <w:t xml:space="preserve"> než v předchozím kvartálu). Rostly ceny potravinářských výrobků, nápojů a tabáku o 3,3 % (zrychlení o 2,4 </w:t>
            </w:r>
            <w:proofErr w:type="spellStart"/>
            <w:proofErr w:type="gramStart"/>
            <w:r w:rsidRPr="00B6271C">
              <w:rPr>
                <w:spacing w:val="-5"/>
              </w:rPr>
              <w:t>p.b</w:t>
            </w:r>
            <w:proofErr w:type="spellEnd"/>
            <w:r w:rsidRPr="00B6271C">
              <w:rPr>
                <w:spacing w:val="-5"/>
              </w:rPr>
              <w:t>.).</w:t>
            </w:r>
            <w:proofErr w:type="gramEnd"/>
            <w:r w:rsidRPr="00B6271C">
              <w:rPr>
                <w:spacing w:val="-5"/>
              </w:rPr>
              <w:t xml:space="preserve"> Z ostatních váhově významných sekcí mírně rostly ceny pryžových a plastových výrobků a ostatních nekovových minerálních výrobků (0,8 %) a na 7,1 % zrychlil meziroční nárůst cen obecných kovů a kovodělných výrobků. Mírně klesaly ceny dopravních prostředků (o</w:t>
            </w:r>
            <w:r>
              <w:rPr>
                <w:spacing w:val="-5"/>
              </w:rPr>
              <w:t> </w:t>
            </w:r>
            <w:r w:rsidRPr="00B6271C">
              <w:rPr>
                <w:spacing w:val="-5"/>
              </w:rPr>
              <w:t>1,8 %). Výrazně rostly ceny chemických látek a výrobků (5,3 %, mírné zpomalení oproti předchozímu čtvrtletí). Stále klesají ceny elektřiny, plynu, páry a klimatizovaného vzduchu (o 1,3 % ve 2. čtvrtletí), v porovnání s předchozím rokem se však pokles zmírnil.</w:t>
            </w:r>
          </w:p>
          <w:p w:rsidR="00DD0726" w:rsidRPr="00B6271C" w:rsidRDefault="00DD0726" w:rsidP="008C0F87">
            <w:pPr>
              <w:pStyle w:val="Textpoznpodarou"/>
              <w:ind w:right="-35"/>
              <w:jc w:val="both"/>
              <w:rPr>
                <w:spacing w:val="-5"/>
                <w:sz w:val="16"/>
                <w:szCs w:val="16"/>
              </w:rPr>
            </w:pPr>
          </w:p>
        </w:tc>
      </w:tr>
      <w:tr w:rsidR="00DD0726" w:rsidRPr="00F81A26" w:rsidTr="008C0F87">
        <w:tc>
          <w:tcPr>
            <w:tcW w:w="1015" w:type="pct"/>
          </w:tcPr>
          <w:p w:rsidR="00DD0726" w:rsidRPr="00F81A26" w:rsidRDefault="00DD0726" w:rsidP="008C0F87">
            <w:pPr>
              <w:spacing w:line="240" w:lineRule="auto"/>
              <w:ind w:right="-19"/>
              <w:rPr>
                <w:spacing w:val="-4"/>
                <w:sz w:val="16"/>
                <w:szCs w:val="16"/>
              </w:rPr>
            </w:pPr>
            <w:r>
              <w:rPr>
                <w:spacing w:val="-4"/>
                <w:sz w:val="16"/>
                <w:szCs w:val="16"/>
              </w:rPr>
              <w:t>Růst cen výrobců v EU byl rychlejší než v Česku.</w:t>
            </w:r>
          </w:p>
        </w:tc>
        <w:tc>
          <w:tcPr>
            <w:tcW w:w="144" w:type="pct"/>
          </w:tcPr>
          <w:p w:rsidR="00DD0726" w:rsidRPr="00F81A26" w:rsidRDefault="00DD0726" w:rsidP="008C0F87">
            <w:pPr>
              <w:pStyle w:val="Textpoznpodarou"/>
              <w:jc w:val="both"/>
              <w:rPr>
                <w:spacing w:val="-4"/>
              </w:rPr>
            </w:pPr>
          </w:p>
        </w:tc>
        <w:tc>
          <w:tcPr>
            <w:tcW w:w="3841" w:type="pct"/>
            <w:gridSpan w:val="2"/>
          </w:tcPr>
          <w:p w:rsidR="00DD0726" w:rsidRPr="00B6271C" w:rsidRDefault="00DD0726" w:rsidP="008C0F87">
            <w:pPr>
              <w:pStyle w:val="Textpoznpodarou"/>
              <w:ind w:right="-35"/>
              <w:jc w:val="both"/>
              <w:rPr>
                <w:spacing w:val="-5"/>
                <w:sz w:val="16"/>
                <w:szCs w:val="16"/>
              </w:rPr>
            </w:pPr>
            <w:r w:rsidRPr="00B6271C">
              <w:rPr>
                <w:spacing w:val="-5"/>
              </w:rPr>
              <w:t xml:space="preserve">Ceny průmyslových výrobců v EU meziročně rostly rychlejším tempem než v Česku (3,7 %), i zde však došlo ke zpomalení o 1,0 </w:t>
            </w:r>
            <w:proofErr w:type="spellStart"/>
            <w:proofErr w:type="gramStart"/>
            <w:r w:rsidRPr="00B6271C">
              <w:rPr>
                <w:spacing w:val="-5"/>
              </w:rPr>
              <w:t>p.b</w:t>
            </w:r>
            <w:proofErr w:type="spellEnd"/>
            <w:r w:rsidRPr="00B6271C">
              <w:rPr>
                <w:spacing w:val="-5"/>
              </w:rPr>
              <w:t>. oproti</w:t>
            </w:r>
            <w:proofErr w:type="gramEnd"/>
            <w:r w:rsidRPr="00B6271C">
              <w:rPr>
                <w:spacing w:val="-5"/>
              </w:rPr>
              <w:t xml:space="preserve"> předchozímu čtvrtletí. S výjimkou Lucemburska, kde ceny průmyslových výrobců </w:t>
            </w:r>
            <w:r>
              <w:rPr>
                <w:spacing w:val="-5"/>
              </w:rPr>
              <w:t>ve 2</w:t>
            </w:r>
            <w:r w:rsidRPr="00B6271C">
              <w:rPr>
                <w:spacing w:val="-5"/>
              </w:rPr>
              <w:t>. čtvrtletí meziročně klesly o 2,9 %, v jednotlivých zemích EU ceny alespoň mírně rostly. Česko se v tomto ohledu umístilo v pásmu mírnější dynamiky. Pomaleji než u nás rostly ceny jen v Rakousku (1,9 %), Chorvatsku (1,9 %), Slovinsku (1,4 %) a na Maltě (0,8 %). Velmi silný růst cen průmyslových výrobců pokračoval v Belgii (9,3 %), za ní se umístila Velká Británie (6,0 %) a Nizozemí (5,5 %).</w:t>
            </w:r>
          </w:p>
          <w:p w:rsidR="00DD0726" w:rsidRPr="00B6271C" w:rsidRDefault="00DD0726" w:rsidP="008C0F87">
            <w:pPr>
              <w:pStyle w:val="Textpoznpodarou"/>
              <w:ind w:right="-35"/>
              <w:jc w:val="both"/>
              <w:rPr>
                <w:spacing w:val="-5"/>
                <w:sz w:val="16"/>
                <w:szCs w:val="16"/>
              </w:rPr>
            </w:pPr>
          </w:p>
        </w:tc>
      </w:tr>
      <w:tr w:rsidR="00DD0726" w:rsidRPr="00F81A26" w:rsidTr="008C0F87">
        <w:tc>
          <w:tcPr>
            <w:tcW w:w="1015" w:type="pct"/>
          </w:tcPr>
          <w:p w:rsidR="00DD0726" w:rsidRPr="00F81A26" w:rsidRDefault="00DD0726" w:rsidP="008C0F87">
            <w:pPr>
              <w:spacing w:line="240" w:lineRule="auto"/>
              <w:ind w:right="-19"/>
              <w:jc w:val="center"/>
              <w:rPr>
                <w:spacing w:val="-4"/>
                <w:szCs w:val="20"/>
              </w:rPr>
            </w:pPr>
          </w:p>
        </w:tc>
        <w:tc>
          <w:tcPr>
            <w:tcW w:w="144" w:type="pct"/>
          </w:tcPr>
          <w:p w:rsidR="00DD0726" w:rsidRPr="00F81A26" w:rsidRDefault="00DD0726" w:rsidP="008C0F87">
            <w:pPr>
              <w:pStyle w:val="Textpoznpodarou"/>
              <w:jc w:val="both"/>
              <w:rPr>
                <w:spacing w:val="-4"/>
              </w:rPr>
            </w:pPr>
          </w:p>
        </w:tc>
        <w:tc>
          <w:tcPr>
            <w:tcW w:w="580" w:type="pct"/>
          </w:tcPr>
          <w:p w:rsidR="00DD0726" w:rsidRPr="00F81A26" w:rsidRDefault="00DD0726" w:rsidP="008C0F87">
            <w:pPr>
              <w:pStyle w:val="Textpoznpodarou"/>
              <w:ind w:right="-35"/>
              <w:jc w:val="both"/>
              <w:rPr>
                <w:spacing w:val="-4"/>
              </w:rPr>
            </w:pPr>
            <w:r w:rsidRPr="00F81A26">
              <w:rPr>
                <w:spacing w:val="-4"/>
              </w:rPr>
              <w:t>Graf č. 13</w:t>
            </w:r>
          </w:p>
        </w:tc>
        <w:tc>
          <w:tcPr>
            <w:tcW w:w="3261" w:type="pct"/>
          </w:tcPr>
          <w:p w:rsidR="00DD0726" w:rsidRPr="00F81A26" w:rsidRDefault="00DD0726" w:rsidP="008C0F87">
            <w:pPr>
              <w:pStyle w:val="Textpoznpodarou"/>
              <w:ind w:right="-35"/>
              <w:rPr>
                <w:spacing w:val="-4"/>
              </w:rPr>
            </w:pPr>
            <w:r w:rsidRPr="00F81A26">
              <w:rPr>
                <w:b/>
                <w:spacing w:val="-4"/>
                <w:lang w:eastAsia="en-US"/>
              </w:rPr>
              <w:t>Ceny hlavních skupin průmyslových výrobců</w:t>
            </w:r>
            <w:r w:rsidRPr="00F81A26">
              <w:rPr>
                <w:spacing w:val="-4"/>
                <w:lang w:eastAsia="en-US"/>
              </w:rPr>
              <w:t xml:space="preserve"> (meziroční změna, v %, podle klasifikace CPA)</w:t>
            </w:r>
          </w:p>
        </w:tc>
      </w:tr>
      <w:tr w:rsidR="00DD0726" w:rsidRPr="00F81A26" w:rsidTr="008C0F87">
        <w:tc>
          <w:tcPr>
            <w:tcW w:w="1015" w:type="pct"/>
          </w:tcPr>
          <w:p w:rsidR="00DD0726" w:rsidRPr="00F81A26" w:rsidRDefault="00DD0726" w:rsidP="008C0F87">
            <w:pPr>
              <w:spacing w:line="240" w:lineRule="auto"/>
              <w:ind w:right="-19"/>
              <w:rPr>
                <w:spacing w:val="-4"/>
                <w:sz w:val="16"/>
                <w:szCs w:val="16"/>
              </w:rPr>
            </w:pPr>
          </w:p>
        </w:tc>
        <w:tc>
          <w:tcPr>
            <w:tcW w:w="144" w:type="pct"/>
          </w:tcPr>
          <w:p w:rsidR="00DD0726" w:rsidRPr="00F81A26" w:rsidRDefault="00DD0726" w:rsidP="008C0F87">
            <w:pPr>
              <w:pStyle w:val="Textpoznpodarou"/>
              <w:jc w:val="both"/>
              <w:rPr>
                <w:spacing w:val="-4"/>
              </w:rPr>
            </w:pPr>
          </w:p>
        </w:tc>
        <w:tc>
          <w:tcPr>
            <w:tcW w:w="3841" w:type="pct"/>
            <w:gridSpan w:val="2"/>
          </w:tcPr>
          <w:p w:rsidR="00DD0726" w:rsidRPr="00F81A26" w:rsidRDefault="00DD0726" w:rsidP="008C0F87">
            <w:pPr>
              <w:pStyle w:val="Textpoznpodarou"/>
              <w:ind w:left="-54" w:right="-35"/>
              <w:jc w:val="both"/>
              <w:rPr>
                <w:spacing w:val="-4"/>
              </w:rPr>
            </w:pPr>
            <w:r w:rsidRPr="00F81A26">
              <w:rPr>
                <w:noProof/>
                <w:spacing w:val="-4"/>
              </w:rPr>
              <w:drawing>
                <wp:inline distT="0" distB="0" distL="0" distR="0">
                  <wp:extent cx="4737600" cy="3553200"/>
                  <wp:effectExtent l="0" t="0" r="0" b="0"/>
                  <wp:docPr id="30"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D0726" w:rsidRPr="00F81A26" w:rsidRDefault="00DD0726" w:rsidP="008C0F87">
            <w:pPr>
              <w:pStyle w:val="Textpoznpodarou"/>
              <w:ind w:left="-54" w:right="-35"/>
              <w:jc w:val="right"/>
              <w:rPr>
                <w:spacing w:val="-4"/>
                <w:sz w:val="14"/>
                <w:szCs w:val="14"/>
              </w:rPr>
            </w:pPr>
            <w:r w:rsidRPr="00F81A26">
              <w:rPr>
                <w:spacing w:val="-4"/>
                <w:sz w:val="14"/>
                <w:szCs w:val="14"/>
              </w:rPr>
              <w:t>Zdroj: ČSÚ</w:t>
            </w:r>
          </w:p>
          <w:p w:rsidR="00DD0726" w:rsidRPr="00F81A26" w:rsidRDefault="00DD0726" w:rsidP="008C0F87">
            <w:pPr>
              <w:pStyle w:val="Textpoznpodarou"/>
              <w:ind w:left="-54" w:right="-35"/>
              <w:jc w:val="right"/>
              <w:rPr>
                <w:spacing w:val="-4"/>
                <w:sz w:val="14"/>
                <w:szCs w:val="14"/>
              </w:rPr>
            </w:pPr>
          </w:p>
        </w:tc>
      </w:tr>
      <w:tr w:rsidR="00DD0726" w:rsidRPr="00F81A26" w:rsidTr="008C0F87">
        <w:tc>
          <w:tcPr>
            <w:tcW w:w="1015" w:type="pct"/>
          </w:tcPr>
          <w:p w:rsidR="00DD0726" w:rsidRPr="00F81A26" w:rsidRDefault="00DD0726" w:rsidP="008C0F87">
            <w:pPr>
              <w:spacing w:line="240" w:lineRule="auto"/>
              <w:ind w:right="-19"/>
              <w:rPr>
                <w:spacing w:val="-4"/>
                <w:sz w:val="16"/>
                <w:szCs w:val="16"/>
              </w:rPr>
            </w:pPr>
            <w:r>
              <w:rPr>
                <w:spacing w:val="-4"/>
                <w:sz w:val="16"/>
                <w:szCs w:val="16"/>
              </w:rPr>
              <w:t>Poprvé od roku 2013 meziročně vzrostly ceny zemědělských výrobců.</w:t>
            </w:r>
          </w:p>
        </w:tc>
        <w:tc>
          <w:tcPr>
            <w:tcW w:w="144" w:type="pct"/>
          </w:tcPr>
          <w:p w:rsidR="00DD0726" w:rsidRPr="00F81A26" w:rsidRDefault="00DD0726" w:rsidP="008C0F87">
            <w:pPr>
              <w:pStyle w:val="Textpoznpodarou"/>
              <w:jc w:val="both"/>
              <w:rPr>
                <w:spacing w:val="-4"/>
              </w:rPr>
            </w:pPr>
          </w:p>
        </w:tc>
        <w:tc>
          <w:tcPr>
            <w:tcW w:w="3841" w:type="pct"/>
            <w:gridSpan w:val="2"/>
          </w:tcPr>
          <w:p w:rsidR="00DD0726" w:rsidRPr="00B6271C" w:rsidRDefault="00DD0726" w:rsidP="008C0F87">
            <w:pPr>
              <w:pStyle w:val="Textpoznpodarou"/>
              <w:ind w:right="-35"/>
              <w:jc w:val="both"/>
              <w:rPr>
                <w:spacing w:val="-5"/>
                <w:sz w:val="16"/>
                <w:szCs w:val="16"/>
              </w:rPr>
            </w:pPr>
            <w:r w:rsidRPr="00B6271C">
              <w:rPr>
                <w:spacing w:val="-5"/>
              </w:rPr>
              <w:t xml:space="preserve">Ceny zemědělské výroby (vč. ryb) ve 2. čtvrtletí poprvé od 3. čtvrtletí roku 2013 (s výjimkou 4. čtvrtletí roku 2015) meziročně vzrostly, a to o 11,3 %. K růstu celkového indexu přispěla především živočišná výroba, jejíž ceny se zvýšily o 16,9 %, po více než roce se však navýšily i ceny rostlinné výroby (6,7 %). Zde se promítlo zvýšení cen obilovin (2,6 %, první růst od 4. čtvrtletí 2015), především pšenice (5,3 %). Jedním z důvodů může být i odhadované snížení výnosů ve srovnání s nadprůměrným rokem 2016. Další významnou skupinou plodin, jejíž ceny rostly, byly průmyslové plodiny (7,2 %), hlavně olejniny, u nichž má nejvyšší váhu řepka (meziroční nárůst 10,2 %). Nezanedbatelný podíl mělo i meziroční zvýšení cen zeleniny a zahradnických produktů </w:t>
            </w:r>
            <w:r w:rsidRPr="00B6271C">
              <w:rPr>
                <w:spacing w:val="-5"/>
              </w:rPr>
              <w:lastRenderedPageBreak/>
              <w:t>o 23,7 %. Ceny živočišné výroby rostly již druhé čtvrtletí (16,9 %). Zvyšovaly se ceny hospodářských zvířat (10,5 %, hlavní vliv měly ceny prasat, jejichž růst zrychluje již rok a ve 2. čtvrtletí dosáhl 27,6 %). Zmíněný růst zmírňovala drůbež, jejíž ceny klesly o</w:t>
            </w:r>
            <w:r>
              <w:rPr>
                <w:spacing w:val="-5"/>
              </w:rPr>
              <w:t> </w:t>
            </w:r>
            <w:r w:rsidRPr="00B6271C">
              <w:rPr>
                <w:spacing w:val="-5"/>
              </w:rPr>
              <w:t>5,1</w:t>
            </w:r>
            <w:r>
              <w:rPr>
                <w:spacing w:val="-5"/>
              </w:rPr>
              <w:t> </w:t>
            </w:r>
            <w:r w:rsidRPr="00B6271C">
              <w:rPr>
                <w:spacing w:val="-5"/>
              </w:rPr>
              <w:t>%. Zrychlil se i růst cen mléka (26,1 %), které má nejvyšší váhu mezi živočišnými výrobky, které zdražily o 24,5 %.</w:t>
            </w:r>
          </w:p>
          <w:p w:rsidR="00DD0726" w:rsidRPr="00B6271C" w:rsidRDefault="00DD0726" w:rsidP="008C0F87">
            <w:pPr>
              <w:pStyle w:val="Textpoznpodarou"/>
              <w:ind w:right="-35"/>
              <w:jc w:val="both"/>
              <w:rPr>
                <w:spacing w:val="-5"/>
                <w:sz w:val="16"/>
                <w:szCs w:val="16"/>
              </w:rPr>
            </w:pPr>
          </w:p>
        </w:tc>
      </w:tr>
      <w:tr w:rsidR="00DD0726" w:rsidRPr="00F81A26" w:rsidTr="008C0F87">
        <w:tc>
          <w:tcPr>
            <w:tcW w:w="1015" w:type="pct"/>
          </w:tcPr>
          <w:p w:rsidR="00DD0726" w:rsidRPr="00F81A26" w:rsidRDefault="00DD0726" w:rsidP="008C0F87">
            <w:pPr>
              <w:spacing w:line="240" w:lineRule="auto"/>
              <w:ind w:right="-19"/>
              <w:rPr>
                <w:spacing w:val="-4"/>
                <w:sz w:val="16"/>
                <w:szCs w:val="16"/>
              </w:rPr>
            </w:pPr>
            <w:r>
              <w:rPr>
                <w:spacing w:val="-4"/>
                <w:sz w:val="16"/>
                <w:szCs w:val="16"/>
              </w:rPr>
              <w:lastRenderedPageBreak/>
              <w:t>Zrychlil i dlouhodobě stagnující růst cen tržních služeb.</w:t>
            </w:r>
          </w:p>
        </w:tc>
        <w:tc>
          <w:tcPr>
            <w:tcW w:w="144" w:type="pct"/>
          </w:tcPr>
          <w:p w:rsidR="00DD0726" w:rsidRPr="00F81A26" w:rsidRDefault="00DD0726" w:rsidP="008C0F87">
            <w:pPr>
              <w:pStyle w:val="Textpoznpodarou"/>
              <w:jc w:val="both"/>
              <w:rPr>
                <w:spacing w:val="-4"/>
              </w:rPr>
            </w:pPr>
          </w:p>
        </w:tc>
        <w:tc>
          <w:tcPr>
            <w:tcW w:w="3841" w:type="pct"/>
            <w:gridSpan w:val="2"/>
          </w:tcPr>
          <w:p w:rsidR="00DD0726" w:rsidRPr="00631F78" w:rsidRDefault="00DD0726" w:rsidP="008C0F87">
            <w:pPr>
              <w:pStyle w:val="Textpoznpodarou"/>
              <w:ind w:right="-35"/>
              <w:jc w:val="both"/>
              <w:rPr>
                <w:spacing w:val="-4"/>
                <w:sz w:val="16"/>
                <w:szCs w:val="16"/>
              </w:rPr>
            </w:pPr>
            <w:r w:rsidRPr="00631F78">
              <w:rPr>
                <w:spacing w:val="-4"/>
              </w:rPr>
              <w:t>Ceny tržních služeb svou dynamikou navázaly na předchozí čtvrtletí a jejich meziroční růst zrychlil na 1,0 %. Růst celkového indexu podpořil především oddíl pojištění, zajištění a penzijní financování, jehož ceny vzrostly o 5,3 % a dále reklamní služby a průzkum trhu, které zdražily o 2,0 %. Pokračoval i silný růst cen poštovních a kurýrních služeb (4,5 %). Obnovil se mírný růst (0,4 %) dvou váhově nejvýznamnějších položek, tedy pozemní a potrubní dopravy a architektonických a inženýrských služeb. Obě služby obnovily svůj cenový růst po období mírných poklesů.</w:t>
            </w:r>
          </w:p>
          <w:p w:rsidR="00DD0726" w:rsidRPr="00B6271C" w:rsidRDefault="00DD0726" w:rsidP="008C0F87">
            <w:pPr>
              <w:pStyle w:val="Textpoznpodarou"/>
              <w:ind w:right="-35"/>
              <w:jc w:val="both"/>
              <w:rPr>
                <w:spacing w:val="-5"/>
                <w:sz w:val="16"/>
                <w:szCs w:val="16"/>
              </w:rPr>
            </w:pPr>
          </w:p>
        </w:tc>
      </w:tr>
      <w:tr w:rsidR="00DD0726" w:rsidRPr="00F81A26" w:rsidTr="008C0F87">
        <w:tc>
          <w:tcPr>
            <w:tcW w:w="1015" w:type="pct"/>
          </w:tcPr>
          <w:p w:rsidR="00DD0726" w:rsidRPr="00F81A26" w:rsidRDefault="00DD0726" w:rsidP="008C0F87">
            <w:pPr>
              <w:spacing w:line="240" w:lineRule="auto"/>
              <w:ind w:right="-19"/>
              <w:rPr>
                <w:spacing w:val="-4"/>
                <w:sz w:val="16"/>
                <w:szCs w:val="16"/>
              </w:rPr>
            </w:pPr>
            <w:r>
              <w:rPr>
                <w:spacing w:val="-4"/>
                <w:sz w:val="16"/>
                <w:szCs w:val="16"/>
              </w:rPr>
              <w:t xml:space="preserve">Vývoj cen zahraničního obchodu byl výrazně ovlivněn uvolněním kurzového závazku a posílením koruny vůči euru. </w:t>
            </w:r>
          </w:p>
        </w:tc>
        <w:tc>
          <w:tcPr>
            <w:tcW w:w="144" w:type="pct"/>
          </w:tcPr>
          <w:p w:rsidR="00DD0726" w:rsidRPr="00F81A26" w:rsidRDefault="00DD0726" w:rsidP="008C0F87">
            <w:pPr>
              <w:pStyle w:val="Textpoznpodarou"/>
              <w:jc w:val="both"/>
              <w:rPr>
                <w:spacing w:val="-4"/>
              </w:rPr>
            </w:pPr>
          </w:p>
        </w:tc>
        <w:tc>
          <w:tcPr>
            <w:tcW w:w="3841" w:type="pct"/>
            <w:gridSpan w:val="2"/>
          </w:tcPr>
          <w:p w:rsidR="00DD0726" w:rsidRDefault="00DD0726" w:rsidP="008C0F87">
            <w:pPr>
              <w:pStyle w:val="Textpoznpodarou"/>
              <w:ind w:right="-35"/>
              <w:jc w:val="both"/>
              <w:rPr>
                <w:spacing w:val="-5"/>
                <w:sz w:val="16"/>
                <w:szCs w:val="16"/>
              </w:rPr>
            </w:pPr>
            <w:r w:rsidRPr="00B6271C">
              <w:rPr>
                <w:spacing w:val="-5"/>
              </w:rPr>
              <w:t xml:space="preserve">Po zrychlení meziroční dynamiky v první čtvrtině roku růst cen vývozu a dovozu ve 2. čtvrtletí 2017 opět zpomaloval. Během 2. čtvrtletí se ceny vývozu zvýšily o 1,0 % (zpomalení oproti 1. čtvrtletí o 1,2 </w:t>
            </w:r>
            <w:proofErr w:type="spellStart"/>
            <w:proofErr w:type="gramStart"/>
            <w:r w:rsidRPr="00B6271C">
              <w:rPr>
                <w:spacing w:val="-5"/>
              </w:rPr>
              <w:t>p.b</w:t>
            </w:r>
            <w:proofErr w:type="spellEnd"/>
            <w:r w:rsidRPr="00B6271C">
              <w:rPr>
                <w:spacing w:val="-5"/>
              </w:rPr>
              <w:t>.) a ceny</w:t>
            </w:r>
            <w:proofErr w:type="gramEnd"/>
            <w:r w:rsidRPr="00B6271C">
              <w:rPr>
                <w:spacing w:val="-5"/>
              </w:rPr>
              <w:t xml:space="preserve"> dovozu se zvýšily o 2,9 % (zpomalení o 2,2 </w:t>
            </w:r>
            <w:proofErr w:type="spellStart"/>
            <w:r w:rsidRPr="00B6271C">
              <w:rPr>
                <w:spacing w:val="-5"/>
              </w:rPr>
              <w:t>p.b</w:t>
            </w:r>
            <w:proofErr w:type="spellEnd"/>
            <w:r w:rsidRPr="00B6271C">
              <w:rPr>
                <w:spacing w:val="-5"/>
              </w:rPr>
              <w:t xml:space="preserve">.). Růst cen vývozu ve 2. čtvrtletí podpořila minerální paliva a polotovary shodně o 0,5 </w:t>
            </w:r>
            <w:proofErr w:type="spellStart"/>
            <w:proofErr w:type="gramStart"/>
            <w:r w:rsidRPr="00B6271C">
              <w:rPr>
                <w:spacing w:val="-5"/>
              </w:rPr>
              <w:t>p.b</w:t>
            </w:r>
            <w:proofErr w:type="spellEnd"/>
            <w:r w:rsidRPr="00B6271C">
              <w:rPr>
                <w:spacing w:val="-5"/>
              </w:rPr>
              <w:t>.</w:t>
            </w:r>
            <w:proofErr w:type="gramEnd"/>
            <w:r w:rsidRPr="00B6271C">
              <w:rPr>
                <w:spacing w:val="-5"/>
              </w:rPr>
              <w:t xml:space="preserve"> Nezanedbatelný byl i příspěvek ostatních surovin 0,3 </w:t>
            </w:r>
            <w:proofErr w:type="spellStart"/>
            <w:proofErr w:type="gramStart"/>
            <w:r w:rsidRPr="00B6271C">
              <w:rPr>
                <w:spacing w:val="-5"/>
              </w:rPr>
              <w:t>p.b</w:t>
            </w:r>
            <w:proofErr w:type="spellEnd"/>
            <w:r w:rsidRPr="00B6271C">
              <w:rPr>
                <w:spacing w:val="-5"/>
              </w:rPr>
              <w:t>.</w:t>
            </w:r>
            <w:proofErr w:type="gramEnd"/>
            <w:r w:rsidRPr="00B6271C">
              <w:rPr>
                <w:spacing w:val="-5"/>
              </w:rPr>
              <w:t xml:space="preserve"> V opačném směru působily stroje a dopravní prostředky, jejichž ceny se snížily o 1,3 %. Jejich vliv na celkový index dosáhl -0,7 </w:t>
            </w:r>
            <w:proofErr w:type="spellStart"/>
            <w:proofErr w:type="gramStart"/>
            <w:r w:rsidRPr="00B6271C">
              <w:rPr>
                <w:spacing w:val="-5"/>
              </w:rPr>
              <w:t>p.b</w:t>
            </w:r>
            <w:proofErr w:type="spellEnd"/>
            <w:r w:rsidRPr="00B6271C">
              <w:rPr>
                <w:spacing w:val="-5"/>
              </w:rPr>
              <w:t>.</w:t>
            </w:r>
            <w:proofErr w:type="gramEnd"/>
            <w:r w:rsidRPr="00B6271C">
              <w:rPr>
                <w:spacing w:val="-5"/>
              </w:rPr>
              <w:t xml:space="preserve"> Růst cen dovozu byl podpořen podobnými faktory jako export. Minerální paliva mají vyšší váhu v dovozu než ve vývozu. I proto dosáhl jejich příspěvek k růstu cen importu 1,2 </w:t>
            </w:r>
            <w:proofErr w:type="spellStart"/>
            <w:proofErr w:type="gramStart"/>
            <w:r w:rsidRPr="00B6271C">
              <w:rPr>
                <w:spacing w:val="-5"/>
              </w:rPr>
              <w:t>p.b</w:t>
            </w:r>
            <w:proofErr w:type="spellEnd"/>
            <w:r w:rsidRPr="00B6271C">
              <w:rPr>
                <w:spacing w:val="-5"/>
              </w:rPr>
              <w:t>.</w:t>
            </w:r>
            <w:proofErr w:type="gramEnd"/>
            <w:r w:rsidRPr="00B6271C">
              <w:rPr>
                <w:spacing w:val="-5"/>
              </w:rPr>
              <w:t xml:space="preserve"> Stejnou hodnotu měl příspěvek polotovarů. Ostatní suroviny k růstu přispěly 0,5 </w:t>
            </w:r>
            <w:proofErr w:type="spellStart"/>
            <w:proofErr w:type="gramStart"/>
            <w:r w:rsidRPr="00B6271C">
              <w:rPr>
                <w:spacing w:val="-5"/>
              </w:rPr>
              <w:t>p.b</w:t>
            </w:r>
            <w:proofErr w:type="spellEnd"/>
            <w:r w:rsidRPr="00B6271C">
              <w:rPr>
                <w:spacing w:val="-5"/>
              </w:rPr>
              <w:t>.</w:t>
            </w:r>
            <w:proofErr w:type="gramEnd"/>
            <w:r w:rsidRPr="00B6271C">
              <w:rPr>
                <w:spacing w:val="-5"/>
              </w:rPr>
              <w:t xml:space="preserve"> Stejně jako u cen vývozu, negativní vliv měly stroje a dopravní prostředky (-0,6 </w:t>
            </w:r>
            <w:proofErr w:type="spellStart"/>
            <w:proofErr w:type="gramStart"/>
            <w:r w:rsidRPr="00B6271C">
              <w:rPr>
                <w:spacing w:val="-5"/>
              </w:rPr>
              <w:t>p.b</w:t>
            </w:r>
            <w:proofErr w:type="spellEnd"/>
            <w:r w:rsidRPr="00B6271C">
              <w:rPr>
                <w:spacing w:val="-5"/>
              </w:rPr>
              <w:t>.).</w:t>
            </w:r>
            <w:proofErr w:type="gramEnd"/>
            <w:r w:rsidRPr="00B6271C">
              <w:rPr>
                <w:spacing w:val="-5"/>
              </w:rPr>
              <w:t xml:space="preserve">  Směnné relace byly ve 2. čtvrtletí negativní, v porovnání s předchozím obdobím se však zmírnily o 1,0 </w:t>
            </w:r>
            <w:proofErr w:type="spellStart"/>
            <w:proofErr w:type="gramStart"/>
            <w:r w:rsidRPr="00B6271C">
              <w:rPr>
                <w:spacing w:val="-5"/>
              </w:rPr>
              <w:t>p.b</w:t>
            </w:r>
            <w:proofErr w:type="spellEnd"/>
            <w:r w:rsidRPr="00B6271C">
              <w:rPr>
                <w:spacing w:val="-5"/>
              </w:rPr>
              <w:t>. a dosáhly</w:t>
            </w:r>
            <w:proofErr w:type="gramEnd"/>
            <w:r w:rsidRPr="00B6271C">
              <w:rPr>
                <w:spacing w:val="-5"/>
              </w:rPr>
              <w:t xml:space="preserve"> 98,2 %. Podíl na tom měla minerální paliva, u kterých se negativní směnné relace zmírňovaly po celé čtvrtletí. Podobně se vyvíjely směnné relace u strojů a zařízení i průmyslového spotřebního zboží. Koruna posílila vůči euru i dolaru a tak tlumila růst cen zahraničního obchodu. Vzhledem k teritoriální a věcné struktuře zahraničního obchodu se posílení koruny vůči euru více projevovalo u vývozu, kterému dominují stroje a dopravní prostředky. V jejich případě bylo posílení kurzu důvodem poklesu jejich ceny. Ve</w:t>
            </w:r>
            <w:r>
              <w:rPr>
                <w:spacing w:val="-5"/>
              </w:rPr>
              <w:t> </w:t>
            </w:r>
            <w:r w:rsidRPr="00B6271C">
              <w:rPr>
                <w:spacing w:val="-5"/>
              </w:rPr>
              <w:t>2.</w:t>
            </w:r>
            <w:r>
              <w:rPr>
                <w:spacing w:val="-5"/>
              </w:rPr>
              <w:t> </w:t>
            </w:r>
            <w:r w:rsidRPr="00B6271C">
              <w:rPr>
                <w:spacing w:val="-5"/>
              </w:rPr>
              <w:t xml:space="preserve">čtvrtletí dosáhl rozdíl mezi publikovanou a očištěnou hodnotou inflace cen vývozu 1,3 </w:t>
            </w:r>
            <w:proofErr w:type="spellStart"/>
            <w:proofErr w:type="gramStart"/>
            <w:r w:rsidRPr="00B6271C">
              <w:rPr>
                <w:spacing w:val="-5"/>
              </w:rPr>
              <w:t>p.b</w:t>
            </w:r>
            <w:proofErr w:type="spellEnd"/>
            <w:r w:rsidRPr="00B6271C">
              <w:rPr>
                <w:spacing w:val="-5"/>
              </w:rPr>
              <w:t>.</w:t>
            </w:r>
            <w:proofErr w:type="gramEnd"/>
            <w:r w:rsidRPr="00B6271C">
              <w:rPr>
                <w:spacing w:val="-5"/>
              </w:rPr>
              <w:t xml:space="preserve"> Rozdíl mezi publikovanou a očištěnou hodnotou cen dovozu činil 1,0 </w:t>
            </w:r>
            <w:proofErr w:type="spellStart"/>
            <w:proofErr w:type="gramStart"/>
            <w:r w:rsidRPr="00B6271C">
              <w:rPr>
                <w:spacing w:val="-5"/>
              </w:rPr>
              <w:t>p.b</w:t>
            </w:r>
            <w:proofErr w:type="spellEnd"/>
            <w:r w:rsidRPr="00B6271C">
              <w:rPr>
                <w:spacing w:val="-5"/>
              </w:rPr>
              <w:t>.</w:t>
            </w:r>
            <w:proofErr w:type="gramEnd"/>
          </w:p>
          <w:p w:rsidR="00DD0726" w:rsidRPr="00B6271C" w:rsidRDefault="00DD0726" w:rsidP="008C0F87">
            <w:pPr>
              <w:pStyle w:val="Textpoznpodarou"/>
              <w:ind w:right="-35"/>
              <w:jc w:val="both"/>
              <w:rPr>
                <w:spacing w:val="-5"/>
                <w:sz w:val="16"/>
                <w:szCs w:val="16"/>
              </w:rPr>
            </w:pPr>
          </w:p>
        </w:tc>
      </w:tr>
      <w:tr w:rsidR="00DD0726" w:rsidRPr="00F81A26" w:rsidTr="008C0F87">
        <w:tc>
          <w:tcPr>
            <w:tcW w:w="1015" w:type="pct"/>
          </w:tcPr>
          <w:p w:rsidR="00DD0726" w:rsidRPr="00F81A26" w:rsidRDefault="00DD0726" w:rsidP="008C0F87">
            <w:pPr>
              <w:spacing w:line="240" w:lineRule="auto"/>
              <w:ind w:right="-19"/>
              <w:jc w:val="center"/>
              <w:rPr>
                <w:spacing w:val="-4"/>
                <w:szCs w:val="20"/>
              </w:rPr>
            </w:pPr>
          </w:p>
        </w:tc>
        <w:tc>
          <w:tcPr>
            <w:tcW w:w="144" w:type="pct"/>
          </w:tcPr>
          <w:p w:rsidR="00DD0726" w:rsidRPr="00F81A26" w:rsidRDefault="00DD0726" w:rsidP="008C0F87">
            <w:pPr>
              <w:pStyle w:val="Textpoznpodarou"/>
              <w:jc w:val="both"/>
              <w:rPr>
                <w:spacing w:val="-4"/>
              </w:rPr>
            </w:pPr>
          </w:p>
        </w:tc>
        <w:tc>
          <w:tcPr>
            <w:tcW w:w="580" w:type="pct"/>
          </w:tcPr>
          <w:p w:rsidR="00DD0726" w:rsidRPr="00F81A26" w:rsidRDefault="00DD0726" w:rsidP="008C0F87">
            <w:pPr>
              <w:pStyle w:val="Textpoznpodarou"/>
              <w:ind w:right="-35"/>
              <w:jc w:val="both"/>
              <w:rPr>
                <w:spacing w:val="-4"/>
              </w:rPr>
            </w:pPr>
            <w:r w:rsidRPr="00F81A26">
              <w:rPr>
                <w:spacing w:val="-4"/>
              </w:rPr>
              <w:t>Graf č. 14</w:t>
            </w:r>
          </w:p>
        </w:tc>
        <w:tc>
          <w:tcPr>
            <w:tcW w:w="3261" w:type="pct"/>
          </w:tcPr>
          <w:p w:rsidR="00DD0726" w:rsidRPr="00F81A26" w:rsidRDefault="00DD0726" w:rsidP="008C0F87">
            <w:pPr>
              <w:pStyle w:val="Textpoznpodarou"/>
              <w:ind w:right="-35"/>
              <w:rPr>
                <w:spacing w:val="-4"/>
              </w:rPr>
            </w:pPr>
            <w:r w:rsidRPr="00F81A26">
              <w:rPr>
                <w:b/>
                <w:spacing w:val="-4"/>
                <w:lang w:eastAsia="en-US"/>
              </w:rPr>
              <w:t>Deflátory</w:t>
            </w:r>
            <w:r w:rsidRPr="00F81A26">
              <w:rPr>
                <w:spacing w:val="-4"/>
                <w:lang w:eastAsia="en-US"/>
              </w:rPr>
              <w:t xml:space="preserve"> (očištěno o </w:t>
            </w:r>
            <w:proofErr w:type="spellStart"/>
            <w:r w:rsidRPr="00F81A26">
              <w:rPr>
                <w:spacing w:val="-4"/>
                <w:lang w:eastAsia="en-US"/>
              </w:rPr>
              <w:t>sez</w:t>
            </w:r>
            <w:proofErr w:type="spellEnd"/>
            <w:r w:rsidRPr="00F81A26">
              <w:rPr>
                <w:spacing w:val="-4"/>
                <w:lang w:eastAsia="en-US"/>
              </w:rPr>
              <w:t>. a kalendářní vlivy, meziroční změna, v %)</w:t>
            </w:r>
          </w:p>
        </w:tc>
      </w:tr>
      <w:tr w:rsidR="00DD0726" w:rsidRPr="00F81A26" w:rsidTr="008C0F87">
        <w:tc>
          <w:tcPr>
            <w:tcW w:w="1015" w:type="pct"/>
          </w:tcPr>
          <w:p w:rsidR="00DD0726" w:rsidRPr="00F81A26" w:rsidRDefault="00DD0726" w:rsidP="008C0F87">
            <w:pPr>
              <w:spacing w:line="240" w:lineRule="auto"/>
              <w:ind w:right="-19"/>
              <w:rPr>
                <w:rFonts w:cs="Arial"/>
                <w:spacing w:val="-4"/>
                <w:sz w:val="16"/>
                <w:szCs w:val="16"/>
              </w:rPr>
            </w:pPr>
          </w:p>
        </w:tc>
        <w:tc>
          <w:tcPr>
            <w:tcW w:w="144" w:type="pct"/>
          </w:tcPr>
          <w:p w:rsidR="00DD0726" w:rsidRPr="00F81A26" w:rsidRDefault="00DD0726" w:rsidP="008C0F87">
            <w:pPr>
              <w:pStyle w:val="Textpoznpodarou"/>
              <w:jc w:val="both"/>
              <w:rPr>
                <w:spacing w:val="-4"/>
              </w:rPr>
            </w:pPr>
          </w:p>
        </w:tc>
        <w:tc>
          <w:tcPr>
            <w:tcW w:w="3841" w:type="pct"/>
            <w:gridSpan w:val="2"/>
          </w:tcPr>
          <w:p w:rsidR="00DD0726" w:rsidRPr="00F81A26" w:rsidRDefault="00DD0726" w:rsidP="008C0F87">
            <w:pPr>
              <w:pStyle w:val="Textpoznpodarou"/>
              <w:ind w:left="-54" w:right="-35"/>
              <w:jc w:val="both"/>
              <w:rPr>
                <w:spacing w:val="-4"/>
                <w:sz w:val="14"/>
                <w:szCs w:val="14"/>
              </w:rPr>
            </w:pPr>
            <w:r w:rsidRPr="009935AD">
              <w:rPr>
                <w:noProof/>
                <w:spacing w:val="-4"/>
                <w:sz w:val="14"/>
                <w:szCs w:val="14"/>
              </w:rPr>
              <w:drawing>
                <wp:inline distT="0" distB="0" distL="0" distR="0">
                  <wp:extent cx="4737600" cy="3553200"/>
                  <wp:effectExtent l="0" t="0" r="0" b="0"/>
                  <wp:docPr id="36"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D0726" w:rsidRPr="00F81A26" w:rsidRDefault="00DD0726" w:rsidP="008C0F87">
            <w:pPr>
              <w:pStyle w:val="Textpoznpodarou"/>
              <w:ind w:left="-54" w:right="-35"/>
              <w:jc w:val="right"/>
              <w:rPr>
                <w:spacing w:val="-4"/>
                <w:sz w:val="14"/>
                <w:szCs w:val="14"/>
              </w:rPr>
            </w:pPr>
            <w:r w:rsidRPr="00F81A26">
              <w:rPr>
                <w:spacing w:val="-4"/>
                <w:sz w:val="14"/>
                <w:szCs w:val="14"/>
              </w:rPr>
              <w:t>Zdroj: ČSÚ</w:t>
            </w:r>
          </w:p>
        </w:tc>
      </w:tr>
    </w:tbl>
    <w:p w:rsidR="00D84BD1" w:rsidRDefault="00D84BD1" w:rsidP="00DD0726">
      <w:pPr>
        <w:pStyle w:val="Nadpis1"/>
        <w:numPr>
          <w:ilvl w:val="0"/>
          <w:numId w:val="12"/>
        </w:numPr>
        <w:ind w:left="709"/>
      </w:pPr>
      <w:bookmarkStart w:id="14" w:name="_Toc493683638"/>
      <w:r w:rsidRPr="0051593C">
        <w:lastRenderedPageBreak/>
        <w:t>Trh práce</w:t>
      </w:r>
      <w:bookmarkEnd w:id="12"/>
      <w:bookmarkEnd w:id="14"/>
    </w:p>
    <w:tbl>
      <w:tblPr>
        <w:tblW w:w="4995" w:type="pct"/>
        <w:tblInd w:w="108" w:type="dxa"/>
        <w:tblLayout w:type="fixed"/>
        <w:tblLook w:val="00A0"/>
      </w:tblPr>
      <w:tblGrid>
        <w:gridCol w:w="2000"/>
        <w:gridCol w:w="284"/>
        <w:gridCol w:w="7560"/>
      </w:tblGrid>
      <w:tr w:rsidR="0036710C" w:rsidRPr="00F06A1D" w:rsidTr="00853C0F">
        <w:trPr>
          <w:trHeight w:val="145"/>
        </w:trPr>
        <w:tc>
          <w:tcPr>
            <w:tcW w:w="1016" w:type="pct"/>
            <w:shd w:val="clear" w:color="auto" w:fill="auto"/>
          </w:tcPr>
          <w:p w:rsidR="0036710C" w:rsidRDefault="0036710C" w:rsidP="00853C0F">
            <w:pPr>
              <w:spacing w:line="240" w:lineRule="auto"/>
              <w:rPr>
                <w:rFonts w:cs="Arial"/>
                <w:bCs/>
                <w:iCs/>
                <w:color w:val="0D0D0D" w:themeColor="text1" w:themeTint="F2"/>
                <w:spacing w:val="-2"/>
                <w:sz w:val="16"/>
                <w:szCs w:val="16"/>
              </w:rPr>
            </w:pPr>
            <w:r w:rsidRPr="003804E1">
              <w:rPr>
                <w:rFonts w:cs="Arial"/>
                <w:bCs/>
                <w:iCs/>
                <w:color w:val="0D0D0D" w:themeColor="text1" w:themeTint="F2"/>
                <w:spacing w:val="-2"/>
                <w:sz w:val="16"/>
                <w:szCs w:val="16"/>
              </w:rPr>
              <w:t xml:space="preserve">Tempo růstu celkové zaměstnanosti výrazněji nepolevovalo. Práci mělo ve 2. </w:t>
            </w:r>
            <w:r>
              <w:rPr>
                <w:rFonts w:cs="Arial"/>
                <w:bCs/>
                <w:iCs/>
                <w:color w:val="0D0D0D" w:themeColor="text1" w:themeTint="F2"/>
                <w:spacing w:val="-2"/>
                <w:sz w:val="16"/>
                <w:szCs w:val="16"/>
              </w:rPr>
              <w:t>č</w:t>
            </w:r>
            <w:r w:rsidRPr="003804E1">
              <w:rPr>
                <w:rFonts w:cs="Arial"/>
                <w:bCs/>
                <w:iCs/>
                <w:color w:val="0D0D0D" w:themeColor="text1" w:themeTint="F2"/>
                <w:spacing w:val="-2"/>
                <w:sz w:val="16"/>
                <w:szCs w:val="16"/>
              </w:rPr>
              <w:t>tvrtletí nejvíce lidí v </w:t>
            </w:r>
            <w:r>
              <w:rPr>
                <w:rFonts w:cs="Arial"/>
                <w:bCs/>
                <w:iCs/>
                <w:color w:val="0D0D0D" w:themeColor="text1" w:themeTint="F2"/>
                <w:spacing w:val="-2"/>
                <w:sz w:val="16"/>
                <w:szCs w:val="16"/>
              </w:rPr>
              <w:t>historii</w:t>
            </w:r>
            <w:r w:rsidRPr="003804E1">
              <w:rPr>
                <w:rFonts w:cs="Arial"/>
                <w:bCs/>
                <w:iCs/>
                <w:color w:val="0D0D0D" w:themeColor="text1" w:themeTint="F2"/>
                <w:spacing w:val="-2"/>
                <w:sz w:val="16"/>
                <w:szCs w:val="16"/>
              </w:rPr>
              <w:t xml:space="preserve"> samostatné ČR.</w:t>
            </w:r>
          </w:p>
          <w:p w:rsidR="0036710C" w:rsidRDefault="0036710C" w:rsidP="00853C0F">
            <w:pPr>
              <w:spacing w:line="240" w:lineRule="auto"/>
              <w:rPr>
                <w:rFonts w:cs="Arial"/>
                <w:bCs/>
                <w:iCs/>
                <w:color w:val="0D0D0D" w:themeColor="text1" w:themeTint="F2"/>
                <w:spacing w:val="-2"/>
                <w:sz w:val="16"/>
                <w:szCs w:val="16"/>
              </w:rPr>
            </w:pPr>
          </w:p>
          <w:p w:rsidR="0036710C" w:rsidRDefault="0036710C" w:rsidP="00853C0F">
            <w:pPr>
              <w:spacing w:line="240" w:lineRule="auto"/>
              <w:rPr>
                <w:rFonts w:cs="Arial"/>
                <w:bCs/>
                <w:iCs/>
                <w:color w:val="0D0D0D" w:themeColor="text1" w:themeTint="F2"/>
                <w:spacing w:val="-2"/>
                <w:sz w:val="16"/>
                <w:szCs w:val="16"/>
              </w:rPr>
            </w:pPr>
          </w:p>
          <w:p w:rsidR="0036710C" w:rsidRDefault="0036710C" w:rsidP="00853C0F">
            <w:pPr>
              <w:spacing w:line="240" w:lineRule="auto"/>
              <w:rPr>
                <w:rFonts w:cs="Arial"/>
                <w:bCs/>
                <w:iCs/>
                <w:color w:val="0D0D0D" w:themeColor="text1" w:themeTint="F2"/>
                <w:spacing w:val="-2"/>
                <w:sz w:val="16"/>
                <w:szCs w:val="16"/>
              </w:rPr>
            </w:pPr>
          </w:p>
          <w:p w:rsidR="0036710C" w:rsidRDefault="0036710C" w:rsidP="00853C0F">
            <w:pPr>
              <w:spacing w:line="240" w:lineRule="auto"/>
              <w:rPr>
                <w:rFonts w:cs="Arial"/>
                <w:bCs/>
                <w:iCs/>
                <w:color w:val="0D0D0D" w:themeColor="text1" w:themeTint="F2"/>
                <w:spacing w:val="-2"/>
                <w:sz w:val="16"/>
                <w:szCs w:val="16"/>
              </w:rPr>
            </w:pPr>
          </w:p>
          <w:p w:rsidR="0036710C" w:rsidRPr="003804E1" w:rsidRDefault="0036710C" w:rsidP="00853C0F">
            <w:pPr>
              <w:spacing w:line="240" w:lineRule="auto"/>
              <w:rPr>
                <w:rFonts w:cs="Arial"/>
                <w:bCs/>
                <w:iCs/>
                <w:color w:val="0D0D0D" w:themeColor="text1" w:themeTint="F2"/>
                <w:spacing w:val="-2"/>
                <w:sz w:val="16"/>
                <w:szCs w:val="16"/>
              </w:rPr>
            </w:pPr>
            <w:r>
              <w:rPr>
                <w:rFonts w:cs="Arial"/>
                <w:bCs/>
                <w:iCs/>
                <w:color w:val="0D0D0D" w:themeColor="text1" w:themeTint="F2"/>
                <w:spacing w:val="-2"/>
                <w:sz w:val="16"/>
                <w:szCs w:val="16"/>
              </w:rPr>
              <w:t>Svižný růst zaměstnanosti byl letos patrný i v EU, jakož i ve všech státech sousedících s ČR.</w:t>
            </w:r>
          </w:p>
          <w:p w:rsidR="0036710C" w:rsidRPr="000C7A77" w:rsidRDefault="0036710C" w:rsidP="00853C0F">
            <w:pPr>
              <w:spacing w:line="240" w:lineRule="auto"/>
              <w:rPr>
                <w:rFonts w:cs="Arial"/>
                <w:color w:val="0D0D0D" w:themeColor="text1" w:themeTint="F2"/>
                <w:spacing w:val="-4"/>
                <w:sz w:val="16"/>
                <w:szCs w:val="16"/>
              </w:rPr>
            </w:pPr>
          </w:p>
        </w:tc>
        <w:tc>
          <w:tcPr>
            <w:tcW w:w="144" w:type="pct"/>
          </w:tcPr>
          <w:p w:rsidR="0036710C" w:rsidRPr="00A90EFD" w:rsidRDefault="0036710C" w:rsidP="00853C0F">
            <w:pPr>
              <w:pStyle w:val="Textpoznpodarou"/>
              <w:jc w:val="both"/>
              <w:rPr>
                <w:rFonts w:cs="Arial"/>
                <w:color w:val="0D0D0D" w:themeColor="text1" w:themeTint="F2"/>
              </w:rPr>
            </w:pPr>
          </w:p>
        </w:tc>
        <w:tc>
          <w:tcPr>
            <w:tcW w:w="3840" w:type="pct"/>
          </w:tcPr>
          <w:p w:rsidR="0036710C" w:rsidRPr="00174670" w:rsidRDefault="0036710C" w:rsidP="00853C0F">
            <w:pPr>
              <w:pStyle w:val="Textpoznpodarou"/>
              <w:jc w:val="both"/>
              <w:rPr>
                <w:rFonts w:cs="Arial"/>
                <w:color w:val="0D0D0D" w:themeColor="text1" w:themeTint="F2"/>
                <w:spacing w:val="-2"/>
              </w:rPr>
            </w:pPr>
            <w:r w:rsidRPr="00174670">
              <w:rPr>
                <w:rFonts w:cs="Arial"/>
                <w:color w:val="0D0D0D" w:themeColor="text1" w:themeTint="F2"/>
                <w:spacing w:val="-2"/>
              </w:rPr>
              <w:t>Více než čtyři roky trvající hospodářský růst se plně promítal i do pracovního trhu. Tempo růstu celkové zaměstnanosti</w:t>
            </w:r>
            <w:r w:rsidRPr="00174670">
              <w:rPr>
                <w:rStyle w:val="Znakapoznpodarou"/>
                <w:color w:val="0D0D0D" w:themeColor="text1" w:themeTint="F2"/>
                <w:spacing w:val="-2"/>
              </w:rPr>
              <w:footnoteReference w:id="22"/>
            </w:r>
            <w:r w:rsidRPr="00174670">
              <w:rPr>
                <w:rFonts w:cs="Arial"/>
                <w:color w:val="0D0D0D" w:themeColor="text1" w:themeTint="F2"/>
                <w:spacing w:val="-2"/>
              </w:rPr>
              <w:t xml:space="preserve">  nepolevovalo, me</w:t>
            </w:r>
            <w:r>
              <w:rPr>
                <w:rFonts w:cs="Arial"/>
                <w:color w:val="0D0D0D" w:themeColor="text1" w:themeTint="F2"/>
                <w:spacing w:val="-2"/>
              </w:rPr>
              <w:t>ziročně se v 1. pololetí zvýšilo</w:t>
            </w:r>
            <w:r w:rsidRPr="00174670">
              <w:rPr>
                <w:rFonts w:cs="Arial"/>
                <w:color w:val="0D0D0D" w:themeColor="text1" w:themeTint="F2"/>
                <w:spacing w:val="-2"/>
              </w:rPr>
              <w:t xml:space="preserve"> o 1,4 % (obdobným tempem jako z</w:t>
            </w:r>
            <w:r>
              <w:rPr>
                <w:rFonts w:cs="Arial"/>
                <w:color w:val="0D0D0D" w:themeColor="text1" w:themeTint="F2"/>
                <w:spacing w:val="-2"/>
              </w:rPr>
              <w:t>a celý rok 2015 i 2016). Ve 2. č</w:t>
            </w:r>
            <w:r w:rsidRPr="00174670">
              <w:rPr>
                <w:rFonts w:cs="Arial"/>
                <w:color w:val="0D0D0D" w:themeColor="text1" w:themeTint="F2"/>
                <w:spacing w:val="-2"/>
              </w:rPr>
              <w:t xml:space="preserve">tvrtletí 2017 se počet pracovníků v ekonomice </w:t>
            </w:r>
            <w:proofErr w:type="spellStart"/>
            <w:r>
              <w:rPr>
                <w:rFonts w:cs="Arial"/>
                <w:color w:val="0D0D0D" w:themeColor="text1" w:themeTint="F2"/>
                <w:spacing w:val="-2"/>
              </w:rPr>
              <w:t>mezikvartálně</w:t>
            </w:r>
            <w:proofErr w:type="spellEnd"/>
            <w:r>
              <w:rPr>
                <w:rFonts w:cs="Arial"/>
                <w:color w:val="0D0D0D" w:themeColor="text1" w:themeTint="F2"/>
                <w:spacing w:val="-2"/>
              </w:rPr>
              <w:t xml:space="preserve"> </w:t>
            </w:r>
            <w:r w:rsidRPr="00174670">
              <w:rPr>
                <w:rFonts w:cs="Arial"/>
                <w:color w:val="0D0D0D" w:themeColor="text1" w:themeTint="F2"/>
                <w:spacing w:val="-2"/>
              </w:rPr>
              <w:t>navýšil o 0,4 %. Práci tak mělo 5,32 mil. lidí, nejvíce v historii samostatné ČR. Tempo růstu zaměstnanosti však nebylo v evropském kontextu nikterak ojedinělé. Počet pracovníků v EU se v 1. p</w:t>
            </w:r>
            <w:r w:rsidR="00E45703">
              <w:rPr>
                <w:rFonts w:cs="Arial"/>
                <w:color w:val="0D0D0D" w:themeColor="text1" w:themeTint="F2"/>
                <w:spacing w:val="-2"/>
              </w:rPr>
              <w:t>ololetí meziročně zvýšil</w:t>
            </w:r>
            <w:r w:rsidRPr="00174670">
              <w:rPr>
                <w:rFonts w:cs="Arial"/>
                <w:color w:val="0D0D0D" w:themeColor="text1" w:themeTint="F2"/>
                <w:spacing w:val="-2"/>
              </w:rPr>
              <w:t xml:space="preserve"> o 1,5</w:t>
            </w:r>
            <w:r>
              <w:rPr>
                <w:rFonts w:cs="Arial"/>
                <w:color w:val="0D0D0D" w:themeColor="text1" w:themeTint="F2"/>
                <w:spacing w:val="-2"/>
              </w:rPr>
              <w:t xml:space="preserve"> %. M</w:t>
            </w:r>
            <w:r w:rsidRPr="00174670">
              <w:rPr>
                <w:rFonts w:cs="Arial"/>
                <w:color w:val="0D0D0D" w:themeColor="text1" w:themeTint="F2"/>
                <w:spacing w:val="-2"/>
              </w:rPr>
              <w:t xml:space="preserve">írně vyšší tempa než ČR </w:t>
            </w:r>
            <w:r w:rsidR="00E45703">
              <w:rPr>
                <w:rFonts w:cs="Arial"/>
                <w:color w:val="0D0D0D" w:themeColor="text1" w:themeTint="F2"/>
                <w:spacing w:val="-2"/>
              </w:rPr>
              <w:t xml:space="preserve">ale </w:t>
            </w:r>
            <w:r w:rsidRPr="00174670">
              <w:rPr>
                <w:rFonts w:cs="Arial"/>
                <w:color w:val="0D0D0D" w:themeColor="text1" w:themeTint="F2"/>
                <w:spacing w:val="-2"/>
              </w:rPr>
              <w:t xml:space="preserve">vykazovaly i všechny sousední státy (nejvíce Slovensko +2,2 %). </w:t>
            </w:r>
            <w:r>
              <w:rPr>
                <w:rFonts w:cs="Arial"/>
                <w:color w:val="0D0D0D" w:themeColor="text1" w:themeTint="F2"/>
                <w:spacing w:val="-2"/>
              </w:rPr>
              <w:t>Výrazně příznivější</w:t>
            </w:r>
            <w:r w:rsidRPr="00174670">
              <w:rPr>
                <w:rFonts w:cs="Arial"/>
                <w:color w:val="0D0D0D" w:themeColor="text1" w:themeTint="F2"/>
                <w:spacing w:val="-2"/>
              </w:rPr>
              <w:t xml:space="preserve"> postavení </w:t>
            </w:r>
            <w:r w:rsidR="00E45703">
              <w:rPr>
                <w:rFonts w:cs="Arial"/>
                <w:color w:val="0D0D0D" w:themeColor="text1" w:themeTint="F2"/>
                <w:spacing w:val="-2"/>
              </w:rPr>
              <w:t xml:space="preserve">v EU </w:t>
            </w:r>
            <w:r w:rsidRPr="00174670">
              <w:rPr>
                <w:rFonts w:cs="Arial"/>
                <w:color w:val="0D0D0D" w:themeColor="text1" w:themeTint="F2"/>
                <w:spacing w:val="-2"/>
              </w:rPr>
              <w:t>mělo Česko</w:t>
            </w:r>
            <w:r w:rsidR="00E45703">
              <w:rPr>
                <w:rFonts w:cs="Arial"/>
                <w:color w:val="0D0D0D" w:themeColor="text1" w:themeTint="F2"/>
                <w:spacing w:val="-2"/>
              </w:rPr>
              <w:t xml:space="preserve"> díky vysoké míře zaměstnanosti. Zasloužily se o zejména muži, jejichž</w:t>
            </w:r>
            <w:r w:rsidRPr="00174670">
              <w:rPr>
                <w:rFonts w:cs="Arial"/>
                <w:color w:val="0D0D0D" w:themeColor="text1" w:themeTint="F2"/>
                <w:spacing w:val="-2"/>
              </w:rPr>
              <w:t xml:space="preserve"> </w:t>
            </w:r>
            <w:r w:rsidR="00E45703">
              <w:rPr>
                <w:rFonts w:cs="Arial"/>
                <w:color w:val="0D0D0D" w:themeColor="text1" w:themeTint="F2"/>
                <w:spacing w:val="-2"/>
              </w:rPr>
              <w:t>míra zaměstnanosti</w:t>
            </w:r>
            <w:r>
              <w:rPr>
                <w:rFonts w:cs="Arial"/>
                <w:color w:val="0D0D0D" w:themeColor="text1" w:themeTint="F2"/>
                <w:spacing w:val="-2"/>
              </w:rPr>
              <w:t xml:space="preserve"> dosahovala na počátku roku</w:t>
            </w:r>
            <w:r w:rsidRPr="00174670">
              <w:rPr>
                <w:rFonts w:cs="Arial"/>
                <w:color w:val="0D0D0D" w:themeColor="text1" w:themeTint="F2"/>
                <w:spacing w:val="-2"/>
              </w:rPr>
              <w:t xml:space="preserve"> </w:t>
            </w:r>
            <w:r w:rsidR="00A40F56">
              <w:rPr>
                <w:rFonts w:cs="Arial"/>
                <w:color w:val="0D0D0D" w:themeColor="text1" w:themeTint="F2"/>
                <w:spacing w:val="-2"/>
              </w:rPr>
              <w:t>nejvyšší hodnoty mezi státy Unie</w:t>
            </w:r>
            <w:r>
              <w:rPr>
                <w:rFonts w:cs="Arial"/>
                <w:color w:val="0D0D0D" w:themeColor="text1" w:themeTint="F2"/>
                <w:spacing w:val="-2"/>
              </w:rPr>
              <w:t xml:space="preserve">. </w:t>
            </w:r>
            <w:r w:rsidRPr="00174670">
              <w:rPr>
                <w:rFonts w:cs="Arial"/>
                <w:color w:val="0D0D0D" w:themeColor="text1" w:themeTint="F2"/>
                <w:spacing w:val="-2"/>
              </w:rPr>
              <w:t>Ze všech osob ve věku 15 –64 let jich ve 2. čtvrtletí 2017 pracovalo 73,3</w:t>
            </w:r>
            <w:r>
              <w:rPr>
                <w:rFonts w:cs="Arial"/>
                <w:color w:val="0D0D0D" w:themeColor="text1" w:themeTint="F2"/>
                <w:spacing w:val="-2"/>
              </w:rPr>
              <w:t xml:space="preserve"> %, meziročně o 1,6 </w:t>
            </w:r>
            <w:proofErr w:type="spellStart"/>
            <w:proofErr w:type="gramStart"/>
            <w:r>
              <w:rPr>
                <w:rFonts w:cs="Arial"/>
                <w:color w:val="0D0D0D" w:themeColor="text1" w:themeTint="F2"/>
                <w:spacing w:val="-2"/>
              </w:rPr>
              <w:t>p.b</w:t>
            </w:r>
            <w:proofErr w:type="spellEnd"/>
            <w:r>
              <w:rPr>
                <w:rFonts w:cs="Arial"/>
                <w:color w:val="0D0D0D" w:themeColor="text1" w:themeTint="F2"/>
                <w:spacing w:val="-2"/>
              </w:rPr>
              <w:t>. více</w:t>
            </w:r>
            <w:proofErr w:type="gramEnd"/>
            <w:r>
              <w:rPr>
                <w:rFonts w:cs="Arial"/>
                <w:color w:val="0D0D0D" w:themeColor="text1" w:themeTint="F2"/>
                <w:spacing w:val="-2"/>
              </w:rPr>
              <w:t xml:space="preserve"> – bez větších rozdílů mezi pohlavími. V dlouhodobějším pohledu však rostla míra zaměstnanosti žen dynamičtěji než v případě mužů – částečně vlivem rychlejšího posouvání hranice důchodového věku.</w:t>
            </w:r>
          </w:p>
          <w:p w:rsidR="0036710C" w:rsidRPr="00607C08" w:rsidRDefault="0036710C" w:rsidP="00853C0F">
            <w:pPr>
              <w:pStyle w:val="Textpoznpodarou"/>
              <w:jc w:val="both"/>
              <w:rPr>
                <w:rFonts w:cs="Arial"/>
                <w:color w:val="0D0D0D" w:themeColor="text1" w:themeTint="F2"/>
                <w:spacing w:val="-3"/>
                <w:sz w:val="15"/>
                <w:szCs w:val="15"/>
              </w:rPr>
            </w:pPr>
          </w:p>
        </w:tc>
      </w:tr>
      <w:tr w:rsidR="0036710C" w:rsidRPr="0094422D" w:rsidTr="00853C0F">
        <w:trPr>
          <w:trHeight w:val="145"/>
        </w:trPr>
        <w:tc>
          <w:tcPr>
            <w:tcW w:w="1016" w:type="pct"/>
            <w:shd w:val="clear" w:color="auto" w:fill="auto"/>
          </w:tcPr>
          <w:p w:rsidR="0036710C" w:rsidRPr="000C7A77" w:rsidRDefault="0036710C" w:rsidP="00853C0F">
            <w:pPr>
              <w:spacing w:line="240" w:lineRule="auto"/>
              <w:rPr>
                <w:rFonts w:cs="Arial"/>
                <w:bCs/>
                <w:iCs/>
                <w:color w:val="0D0D0D" w:themeColor="text1" w:themeTint="F2"/>
                <w:spacing w:val="-2"/>
                <w:sz w:val="16"/>
                <w:szCs w:val="16"/>
              </w:rPr>
            </w:pPr>
            <w:r w:rsidRPr="000C7A77">
              <w:rPr>
                <w:rFonts w:cs="Arial"/>
                <w:bCs/>
                <w:iCs/>
                <w:color w:val="0D0D0D" w:themeColor="text1" w:themeTint="F2"/>
                <w:spacing w:val="-2"/>
                <w:sz w:val="16"/>
                <w:szCs w:val="16"/>
              </w:rPr>
              <w:t>Těžiště tvorby nových pracovních míst se postupně přesunulo ze zpracovatelského průmyslu do sektoru služeb</w:t>
            </w:r>
            <w:r>
              <w:rPr>
                <w:rFonts w:cs="Arial"/>
                <w:bCs/>
                <w:iCs/>
                <w:color w:val="0D0D0D" w:themeColor="text1" w:themeTint="F2"/>
                <w:spacing w:val="-2"/>
                <w:sz w:val="16"/>
                <w:szCs w:val="16"/>
              </w:rPr>
              <w:t>.</w:t>
            </w:r>
          </w:p>
          <w:p w:rsidR="0036710C" w:rsidRDefault="0036710C" w:rsidP="00853C0F">
            <w:pPr>
              <w:spacing w:line="240" w:lineRule="auto"/>
              <w:rPr>
                <w:rFonts w:cs="Arial"/>
                <w:color w:val="0D0D0D" w:themeColor="text1" w:themeTint="F2"/>
                <w:spacing w:val="-2"/>
                <w:sz w:val="16"/>
                <w:szCs w:val="16"/>
              </w:rPr>
            </w:pPr>
          </w:p>
          <w:p w:rsidR="0036710C" w:rsidRDefault="0036710C" w:rsidP="00853C0F">
            <w:pPr>
              <w:spacing w:line="240" w:lineRule="auto"/>
              <w:rPr>
                <w:rFonts w:cs="Arial"/>
                <w:color w:val="0D0D0D" w:themeColor="text1" w:themeTint="F2"/>
                <w:spacing w:val="-2"/>
                <w:sz w:val="16"/>
                <w:szCs w:val="16"/>
              </w:rPr>
            </w:pPr>
          </w:p>
          <w:p w:rsidR="0036710C" w:rsidRDefault="0036710C" w:rsidP="00853C0F">
            <w:pPr>
              <w:spacing w:line="240" w:lineRule="auto"/>
              <w:rPr>
                <w:rFonts w:cs="Arial"/>
                <w:color w:val="0D0D0D" w:themeColor="text1" w:themeTint="F2"/>
                <w:spacing w:val="-2"/>
                <w:sz w:val="16"/>
                <w:szCs w:val="16"/>
              </w:rPr>
            </w:pPr>
          </w:p>
          <w:p w:rsidR="0036710C" w:rsidRPr="001C4DD3" w:rsidRDefault="0036710C" w:rsidP="00853C0F">
            <w:pPr>
              <w:spacing w:line="240" w:lineRule="auto"/>
              <w:rPr>
                <w:rFonts w:cs="Arial"/>
                <w:color w:val="0D0D0D" w:themeColor="text1" w:themeTint="F2"/>
                <w:spacing w:val="-2"/>
                <w:sz w:val="16"/>
                <w:szCs w:val="16"/>
              </w:rPr>
            </w:pPr>
            <w:r>
              <w:rPr>
                <w:rFonts w:cs="Arial"/>
                <w:color w:val="0D0D0D" w:themeColor="text1" w:themeTint="F2"/>
                <w:spacing w:val="-2"/>
                <w:sz w:val="16"/>
                <w:szCs w:val="16"/>
              </w:rPr>
              <w:t>K meziročně vyšší zaměstnanosti přispívaly pátým čtvrtletím v řadě i</w:t>
            </w:r>
            <w:r w:rsidRPr="003804E1">
              <w:rPr>
                <w:rFonts w:cs="Arial"/>
                <w:bCs/>
                <w:iCs/>
                <w:color w:val="0D0D0D" w:themeColor="text1" w:themeTint="F2"/>
                <w:spacing w:val="-2"/>
                <w:sz w:val="16"/>
                <w:szCs w:val="16"/>
              </w:rPr>
              <w:t> </w:t>
            </w:r>
            <w:proofErr w:type="spellStart"/>
            <w:r>
              <w:rPr>
                <w:rFonts w:cs="Arial"/>
                <w:color w:val="0D0D0D" w:themeColor="text1" w:themeTint="F2"/>
                <w:spacing w:val="-2"/>
                <w:sz w:val="16"/>
                <w:szCs w:val="16"/>
              </w:rPr>
              <w:t>sebezaměstnaní</w:t>
            </w:r>
            <w:proofErr w:type="spellEnd"/>
            <w:r>
              <w:rPr>
                <w:rFonts w:cs="Arial"/>
                <w:color w:val="0D0D0D" w:themeColor="text1" w:themeTint="F2"/>
                <w:spacing w:val="-2"/>
                <w:sz w:val="16"/>
                <w:szCs w:val="16"/>
              </w:rPr>
              <w:t xml:space="preserve">. </w:t>
            </w:r>
          </w:p>
        </w:tc>
        <w:tc>
          <w:tcPr>
            <w:tcW w:w="144" w:type="pct"/>
          </w:tcPr>
          <w:p w:rsidR="0036710C" w:rsidRPr="00A90EFD" w:rsidRDefault="0036710C" w:rsidP="00853C0F">
            <w:pPr>
              <w:pStyle w:val="Textpoznpodarou"/>
              <w:jc w:val="both"/>
              <w:rPr>
                <w:rFonts w:cs="Arial"/>
                <w:color w:val="0D0D0D" w:themeColor="text1" w:themeTint="F2"/>
              </w:rPr>
            </w:pPr>
          </w:p>
        </w:tc>
        <w:tc>
          <w:tcPr>
            <w:tcW w:w="3840" w:type="pct"/>
          </w:tcPr>
          <w:p w:rsidR="0036710C" w:rsidRPr="00FF5A0D" w:rsidRDefault="0036710C" w:rsidP="00853C0F">
            <w:pPr>
              <w:pStyle w:val="Textpoznpodarou"/>
              <w:jc w:val="both"/>
              <w:rPr>
                <w:rFonts w:cs="Arial"/>
                <w:color w:val="000000" w:themeColor="text1"/>
                <w:spacing w:val="-4"/>
              </w:rPr>
            </w:pPr>
            <w:r>
              <w:rPr>
                <w:rFonts w:cs="Arial"/>
                <w:color w:val="000000" w:themeColor="text1"/>
                <w:spacing w:val="-4"/>
              </w:rPr>
              <w:t>K meziročnímu růstu celkové zaměstnanosti přispěli nejen zaměstnanci, ale i</w:t>
            </w:r>
            <w:r w:rsidRPr="00174670">
              <w:rPr>
                <w:rFonts w:cs="Arial"/>
                <w:color w:val="0D0D0D" w:themeColor="text1" w:themeTint="F2"/>
                <w:spacing w:val="-2"/>
              </w:rPr>
              <w:t> </w:t>
            </w:r>
            <w:proofErr w:type="spellStart"/>
            <w:r>
              <w:rPr>
                <w:rFonts w:cs="Arial"/>
                <w:color w:val="000000" w:themeColor="text1"/>
                <w:spacing w:val="-4"/>
              </w:rPr>
              <w:t>sebezaměstnaní</w:t>
            </w:r>
            <w:proofErr w:type="spellEnd"/>
            <w:r>
              <w:rPr>
                <w:rFonts w:cs="Arial"/>
                <w:color w:val="000000" w:themeColor="text1"/>
                <w:spacing w:val="-4"/>
              </w:rPr>
              <w:t>, jejichž stavy se navyšovaly již páté čtvrtletí v řadě. Z pohledu odvětví platilo, že těžiště růstu zaměstnanosti se stále více posouvalo do služeb. Tato tendence byla patrná již v roce 2016. Slábnoucí růstová tempa zaměstnanosti ve zpracovatelském průmyslu nenaznačují horší ekonomické vyhlídky tohoto odvětví, ale spíše vypovídají o sílících obtížích při hledání kvalifikovaných zaměstnanců. Nové pracovní pozice v terciárním sektoru vytvářely hlavně p</w:t>
            </w:r>
            <w:r w:rsidRPr="004C1899">
              <w:rPr>
                <w:rFonts w:cs="Arial"/>
                <w:color w:val="000000" w:themeColor="text1"/>
                <w:spacing w:val="-4"/>
              </w:rPr>
              <w:t>rofesní, vědecké, technické a</w:t>
            </w:r>
            <w:r w:rsidRPr="00174670">
              <w:rPr>
                <w:rFonts w:cs="Arial"/>
                <w:color w:val="0D0D0D" w:themeColor="text1" w:themeTint="F2"/>
                <w:spacing w:val="-2"/>
              </w:rPr>
              <w:t> </w:t>
            </w:r>
            <w:r w:rsidRPr="004C1899">
              <w:rPr>
                <w:rFonts w:cs="Arial"/>
                <w:color w:val="000000" w:themeColor="text1"/>
                <w:spacing w:val="-4"/>
              </w:rPr>
              <w:t>administrativní činnosti</w:t>
            </w:r>
            <w:r>
              <w:rPr>
                <w:rFonts w:cs="Arial"/>
                <w:color w:val="000000" w:themeColor="text1"/>
                <w:spacing w:val="-4"/>
              </w:rPr>
              <w:t>, v nichž v 1. pololetí růst zaměstnanosti zrychlil na 5,1 % (z</w:t>
            </w:r>
            <w:r w:rsidRPr="00174670">
              <w:rPr>
                <w:rFonts w:cs="Arial"/>
                <w:color w:val="0D0D0D" w:themeColor="text1" w:themeTint="F2"/>
                <w:spacing w:val="-2"/>
              </w:rPr>
              <w:t> </w:t>
            </w:r>
            <w:r>
              <w:rPr>
                <w:rFonts w:cs="Arial"/>
                <w:color w:val="000000" w:themeColor="text1"/>
                <w:spacing w:val="-4"/>
              </w:rPr>
              <w:t>loňských 3,2 %). V podobném rozsahu přispělo k vyšší zaměstnanosti v celé ekonomice také váhově dominantní odvětví služeb – o</w:t>
            </w:r>
            <w:r w:rsidRPr="00D11EC7">
              <w:rPr>
                <w:rFonts w:cs="Arial"/>
                <w:color w:val="000000" w:themeColor="text1"/>
                <w:spacing w:val="-4"/>
              </w:rPr>
              <w:t>bchod, doprava, ubytování a</w:t>
            </w:r>
            <w:r w:rsidRPr="00174670">
              <w:rPr>
                <w:rFonts w:cs="Arial"/>
                <w:color w:val="0D0D0D" w:themeColor="text1" w:themeTint="F2"/>
                <w:spacing w:val="-2"/>
              </w:rPr>
              <w:t> </w:t>
            </w:r>
            <w:r w:rsidRPr="00D11EC7">
              <w:rPr>
                <w:rFonts w:cs="Arial"/>
                <w:color w:val="000000" w:themeColor="text1"/>
                <w:spacing w:val="-4"/>
              </w:rPr>
              <w:t>pohostinství</w:t>
            </w:r>
            <w:r>
              <w:rPr>
                <w:rFonts w:cs="Arial"/>
                <w:color w:val="000000" w:themeColor="text1"/>
                <w:spacing w:val="-4"/>
              </w:rPr>
              <w:t>, kde pracovalo o 1,9 % lidí více. Přetrvávala dlouhodobá poptávka po pracovnících v informačních a komunikačních činnostech, jejich počty se za posledních pět let navýšily o téměř 15 %. Naopak zaměstnanost v peněžnictví a</w:t>
            </w:r>
            <w:r w:rsidRPr="00174670">
              <w:rPr>
                <w:rFonts w:cs="Arial"/>
                <w:color w:val="0D0D0D" w:themeColor="text1" w:themeTint="F2"/>
                <w:spacing w:val="-2"/>
              </w:rPr>
              <w:t> </w:t>
            </w:r>
            <w:r>
              <w:rPr>
                <w:rFonts w:cs="Arial"/>
                <w:color w:val="000000" w:themeColor="text1"/>
                <w:spacing w:val="-4"/>
              </w:rPr>
              <w:t>pojišťovnictví se za stejné období významně nezměnila a proti první polovině roku</w:t>
            </w:r>
            <w:r w:rsidRPr="00174670">
              <w:rPr>
                <w:rFonts w:cs="Arial"/>
                <w:color w:val="0D0D0D" w:themeColor="text1" w:themeTint="F2"/>
                <w:spacing w:val="-2"/>
              </w:rPr>
              <w:t> </w:t>
            </w:r>
            <w:r>
              <w:rPr>
                <w:rFonts w:cs="Arial"/>
                <w:color w:val="000000" w:themeColor="text1"/>
                <w:spacing w:val="-4"/>
              </w:rPr>
              <w:t xml:space="preserve">2016 dokonce o 1,3 % poklesla (hlavně vlivem úbytku </w:t>
            </w:r>
            <w:proofErr w:type="spellStart"/>
            <w:r>
              <w:rPr>
                <w:rFonts w:cs="Arial"/>
                <w:color w:val="000000" w:themeColor="text1"/>
                <w:spacing w:val="-4"/>
              </w:rPr>
              <w:t>sebezaměstnaných</w:t>
            </w:r>
            <w:proofErr w:type="spellEnd"/>
            <w:r>
              <w:rPr>
                <w:rFonts w:cs="Arial"/>
                <w:color w:val="000000" w:themeColor="text1"/>
                <w:spacing w:val="-4"/>
              </w:rPr>
              <w:t xml:space="preserve">). </w:t>
            </w:r>
          </w:p>
        </w:tc>
      </w:tr>
    </w:tbl>
    <w:p w:rsidR="0036710C" w:rsidRPr="0036710C" w:rsidRDefault="0036710C" w:rsidP="0036710C">
      <w:pPr>
        <w:rPr>
          <w:sz w:val="15"/>
          <w:szCs w:val="15"/>
          <w:lang w:eastAsia="ar-SA"/>
        </w:rPr>
      </w:pPr>
    </w:p>
    <w:tbl>
      <w:tblPr>
        <w:tblW w:w="4977" w:type="pct"/>
        <w:tblInd w:w="80" w:type="dxa"/>
        <w:tblLayout w:type="fixed"/>
        <w:tblLook w:val="00A0"/>
      </w:tblPr>
      <w:tblGrid>
        <w:gridCol w:w="27"/>
        <w:gridCol w:w="1997"/>
        <w:gridCol w:w="20"/>
        <w:gridCol w:w="265"/>
        <w:gridCol w:w="10"/>
        <w:gridCol w:w="1108"/>
        <w:gridCol w:w="6266"/>
        <w:gridCol w:w="116"/>
      </w:tblGrid>
      <w:tr w:rsidR="0036710C" w:rsidRPr="00AA4A76" w:rsidTr="00853C0F">
        <w:trPr>
          <w:gridBefore w:val="1"/>
          <w:wBefore w:w="14" w:type="pct"/>
          <w:trHeight w:val="145"/>
        </w:trPr>
        <w:tc>
          <w:tcPr>
            <w:tcW w:w="1018" w:type="pct"/>
            <w:shd w:val="clear" w:color="auto" w:fill="auto"/>
          </w:tcPr>
          <w:p w:rsidR="0036710C" w:rsidRPr="00AA4A76" w:rsidRDefault="0036710C" w:rsidP="00853C0F">
            <w:pPr>
              <w:spacing w:line="240" w:lineRule="auto"/>
              <w:jc w:val="center"/>
              <w:rPr>
                <w:color w:val="000000"/>
                <w:szCs w:val="20"/>
              </w:rPr>
            </w:pPr>
          </w:p>
        </w:tc>
        <w:tc>
          <w:tcPr>
            <w:tcW w:w="145" w:type="pct"/>
            <w:gridSpan w:val="2"/>
          </w:tcPr>
          <w:p w:rsidR="0036710C" w:rsidRPr="00AA4A76" w:rsidRDefault="0036710C" w:rsidP="00853C0F">
            <w:pPr>
              <w:pStyle w:val="Textpoznpodarou"/>
              <w:jc w:val="both"/>
              <w:rPr>
                <w:highlight w:val="yellow"/>
              </w:rPr>
            </w:pPr>
          </w:p>
        </w:tc>
        <w:tc>
          <w:tcPr>
            <w:tcW w:w="570" w:type="pct"/>
            <w:gridSpan w:val="2"/>
          </w:tcPr>
          <w:p w:rsidR="0036710C" w:rsidRPr="00AA4A76" w:rsidRDefault="0036710C" w:rsidP="00853C0F">
            <w:pPr>
              <w:pStyle w:val="Textpoznpodarou"/>
              <w:jc w:val="both"/>
              <w:rPr>
                <w:highlight w:val="yellow"/>
              </w:rPr>
            </w:pPr>
            <w:r>
              <w:rPr>
                <w:color w:val="000000"/>
              </w:rPr>
              <w:t>Graf č. 15</w:t>
            </w:r>
          </w:p>
        </w:tc>
        <w:tc>
          <w:tcPr>
            <w:tcW w:w="3253" w:type="pct"/>
            <w:gridSpan w:val="2"/>
          </w:tcPr>
          <w:p w:rsidR="0036710C" w:rsidRPr="000117D0" w:rsidRDefault="00E45703" w:rsidP="00853C0F">
            <w:pPr>
              <w:pStyle w:val="Textpoznpodarou"/>
              <w:rPr>
                <w:b/>
                <w:lang w:eastAsia="en-US"/>
              </w:rPr>
            </w:pPr>
            <w:r>
              <w:rPr>
                <w:b/>
                <w:lang w:eastAsia="en-US"/>
              </w:rPr>
              <w:t>Počet pracovníci</w:t>
            </w:r>
            <w:r w:rsidR="0036710C">
              <w:rPr>
                <w:b/>
                <w:lang w:eastAsia="en-US"/>
              </w:rPr>
              <w:t xml:space="preserve"> ve vybraných odvětvích </w:t>
            </w:r>
            <w:r w:rsidR="0036710C" w:rsidRPr="00886A8F">
              <w:rPr>
                <w:b/>
                <w:lang w:eastAsia="en-US"/>
              </w:rPr>
              <w:t xml:space="preserve">a </w:t>
            </w:r>
            <w:r w:rsidR="0036710C">
              <w:rPr>
                <w:b/>
                <w:lang w:eastAsia="en-US"/>
              </w:rPr>
              <w:t xml:space="preserve">celkový počet </w:t>
            </w:r>
            <w:r w:rsidR="0036710C" w:rsidRPr="00886A8F">
              <w:rPr>
                <w:b/>
                <w:lang w:eastAsia="en-US"/>
              </w:rPr>
              <w:t xml:space="preserve">zaměstnanců </w:t>
            </w:r>
            <w:r w:rsidR="0036710C">
              <w:rPr>
                <w:spacing w:val="-4"/>
                <w:lang w:eastAsia="en-US"/>
              </w:rPr>
              <w:t>(</w:t>
            </w:r>
            <w:r w:rsidR="0036710C" w:rsidRPr="00582DA0">
              <w:rPr>
                <w:spacing w:val="-4"/>
                <w:lang w:eastAsia="en-US"/>
              </w:rPr>
              <w:t>dle</w:t>
            </w:r>
            <w:r w:rsidR="0036710C">
              <w:rPr>
                <w:spacing w:val="-4"/>
                <w:lang w:eastAsia="en-US"/>
              </w:rPr>
              <w:t xml:space="preserve"> národních účtů</w:t>
            </w:r>
            <w:r w:rsidR="0036710C" w:rsidRPr="00582DA0">
              <w:rPr>
                <w:spacing w:val="-4"/>
                <w:lang w:eastAsia="en-US"/>
              </w:rPr>
              <w:t xml:space="preserve">, </w:t>
            </w:r>
            <w:r w:rsidR="0036710C">
              <w:rPr>
                <w:spacing w:val="-4"/>
                <w:lang w:eastAsia="en-US"/>
              </w:rPr>
              <w:t xml:space="preserve">sezónně očištěno, </w:t>
            </w:r>
            <w:r w:rsidR="0036710C" w:rsidRPr="00E62A33">
              <w:rPr>
                <w:spacing w:val="-2"/>
              </w:rPr>
              <w:t>meziročně</w:t>
            </w:r>
            <w:r w:rsidR="0036710C" w:rsidRPr="00E62A33">
              <w:rPr>
                <w:bCs/>
                <w:spacing w:val="-2"/>
              </w:rPr>
              <w:t xml:space="preserve"> v %)</w:t>
            </w:r>
          </w:p>
        </w:tc>
      </w:tr>
      <w:tr w:rsidR="0036710C" w:rsidRPr="00AA4A76" w:rsidTr="00853C0F">
        <w:trPr>
          <w:gridBefore w:val="1"/>
          <w:wBefore w:w="14" w:type="pct"/>
          <w:trHeight w:val="145"/>
        </w:trPr>
        <w:tc>
          <w:tcPr>
            <w:tcW w:w="1018" w:type="pct"/>
            <w:shd w:val="clear" w:color="auto" w:fill="auto"/>
          </w:tcPr>
          <w:p w:rsidR="0036710C" w:rsidRPr="006D3F53" w:rsidRDefault="0036710C" w:rsidP="00853C0F">
            <w:pPr>
              <w:spacing w:line="240" w:lineRule="auto"/>
              <w:rPr>
                <w:color w:val="000000"/>
                <w:sz w:val="16"/>
                <w:szCs w:val="16"/>
                <w:highlight w:val="yellow"/>
              </w:rPr>
            </w:pPr>
          </w:p>
        </w:tc>
        <w:tc>
          <w:tcPr>
            <w:tcW w:w="145" w:type="pct"/>
            <w:gridSpan w:val="2"/>
          </w:tcPr>
          <w:p w:rsidR="0036710C" w:rsidRPr="00A74192" w:rsidRDefault="0036710C" w:rsidP="00853C0F">
            <w:pPr>
              <w:pStyle w:val="Textpoznpodarou"/>
              <w:jc w:val="both"/>
            </w:pPr>
          </w:p>
        </w:tc>
        <w:tc>
          <w:tcPr>
            <w:tcW w:w="3823" w:type="pct"/>
            <w:gridSpan w:val="4"/>
          </w:tcPr>
          <w:p w:rsidR="0036710C" w:rsidRDefault="0036710C" w:rsidP="00853C0F">
            <w:pPr>
              <w:pStyle w:val="Textpoznpodarou"/>
              <w:ind w:left="-124"/>
              <w:jc w:val="both"/>
              <w:rPr>
                <w:sz w:val="16"/>
                <w:szCs w:val="16"/>
              </w:rPr>
            </w:pPr>
            <w:r w:rsidRPr="00BB0C95">
              <w:rPr>
                <w:noProof/>
                <w:sz w:val="16"/>
                <w:szCs w:val="16"/>
              </w:rPr>
              <w:drawing>
                <wp:inline distT="0" distB="0" distL="0" distR="0">
                  <wp:extent cx="4754880" cy="3482035"/>
                  <wp:effectExtent l="0" t="0" r="0" b="0"/>
                  <wp:docPr id="3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6710C" w:rsidRPr="00535F78" w:rsidRDefault="0036710C" w:rsidP="00853C0F">
            <w:pPr>
              <w:pStyle w:val="Textpoznpodarou"/>
              <w:ind w:left="-124"/>
              <w:jc w:val="right"/>
              <w:rPr>
                <w:sz w:val="14"/>
                <w:szCs w:val="14"/>
              </w:rPr>
            </w:pPr>
            <w:r w:rsidRPr="00535F78">
              <w:rPr>
                <w:rFonts w:cs="Arial"/>
                <w:sz w:val="14"/>
                <w:szCs w:val="14"/>
              </w:rPr>
              <w:t xml:space="preserve">Zdroj: </w:t>
            </w:r>
            <w:r>
              <w:rPr>
                <w:rFonts w:cs="Arial"/>
                <w:sz w:val="14"/>
                <w:szCs w:val="14"/>
              </w:rPr>
              <w:t>ČSÚ</w:t>
            </w:r>
          </w:p>
        </w:tc>
      </w:tr>
      <w:tr w:rsidR="0036710C" w:rsidTr="00853C0F">
        <w:tblPrEx>
          <w:tblCellMar>
            <w:left w:w="28" w:type="dxa"/>
            <w:right w:w="28" w:type="dxa"/>
          </w:tblCellMar>
          <w:tblLook w:val="04A0"/>
        </w:tblPrEx>
        <w:trPr>
          <w:gridAfter w:val="1"/>
          <w:wAfter w:w="59" w:type="pct"/>
        </w:trPr>
        <w:tc>
          <w:tcPr>
            <w:tcW w:w="1042" w:type="pct"/>
            <w:gridSpan w:val="3"/>
          </w:tcPr>
          <w:p w:rsidR="0036710C" w:rsidRPr="003A34E8" w:rsidRDefault="0036710C" w:rsidP="00853C0F">
            <w:pPr>
              <w:spacing w:line="240" w:lineRule="auto"/>
              <w:rPr>
                <w:rFonts w:cs="Arial"/>
                <w:bCs/>
                <w:iCs/>
                <w:color w:val="0D0D0D" w:themeColor="text1" w:themeTint="F2"/>
                <w:spacing w:val="-2"/>
                <w:sz w:val="16"/>
                <w:szCs w:val="16"/>
              </w:rPr>
            </w:pPr>
            <w:r>
              <w:rPr>
                <w:rFonts w:cs="Arial"/>
                <w:bCs/>
                <w:iCs/>
                <w:color w:val="0D0D0D" w:themeColor="text1" w:themeTint="F2"/>
                <w:spacing w:val="-2"/>
                <w:sz w:val="16"/>
                <w:szCs w:val="16"/>
              </w:rPr>
              <w:lastRenderedPageBreak/>
              <w:t>Vyšší počty podnikajících osob přispěly ke stabilizaci celkové zaměstnanosti ve stavebnictví.</w:t>
            </w:r>
          </w:p>
        </w:tc>
        <w:tc>
          <w:tcPr>
            <w:tcW w:w="140" w:type="pct"/>
            <w:gridSpan w:val="2"/>
          </w:tcPr>
          <w:p w:rsidR="0036710C" w:rsidRPr="009720D9" w:rsidRDefault="0036710C" w:rsidP="00853C0F">
            <w:pPr>
              <w:pStyle w:val="Textpoznpodarou"/>
              <w:jc w:val="both"/>
              <w:rPr>
                <w:color w:val="0D0D0D" w:themeColor="text1" w:themeTint="F2"/>
              </w:rPr>
            </w:pPr>
          </w:p>
        </w:tc>
        <w:tc>
          <w:tcPr>
            <w:tcW w:w="3759" w:type="pct"/>
            <w:gridSpan w:val="2"/>
          </w:tcPr>
          <w:p w:rsidR="0036710C" w:rsidRPr="00F033DF" w:rsidRDefault="0036710C" w:rsidP="00853C0F">
            <w:pPr>
              <w:pStyle w:val="Textpoznpodarou"/>
              <w:jc w:val="both"/>
              <w:rPr>
                <w:rFonts w:cs="Arial"/>
                <w:color w:val="0D0D0D" w:themeColor="text1" w:themeTint="F2"/>
                <w:spacing w:val="-4"/>
              </w:rPr>
            </w:pPr>
            <w:r w:rsidRPr="007F2FF0">
              <w:rPr>
                <w:rFonts w:cs="Arial"/>
                <w:color w:val="0D0D0D" w:themeColor="text1" w:themeTint="F2"/>
                <w:spacing w:val="-4"/>
              </w:rPr>
              <w:t xml:space="preserve">Relativně </w:t>
            </w:r>
            <w:r>
              <w:rPr>
                <w:rFonts w:cs="Arial"/>
                <w:color w:val="0D0D0D" w:themeColor="text1" w:themeTint="F2"/>
                <w:spacing w:val="-4"/>
              </w:rPr>
              <w:t>střídmě se v 1. pololetí zvyšovala zaměstnanost v odvětvích s dominancí stát</w:t>
            </w:r>
            <w:r w:rsidR="00352482">
              <w:rPr>
                <w:rFonts w:cs="Arial"/>
                <w:color w:val="0D0D0D" w:themeColor="text1" w:themeTint="F2"/>
                <w:spacing w:val="-4"/>
              </w:rPr>
              <w:t>u</w:t>
            </w:r>
            <w:r>
              <w:rPr>
                <w:rStyle w:val="Znakapoznpodarou"/>
                <w:color w:val="0D0D0D" w:themeColor="text1" w:themeTint="F2"/>
                <w:spacing w:val="-4"/>
              </w:rPr>
              <w:footnoteReference w:id="23"/>
            </w:r>
            <w:r>
              <w:rPr>
                <w:rFonts w:cs="Arial"/>
                <w:color w:val="0D0D0D" w:themeColor="text1" w:themeTint="F2"/>
                <w:spacing w:val="-4"/>
              </w:rPr>
              <w:t xml:space="preserve"> (+0,8 % meziročně), tento stav však přetrvával již pátým rokem v řadě. Počet pracovníků ve stavebnictví přestal od poloviny roku 2016 klesat. Zasloužil se o to vyšších počet podnikajících osob. Naopak zaměstnanců ve stavebních podnicích nadále ubývalo (proti 1. pololetí 2009 jich bylo o 18 % méně). Počty podnikajících osob rostly při současné redukci stavů zaměstnanců také v primárním sektoru.</w:t>
            </w:r>
          </w:p>
        </w:tc>
      </w:tr>
    </w:tbl>
    <w:p w:rsidR="0036710C" w:rsidRPr="00FF5A0D" w:rsidRDefault="0036710C" w:rsidP="0036710C">
      <w:pPr>
        <w:pStyle w:val="Textpoznpodarou"/>
        <w:jc w:val="both"/>
        <w:rPr>
          <w:rFonts w:cs="Arial"/>
          <w:color w:val="000000"/>
          <w:spacing w:val="-2"/>
          <w:sz w:val="14"/>
          <w:szCs w:val="14"/>
        </w:rPr>
      </w:pPr>
    </w:p>
    <w:tbl>
      <w:tblPr>
        <w:tblW w:w="4963" w:type="pct"/>
        <w:tblInd w:w="108" w:type="dxa"/>
        <w:tblLayout w:type="fixed"/>
        <w:tblLook w:val="00A0"/>
      </w:tblPr>
      <w:tblGrid>
        <w:gridCol w:w="1997"/>
        <w:gridCol w:w="284"/>
        <w:gridCol w:w="1119"/>
        <w:gridCol w:w="6381"/>
      </w:tblGrid>
      <w:tr w:rsidR="0036710C" w:rsidRPr="00AA4A76" w:rsidTr="00853C0F">
        <w:trPr>
          <w:trHeight w:val="145"/>
        </w:trPr>
        <w:tc>
          <w:tcPr>
            <w:tcW w:w="1021" w:type="pct"/>
            <w:shd w:val="clear" w:color="auto" w:fill="auto"/>
          </w:tcPr>
          <w:p w:rsidR="0036710C" w:rsidRPr="00AA4A76" w:rsidRDefault="0036710C" w:rsidP="00853C0F">
            <w:pPr>
              <w:spacing w:line="240" w:lineRule="auto"/>
              <w:jc w:val="center"/>
              <w:rPr>
                <w:color w:val="000000"/>
                <w:szCs w:val="20"/>
              </w:rPr>
            </w:pPr>
          </w:p>
        </w:tc>
        <w:tc>
          <w:tcPr>
            <w:tcW w:w="145" w:type="pct"/>
          </w:tcPr>
          <w:p w:rsidR="0036710C" w:rsidRPr="00AA4A76" w:rsidRDefault="0036710C" w:rsidP="00853C0F">
            <w:pPr>
              <w:pStyle w:val="Textpoznpodarou"/>
              <w:jc w:val="both"/>
              <w:rPr>
                <w:highlight w:val="yellow"/>
              </w:rPr>
            </w:pPr>
          </w:p>
        </w:tc>
        <w:tc>
          <w:tcPr>
            <w:tcW w:w="572" w:type="pct"/>
          </w:tcPr>
          <w:p w:rsidR="0036710C" w:rsidRPr="00AA4A76" w:rsidRDefault="0036710C" w:rsidP="00853C0F">
            <w:pPr>
              <w:pStyle w:val="Textpoznpodarou"/>
              <w:jc w:val="both"/>
              <w:rPr>
                <w:highlight w:val="yellow"/>
              </w:rPr>
            </w:pPr>
            <w:r>
              <w:rPr>
                <w:color w:val="000000"/>
              </w:rPr>
              <w:t>Graf č. 16</w:t>
            </w:r>
          </w:p>
        </w:tc>
        <w:tc>
          <w:tcPr>
            <w:tcW w:w="3262" w:type="pct"/>
          </w:tcPr>
          <w:p w:rsidR="0036710C" w:rsidRPr="0006150D" w:rsidRDefault="0036710C" w:rsidP="00853C0F">
            <w:pPr>
              <w:spacing w:line="240" w:lineRule="auto"/>
              <w:rPr>
                <w:rFonts w:cs="Arial"/>
                <w:b/>
                <w:bCs/>
                <w:spacing w:val="-2"/>
              </w:rPr>
            </w:pPr>
            <w:r w:rsidRPr="0006150D">
              <w:rPr>
                <w:rFonts w:cs="Arial"/>
                <w:b/>
                <w:bCs/>
                <w:spacing w:val="-2"/>
              </w:rPr>
              <w:t xml:space="preserve">Obecná míra nezaměstnanosti mužů a žen </w:t>
            </w:r>
            <w:r w:rsidRPr="0006150D">
              <w:rPr>
                <w:rFonts w:cs="Arial"/>
                <w:bCs/>
                <w:spacing w:val="-2"/>
              </w:rPr>
              <w:t>(v %, sezónně očištěno</w:t>
            </w:r>
            <w:r w:rsidR="00925A21">
              <w:rPr>
                <w:rFonts w:cs="Arial"/>
                <w:bCs/>
                <w:spacing w:val="-2"/>
              </w:rPr>
              <w:t>, pravá osa</w:t>
            </w:r>
            <w:r w:rsidRPr="0006150D">
              <w:rPr>
                <w:rFonts w:cs="Arial"/>
                <w:bCs/>
                <w:spacing w:val="-2"/>
              </w:rPr>
              <w:t>)</w:t>
            </w:r>
            <w:r w:rsidRPr="0006150D">
              <w:rPr>
                <w:rFonts w:cs="Arial"/>
                <w:b/>
                <w:bCs/>
                <w:spacing w:val="-2"/>
              </w:rPr>
              <w:t xml:space="preserve"> a vybrané skupiny nezaměstnaných </w:t>
            </w:r>
            <w:r w:rsidR="00925A21">
              <w:rPr>
                <w:rFonts w:cs="Arial"/>
                <w:bCs/>
                <w:spacing w:val="-2"/>
              </w:rPr>
              <w:t>(meziročně</w:t>
            </w:r>
            <w:r w:rsidRPr="0006150D">
              <w:rPr>
                <w:rFonts w:cs="Arial"/>
                <w:bCs/>
                <w:spacing w:val="-2"/>
              </w:rPr>
              <w:t>, v %)</w:t>
            </w:r>
          </w:p>
        </w:tc>
      </w:tr>
      <w:tr w:rsidR="0036710C" w:rsidRPr="00AA4A76" w:rsidTr="00853C0F">
        <w:trPr>
          <w:trHeight w:val="145"/>
        </w:trPr>
        <w:tc>
          <w:tcPr>
            <w:tcW w:w="1021" w:type="pct"/>
            <w:shd w:val="clear" w:color="auto" w:fill="auto"/>
          </w:tcPr>
          <w:p w:rsidR="0036710C" w:rsidRPr="006D3F53" w:rsidRDefault="0036710C" w:rsidP="00853C0F">
            <w:pPr>
              <w:spacing w:line="240" w:lineRule="auto"/>
              <w:rPr>
                <w:color w:val="000000"/>
                <w:sz w:val="16"/>
                <w:szCs w:val="16"/>
                <w:highlight w:val="yellow"/>
              </w:rPr>
            </w:pPr>
          </w:p>
        </w:tc>
        <w:tc>
          <w:tcPr>
            <w:tcW w:w="145" w:type="pct"/>
          </w:tcPr>
          <w:p w:rsidR="0036710C" w:rsidRPr="00A74192" w:rsidRDefault="0036710C" w:rsidP="00853C0F">
            <w:pPr>
              <w:pStyle w:val="Textpoznpodarou"/>
              <w:jc w:val="both"/>
            </w:pPr>
          </w:p>
        </w:tc>
        <w:tc>
          <w:tcPr>
            <w:tcW w:w="3833" w:type="pct"/>
            <w:gridSpan w:val="2"/>
          </w:tcPr>
          <w:p w:rsidR="0036710C" w:rsidRPr="007E5880" w:rsidRDefault="0036710C" w:rsidP="00853C0F">
            <w:pPr>
              <w:pStyle w:val="Textpoznpodarou"/>
              <w:rPr>
                <w:sz w:val="14"/>
                <w:szCs w:val="14"/>
              </w:rPr>
            </w:pPr>
            <w:r w:rsidRPr="002B4E91">
              <w:rPr>
                <w:noProof/>
                <w:sz w:val="14"/>
                <w:szCs w:val="14"/>
              </w:rPr>
              <w:drawing>
                <wp:inline distT="0" distB="0" distL="0" distR="0">
                  <wp:extent cx="4728809" cy="3449729"/>
                  <wp:effectExtent l="19050" t="0" r="0" b="0"/>
                  <wp:docPr id="3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6710C" w:rsidRPr="007E5880" w:rsidRDefault="0036710C" w:rsidP="00853C0F">
            <w:pPr>
              <w:pStyle w:val="Textpoznpodarou"/>
              <w:jc w:val="right"/>
              <w:rPr>
                <w:sz w:val="14"/>
                <w:szCs w:val="14"/>
              </w:rPr>
            </w:pPr>
            <w:r w:rsidRPr="00535F78">
              <w:rPr>
                <w:rFonts w:cs="Arial"/>
                <w:sz w:val="14"/>
                <w:szCs w:val="14"/>
              </w:rPr>
              <w:t xml:space="preserve">Zdroj: </w:t>
            </w:r>
            <w:r>
              <w:rPr>
                <w:rFonts w:cs="Arial"/>
                <w:sz w:val="14"/>
                <w:szCs w:val="14"/>
              </w:rPr>
              <w:t>ČSÚ</w:t>
            </w:r>
          </w:p>
        </w:tc>
      </w:tr>
    </w:tbl>
    <w:p w:rsidR="0036710C" w:rsidRPr="002D3A9D" w:rsidRDefault="0036710C" w:rsidP="0036710C">
      <w:pPr>
        <w:pStyle w:val="Textpoznpodarou"/>
        <w:jc w:val="both"/>
        <w:rPr>
          <w:rFonts w:cs="Arial"/>
          <w:color w:val="000000"/>
          <w:spacing w:val="-2"/>
          <w:sz w:val="15"/>
          <w:szCs w:val="15"/>
        </w:rPr>
      </w:pPr>
    </w:p>
    <w:tbl>
      <w:tblPr>
        <w:tblW w:w="4995" w:type="pct"/>
        <w:tblInd w:w="108" w:type="dxa"/>
        <w:tblLayout w:type="fixed"/>
        <w:tblLook w:val="00A0"/>
      </w:tblPr>
      <w:tblGrid>
        <w:gridCol w:w="2000"/>
        <w:gridCol w:w="284"/>
        <w:gridCol w:w="7560"/>
      </w:tblGrid>
      <w:tr w:rsidR="0036710C" w:rsidRPr="00F06A1D" w:rsidTr="00853C0F">
        <w:trPr>
          <w:trHeight w:val="145"/>
        </w:trPr>
        <w:tc>
          <w:tcPr>
            <w:tcW w:w="1016" w:type="pct"/>
            <w:shd w:val="clear" w:color="auto" w:fill="auto"/>
          </w:tcPr>
          <w:p w:rsidR="0036710C" w:rsidRPr="003804E1" w:rsidRDefault="0036710C" w:rsidP="00853C0F">
            <w:pPr>
              <w:spacing w:line="240" w:lineRule="auto"/>
              <w:rPr>
                <w:rFonts w:cs="Arial"/>
                <w:bCs/>
                <w:iCs/>
                <w:color w:val="0D0D0D" w:themeColor="text1" w:themeTint="F2"/>
                <w:spacing w:val="-4"/>
                <w:sz w:val="16"/>
                <w:szCs w:val="16"/>
              </w:rPr>
            </w:pPr>
            <w:r w:rsidRPr="003804E1">
              <w:rPr>
                <w:rFonts w:cs="Arial"/>
                <w:bCs/>
                <w:iCs/>
                <w:color w:val="0D0D0D" w:themeColor="text1" w:themeTint="F2"/>
                <w:spacing w:val="-4"/>
                <w:sz w:val="16"/>
                <w:szCs w:val="16"/>
              </w:rPr>
              <w:t>Obecná míra ne</w:t>
            </w:r>
            <w:r>
              <w:rPr>
                <w:rFonts w:cs="Arial"/>
                <w:bCs/>
                <w:iCs/>
                <w:color w:val="0D0D0D" w:themeColor="text1" w:themeTint="F2"/>
                <w:spacing w:val="-4"/>
                <w:sz w:val="16"/>
                <w:szCs w:val="16"/>
              </w:rPr>
              <w:t>zaměstnanosti nadále klesa</w:t>
            </w:r>
            <w:r w:rsidRPr="003804E1">
              <w:rPr>
                <w:rFonts w:cs="Arial"/>
                <w:bCs/>
                <w:iCs/>
                <w:color w:val="0D0D0D" w:themeColor="text1" w:themeTint="F2"/>
                <w:spacing w:val="-4"/>
                <w:sz w:val="16"/>
                <w:szCs w:val="16"/>
              </w:rPr>
              <w:t xml:space="preserve">la na </w:t>
            </w:r>
            <w:r>
              <w:rPr>
                <w:rFonts w:cs="Arial"/>
                <w:bCs/>
                <w:iCs/>
                <w:color w:val="0D0D0D" w:themeColor="text1" w:themeTint="F2"/>
                <w:spacing w:val="-4"/>
                <w:sz w:val="16"/>
                <w:szCs w:val="16"/>
              </w:rPr>
              <w:t xml:space="preserve">až </w:t>
            </w:r>
            <w:r w:rsidRPr="003804E1">
              <w:rPr>
                <w:rFonts w:cs="Arial"/>
                <w:bCs/>
                <w:iCs/>
                <w:color w:val="0D0D0D" w:themeColor="text1" w:themeTint="F2"/>
                <w:spacing w:val="-4"/>
                <w:sz w:val="16"/>
                <w:szCs w:val="16"/>
              </w:rPr>
              <w:t xml:space="preserve">nové absolutní minimum, volných pracovních míst přibylo v rámci </w:t>
            </w:r>
            <w:r>
              <w:rPr>
                <w:rFonts w:cs="Arial"/>
                <w:bCs/>
                <w:iCs/>
                <w:color w:val="0D0D0D" w:themeColor="text1" w:themeTint="F2"/>
                <w:spacing w:val="-4"/>
                <w:sz w:val="16"/>
                <w:szCs w:val="16"/>
              </w:rPr>
              <w:t>1. pololetí</w:t>
            </w:r>
            <w:r w:rsidRPr="003804E1">
              <w:rPr>
                <w:rFonts w:cs="Arial"/>
                <w:bCs/>
                <w:iCs/>
                <w:color w:val="0D0D0D" w:themeColor="text1" w:themeTint="F2"/>
                <w:spacing w:val="-4"/>
                <w:sz w:val="16"/>
                <w:szCs w:val="16"/>
              </w:rPr>
              <w:t xml:space="preserve"> nejvíce v historii ČR.</w:t>
            </w:r>
          </w:p>
          <w:p w:rsidR="0036710C" w:rsidRPr="003804E1" w:rsidRDefault="0036710C" w:rsidP="00853C0F">
            <w:pPr>
              <w:spacing w:line="240" w:lineRule="auto"/>
              <w:rPr>
                <w:rFonts w:cs="Arial"/>
                <w:bCs/>
                <w:iCs/>
                <w:color w:val="0D0D0D" w:themeColor="text1" w:themeTint="F2"/>
                <w:spacing w:val="-4"/>
                <w:sz w:val="16"/>
                <w:szCs w:val="16"/>
              </w:rPr>
            </w:pPr>
          </w:p>
          <w:p w:rsidR="0036710C" w:rsidRDefault="0036710C" w:rsidP="00853C0F">
            <w:pPr>
              <w:spacing w:line="240" w:lineRule="auto"/>
              <w:rPr>
                <w:rFonts w:cs="Arial"/>
                <w:bCs/>
                <w:iCs/>
                <w:color w:val="0D0D0D" w:themeColor="text1" w:themeTint="F2"/>
                <w:spacing w:val="-4"/>
                <w:sz w:val="16"/>
                <w:szCs w:val="16"/>
              </w:rPr>
            </w:pPr>
          </w:p>
          <w:p w:rsidR="0036710C" w:rsidRDefault="0036710C" w:rsidP="00853C0F">
            <w:pPr>
              <w:spacing w:line="240" w:lineRule="auto"/>
              <w:rPr>
                <w:rFonts w:cs="Arial"/>
                <w:bCs/>
                <w:iCs/>
                <w:color w:val="0D0D0D" w:themeColor="text1" w:themeTint="F2"/>
                <w:spacing w:val="-4"/>
                <w:sz w:val="16"/>
                <w:szCs w:val="16"/>
              </w:rPr>
            </w:pPr>
          </w:p>
          <w:p w:rsidR="0036710C" w:rsidRDefault="0036710C" w:rsidP="00853C0F">
            <w:pPr>
              <w:spacing w:line="240" w:lineRule="auto"/>
              <w:rPr>
                <w:rFonts w:cs="Arial"/>
                <w:bCs/>
                <w:iCs/>
                <w:color w:val="0D0D0D" w:themeColor="text1" w:themeTint="F2"/>
                <w:spacing w:val="-4"/>
                <w:sz w:val="16"/>
                <w:szCs w:val="16"/>
              </w:rPr>
            </w:pPr>
          </w:p>
          <w:p w:rsidR="0036710C" w:rsidRDefault="0036710C" w:rsidP="00853C0F">
            <w:pPr>
              <w:spacing w:line="240" w:lineRule="auto"/>
              <w:rPr>
                <w:rFonts w:cs="Arial"/>
                <w:bCs/>
                <w:iCs/>
                <w:color w:val="0D0D0D" w:themeColor="text1" w:themeTint="F2"/>
                <w:spacing w:val="-4"/>
                <w:sz w:val="16"/>
                <w:szCs w:val="16"/>
              </w:rPr>
            </w:pPr>
            <w:r>
              <w:rPr>
                <w:rFonts w:cs="Arial"/>
                <w:bCs/>
                <w:iCs/>
                <w:color w:val="0D0D0D" w:themeColor="text1" w:themeTint="F2"/>
                <w:spacing w:val="-4"/>
                <w:sz w:val="16"/>
                <w:szCs w:val="16"/>
              </w:rPr>
              <w:t>Na jedno pracovní místo připadalo nejméně uchazečů od poloviny 90. let. V téměř 30 % okresů převažovala nabídka míst nad počty uchazečů o</w:t>
            </w:r>
            <w:r w:rsidRPr="003804E1">
              <w:rPr>
                <w:rFonts w:cs="Arial"/>
                <w:bCs/>
                <w:iCs/>
                <w:color w:val="0D0D0D" w:themeColor="text1" w:themeTint="F2"/>
                <w:spacing w:val="-4"/>
                <w:sz w:val="16"/>
                <w:szCs w:val="16"/>
              </w:rPr>
              <w:t> </w:t>
            </w:r>
            <w:r>
              <w:rPr>
                <w:rFonts w:cs="Arial"/>
                <w:bCs/>
                <w:iCs/>
                <w:color w:val="0D0D0D" w:themeColor="text1" w:themeTint="F2"/>
                <w:spacing w:val="-4"/>
                <w:sz w:val="16"/>
                <w:szCs w:val="16"/>
              </w:rPr>
              <w:t>práci.</w:t>
            </w:r>
          </w:p>
          <w:p w:rsidR="0036710C" w:rsidRDefault="0036710C" w:rsidP="00853C0F">
            <w:pPr>
              <w:spacing w:line="240" w:lineRule="auto"/>
              <w:rPr>
                <w:rFonts w:cs="Arial"/>
                <w:bCs/>
                <w:iCs/>
                <w:color w:val="0D0D0D" w:themeColor="text1" w:themeTint="F2"/>
                <w:spacing w:val="-4"/>
                <w:sz w:val="16"/>
                <w:szCs w:val="16"/>
              </w:rPr>
            </w:pPr>
          </w:p>
          <w:p w:rsidR="0036710C" w:rsidRDefault="0036710C" w:rsidP="00853C0F">
            <w:pPr>
              <w:spacing w:line="240" w:lineRule="auto"/>
              <w:rPr>
                <w:rFonts w:cs="Arial"/>
                <w:bCs/>
                <w:iCs/>
                <w:color w:val="0D0D0D" w:themeColor="text1" w:themeTint="F2"/>
                <w:spacing w:val="-4"/>
                <w:sz w:val="16"/>
                <w:szCs w:val="16"/>
              </w:rPr>
            </w:pPr>
          </w:p>
          <w:p w:rsidR="0036710C" w:rsidRDefault="0036710C" w:rsidP="00853C0F">
            <w:pPr>
              <w:spacing w:line="240" w:lineRule="auto"/>
              <w:rPr>
                <w:rFonts w:cs="Arial"/>
                <w:bCs/>
                <w:iCs/>
                <w:color w:val="0D0D0D" w:themeColor="text1" w:themeTint="F2"/>
                <w:spacing w:val="-4"/>
                <w:sz w:val="16"/>
                <w:szCs w:val="16"/>
              </w:rPr>
            </w:pPr>
          </w:p>
          <w:p w:rsidR="0036710C" w:rsidRPr="003804E1" w:rsidRDefault="0036710C" w:rsidP="00853C0F">
            <w:pPr>
              <w:spacing w:line="240" w:lineRule="auto"/>
              <w:rPr>
                <w:rFonts w:cs="Arial"/>
                <w:bCs/>
                <w:iCs/>
                <w:color w:val="0D0D0D" w:themeColor="text1" w:themeTint="F2"/>
                <w:spacing w:val="-4"/>
                <w:sz w:val="16"/>
                <w:szCs w:val="16"/>
              </w:rPr>
            </w:pPr>
          </w:p>
          <w:p w:rsidR="0036710C" w:rsidRPr="003804E1" w:rsidRDefault="0036710C" w:rsidP="00853C0F">
            <w:pPr>
              <w:spacing w:line="240" w:lineRule="auto"/>
              <w:rPr>
                <w:rFonts w:cs="Arial"/>
                <w:bCs/>
                <w:iCs/>
                <w:color w:val="0D0D0D" w:themeColor="text1" w:themeTint="F2"/>
                <w:spacing w:val="-4"/>
                <w:sz w:val="16"/>
                <w:szCs w:val="16"/>
              </w:rPr>
            </w:pPr>
          </w:p>
          <w:p w:rsidR="0036710C" w:rsidRPr="003804E1" w:rsidRDefault="0036710C" w:rsidP="00853C0F">
            <w:pPr>
              <w:spacing w:line="240" w:lineRule="auto"/>
              <w:rPr>
                <w:rFonts w:cs="Arial"/>
                <w:bCs/>
                <w:iCs/>
                <w:color w:val="0D0D0D" w:themeColor="text1" w:themeTint="F2"/>
                <w:spacing w:val="-4"/>
                <w:sz w:val="16"/>
                <w:szCs w:val="16"/>
              </w:rPr>
            </w:pPr>
            <w:r w:rsidRPr="003804E1">
              <w:rPr>
                <w:rFonts w:cs="Arial"/>
                <w:bCs/>
                <w:iCs/>
                <w:color w:val="0D0D0D" w:themeColor="text1" w:themeTint="F2"/>
                <w:spacing w:val="-4"/>
                <w:sz w:val="16"/>
                <w:szCs w:val="16"/>
              </w:rPr>
              <w:t xml:space="preserve">Téměř tři čtvrtiny </w:t>
            </w:r>
            <w:r>
              <w:rPr>
                <w:rFonts w:cs="Arial"/>
                <w:bCs/>
                <w:iCs/>
                <w:color w:val="0D0D0D" w:themeColor="text1" w:themeTint="F2"/>
                <w:spacing w:val="-4"/>
                <w:sz w:val="16"/>
                <w:szCs w:val="16"/>
              </w:rPr>
              <w:t>z</w:t>
            </w:r>
            <w:r w:rsidRPr="003804E1">
              <w:rPr>
                <w:rFonts w:cs="Arial"/>
                <w:bCs/>
                <w:iCs/>
                <w:color w:val="0D0D0D" w:themeColor="text1" w:themeTint="F2"/>
                <w:spacing w:val="-4"/>
                <w:sz w:val="16"/>
                <w:szCs w:val="16"/>
              </w:rPr>
              <w:t> meziročního přírůstku volných míst tvořily pozice s</w:t>
            </w:r>
            <w:r>
              <w:rPr>
                <w:rFonts w:cs="Arial"/>
                <w:bCs/>
                <w:iCs/>
                <w:color w:val="0D0D0D" w:themeColor="text1" w:themeTint="F2"/>
                <w:spacing w:val="-4"/>
                <w:sz w:val="16"/>
                <w:szCs w:val="16"/>
              </w:rPr>
              <w:t xml:space="preserve"> velmi </w:t>
            </w:r>
            <w:r w:rsidRPr="003804E1">
              <w:rPr>
                <w:rFonts w:cs="Arial"/>
                <w:bCs/>
                <w:iCs/>
                <w:color w:val="0D0D0D" w:themeColor="text1" w:themeTint="F2"/>
                <w:spacing w:val="-4"/>
                <w:sz w:val="16"/>
                <w:szCs w:val="16"/>
              </w:rPr>
              <w:t>nízkými nároky na kvalifikaci.</w:t>
            </w:r>
          </w:p>
          <w:p w:rsidR="0036710C" w:rsidRPr="00A7478D" w:rsidRDefault="0036710C" w:rsidP="00853C0F">
            <w:pPr>
              <w:spacing w:line="240" w:lineRule="auto"/>
              <w:rPr>
                <w:rFonts w:cs="Arial"/>
                <w:bCs/>
                <w:iCs/>
                <w:color w:val="0D0D0D" w:themeColor="text1" w:themeTint="F2"/>
                <w:spacing w:val="-2"/>
                <w:sz w:val="16"/>
                <w:szCs w:val="16"/>
              </w:rPr>
            </w:pPr>
          </w:p>
        </w:tc>
        <w:tc>
          <w:tcPr>
            <w:tcW w:w="144" w:type="pct"/>
          </w:tcPr>
          <w:p w:rsidR="0036710C" w:rsidRPr="00A90EFD" w:rsidRDefault="0036710C" w:rsidP="00853C0F">
            <w:pPr>
              <w:pStyle w:val="Textpoznpodarou"/>
              <w:jc w:val="both"/>
              <w:rPr>
                <w:rFonts w:cs="Arial"/>
                <w:color w:val="0D0D0D" w:themeColor="text1" w:themeTint="F2"/>
              </w:rPr>
            </w:pPr>
          </w:p>
        </w:tc>
        <w:tc>
          <w:tcPr>
            <w:tcW w:w="3840" w:type="pct"/>
          </w:tcPr>
          <w:p w:rsidR="0036710C" w:rsidRPr="005A0ABB" w:rsidRDefault="0036710C" w:rsidP="00853C0F">
            <w:pPr>
              <w:pStyle w:val="Textpoznpodarou"/>
              <w:jc w:val="both"/>
              <w:rPr>
                <w:rFonts w:cs="Arial"/>
                <w:color w:val="0D0D0D" w:themeColor="text1" w:themeTint="F2"/>
                <w:spacing w:val="-4"/>
              </w:rPr>
            </w:pPr>
            <w:r w:rsidRPr="00A02F1E">
              <w:rPr>
                <w:rFonts w:cs="Arial"/>
                <w:color w:val="0D0D0D" w:themeColor="text1" w:themeTint="F2"/>
                <w:spacing w:val="-4"/>
              </w:rPr>
              <w:t>Obecná míra nezaměstnanosti</w:t>
            </w:r>
            <w:r>
              <w:rPr>
                <w:rFonts w:cs="Arial"/>
                <w:color w:val="0D0D0D" w:themeColor="text1" w:themeTint="F2"/>
                <w:spacing w:val="-4"/>
              </w:rPr>
              <w:t xml:space="preserve"> od počátku roku nadále klesala a v červnu</w:t>
            </w:r>
            <w:r w:rsidRPr="001639F9">
              <w:rPr>
                <w:rFonts w:cs="Arial"/>
                <w:color w:val="0D0D0D" w:themeColor="text1" w:themeTint="F2"/>
                <w:spacing w:val="-4"/>
              </w:rPr>
              <w:t xml:space="preserve"> </w:t>
            </w:r>
            <w:r>
              <w:rPr>
                <w:rFonts w:cs="Arial"/>
                <w:color w:val="0D0D0D" w:themeColor="text1" w:themeTint="F2"/>
                <w:spacing w:val="-4"/>
              </w:rPr>
              <w:t xml:space="preserve">2017 </w:t>
            </w:r>
            <w:r w:rsidRPr="001639F9">
              <w:rPr>
                <w:rFonts w:cs="Arial"/>
                <w:color w:val="0D0D0D" w:themeColor="text1" w:themeTint="F2"/>
                <w:spacing w:val="-4"/>
              </w:rPr>
              <w:t xml:space="preserve">dosáhla dle sezónně očištěných údajů </w:t>
            </w:r>
            <w:r>
              <w:rPr>
                <w:rFonts w:cs="Arial"/>
                <w:color w:val="0D0D0D" w:themeColor="text1" w:themeTint="F2"/>
                <w:spacing w:val="-4"/>
              </w:rPr>
              <w:t>dosud rekordní hodnoty v historii ČR: 2</w:t>
            </w:r>
            <w:r w:rsidRPr="001639F9">
              <w:rPr>
                <w:rFonts w:cs="Arial"/>
                <w:color w:val="0D0D0D" w:themeColor="text1" w:themeTint="F2"/>
                <w:spacing w:val="-4"/>
              </w:rPr>
              <w:t>,4 %</w:t>
            </w:r>
            <w:r>
              <w:rPr>
                <w:rFonts w:cs="Arial"/>
                <w:color w:val="0D0D0D" w:themeColor="text1" w:themeTint="F2"/>
                <w:spacing w:val="-4"/>
              </w:rPr>
              <w:t xml:space="preserve"> (u mužů), resp. 3,5 % (u žen). Počet všech nezaměstnaných se meziročně snížil o téměř čtvrtinu a ve 2. čtvrtletí čítal 159 tis. osob. Tento pozitivní vývoj letos (podobě jako vloni) souvisel s redukcí počtu nezaměstnaných, kteří byli bez práce déle než rok. Oproti 2. čtvrtletí 2017 </w:t>
            </w:r>
            <w:r w:rsidR="00352482">
              <w:rPr>
                <w:rFonts w:cs="Arial"/>
                <w:color w:val="0D0D0D" w:themeColor="text1" w:themeTint="F2"/>
                <w:spacing w:val="-4"/>
              </w:rPr>
              <w:t xml:space="preserve">se </w:t>
            </w:r>
            <w:r>
              <w:rPr>
                <w:rFonts w:cs="Arial"/>
                <w:color w:val="0D0D0D" w:themeColor="text1" w:themeTint="F2"/>
                <w:spacing w:val="-4"/>
              </w:rPr>
              <w:t>jejich stavy o třetinu zmenšily (absolutně o 32 tis. osob). Míra nezaměstnanosti poklesla ve všech hlavních vzdělanostních skupinách. Podstatně se zlepšila situace sice v nepočetné, ale všeobecně znevýhodněné skupině osob s maximálně základním vzděláním</w:t>
            </w:r>
            <w:r>
              <w:rPr>
                <w:rStyle w:val="Znakapoznpodarou"/>
                <w:color w:val="0D0D0D" w:themeColor="text1" w:themeTint="F2"/>
                <w:spacing w:val="-4"/>
              </w:rPr>
              <w:footnoteReference w:id="24"/>
            </w:r>
            <w:r>
              <w:rPr>
                <w:rFonts w:cs="Arial"/>
                <w:color w:val="0D0D0D" w:themeColor="text1" w:themeTint="F2"/>
                <w:spacing w:val="-4"/>
              </w:rPr>
              <w:t>.</w:t>
            </w:r>
            <w:r w:rsidRPr="001639F9">
              <w:rPr>
                <w:rFonts w:cs="Arial"/>
                <w:color w:val="0D0D0D" w:themeColor="text1" w:themeTint="F2"/>
                <w:spacing w:val="-4"/>
              </w:rPr>
              <w:t xml:space="preserve"> </w:t>
            </w:r>
            <w:r>
              <w:rPr>
                <w:rFonts w:cs="Arial"/>
                <w:color w:val="0D0D0D" w:themeColor="text1" w:themeTint="F2"/>
                <w:spacing w:val="-4"/>
              </w:rPr>
              <w:t>Redukci nezaměstnanosti doprovázela</w:t>
            </w:r>
            <w:r w:rsidRPr="001639F9">
              <w:rPr>
                <w:rFonts w:cs="Arial"/>
                <w:color w:val="0D0D0D" w:themeColor="text1" w:themeTint="F2"/>
                <w:spacing w:val="-4"/>
              </w:rPr>
              <w:t xml:space="preserve"> neustále se rozšiřující </w:t>
            </w:r>
            <w:r>
              <w:rPr>
                <w:rFonts w:cs="Arial"/>
                <w:color w:val="0D0D0D" w:themeColor="text1" w:themeTint="F2"/>
                <w:spacing w:val="-4"/>
              </w:rPr>
              <w:t>nabídka</w:t>
            </w:r>
            <w:r w:rsidRPr="001639F9">
              <w:rPr>
                <w:rFonts w:cs="Arial"/>
                <w:color w:val="0D0D0D" w:themeColor="text1" w:themeTint="F2"/>
                <w:spacing w:val="-4"/>
              </w:rPr>
              <w:t xml:space="preserve"> </w:t>
            </w:r>
            <w:r>
              <w:rPr>
                <w:rFonts w:cs="Arial"/>
                <w:color w:val="0D0D0D" w:themeColor="text1" w:themeTint="F2"/>
                <w:spacing w:val="-4"/>
              </w:rPr>
              <w:t xml:space="preserve">neobsazených </w:t>
            </w:r>
            <w:r w:rsidRPr="001639F9">
              <w:rPr>
                <w:rFonts w:cs="Arial"/>
                <w:color w:val="0D0D0D" w:themeColor="text1" w:themeTint="F2"/>
                <w:spacing w:val="-4"/>
              </w:rPr>
              <w:t xml:space="preserve">pracovních míst. </w:t>
            </w:r>
            <w:r>
              <w:rPr>
                <w:rFonts w:cs="Arial"/>
                <w:color w:val="0D0D0D" w:themeColor="text1" w:themeTint="F2"/>
                <w:spacing w:val="-4"/>
              </w:rPr>
              <w:t>Jejich počet v evidenci úřadů práce (ÚP)</w:t>
            </w:r>
            <w:r w:rsidRPr="001639F9">
              <w:rPr>
                <w:rFonts w:cs="Arial"/>
                <w:color w:val="0D0D0D" w:themeColor="text1" w:themeTint="F2"/>
                <w:spacing w:val="-4"/>
              </w:rPr>
              <w:t xml:space="preserve"> na počátku </w:t>
            </w:r>
            <w:r>
              <w:rPr>
                <w:rFonts w:cs="Arial"/>
                <w:color w:val="0D0D0D" w:themeColor="text1" w:themeTint="F2"/>
                <w:spacing w:val="-4"/>
              </w:rPr>
              <w:t xml:space="preserve">roku výrazně </w:t>
            </w:r>
            <w:r w:rsidRPr="001639F9">
              <w:rPr>
                <w:rFonts w:cs="Arial"/>
                <w:color w:val="0D0D0D" w:themeColor="text1" w:themeTint="F2"/>
                <w:spacing w:val="-4"/>
              </w:rPr>
              <w:t>zrychlil. Letošní navýšení v</w:t>
            </w:r>
            <w:r>
              <w:rPr>
                <w:rFonts w:cs="Arial"/>
                <w:color w:val="0D0D0D" w:themeColor="text1" w:themeTint="F2"/>
                <w:spacing w:val="-4"/>
              </w:rPr>
              <w:t>olných míst bylo v rámci prvních pololetí</w:t>
            </w:r>
            <w:r w:rsidRPr="001639F9">
              <w:rPr>
                <w:rFonts w:cs="Arial"/>
                <w:color w:val="0D0D0D" w:themeColor="text1" w:themeTint="F2"/>
                <w:spacing w:val="-4"/>
              </w:rPr>
              <w:t xml:space="preserve"> nejvyšší od doby sledování</w:t>
            </w:r>
            <w:r>
              <w:rPr>
                <w:rFonts w:cs="Arial"/>
                <w:color w:val="0D0D0D" w:themeColor="text1" w:themeTint="F2"/>
                <w:spacing w:val="-4"/>
              </w:rPr>
              <w:t>. Na konci června bylo v nabídce 183,5 tis. volných pozic. Na jedno volné místo tak připadalo 1,6 uchazeče, nejméně od poloviny 90. let. Šance na pracovní uplatnění se meziročně v průměru téměř zdvojnásobila. Ve více než čtvrtině okresů dokonce převažovala nabídka míst nad počtem registrovaných uchazečů o práci. Naopak více než tři uchazeči připadali na místo jen ve dvanácti okresech (a v krajích Ústeckém a Moravskoslezském). Téměř tři čtvrtiny z meziročního přírůstku míst (50 tis.) zahrnovaly práce s minimální kvalifikací (na které postačovalo základní vzdělání). Ty tvořily v červnu 2017 již mírně nadpoloviční podíl z celkové nabídky míst. Nadále platilo, že nejlépe se uplatňovali kvalifikovaní</w:t>
            </w:r>
            <w:r w:rsidRPr="001639F9">
              <w:rPr>
                <w:rFonts w:cs="Arial"/>
                <w:color w:val="0D0D0D" w:themeColor="text1" w:themeTint="F2"/>
                <w:spacing w:val="-4"/>
              </w:rPr>
              <w:t xml:space="preserve"> manuální pracovníci – řemeslníci a opraváři </w:t>
            </w:r>
            <w:r>
              <w:rPr>
                <w:rFonts w:cs="Arial"/>
                <w:color w:val="0D0D0D" w:themeColor="text1" w:themeTint="F2"/>
                <w:spacing w:val="-4"/>
              </w:rPr>
              <w:t>a montéři a</w:t>
            </w:r>
            <w:r w:rsidRPr="001639F9">
              <w:rPr>
                <w:rFonts w:cs="Arial"/>
                <w:color w:val="0D0D0D" w:themeColor="text1" w:themeTint="F2"/>
                <w:spacing w:val="-4"/>
              </w:rPr>
              <w:t> osoby obsluhující stroje a zařízení</w:t>
            </w:r>
            <w:r>
              <w:rPr>
                <w:rFonts w:cs="Arial"/>
                <w:color w:val="0D0D0D" w:themeColor="text1" w:themeTint="F2"/>
                <w:spacing w:val="-4"/>
              </w:rPr>
              <w:t xml:space="preserve"> </w:t>
            </w:r>
            <w:r w:rsidRPr="001639F9">
              <w:rPr>
                <w:rFonts w:cs="Arial"/>
                <w:color w:val="0D0D0D" w:themeColor="text1" w:themeTint="F2"/>
                <w:spacing w:val="-4"/>
              </w:rPr>
              <w:t>–</w:t>
            </w:r>
            <w:r>
              <w:rPr>
                <w:rFonts w:cs="Arial"/>
                <w:color w:val="0D0D0D" w:themeColor="text1" w:themeTint="F2"/>
                <w:spacing w:val="-4"/>
              </w:rPr>
              <w:t xml:space="preserve"> u kterých již docházelo k převisu nabídky míst nad poptávkou. Naopak pro uchazeče s vysokoškolským vzděláním bylo vhodných jen 9,1 tis. volných míst z nabídky ÚP. Počet těchto míst proti loňskému červnu vzrostl jen o 2,5 tis. </w:t>
            </w:r>
          </w:p>
        </w:tc>
      </w:tr>
      <w:tr w:rsidR="0036710C" w:rsidRPr="0094422D" w:rsidTr="00853C0F">
        <w:trPr>
          <w:trHeight w:val="145"/>
        </w:trPr>
        <w:tc>
          <w:tcPr>
            <w:tcW w:w="1016" w:type="pct"/>
            <w:shd w:val="clear" w:color="auto" w:fill="auto"/>
          </w:tcPr>
          <w:p w:rsidR="0036710C" w:rsidRPr="00D02B7C" w:rsidRDefault="0036710C" w:rsidP="00853C0F">
            <w:pPr>
              <w:spacing w:line="240" w:lineRule="auto"/>
              <w:rPr>
                <w:rFonts w:cs="Arial"/>
                <w:bCs/>
                <w:iCs/>
                <w:color w:val="0D0D0D" w:themeColor="text1" w:themeTint="F2"/>
                <w:sz w:val="16"/>
                <w:szCs w:val="16"/>
              </w:rPr>
            </w:pPr>
          </w:p>
        </w:tc>
        <w:tc>
          <w:tcPr>
            <w:tcW w:w="144" w:type="pct"/>
          </w:tcPr>
          <w:p w:rsidR="0036710C" w:rsidRPr="00A90EFD" w:rsidRDefault="0036710C" w:rsidP="00853C0F">
            <w:pPr>
              <w:pStyle w:val="Textpoznpodarou"/>
              <w:jc w:val="both"/>
              <w:rPr>
                <w:rFonts w:cs="Arial"/>
                <w:color w:val="0D0D0D" w:themeColor="text1" w:themeTint="F2"/>
              </w:rPr>
            </w:pPr>
          </w:p>
        </w:tc>
        <w:tc>
          <w:tcPr>
            <w:tcW w:w="3840" w:type="pct"/>
          </w:tcPr>
          <w:p w:rsidR="0036710C" w:rsidRPr="00751FC1" w:rsidRDefault="0036710C" w:rsidP="00853C0F">
            <w:pPr>
              <w:pStyle w:val="Textpoznpodarou"/>
              <w:jc w:val="both"/>
              <w:rPr>
                <w:rFonts w:cs="Arial"/>
                <w:color w:val="0D0D0D" w:themeColor="text1" w:themeTint="F2"/>
                <w:spacing w:val="-2"/>
              </w:rPr>
            </w:pPr>
            <w:r w:rsidRPr="00E61FDD">
              <w:rPr>
                <w:rFonts w:cs="Arial"/>
                <w:color w:val="0D0D0D" w:themeColor="text1" w:themeTint="F2"/>
                <w:spacing w:val="-4"/>
              </w:rPr>
              <w:t xml:space="preserve">Pokračující pokles nezaměstnanosti dále redukoval </w:t>
            </w:r>
            <w:r>
              <w:rPr>
                <w:rFonts w:cs="Arial"/>
                <w:color w:val="0D0D0D" w:themeColor="text1" w:themeTint="F2"/>
                <w:spacing w:val="-4"/>
              </w:rPr>
              <w:t>zdroje využitelné pracovní síly. M</w:t>
            </w:r>
            <w:r w:rsidRPr="00E61FDD">
              <w:rPr>
                <w:rFonts w:cs="Arial"/>
                <w:color w:val="0D0D0D" w:themeColor="text1" w:themeTint="F2"/>
                <w:spacing w:val="-4"/>
              </w:rPr>
              <w:t>eziročně se snížil i počet neaktivních osob, které uváděly, že by chtěly pracovat</w:t>
            </w:r>
            <w:r>
              <w:rPr>
                <w:rFonts w:cs="Arial"/>
                <w:color w:val="0D0D0D" w:themeColor="text1" w:themeTint="F2"/>
                <w:spacing w:val="-4"/>
              </w:rPr>
              <w:t>, ale práci aktivně nehledaly (na 120 tis. osob ve 2. čtvrtletí)</w:t>
            </w:r>
            <w:r>
              <w:rPr>
                <w:rStyle w:val="Znakapoznpodarou"/>
                <w:color w:val="0D0D0D" w:themeColor="text1" w:themeTint="F2"/>
                <w:spacing w:val="-4"/>
              </w:rPr>
              <w:footnoteReference w:id="25"/>
            </w:r>
            <w:r w:rsidRPr="00E61FDD">
              <w:rPr>
                <w:rFonts w:cs="Arial"/>
                <w:color w:val="0D0D0D" w:themeColor="text1" w:themeTint="F2"/>
                <w:spacing w:val="-4"/>
              </w:rPr>
              <w:t xml:space="preserve">. Podniky tak </w:t>
            </w:r>
            <w:r>
              <w:rPr>
                <w:rFonts w:cs="Arial"/>
                <w:color w:val="0D0D0D" w:themeColor="text1" w:themeTint="F2"/>
                <w:spacing w:val="-4"/>
              </w:rPr>
              <w:t>své potřeby dalších lidských zdrojů</w:t>
            </w:r>
            <w:r w:rsidRPr="00E61FDD">
              <w:rPr>
                <w:rFonts w:cs="Arial"/>
                <w:color w:val="0D0D0D" w:themeColor="text1" w:themeTint="F2"/>
                <w:spacing w:val="-4"/>
              </w:rPr>
              <w:t xml:space="preserve"> musely stále častěji řešit přetahováním stávajících zaměstnanců na pracovním trhu</w:t>
            </w:r>
            <w:r>
              <w:rPr>
                <w:rFonts w:cs="Arial"/>
                <w:color w:val="0D0D0D" w:themeColor="text1" w:themeTint="F2"/>
                <w:spacing w:val="-4"/>
              </w:rPr>
              <w:t xml:space="preserve">. To se muselo odrazit v častějším využití náborových příspěvků, pracovních </w:t>
            </w:r>
            <w:proofErr w:type="spellStart"/>
            <w:r>
              <w:rPr>
                <w:rFonts w:cs="Arial"/>
                <w:color w:val="0D0D0D" w:themeColor="text1" w:themeTint="F2"/>
                <w:spacing w:val="-4"/>
              </w:rPr>
              <w:t>benefitů</w:t>
            </w:r>
            <w:proofErr w:type="spellEnd"/>
            <w:r>
              <w:rPr>
                <w:rFonts w:cs="Arial"/>
                <w:color w:val="0D0D0D" w:themeColor="text1" w:themeTint="F2"/>
                <w:spacing w:val="-4"/>
              </w:rPr>
              <w:t xml:space="preserve">, ale zejména růstem průměrných výdělků. </w:t>
            </w:r>
          </w:p>
        </w:tc>
      </w:tr>
    </w:tbl>
    <w:p w:rsidR="0036710C" w:rsidRPr="00814E7D" w:rsidRDefault="0036710C" w:rsidP="0036710C">
      <w:pPr>
        <w:pStyle w:val="Textpoznpodarou"/>
        <w:jc w:val="both"/>
        <w:rPr>
          <w:rFonts w:cs="Arial"/>
          <w:color w:val="000000"/>
          <w:spacing w:val="-2"/>
          <w:sz w:val="15"/>
          <w:szCs w:val="15"/>
        </w:rPr>
      </w:pPr>
    </w:p>
    <w:tbl>
      <w:tblPr>
        <w:tblW w:w="4963" w:type="pct"/>
        <w:tblInd w:w="108" w:type="dxa"/>
        <w:tblLayout w:type="fixed"/>
        <w:tblLook w:val="00A0"/>
      </w:tblPr>
      <w:tblGrid>
        <w:gridCol w:w="1997"/>
        <w:gridCol w:w="284"/>
        <w:gridCol w:w="1119"/>
        <w:gridCol w:w="6381"/>
      </w:tblGrid>
      <w:tr w:rsidR="0036710C" w:rsidRPr="00AA4A76" w:rsidTr="00853C0F">
        <w:trPr>
          <w:trHeight w:val="145"/>
        </w:trPr>
        <w:tc>
          <w:tcPr>
            <w:tcW w:w="1021" w:type="pct"/>
            <w:shd w:val="clear" w:color="auto" w:fill="auto"/>
          </w:tcPr>
          <w:p w:rsidR="0036710C" w:rsidRPr="00AA4A76" w:rsidRDefault="0036710C" w:rsidP="00853C0F">
            <w:pPr>
              <w:spacing w:line="240" w:lineRule="auto"/>
              <w:jc w:val="center"/>
              <w:rPr>
                <w:color w:val="000000"/>
                <w:szCs w:val="20"/>
              </w:rPr>
            </w:pPr>
          </w:p>
        </w:tc>
        <w:tc>
          <w:tcPr>
            <w:tcW w:w="145" w:type="pct"/>
          </w:tcPr>
          <w:p w:rsidR="0036710C" w:rsidRPr="00AA4A76" w:rsidRDefault="0036710C" w:rsidP="00853C0F">
            <w:pPr>
              <w:pStyle w:val="Textpoznpodarou"/>
              <w:jc w:val="both"/>
              <w:rPr>
                <w:highlight w:val="yellow"/>
              </w:rPr>
            </w:pPr>
          </w:p>
        </w:tc>
        <w:tc>
          <w:tcPr>
            <w:tcW w:w="572" w:type="pct"/>
          </w:tcPr>
          <w:p w:rsidR="0036710C" w:rsidRPr="00AA4A76" w:rsidRDefault="0036710C" w:rsidP="00853C0F">
            <w:pPr>
              <w:pStyle w:val="Textpoznpodarou"/>
              <w:jc w:val="both"/>
              <w:rPr>
                <w:highlight w:val="yellow"/>
              </w:rPr>
            </w:pPr>
            <w:r>
              <w:rPr>
                <w:color w:val="000000"/>
              </w:rPr>
              <w:t>Graf č. 17</w:t>
            </w:r>
          </w:p>
        </w:tc>
        <w:tc>
          <w:tcPr>
            <w:tcW w:w="3262" w:type="pct"/>
          </w:tcPr>
          <w:p w:rsidR="0036710C" w:rsidRDefault="002633E5" w:rsidP="00853C0F">
            <w:pPr>
              <w:pStyle w:val="Textpoznpodarou"/>
              <w:rPr>
                <w:b/>
                <w:spacing w:val="-2"/>
                <w:lang w:eastAsia="en-US"/>
              </w:rPr>
            </w:pPr>
            <w:r>
              <w:rPr>
                <w:b/>
                <w:spacing w:val="-2"/>
                <w:lang w:eastAsia="en-US"/>
              </w:rPr>
              <w:t>Průměrná h</w:t>
            </w:r>
            <w:r w:rsidR="0036710C">
              <w:rPr>
                <w:b/>
                <w:spacing w:val="-2"/>
                <w:lang w:eastAsia="en-US"/>
              </w:rPr>
              <w:t xml:space="preserve">rubá měsíční mzda </w:t>
            </w:r>
            <w:r>
              <w:rPr>
                <w:b/>
                <w:spacing w:val="-2"/>
                <w:lang w:eastAsia="en-US"/>
              </w:rPr>
              <w:t xml:space="preserve">a </w:t>
            </w:r>
            <w:r w:rsidR="0036710C">
              <w:rPr>
                <w:b/>
                <w:spacing w:val="-2"/>
                <w:lang w:eastAsia="en-US"/>
              </w:rPr>
              <w:t>mzdový medián</w:t>
            </w:r>
          </w:p>
          <w:p w:rsidR="0036710C" w:rsidRPr="00886A8F" w:rsidRDefault="0036710C" w:rsidP="00853C0F">
            <w:pPr>
              <w:pStyle w:val="Textpoznpodarou"/>
              <w:rPr>
                <w:spacing w:val="-2"/>
                <w:lang w:eastAsia="en-US"/>
              </w:rPr>
            </w:pPr>
            <w:r w:rsidRPr="00582DA0">
              <w:rPr>
                <w:spacing w:val="-6"/>
                <w:lang w:eastAsia="en-US"/>
              </w:rPr>
              <w:t>(</w:t>
            </w:r>
            <w:r>
              <w:rPr>
                <w:spacing w:val="-6"/>
                <w:lang w:eastAsia="en-US"/>
              </w:rPr>
              <w:t xml:space="preserve">na </w:t>
            </w:r>
            <w:r w:rsidRPr="00582DA0">
              <w:rPr>
                <w:spacing w:val="-6"/>
                <w:lang w:eastAsia="en-US"/>
              </w:rPr>
              <w:t>přepo</w:t>
            </w:r>
            <w:r>
              <w:rPr>
                <w:spacing w:val="-6"/>
                <w:lang w:eastAsia="en-US"/>
              </w:rPr>
              <w:t xml:space="preserve">čtené počty zaměstnanců, </w:t>
            </w:r>
            <w:r w:rsidRPr="00E62A33">
              <w:rPr>
                <w:spacing w:val="-2"/>
              </w:rPr>
              <w:t>meziročně</w:t>
            </w:r>
            <w:r w:rsidRPr="00E62A33">
              <w:rPr>
                <w:bCs/>
                <w:spacing w:val="-2"/>
              </w:rPr>
              <w:t xml:space="preserve"> v %)</w:t>
            </w:r>
          </w:p>
        </w:tc>
      </w:tr>
      <w:tr w:rsidR="0036710C" w:rsidRPr="00AA4A76" w:rsidTr="00853C0F">
        <w:trPr>
          <w:trHeight w:val="145"/>
        </w:trPr>
        <w:tc>
          <w:tcPr>
            <w:tcW w:w="1021" w:type="pct"/>
            <w:shd w:val="clear" w:color="auto" w:fill="auto"/>
          </w:tcPr>
          <w:p w:rsidR="0036710C" w:rsidRPr="006D3F53" w:rsidRDefault="0036710C" w:rsidP="00853C0F">
            <w:pPr>
              <w:spacing w:line="240" w:lineRule="auto"/>
              <w:rPr>
                <w:color w:val="000000"/>
                <w:sz w:val="16"/>
                <w:szCs w:val="16"/>
                <w:highlight w:val="yellow"/>
              </w:rPr>
            </w:pPr>
          </w:p>
        </w:tc>
        <w:tc>
          <w:tcPr>
            <w:tcW w:w="145" w:type="pct"/>
          </w:tcPr>
          <w:p w:rsidR="0036710C" w:rsidRPr="00A74192" w:rsidRDefault="0036710C" w:rsidP="00853C0F">
            <w:pPr>
              <w:pStyle w:val="Textpoznpodarou"/>
              <w:jc w:val="both"/>
            </w:pPr>
          </w:p>
        </w:tc>
        <w:tc>
          <w:tcPr>
            <w:tcW w:w="3834" w:type="pct"/>
            <w:gridSpan w:val="2"/>
          </w:tcPr>
          <w:p w:rsidR="0036710C" w:rsidRDefault="0036710C" w:rsidP="00853C0F">
            <w:pPr>
              <w:pStyle w:val="Textpoznpodarou"/>
              <w:ind w:left="-124"/>
              <w:jc w:val="both"/>
              <w:rPr>
                <w:sz w:val="16"/>
                <w:szCs w:val="16"/>
              </w:rPr>
            </w:pPr>
            <w:r w:rsidRPr="00702AD8">
              <w:rPr>
                <w:noProof/>
                <w:sz w:val="16"/>
                <w:szCs w:val="16"/>
              </w:rPr>
              <w:drawing>
                <wp:inline distT="0" distB="0" distL="0" distR="0">
                  <wp:extent cx="4735830" cy="3460089"/>
                  <wp:effectExtent l="0" t="0" r="0" b="0"/>
                  <wp:docPr id="3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6710C" w:rsidRPr="00535F78" w:rsidRDefault="0036710C" w:rsidP="00853C0F">
            <w:pPr>
              <w:pStyle w:val="Textpoznpodarou"/>
              <w:ind w:left="-124"/>
              <w:jc w:val="right"/>
              <w:rPr>
                <w:sz w:val="14"/>
                <w:szCs w:val="14"/>
              </w:rPr>
            </w:pPr>
            <w:r>
              <w:rPr>
                <w:rFonts w:cs="Arial"/>
                <w:sz w:val="14"/>
                <w:szCs w:val="14"/>
              </w:rPr>
              <w:t xml:space="preserve"> </w:t>
            </w:r>
            <w:r w:rsidRPr="00535F78">
              <w:rPr>
                <w:rFonts w:cs="Arial"/>
                <w:sz w:val="14"/>
                <w:szCs w:val="14"/>
              </w:rPr>
              <w:t xml:space="preserve">Zdroj: </w:t>
            </w:r>
            <w:r>
              <w:rPr>
                <w:rFonts w:cs="Arial"/>
                <w:sz w:val="14"/>
                <w:szCs w:val="14"/>
              </w:rPr>
              <w:t>ČSÚ</w:t>
            </w:r>
          </w:p>
        </w:tc>
      </w:tr>
    </w:tbl>
    <w:p w:rsidR="0036710C" w:rsidRPr="0074690B" w:rsidRDefault="0036710C" w:rsidP="0036710C">
      <w:pPr>
        <w:pStyle w:val="Textpoznpodarou"/>
        <w:jc w:val="both"/>
        <w:rPr>
          <w:rFonts w:cs="Arial"/>
          <w:color w:val="000000"/>
          <w:spacing w:val="-2"/>
          <w:sz w:val="16"/>
          <w:szCs w:val="16"/>
        </w:rPr>
      </w:pPr>
    </w:p>
    <w:tbl>
      <w:tblPr>
        <w:tblW w:w="4995" w:type="pct"/>
        <w:tblInd w:w="108" w:type="dxa"/>
        <w:tblLayout w:type="fixed"/>
        <w:tblLook w:val="00A0"/>
      </w:tblPr>
      <w:tblGrid>
        <w:gridCol w:w="2000"/>
        <w:gridCol w:w="284"/>
        <w:gridCol w:w="7560"/>
      </w:tblGrid>
      <w:tr w:rsidR="0036710C" w:rsidRPr="00AD0FC0" w:rsidTr="00853C0F">
        <w:trPr>
          <w:trHeight w:val="145"/>
        </w:trPr>
        <w:tc>
          <w:tcPr>
            <w:tcW w:w="1016" w:type="pct"/>
            <w:shd w:val="clear" w:color="auto" w:fill="auto"/>
          </w:tcPr>
          <w:p w:rsidR="0036710C" w:rsidRDefault="0036710C" w:rsidP="00853C0F">
            <w:pPr>
              <w:spacing w:line="240" w:lineRule="auto"/>
              <w:rPr>
                <w:rFonts w:cs="Arial"/>
                <w:bCs/>
                <w:iCs/>
                <w:color w:val="0D0D0D" w:themeColor="text1" w:themeTint="F2"/>
                <w:spacing w:val="-4"/>
                <w:sz w:val="16"/>
                <w:szCs w:val="16"/>
              </w:rPr>
            </w:pPr>
            <w:r>
              <w:rPr>
                <w:rFonts w:cs="Arial"/>
                <w:bCs/>
                <w:iCs/>
                <w:color w:val="0D0D0D" w:themeColor="text1" w:themeTint="F2"/>
                <w:spacing w:val="-4"/>
                <w:sz w:val="16"/>
                <w:szCs w:val="16"/>
              </w:rPr>
              <w:t>Meziroční růst průměrných nominálních mezd během první poloviny roku akceleroval a přiblížil se tempům z let 2007 – 2008.</w:t>
            </w:r>
          </w:p>
          <w:p w:rsidR="0036710C" w:rsidRDefault="0036710C" w:rsidP="00853C0F">
            <w:pPr>
              <w:spacing w:line="240" w:lineRule="auto"/>
              <w:rPr>
                <w:rFonts w:cs="Arial"/>
                <w:bCs/>
                <w:iCs/>
                <w:color w:val="0D0D0D" w:themeColor="text1" w:themeTint="F2"/>
                <w:spacing w:val="-4"/>
                <w:sz w:val="16"/>
                <w:szCs w:val="16"/>
              </w:rPr>
            </w:pPr>
          </w:p>
          <w:p w:rsidR="0036710C" w:rsidRDefault="0036710C" w:rsidP="00853C0F">
            <w:pPr>
              <w:spacing w:line="240" w:lineRule="auto"/>
              <w:rPr>
                <w:rFonts w:cs="Arial"/>
                <w:bCs/>
                <w:iCs/>
                <w:color w:val="0D0D0D" w:themeColor="text1" w:themeTint="F2"/>
                <w:spacing w:val="-4"/>
                <w:sz w:val="16"/>
                <w:szCs w:val="16"/>
              </w:rPr>
            </w:pPr>
          </w:p>
          <w:p w:rsidR="0036710C" w:rsidRDefault="0036710C" w:rsidP="00853C0F">
            <w:pPr>
              <w:spacing w:line="240" w:lineRule="auto"/>
              <w:rPr>
                <w:rFonts w:cs="Arial"/>
                <w:bCs/>
                <w:iCs/>
                <w:color w:val="0D0D0D" w:themeColor="text1" w:themeTint="F2"/>
                <w:spacing w:val="-4"/>
                <w:sz w:val="16"/>
                <w:szCs w:val="16"/>
              </w:rPr>
            </w:pPr>
          </w:p>
          <w:p w:rsidR="0036710C" w:rsidRDefault="0036710C" w:rsidP="00853C0F">
            <w:pPr>
              <w:spacing w:line="240" w:lineRule="auto"/>
              <w:rPr>
                <w:rFonts w:cs="Arial"/>
                <w:bCs/>
                <w:iCs/>
                <w:color w:val="0D0D0D" w:themeColor="text1" w:themeTint="F2"/>
                <w:spacing w:val="-4"/>
                <w:sz w:val="16"/>
                <w:szCs w:val="16"/>
              </w:rPr>
            </w:pPr>
          </w:p>
          <w:p w:rsidR="0036710C" w:rsidRDefault="0036710C" w:rsidP="00853C0F">
            <w:pPr>
              <w:spacing w:line="240" w:lineRule="auto"/>
              <w:rPr>
                <w:rFonts w:cs="Arial"/>
                <w:bCs/>
                <w:iCs/>
                <w:color w:val="0D0D0D" w:themeColor="text1" w:themeTint="F2"/>
                <w:spacing w:val="-4"/>
                <w:sz w:val="16"/>
                <w:szCs w:val="16"/>
              </w:rPr>
            </w:pPr>
            <w:r>
              <w:rPr>
                <w:rFonts w:cs="Arial"/>
                <w:bCs/>
                <w:iCs/>
                <w:color w:val="0D0D0D" w:themeColor="text1" w:themeTint="F2"/>
                <w:spacing w:val="-4"/>
                <w:sz w:val="16"/>
                <w:szCs w:val="16"/>
              </w:rPr>
              <w:t>Meziodvětvové rozdíly ve výši mezd se mírně snížily. Relativně nejrychleji rostly průměrné výdělky v odvětvích s dlouhodobě nejnižší úrovní mezd.</w:t>
            </w:r>
          </w:p>
          <w:p w:rsidR="0036710C" w:rsidRDefault="0036710C" w:rsidP="00853C0F">
            <w:pPr>
              <w:spacing w:line="240" w:lineRule="auto"/>
              <w:rPr>
                <w:rFonts w:cs="Arial"/>
                <w:bCs/>
                <w:iCs/>
                <w:color w:val="0D0D0D" w:themeColor="text1" w:themeTint="F2"/>
                <w:spacing w:val="-2"/>
                <w:sz w:val="16"/>
                <w:szCs w:val="16"/>
              </w:rPr>
            </w:pPr>
          </w:p>
          <w:p w:rsidR="0036710C" w:rsidRDefault="0036710C" w:rsidP="00853C0F">
            <w:pPr>
              <w:spacing w:line="240" w:lineRule="auto"/>
              <w:rPr>
                <w:rFonts w:cs="Arial"/>
                <w:bCs/>
                <w:iCs/>
                <w:color w:val="0D0D0D" w:themeColor="text1" w:themeTint="F2"/>
                <w:spacing w:val="-2"/>
                <w:sz w:val="16"/>
                <w:szCs w:val="16"/>
              </w:rPr>
            </w:pPr>
          </w:p>
          <w:p w:rsidR="0036710C" w:rsidRDefault="0036710C" w:rsidP="00853C0F">
            <w:pPr>
              <w:spacing w:line="240" w:lineRule="auto"/>
              <w:rPr>
                <w:rFonts w:cs="Arial"/>
                <w:bCs/>
                <w:iCs/>
                <w:color w:val="0D0D0D" w:themeColor="text1" w:themeTint="F2"/>
                <w:spacing w:val="-2"/>
                <w:sz w:val="16"/>
                <w:szCs w:val="16"/>
              </w:rPr>
            </w:pPr>
          </w:p>
          <w:p w:rsidR="0036710C" w:rsidRDefault="0036710C" w:rsidP="00853C0F">
            <w:pPr>
              <w:spacing w:line="240" w:lineRule="auto"/>
              <w:rPr>
                <w:rFonts w:cs="Arial"/>
                <w:bCs/>
                <w:iCs/>
                <w:color w:val="0D0D0D" w:themeColor="text1" w:themeTint="F2"/>
                <w:spacing w:val="-2"/>
                <w:sz w:val="16"/>
                <w:szCs w:val="16"/>
              </w:rPr>
            </w:pPr>
          </w:p>
          <w:p w:rsidR="0036710C" w:rsidRPr="00F4351C" w:rsidRDefault="0036710C" w:rsidP="00853C0F">
            <w:pPr>
              <w:spacing w:line="240" w:lineRule="auto"/>
              <w:rPr>
                <w:rFonts w:cs="Arial"/>
                <w:bCs/>
                <w:iCs/>
                <w:color w:val="0D0D0D" w:themeColor="text1" w:themeTint="F2"/>
                <w:spacing w:val="-2"/>
                <w:sz w:val="16"/>
                <w:szCs w:val="16"/>
              </w:rPr>
            </w:pPr>
            <w:r>
              <w:rPr>
                <w:rFonts w:cs="Arial"/>
                <w:bCs/>
                <w:iCs/>
                <w:color w:val="0D0D0D" w:themeColor="text1" w:themeTint="F2"/>
                <w:spacing w:val="-2"/>
                <w:sz w:val="16"/>
                <w:szCs w:val="16"/>
              </w:rPr>
              <w:t>Navzdory sílící inflaci kupní síla mezd ve 2.</w:t>
            </w:r>
            <w:r>
              <w:rPr>
                <w:rFonts w:cs="Arial"/>
                <w:bCs/>
                <w:iCs/>
                <w:color w:val="0D0D0D" w:themeColor="text1" w:themeTint="F2"/>
                <w:spacing w:val="-4"/>
                <w:sz w:val="16"/>
                <w:szCs w:val="16"/>
              </w:rPr>
              <w:t> </w:t>
            </w:r>
            <w:r>
              <w:rPr>
                <w:rFonts w:cs="Arial"/>
                <w:bCs/>
                <w:iCs/>
                <w:color w:val="0D0D0D" w:themeColor="text1" w:themeTint="F2"/>
                <w:spacing w:val="-2"/>
                <w:sz w:val="16"/>
                <w:szCs w:val="16"/>
              </w:rPr>
              <w:t>čtvrtletí vzrostla nejvíce od počátku roku 2007.</w:t>
            </w:r>
          </w:p>
        </w:tc>
        <w:tc>
          <w:tcPr>
            <w:tcW w:w="144" w:type="pct"/>
          </w:tcPr>
          <w:p w:rsidR="0036710C" w:rsidRPr="00807B25" w:rsidRDefault="0036710C" w:rsidP="00853C0F">
            <w:pPr>
              <w:pStyle w:val="Textpoznpodarou"/>
              <w:jc w:val="both"/>
              <w:rPr>
                <w:rFonts w:cs="Arial"/>
                <w:color w:val="0D0D0D" w:themeColor="text1" w:themeTint="F2"/>
                <w:spacing w:val="-4"/>
              </w:rPr>
            </w:pPr>
          </w:p>
        </w:tc>
        <w:tc>
          <w:tcPr>
            <w:tcW w:w="3840" w:type="pct"/>
          </w:tcPr>
          <w:p w:rsidR="0036710C" w:rsidRPr="00F416CD" w:rsidRDefault="00352482" w:rsidP="00853C0F">
            <w:pPr>
              <w:pStyle w:val="Textpoznpodarou"/>
              <w:jc w:val="both"/>
              <w:rPr>
                <w:rFonts w:cs="Arial"/>
                <w:color w:val="0D0D0D" w:themeColor="text1" w:themeTint="F2"/>
                <w:spacing w:val="-4"/>
              </w:rPr>
            </w:pPr>
            <w:r>
              <w:rPr>
                <w:rFonts w:cs="Arial"/>
                <w:color w:val="0D0D0D" w:themeColor="text1" w:themeTint="F2"/>
                <w:spacing w:val="-4"/>
              </w:rPr>
              <w:t>M</w:t>
            </w:r>
            <w:r w:rsidR="0036710C" w:rsidRPr="009262A9">
              <w:rPr>
                <w:rFonts w:cs="Arial"/>
                <w:color w:val="0D0D0D" w:themeColor="text1" w:themeTint="F2"/>
                <w:spacing w:val="-4"/>
              </w:rPr>
              <w:t>eziroční tempo růstu průměrných nominálních mezd během loňsk</w:t>
            </w:r>
            <w:r w:rsidR="0036710C">
              <w:rPr>
                <w:rFonts w:cs="Arial"/>
                <w:color w:val="0D0D0D" w:themeColor="text1" w:themeTint="F2"/>
                <w:spacing w:val="-4"/>
              </w:rPr>
              <w:t>ého roku kolísalo těsně pod 4 %. V</w:t>
            </w:r>
            <w:r w:rsidR="0036710C" w:rsidRPr="009262A9">
              <w:rPr>
                <w:rFonts w:cs="Arial"/>
                <w:color w:val="0D0D0D" w:themeColor="text1" w:themeTint="F2"/>
                <w:spacing w:val="-4"/>
              </w:rPr>
              <w:t> následujících dvou čtvrtletích postupně akcelerovalo (až na 7,6 %</w:t>
            </w:r>
            <w:r w:rsidR="0036710C" w:rsidRPr="009262A9">
              <w:rPr>
                <w:rStyle w:val="Znakapoznpodarou"/>
                <w:color w:val="0D0D0D" w:themeColor="text1" w:themeTint="F2"/>
                <w:spacing w:val="-4"/>
              </w:rPr>
              <w:footnoteReference w:id="26"/>
            </w:r>
            <w:r w:rsidR="0036710C" w:rsidRPr="009262A9">
              <w:rPr>
                <w:rFonts w:cs="Arial"/>
                <w:color w:val="0D0D0D" w:themeColor="text1" w:themeTint="F2"/>
                <w:spacing w:val="-4"/>
              </w:rPr>
              <w:t xml:space="preserve"> ve 2. čtvrtletí 2017) a přiblížilo se tak dynamice obvyklé v letech 2007 a 2008. V úhrnu za celé pololetí se mzdy zvýšily o 6,5 % a rostly ve všech odvětvových sekcích. Ve váhově dominantním zpracovatelském průmyslu posílily o 7,1 %. I přes to zůstala výše mezd v tomto odvětví jen nepatrně nad úrovní národního hospodářství. Nejvyšší růst byl dosažen v relativně malých odvětvích s nízkou mzdovou úrovní – ubytování, stravování a pohostinství (+13,8 %) a administrativní podpůrné činnosti (+8,7 %). Vysoká </w:t>
            </w:r>
            <w:r w:rsidR="0036710C">
              <w:rPr>
                <w:rFonts w:cs="Arial"/>
                <w:color w:val="0D0D0D" w:themeColor="text1" w:themeTint="F2"/>
                <w:spacing w:val="-4"/>
              </w:rPr>
              <w:t xml:space="preserve">růstová </w:t>
            </w:r>
            <w:r w:rsidR="0036710C" w:rsidRPr="009262A9">
              <w:rPr>
                <w:rFonts w:cs="Arial"/>
                <w:color w:val="0D0D0D" w:themeColor="text1" w:themeTint="F2"/>
                <w:spacing w:val="-4"/>
              </w:rPr>
              <w:t>tempa v obou odvětvích reflektovala lednové navýšení minimální mzdy v ekonomice (z 9 900 na 11 000. korun). Pozice odvětví s nejvyšší úrovní mezd si i díky tradiční výplatě pololetn</w:t>
            </w:r>
            <w:r w:rsidR="0036710C">
              <w:rPr>
                <w:rFonts w:cs="Arial"/>
                <w:color w:val="0D0D0D" w:themeColor="text1" w:themeTint="F2"/>
                <w:spacing w:val="-4"/>
              </w:rPr>
              <w:t>ích odměn udrželo peněžnictví a</w:t>
            </w:r>
            <w:r w:rsidR="0036710C" w:rsidRPr="009262A9">
              <w:rPr>
                <w:rFonts w:cs="Arial"/>
                <w:color w:val="0D0D0D" w:themeColor="text1" w:themeTint="F2"/>
                <w:spacing w:val="-4"/>
              </w:rPr>
              <w:t> pojišťovnictví, proti loňskému 1. pololetí zde však mzdy rostly jen o 3,7 %</w:t>
            </w:r>
            <w:r w:rsidR="0036710C">
              <w:rPr>
                <w:rStyle w:val="Znakapoznpodarou"/>
                <w:color w:val="0D0D0D" w:themeColor="text1" w:themeTint="F2"/>
                <w:spacing w:val="-4"/>
              </w:rPr>
              <w:footnoteReference w:id="27"/>
            </w:r>
            <w:r w:rsidR="0036710C" w:rsidRPr="009262A9">
              <w:rPr>
                <w:rFonts w:cs="Arial"/>
                <w:color w:val="0D0D0D" w:themeColor="text1" w:themeTint="F2"/>
                <w:spacing w:val="-4"/>
              </w:rPr>
              <w:t xml:space="preserve">. </w:t>
            </w:r>
            <w:r w:rsidR="0036710C">
              <w:rPr>
                <w:rFonts w:cs="Arial"/>
                <w:color w:val="0D0D0D" w:themeColor="text1" w:themeTint="F2"/>
                <w:spacing w:val="-4"/>
              </w:rPr>
              <w:t>Absolutně i relativně v</w:t>
            </w:r>
            <w:r w:rsidR="0036710C" w:rsidRPr="009262A9">
              <w:rPr>
                <w:rFonts w:cs="Arial"/>
                <w:color w:val="0D0D0D" w:themeColor="text1" w:themeTint="F2"/>
                <w:spacing w:val="-4"/>
              </w:rPr>
              <w:t>íce si polepšili pracovníci v energetice a informačních a komunikačních činnostech. Objem vyplacených mezd</w:t>
            </w:r>
            <w:r w:rsidR="0036710C">
              <w:rPr>
                <w:rFonts w:cs="Arial"/>
                <w:color w:val="0D0D0D" w:themeColor="text1" w:themeTint="F2"/>
                <w:spacing w:val="-4"/>
              </w:rPr>
              <w:t xml:space="preserve"> byl v těchto odvětvích proti finančnímu sektoru více než dvojnásobný (především díky svižnému růstu zaměstnanosti). Mzdové tempo (+4,0 %) mírně zaostalo za růstem evidenčního počtu zaměstnanců také v profesních, vědeckých a technických činnostech. V odvětvích s dominancí státu se platy zvyšovaly nejvíce ve</w:t>
            </w:r>
            <w:r w:rsidR="0036710C" w:rsidRPr="00E61FDD">
              <w:rPr>
                <w:rFonts w:cs="Arial"/>
                <w:color w:val="0D0D0D" w:themeColor="text1" w:themeTint="F2"/>
                <w:spacing w:val="-4"/>
              </w:rPr>
              <w:t xml:space="preserve"> z</w:t>
            </w:r>
            <w:r w:rsidR="0036710C">
              <w:rPr>
                <w:rFonts w:cs="Arial"/>
                <w:color w:val="0D0D0D" w:themeColor="text1" w:themeTint="F2"/>
                <w:spacing w:val="-4"/>
              </w:rPr>
              <w:t>dravotnictví a sociální péči (+7,5 %). I</w:t>
            </w:r>
            <w:r w:rsidR="0036710C" w:rsidRPr="009262A9">
              <w:rPr>
                <w:rFonts w:cs="Arial"/>
                <w:color w:val="0D0D0D" w:themeColor="text1" w:themeTint="F2"/>
                <w:spacing w:val="-4"/>
              </w:rPr>
              <w:t> </w:t>
            </w:r>
            <w:r w:rsidR="0036710C">
              <w:rPr>
                <w:rFonts w:cs="Arial"/>
                <w:color w:val="0D0D0D" w:themeColor="text1" w:themeTint="F2"/>
                <w:spacing w:val="-4"/>
              </w:rPr>
              <w:t>přes výrazné zrychlení tempa (z</w:t>
            </w:r>
            <w:r w:rsidR="0036710C" w:rsidRPr="009262A9">
              <w:rPr>
                <w:rFonts w:cs="Arial"/>
                <w:color w:val="0D0D0D" w:themeColor="text1" w:themeTint="F2"/>
                <w:spacing w:val="-4"/>
              </w:rPr>
              <w:t> </w:t>
            </w:r>
            <w:r w:rsidR="0036710C" w:rsidRPr="00E61FDD">
              <w:rPr>
                <w:rFonts w:cs="Arial"/>
                <w:color w:val="0D0D0D" w:themeColor="text1" w:themeTint="F2"/>
                <w:spacing w:val="-4"/>
              </w:rPr>
              <w:t>lo</w:t>
            </w:r>
            <w:r w:rsidR="0036710C">
              <w:rPr>
                <w:rFonts w:cs="Arial"/>
                <w:color w:val="0D0D0D" w:themeColor="text1" w:themeTint="F2"/>
                <w:spacing w:val="-4"/>
              </w:rPr>
              <w:t>ňských +2,0 % na 5,1</w:t>
            </w:r>
            <w:r w:rsidR="0036710C" w:rsidRPr="00E61FDD">
              <w:rPr>
                <w:rFonts w:cs="Arial"/>
                <w:color w:val="0D0D0D" w:themeColor="text1" w:themeTint="F2"/>
                <w:spacing w:val="-4"/>
              </w:rPr>
              <w:t> %), zůstával i letos růst plat</w:t>
            </w:r>
            <w:r w:rsidR="0036710C">
              <w:rPr>
                <w:rFonts w:cs="Arial"/>
                <w:color w:val="0D0D0D" w:themeColor="text1" w:themeTint="F2"/>
                <w:spacing w:val="-4"/>
              </w:rPr>
              <w:t>ů ve vzdělávání pod úrovní celé</w:t>
            </w:r>
            <w:r w:rsidR="0036710C" w:rsidRPr="009262A9">
              <w:rPr>
                <w:rFonts w:cs="Arial"/>
                <w:color w:val="0D0D0D" w:themeColor="text1" w:themeTint="F2"/>
                <w:spacing w:val="-4"/>
              </w:rPr>
              <w:t> </w:t>
            </w:r>
            <w:r w:rsidR="0036710C" w:rsidRPr="00E61FDD">
              <w:rPr>
                <w:rFonts w:cs="Arial"/>
                <w:color w:val="0D0D0D" w:themeColor="text1" w:themeTint="F2"/>
                <w:spacing w:val="-4"/>
              </w:rPr>
              <w:t>ekonomiky.</w:t>
            </w:r>
            <w:r w:rsidR="0036710C">
              <w:rPr>
                <w:rFonts w:cs="Arial"/>
                <w:color w:val="0D0D0D" w:themeColor="text1" w:themeTint="F2"/>
                <w:spacing w:val="-4"/>
              </w:rPr>
              <w:t xml:space="preserve"> Navzdory sílícímu růstu spotřebitelských cen se reálné mzdy v celé ekonomice v 1. pololetí navýšily o významných 4,1 %, ve 2.</w:t>
            </w:r>
            <w:r w:rsidR="0036710C" w:rsidRPr="009262A9">
              <w:rPr>
                <w:rFonts w:cs="Arial"/>
                <w:color w:val="0D0D0D" w:themeColor="text1" w:themeTint="F2"/>
                <w:spacing w:val="-4"/>
              </w:rPr>
              <w:t> </w:t>
            </w:r>
            <w:r w:rsidR="0036710C">
              <w:rPr>
                <w:rFonts w:cs="Arial"/>
                <w:color w:val="0D0D0D" w:themeColor="text1" w:themeTint="F2"/>
                <w:spacing w:val="-4"/>
              </w:rPr>
              <w:t>čtvrtletí dokonce o 5,3 % (nejvyšší meziroční tempo od 1.</w:t>
            </w:r>
            <w:r w:rsidR="0036710C" w:rsidRPr="009262A9">
              <w:rPr>
                <w:rFonts w:cs="Arial"/>
                <w:color w:val="0D0D0D" w:themeColor="text1" w:themeTint="F2"/>
                <w:spacing w:val="-4"/>
              </w:rPr>
              <w:t> </w:t>
            </w:r>
            <w:r w:rsidR="0036710C">
              <w:rPr>
                <w:rFonts w:cs="Arial"/>
                <w:color w:val="0D0D0D" w:themeColor="text1" w:themeTint="F2"/>
                <w:spacing w:val="-4"/>
              </w:rPr>
              <w:t>čtvrtletí 2007).</w:t>
            </w:r>
          </w:p>
        </w:tc>
      </w:tr>
    </w:tbl>
    <w:p w:rsidR="0036710C" w:rsidRPr="0036710C" w:rsidRDefault="0036710C" w:rsidP="00D94859">
      <w:pPr>
        <w:rPr>
          <w:sz w:val="2"/>
          <w:szCs w:val="2"/>
          <w:lang w:eastAsia="ar-SA"/>
        </w:rPr>
      </w:pPr>
    </w:p>
    <w:p w:rsidR="00DD0726" w:rsidRPr="00A74192" w:rsidRDefault="00DD0726" w:rsidP="00DD0726">
      <w:pPr>
        <w:pStyle w:val="Nadpis1"/>
        <w:numPr>
          <w:ilvl w:val="0"/>
          <w:numId w:val="12"/>
        </w:numPr>
        <w:ind w:left="709"/>
        <w:jc w:val="both"/>
      </w:pPr>
      <w:bookmarkStart w:id="15" w:name="_Toc469299935"/>
      <w:bookmarkStart w:id="16" w:name="_Toc493683639"/>
      <w:r>
        <w:lastRenderedPageBreak/>
        <w:t>M</w:t>
      </w:r>
      <w:r w:rsidRPr="00A74192">
        <w:t>ěnové podmínky</w:t>
      </w:r>
      <w:bookmarkEnd w:id="15"/>
      <w:bookmarkEnd w:id="16"/>
    </w:p>
    <w:tbl>
      <w:tblPr>
        <w:tblW w:w="4995" w:type="pct"/>
        <w:tblInd w:w="108" w:type="dxa"/>
        <w:tblLayout w:type="fixed"/>
        <w:tblLook w:val="00A0"/>
      </w:tblPr>
      <w:tblGrid>
        <w:gridCol w:w="2000"/>
        <w:gridCol w:w="284"/>
        <w:gridCol w:w="1118"/>
        <w:gridCol w:w="6442"/>
      </w:tblGrid>
      <w:tr w:rsidR="00DD0726" w:rsidRPr="00A74192" w:rsidTr="008C0F87">
        <w:trPr>
          <w:trHeight w:val="145"/>
        </w:trPr>
        <w:tc>
          <w:tcPr>
            <w:tcW w:w="1016" w:type="pct"/>
          </w:tcPr>
          <w:p w:rsidR="00DD0726" w:rsidRPr="006D5608" w:rsidRDefault="00DD0726" w:rsidP="008C0F87">
            <w:pPr>
              <w:spacing w:line="240" w:lineRule="auto"/>
              <w:rPr>
                <w:color w:val="000000" w:themeColor="text1"/>
                <w:sz w:val="16"/>
                <w:szCs w:val="16"/>
                <w:highlight w:val="yellow"/>
              </w:rPr>
            </w:pPr>
            <w:r w:rsidRPr="005D2208">
              <w:rPr>
                <w:color w:val="000000" w:themeColor="text1"/>
                <w:sz w:val="16"/>
                <w:szCs w:val="16"/>
              </w:rPr>
              <w:t>Nejdůležitější změnou v oblasti měnové politiky ve 2. čtvrtletí bylo ukončení kurzového závazku.</w:t>
            </w:r>
          </w:p>
        </w:tc>
        <w:tc>
          <w:tcPr>
            <w:tcW w:w="144" w:type="pct"/>
          </w:tcPr>
          <w:p w:rsidR="00DD0726" w:rsidRPr="003E6E0D" w:rsidRDefault="00DD0726" w:rsidP="008C0F87">
            <w:pPr>
              <w:pStyle w:val="Textpoznpodarou"/>
              <w:jc w:val="both"/>
            </w:pPr>
          </w:p>
        </w:tc>
        <w:tc>
          <w:tcPr>
            <w:tcW w:w="3840" w:type="pct"/>
            <w:gridSpan w:val="2"/>
          </w:tcPr>
          <w:p w:rsidR="00DD0726" w:rsidRDefault="00DD0726" w:rsidP="008C0F87">
            <w:pPr>
              <w:pStyle w:val="Textpoznpodarou"/>
              <w:jc w:val="both"/>
              <w:rPr>
                <w:sz w:val="16"/>
                <w:szCs w:val="16"/>
              </w:rPr>
            </w:pPr>
            <w:r>
              <w:t>Nejdůležitější událostí ve vztahu k měnové politice ve 2. čtvrtletí 2017 bylo ukončení režimu kurzových intervencí ČNB, ke kterému došlo 6. dubna. Po období tlaku na prolomení závazku (hodnota kurzu se držela na 27,02</w:t>
            </w:r>
            <w:r>
              <w:rPr>
                <w:rStyle w:val="Znakapoznpodarou"/>
              </w:rPr>
              <w:footnoteReference w:id="28"/>
            </w:r>
            <w:r>
              <w:t xml:space="preserve"> korun za euro každý den od 1. 1. 2017) koruna mírně oslabila v prvních dubnových dnech. Po ukončení závazku okamžitě posílila a kurz vůči euru do 10. dubna klesl na 26,53. Tuto hodnotu si však koruna neudržela a v druhé půli dubna se držela na průměrné hodnotě 26,86 korun za euro. Následně začala stabilně posilovat. S výjimkou krátkého oslabení 18. května kurz posiloval během celého května a první poloviny června. Minima za 2. čtvrtletí dosáhl 13. června (26,15). Do konce čtvrtletí již jen osciloval v úzkém pásmu mezi 26,20 a 26,30.</w:t>
            </w:r>
          </w:p>
          <w:p w:rsidR="00DD0726" w:rsidRPr="003C20C4" w:rsidRDefault="00DD0726" w:rsidP="008C0F87">
            <w:pPr>
              <w:pStyle w:val="Textpoznpodarou"/>
              <w:jc w:val="both"/>
            </w:pPr>
            <w:r>
              <w:t xml:space="preserve">    </w:t>
            </w:r>
          </w:p>
        </w:tc>
      </w:tr>
      <w:tr w:rsidR="00DD0726" w:rsidRPr="00A74192" w:rsidTr="008C0F87">
        <w:trPr>
          <w:trHeight w:val="145"/>
        </w:trPr>
        <w:tc>
          <w:tcPr>
            <w:tcW w:w="1016" w:type="pct"/>
            <w:shd w:val="clear" w:color="auto" w:fill="auto"/>
          </w:tcPr>
          <w:p w:rsidR="00DD0726" w:rsidRPr="006D5608" w:rsidRDefault="00DD0726" w:rsidP="008C0F87">
            <w:pPr>
              <w:spacing w:line="240" w:lineRule="auto"/>
              <w:rPr>
                <w:color w:val="000000" w:themeColor="text1"/>
                <w:sz w:val="16"/>
                <w:szCs w:val="16"/>
                <w:highlight w:val="yellow"/>
              </w:rPr>
            </w:pPr>
            <w:r w:rsidRPr="005D2208">
              <w:rPr>
                <w:color w:val="000000" w:themeColor="text1"/>
                <w:sz w:val="16"/>
                <w:szCs w:val="16"/>
              </w:rPr>
              <w:t>Ukončení kurzového závazku znamenalo i zastavení nákupů cizích měn.</w:t>
            </w:r>
          </w:p>
        </w:tc>
        <w:tc>
          <w:tcPr>
            <w:tcW w:w="144" w:type="pct"/>
          </w:tcPr>
          <w:p w:rsidR="00DD0726" w:rsidRPr="003E6E0D" w:rsidRDefault="00DD0726" w:rsidP="008C0F87">
            <w:pPr>
              <w:pStyle w:val="Textpoznpodarou"/>
              <w:jc w:val="both"/>
            </w:pPr>
          </w:p>
        </w:tc>
        <w:tc>
          <w:tcPr>
            <w:tcW w:w="3840" w:type="pct"/>
            <w:gridSpan w:val="2"/>
          </w:tcPr>
          <w:p w:rsidR="00DD0726" w:rsidRDefault="00DD0726" w:rsidP="008C0F87">
            <w:pPr>
              <w:pStyle w:val="Textpoznpodarou"/>
              <w:jc w:val="both"/>
              <w:rPr>
                <w:sz w:val="16"/>
                <w:szCs w:val="16"/>
              </w:rPr>
            </w:pPr>
            <w:r>
              <w:t xml:space="preserve">Kurzový závazek vyžadující nákup deviz trval ještě do 5. dubna. Za tu dobu ČNB nakoupila devizy v hodnotě 0,7 mld. eur. To je jen malý zlomek v porovnání s předchozím měsícem, kdy nákupy cizí měny dosáhly 19,3 mld. eur. </w:t>
            </w:r>
            <w:proofErr w:type="spellStart"/>
            <w:r>
              <w:t>Měnověpolitické</w:t>
            </w:r>
            <w:proofErr w:type="spellEnd"/>
            <w:r>
              <w:t xml:space="preserve"> sazby, které </w:t>
            </w:r>
            <w:proofErr w:type="gramStart"/>
            <w:r>
              <w:t>jsou</w:t>
            </w:r>
            <w:proofErr w:type="gramEnd"/>
            <w:r>
              <w:t xml:space="preserve"> hlavním nástrojem vykonávání měnové politiky se ve 2. čtvrtletí </w:t>
            </w:r>
            <w:proofErr w:type="gramStart"/>
            <w:r>
              <w:t>neměnily</w:t>
            </w:r>
            <w:proofErr w:type="gramEnd"/>
            <w:r>
              <w:t xml:space="preserve"> a zůstaly na tzv. technické nule.</w:t>
            </w:r>
          </w:p>
          <w:p w:rsidR="00DD0726" w:rsidRPr="00A119E4" w:rsidRDefault="00DD0726" w:rsidP="008C0F87">
            <w:pPr>
              <w:pStyle w:val="Textpoznpodarou"/>
              <w:jc w:val="both"/>
              <w:rPr>
                <w:sz w:val="16"/>
                <w:szCs w:val="16"/>
              </w:rPr>
            </w:pPr>
          </w:p>
        </w:tc>
      </w:tr>
      <w:tr w:rsidR="00DD0726" w:rsidRPr="00A74192" w:rsidTr="008C0F87">
        <w:trPr>
          <w:trHeight w:val="145"/>
        </w:trPr>
        <w:tc>
          <w:tcPr>
            <w:tcW w:w="1016" w:type="pct"/>
            <w:shd w:val="clear" w:color="auto" w:fill="auto"/>
          </w:tcPr>
          <w:p w:rsidR="00DD0726" w:rsidRPr="006D5608" w:rsidRDefault="00DD0726" w:rsidP="008C0F87">
            <w:pPr>
              <w:spacing w:line="240" w:lineRule="auto"/>
              <w:rPr>
                <w:color w:val="000000" w:themeColor="text1"/>
                <w:sz w:val="16"/>
                <w:szCs w:val="16"/>
                <w:highlight w:val="yellow"/>
              </w:rPr>
            </w:pPr>
            <w:r w:rsidRPr="005D2208">
              <w:rPr>
                <w:color w:val="000000" w:themeColor="text1"/>
                <w:sz w:val="16"/>
                <w:szCs w:val="16"/>
              </w:rPr>
              <w:t>Mezibankovní sazby již dále neklesaly.</w:t>
            </w:r>
          </w:p>
        </w:tc>
        <w:tc>
          <w:tcPr>
            <w:tcW w:w="144" w:type="pct"/>
          </w:tcPr>
          <w:p w:rsidR="00DD0726" w:rsidRPr="003E6E0D" w:rsidRDefault="00DD0726" w:rsidP="008C0F87">
            <w:pPr>
              <w:pStyle w:val="Textpoznpodarou"/>
              <w:jc w:val="both"/>
              <w:rPr>
                <w:highlight w:val="yellow"/>
              </w:rPr>
            </w:pPr>
          </w:p>
        </w:tc>
        <w:tc>
          <w:tcPr>
            <w:tcW w:w="3840" w:type="pct"/>
            <w:gridSpan w:val="2"/>
          </w:tcPr>
          <w:p w:rsidR="00DD0726" w:rsidRPr="0036710C" w:rsidRDefault="00DD0726" w:rsidP="008C0F87">
            <w:pPr>
              <w:pStyle w:val="Textpoznpodarou"/>
              <w:jc w:val="both"/>
              <w:rPr>
                <w:spacing w:val="-2"/>
                <w:sz w:val="16"/>
                <w:szCs w:val="16"/>
              </w:rPr>
            </w:pPr>
            <w:r w:rsidRPr="0036710C">
              <w:rPr>
                <w:spacing w:val="-2"/>
              </w:rPr>
              <w:t xml:space="preserve">Navzdory neměnným </w:t>
            </w:r>
            <w:proofErr w:type="spellStart"/>
            <w:r w:rsidRPr="0036710C">
              <w:rPr>
                <w:spacing w:val="-2"/>
              </w:rPr>
              <w:t>měnověpolitickým</w:t>
            </w:r>
            <w:proofErr w:type="spellEnd"/>
            <w:r w:rsidRPr="0036710C">
              <w:rPr>
                <w:spacing w:val="-2"/>
              </w:rPr>
              <w:t xml:space="preserve"> sazbám (českým i evropským) došlo ke změně trendu u mezibankovních úrokových sazeb, které začaly po více než čtyřletém období poklesu mírně růst. Tříměsíční sazba PRIBOR se v dubnu zvýšila o</w:t>
            </w:r>
            <w:r>
              <w:rPr>
                <w:spacing w:val="-2"/>
              </w:rPr>
              <w:t> </w:t>
            </w:r>
            <w:r w:rsidRPr="0036710C">
              <w:rPr>
                <w:spacing w:val="-2"/>
              </w:rPr>
              <w:t xml:space="preserve">0,01 </w:t>
            </w:r>
            <w:proofErr w:type="spellStart"/>
            <w:proofErr w:type="gramStart"/>
            <w:r w:rsidRPr="0036710C">
              <w:rPr>
                <w:spacing w:val="-2"/>
              </w:rPr>
              <w:t>p.b</w:t>
            </w:r>
            <w:proofErr w:type="spellEnd"/>
            <w:r w:rsidRPr="0036710C">
              <w:rPr>
                <w:spacing w:val="-2"/>
              </w:rPr>
              <w:t>. na</w:t>
            </w:r>
            <w:proofErr w:type="gramEnd"/>
            <w:r w:rsidRPr="0036710C">
              <w:rPr>
                <w:spacing w:val="-2"/>
              </w:rPr>
              <w:t xml:space="preserve"> 0,29 % a následně v květnu na hodnotu 0,30 %, kde setrvala. Roční PRIBOR se zvýšil z březnových 0,44 % na 0,45 % a pak na 0,46 %. Výnosy státních dluhopisů, které mírně rostly během 1. čtvrtletí, se ještě v dubnu mírně zvýšily, dále však klesaly (střednědobé a krátkodobé dluhopisy) nebo zůstaly téměř neměnné (krátkodobé dluhopisy). Výnos dvouletých dluhopisů zůstává nadále záporný, u</w:t>
            </w:r>
            <w:r>
              <w:t> </w:t>
            </w:r>
            <w:r w:rsidRPr="0036710C">
              <w:rPr>
                <w:spacing w:val="-2"/>
              </w:rPr>
              <w:t>střednědobých se úroková sazba v červnu opět dostala těsně pod nulu.</w:t>
            </w:r>
          </w:p>
          <w:p w:rsidR="00DD0726" w:rsidRPr="00B07108" w:rsidRDefault="00DD0726" w:rsidP="008C0F87">
            <w:pPr>
              <w:pStyle w:val="Textpoznpodarou"/>
              <w:jc w:val="both"/>
              <w:rPr>
                <w:sz w:val="16"/>
                <w:szCs w:val="16"/>
              </w:rPr>
            </w:pPr>
          </w:p>
        </w:tc>
      </w:tr>
      <w:tr w:rsidR="00DD0726" w:rsidRPr="00A74192" w:rsidTr="008C0F87">
        <w:trPr>
          <w:trHeight w:val="145"/>
        </w:trPr>
        <w:tc>
          <w:tcPr>
            <w:tcW w:w="1016" w:type="pct"/>
            <w:shd w:val="clear" w:color="auto" w:fill="auto"/>
          </w:tcPr>
          <w:p w:rsidR="00DD0726" w:rsidRPr="005D2208" w:rsidRDefault="00DD0726" w:rsidP="008C0F87">
            <w:pPr>
              <w:spacing w:line="240" w:lineRule="auto"/>
              <w:rPr>
                <w:color w:val="000000" w:themeColor="text1"/>
                <w:sz w:val="16"/>
                <w:szCs w:val="16"/>
              </w:rPr>
            </w:pPr>
          </w:p>
        </w:tc>
        <w:tc>
          <w:tcPr>
            <w:tcW w:w="144" w:type="pct"/>
          </w:tcPr>
          <w:p w:rsidR="00DD0726" w:rsidRPr="003E6E0D" w:rsidRDefault="00DD0726" w:rsidP="008C0F87">
            <w:pPr>
              <w:pStyle w:val="Textpoznpodarou"/>
              <w:jc w:val="both"/>
            </w:pPr>
          </w:p>
        </w:tc>
        <w:tc>
          <w:tcPr>
            <w:tcW w:w="568" w:type="pct"/>
          </w:tcPr>
          <w:p w:rsidR="00DD0726" w:rsidRDefault="00DD0726" w:rsidP="008C0F87">
            <w:pPr>
              <w:pStyle w:val="Textpoznpodarou"/>
              <w:jc w:val="both"/>
            </w:pPr>
            <w:r>
              <w:t>Graf č. 18</w:t>
            </w:r>
          </w:p>
        </w:tc>
        <w:tc>
          <w:tcPr>
            <w:tcW w:w="3272" w:type="pct"/>
          </w:tcPr>
          <w:p w:rsidR="00DD0726" w:rsidRDefault="00DD0726" w:rsidP="008C0F87">
            <w:pPr>
              <w:pStyle w:val="Textpoznpodarou"/>
              <w:jc w:val="both"/>
            </w:pPr>
            <w:r w:rsidRPr="00AA4A76">
              <w:rPr>
                <w:b/>
              </w:rPr>
              <w:t xml:space="preserve">Tržní úrokové sazby </w:t>
            </w:r>
            <w:r w:rsidRPr="00AA4A76">
              <w:t>(v %)</w:t>
            </w:r>
          </w:p>
        </w:tc>
      </w:tr>
      <w:tr w:rsidR="00DD0726" w:rsidRPr="00A74192" w:rsidTr="008C0F87">
        <w:trPr>
          <w:trHeight w:val="145"/>
        </w:trPr>
        <w:tc>
          <w:tcPr>
            <w:tcW w:w="1016" w:type="pct"/>
            <w:shd w:val="clear" w:color="auto" w:fill="auto"/>
          </w:tcPr>
          <w:p w:rsidR="00DD0726" w:rsidRPr="005D2208" w:rsidRDefault="00DD0726" w:rsidP="008C0F87">
            <w:pPr>
              <w:spacing w:line="240" w:lineRule="auto"/>
              <w:rPr>
                <w:color w:val="000000" w:themeColor="text1"/>
                <w:sz w:val="16"/>
                <w:szCs w:val="16"/>
              </w:rPr>
            </w:pPr>
          </w:p>
        </w:tc>
        <w:tc>
          <w:tcPr>
            <w:tcW w:w="144" w:type="pct"/>
          </w:tcPr>
          <w:p w:rsidR="00DD0726" w:rsidRPr="003E6E0D" w:rsidRDefault="00DD0726" w:rsidP="008C0F87">
            <w:pPr>
              <w:pStyle w:val="Textpoznpodarou"/>
              <w:jc w:val="both"/>
            </w:pPr>
          </w:p>
        </w:tc>
        <w:tc>
          <w:tcPr>
            <w:tcW w:w="3840" w:type="pct"/>
            <w:gridSpan w:val="2"/>
          </w:tcPr>
          <w:p w:rsidR="00DD0726" w:rsidRDefault="00DD0726" w:rsidP="008C0F87">
            <w:pPr>
              <w:pStyle w:val="Textpoznpodarou"/>
              <w:jc w:val="right"/>
              <w:rPr>
                <w:sz w:val="14"/>
                <w:szCs w:val="14"/>
              </w:rPr>
            </w:pPr>
            <w:r w:rsidRPr="00351222">
              <w:drawing>
                <wp:inline distT="0" distB="0" distL="0" distR="0">
                  <wp:extent cx="4737600" cy="3553200"/>
                  <wp:effectExtent l="0" t="0" r="0" b="0"/>
                  <wp:docPr id="38"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DE1460">
              <w:rPr>
                <w:sz w:val="14"/>
                <w:szCs w:val="14"/>
              </w:rPr>
              <w:t xml:space="preserve"> Zdroj: ČNB</w:t>
            </w:r>
          </w:p>
          <w:p w:rsidR="00DD0726" w:rsidRPr="00351222" w:rsidRDefault="00DD0726" w:rsidP="008C0F87">
            <w:pPr>
              <w:pStyle w:val="Textpoznpodarou"/>
              <w:jc w:val="right"/>
              <w:rPr>
                <w:sz w:val="14"/>
                <w:szCs w:val="14"/>
              </w:rPr>
            </w:pPr>
          </w:p>
        </w:tc>
      </w:tr>
      <w:tr w:rsidR="00DD0726" w:rsidRPr="00A74192" w:rsidTr="008C0F87">
        <w:trPr>
          <w:trHeight w:val="145"/>
        </w:trPr>
        <w:tc>
          <w:tcPr>
            <w:tcW w:w="1016" w:type="pct"/>
            <w:shd w:val="clear" w:color="auto" w:fill="auto"/>
          </w:tcPr>
          <w:p w:rsidR="00DD0726" w:rsidRPr="005D2208" w:rsidRDefault="00DD0726" w:rsidP="008C0F87">
            <w:pPr>
              <w:spacing w:line="240" w:lineRule="auto"/>
              <w:rPr>
                <w:color w:val="000000" w:themeColor="text1"/>
                <w:sz w:val="16"/>
                <w:szCs w:val="16"/>
              </w:rPr>
            </w:pPr>
            <w:r w:rsidRPr="005D2208">
              <w:rPr>
                <w:color w:val="000000" w:themeColor="text1"/>
                <w:sz w:val="16"/>
                <w:szCs w:val="16"/>
              </w:rPr>
              <w:t>Růst množství peněz v ekonomice zrychlil.</w:t>
            </w:r>
          </w:p>
        </w:tc>
        <w:tc>
          <w:tcPr>
            <w:tcW w:w="144" w:type="pct"/>
          </w:tcPr>
          <w:p w:rsidR="00DD0726" w:rsidRPr="003E6E0D" w:rsidRDefault="00DD0726" w:rsidP="008C0F87">
            <w:pPr>
              <w:pStyle w:val="Textpoznpodarou"/>
              <w:jc w:val="both"/>
              <w:rPr>
                <w:highlight w:val="yellow"/>
              </w:rPr>
            </w:pPr>
          </w:p>
        </w:tc>
        <w:tc>
          <w:tcPr>
            <w:tcW w:w="3840" w:type="pct"/>
            <w:gridSpan w:val="2"/>
          </w:tcPr>
          <w:p w:rsidR="00DD0726" w:rsidRDefault="00DD0726" w:rsidP="008C0F87">
            <w:pPr>
              <w:pStyle w:val="Textpoznpodarou"/>
              <w:jc w:val="both"/>
              <w:rPr>
                <w:sz w:val="16"/>
                <w:szCs w:val="16"/>
              </w:rPr>
            </w:pPr>
            <w:r>
              <w:t xml:space="preserve">Meziroční růst množství peněz v ekonomice během první poloviny zrychlil a překročil 10,0 %. Ve 2. čtvrtletí vzrostla peněžní zásoba meziročně o 12,5 %. Hlavním faktorem růstu byly jednodenní vklady, které vzrostly o 14,7 %. Prudce </w:t>
            </w:r>
            <w:r>
              <w:lastRenderedPageBreak/>
              <w:t xml:space="preserve">vzrostl objem </w:t>
            </w:r>
            <w:proofErr w:type="spellStart"/>
            <w:r>
              <w:t>repo</w:t>
            </w:r>
            <w:proofErr w:type="spellEnd"/>
            <w:r>
              <w:t xml:space="preserve"> operací a podílových listů, které však tvoří jen malý zlomek celkového objemu peněz. Naopak mírně oslabil pokles objemu vkladů se splatností, kterých výrazně ubývalo v roce 2016.</w:t>
            </w:r>
          </w:p>
          <w:p w:rsidR="00DD0726" w:rsidRPr="0060217B" w:rsidRDefault="00DD0726" w:rsidP="008C0F87">
            <w:pPr>
              <w:pStyle w:val="Textpoznpodarou"/>
              <w:jc w:val="both"/>
              <w:rPr>
                <w:sz w:val="16"/>
                <w:szCs w:val="16"/>
              </w:rPr>
            </w:pPr>
          </w:p>
        </w:tc>
      </w:tr>
      <w:tr w:rsidR="00DD0726" w:rsidRPr="00A74192" w:rsidTr="008C0F87">
        <w:trPr>
          <w:trHeight w:val="145"/>
        </w:trPr>
        <w:tc>
          <w:tcPr>
            <w:tcW w:w="1016" w:type="pct"/>
            <w:shd w:val="clear" w:color="auto" w:fill="auto"/>
          </w:tcPr>
          <w:p w:rsidR="00DD0726" w:rsidRPr="006D5608" w:rsidRDefault="00DD0726" w:rsidP="008C0F87">
            <w:pPr>
              <w:spacing w:line="240" w:lineRule="auto"/>
              <w:rPr>
                <w:color w:val="000000" w:themeColor="text1"/>
                <w:sz w:val="16"/>
                <w:szCs w:val="16"/>
                <w:highlight w:val="yellow"/>
              </w:rPr>
            </w:pPr>
            <w:r w:rsidRPr="005D2208">
              <w:rPr>
                <w:color w:val="000000" w:themeColor="text1"/>
                <w:sz w:val="16"/>
                <w:szCs w:val="16"/>
              </w:rPr>
              <w:lastRenderedPageBreak/>
              <w:t>Úrokové sazby na vkladech zůstávají velmi nízké.</w:t>
            </w:r>
          </w:p>
        </w:tc>
        <w:tc>
          <w:tcPr>
            <w:tcW w:w="144" w:type="pct"/>
          </w:tcPr>
          <w:p w:rsidR="00DD0726" w:rsidRPr="003E6E0D" w:rsidRDefault="00DD0726" w:rsidP="008C0F87">
            <w:pPr>
              <w:pStyle w:val="Textpoznpodarou"/>
              <w:jc w:val="both"/>
            </w:pPr>
          </w:p>
        </w:tc>
        <w:tc>
          <w:tcPr>
            <w:tcW w:w="3840" w:type="pct"/>
            <w:gridSpan w:val="2"/>
          </w:tcPr>
          <w:p w:rsidR="00DD0726" w:rsidRDefault="00DD0726" w:rsidP="008C0F87">
            <w:pPr>
              <w:pStyle w:val="Textpoznpodarou"/>
              <w:jc w:val="both"/>
              <w:rPr>
                <w:sz w:val="16"/>
                <w:szCs w:val="16"/>
              </w:rPr>
            </w:pPr>
            <w:r>
              <w:t xml:space="preserve">Situace se prakticky neměnila u úvěrových sazeb na vkladech. Běžné účty domácností měly téměř nulové úročení – průměrná sazba v květnu a červnu činila 0,04 %. Krátkodobý výkyv u vkladů s dohodnutou splatností v únoru až dubnu, kdy úročení rostlo, se vrátil k dlouhodobému trendu – průměrné sazby od dubna do června klesly o 0,34 </w:t>
            </w:r>
            <w:proofErr w:type="spellStart"/>
            <w:proofErr w:type="gramStart"/>
            <w:r>
              <w:t>p.b</w:t>
            </w:r>
            <w:proofErr w:type="spellEnd"/>
            <w:r>
              <w:t>. a skončily</w:t>
            </w:r>
            <w:proofErr w:type="gramEnd"/>
            <w:r>
              <w:t xml:space="preserve"> na 0,64 %. Na rozdíl od předchozích dvou let však nízké úročení nebylo doprovázeno téměř nulovým cenovým růstem. Vklady tak ztrácí na reálné hodnotě. Ani podnikatelé neměli mnoho možností, jak zachovat hodnotu svých peněz. Sazby na všech typech účtů se téměř sjednotily a pohybovaly se mezi 0,03 % a 0,05 %. </w:t>
            </w:r>
          </w:p>
          <w:p w:rsidR="00DD0726" w:rsidRPr="004E081E" w:rsidRDefault="00DD0726" w:rsidP="008C0F87">
            <w:pPr>
              <w:pStyle w:val="Textpoznpodarou"/>
              <w:jc w:val="both"/>
              <w:rPr>
                <w:sz w:val="16"/>
                <w:szCs w:val="16"/>
              </w:rPr>
            </w:pPr>
            <w:r>
              <w:t xml:space="preserve"> </w:t>
            </w:r>
          </w:p>
        </w:tc>
      </w:tr>
      <w:tr w:rsidR="00DD0726" w:rsidRPr="00A74192" w:rsidTr="008C0F87">
        <w:trPr>
          <w:trHeight w:val="145"/>
        </w:trPr>
        <w:tc>
          <w:tcPr>
            <w:tcW w:w="1016" w:type="pct"/>
            <w:shd w:val="clear" w:color="auto" w:fill="auto"/>
          </w:tcPr>
          <w:p w:rsidR="00DD0726" w:rsidRPr="00846B45" w:rsidRDefault="00DD0726" w:rsidP="008C0F87">
            <w:pPr>
              <w:spacing w:line="240" w:lineRule="auto"/>
              <w:rPr>
                <w:color w:val="000000" w:themeColor="text1"/>
                <w:sz w:val="16"/>
                <w:szCs w:val="16"/>
              </w:rPr>
            </w:pPr>
            <w:r w:rsidRPr="00846B45">
              <w:rPr>
                <w:color w:val="000000" w:themeColor="text1"/>
                <w:sz w:val="16"/>
                <w:szCs w:val="16"/>
              </w:rPr>
              <w:t>Trvajících nízkých sazeb na úvěrech využívaly domácnosti i firmy</w:t>
            </w:r>
            <w:r>
              <w:rPr>
                <w:color w:val="000000" w:themeColor="text1"/>
                <w:sz w:val="16"/>
                <w:szCs w:val="16"/>
              </w:rPr>
              <w:t>…</w:t>
            </w:r>
          </w:p>
        </w:tc>
        <w:tc>
          <w:tcPr>
            <w:tcW w:w="144" w:type="pct"/>
          </w:tcPr>
          <w:p w:rsidR="00DD0726" w:rsidRPr="00846B45" w:rsidRDefault="00DD0726" w:rsidP="008C0F87">
            <w:pPr>
              <w:pStyle w:val="Textpoznpodarou"/>
              <w:jc w:val="both"/>
            </w:pPr>
          </w:p>
        </w:tc>
        <w:tc>
          <w:tcPr>
            <w:tcW w:w="3840" w:type="pct"/>
            <w:gridSpan w:val="2"/>
          </w:tcPr>
          <w:p w:rsidR="00DD0726" w:rsidRDefault="00DD0726" w:rsidP="008C0F87">
            <w:pPr>
              <w:pStyle w:val="Textpoznpodarou"/>
              <w:jc w:val="both"/>
              <w:rPr>
                <w:sz w:val="16"/>
                <w:szCs w:val="16"/>
              </w:rPr>
            </w:pPr>
            <w:r>
              <w:t xml:space="preserve">Sazby na úvěrech domácnostem se v závislosti na typu a době fixace vyvíjely různě, v průměru se však na přelomu let 2016 a 2017 zastavil několik let trvající pokles a sazby spíše stagnovaly. Mírný pokles pokračoval u úroků na spotřebních úvěrech, které v minulém čtvrtletí poprvé klesly průměrně pod 10,0 %. V červnu 2017 jejich průměrné úročení dosahovalo 9,32 %. U ostře sledovaných úvěrů na bydlení sazby začaly mírně růst již v prosinci minulého roku. Velmi mírné zvyšování pokračovalo i letos. Sazby na úvěrech s fixací mezi 1 a 5 lety vzrostly z 2,18 % v březnu na 2,22 % v červnu 2017. U fixace mezi 5 a 10 lety se za stejné období zvýšily z 2,11 % na 2,18 %. Úrokové sazby na úvěrech nefinančním podnikům už také neklesaly, ale kolísaly mírně nad úrovní konce roku 2016. </w:t>
            </w:r>
          </w:p>
          <w:p w:rsidR="00DD0726" w:rsidRPr="00F45A12" w:rsidRDefault="00DD0726" w:rsidP="008C0F87">
            <w:pPr>
              <w:pStyle w:val="Textpoznpodarou"/>
              <w:jc w:val="both"/>
              <w:rPr>
                <w:sz w:val="16"/>
                <w:szCs w:val="16"/>
              </w:rPr>
            </w:pPr>
          </w:p>
        </w:tc>
      </w:tr>
      <w:tr w:rsidR="00DD0726" w:rsidRPr="00A74192" w:rsidTr="008C0F87">
        <w:trPr>
          <w:trHeight w:val="145"/>
        </w:trPr>
        <w:tc>
          <w:tcPr>
            <w:tcW w:w="1016" w:type="pct"/>
            <w:shd w:val="clear" w:color="auto" w:fill="auto"/>
          </w:tcPr>
          <w:p w:rsidR="00DD0726" w:rsidRPr="006D5608" w:rsidRDefault="00DD0726" w:rsidP="008C0F87">
            <w:pPr>
              <w:spacing w:line="240" w:lineRule="auto"/>
              <w:rPr>
                <w:color w:val="000000" w:themeColor="text1"/>
                <w:sz w:val="16"/>
                <w:szCs w:val="16"/>
                <w:highlight w:val="yellow"/>
              </w:rPr>
            </w:pPr>
            <w:r w:rsidRPr="00846B45">
              <w:rPr>
                <w:color w:val="000000" w:themeColor="text1"/>
                <w:sz w:val="16"/>
                <w:szCs w:val="16"/>
              </w:rPr>
              <w:t>…zvýšil se objem poskytnutých hypotečních úvěrů i půjček nefinančním podnikům.</w:t>
            </w:r>
          </w:p>
        </w:tc>
        <w:tc>
          <w:tcPr>
            <w:tcW w:w="144" w:type="pct"/>
          </w:tcPr>
          <w:p w:rsidR="00DD0726" w:rsidRPr="003E6E0D" w:rsidRDefault="00DD0726" w:rsidP="008C0F87">
            <w:pPr>
              <w:pStyle w:val="Textpoznpodarou"/>
              <w:jc w:val="both"/>
              <w:rPr>
                <w:highlight w:val="yellow"/>
              </w:rPr>
            </w:pPr>
          </w:p>
        </w:tc>
        <w:tc>
          <w:tcPr>
            <w:tcW w:w="3840" w:type="pct"/>
            <w:gridSpan w:val="2"/>
          </w:tcPr>
          <w:p w:rsidR="00DD0726" w:rsidRDefault="00DD0726" w:rsidP="008C0F87">
            <w:pPr>
              <w:pStyle w:val="Textpoznpodarou"/>
              <w:jc w:val="both"/>
              <w:rPr>
                <w:sz w:val="16"/>
                <w:szCs w:val="16"/>
              </w:rPr>
            </w:pPr>
            <w:r>
              <w:t>Objem úvěrů poskytnutých domácnostem během 2. čtvrtletí vzrostl o 32,4 mld. korun. Většinu z tohoto nárůstu tvořily úvěry na bydlení. Objem poskytnutých hypotečních úvěrů se zvýšil o 25,7 mld. a navázal tak na mimořádně silný nárůst z předchozího kvartálu. U nefinančních podniků objem úvěrů a pohledávek během 2. čtvrtletí vzrostl o 17,9 mld. Zastavil se přitom nárůst objemu úvěrů poskytnutých v cizí měně, který se zrychloval v druhé polovině minulého roku a v 1. čtvrtletí 2017. Ještě v dubnu objem těchto úvěrů vzrostl, v květnu i v červnu však klesal.</w:t>
            </w:r>
          </w:p>
          <w:p w:rsidR="00DD0726" w:rsidRPr="007F4D45" w:rsidRDefault="00DD0726" w:rsidP="008C0F87">
            <w:pPr>
              <w:pStyle w:val="Textpoznpodarou"/>
              <w:jc w:val="both"/>
              <w:rPr>
                <w:sz w:val="16"/>
                <w:szCs w:val="16"/>
              </w:rPr>
            </w:pPr>
          </w:p>
        </w:tc>
      </w:tr>
      <w:tr w:rsidR="00DD0726" w:rsidRPr="00AA4A76" w:rsidTr="008C0F87">
        <w:trPr>
          <w:trHeight w:val="145"/>
        </w:trPr>
        <w:tc>
          <w:tcPr>
            <w:tcW w:w="1016" w:type="pct"/>
            <w:shd w:val="clear" w:color="auto" w:fill="auto"/>
          </w:tcPr>
          <w:p w:rsidR="00DD0726" w:rsidRPr="00AA4A76" w:rsidRDefault="00DD0726" w:rsidP="008C0F87">
            <w:pPr>
              <w:spacing w:line="240" w:lineRule="auto"/>
              <w:jc w:val="center"/>
              <w:rPr>
                <w:color w:val="000000"/>
                <w:szCs w:val="20"/>
              </w:rPr>
            </w:pPr>
          </w:p>
        </w:tc>
        <w:tc>
          <w:tcPr>
            <w:tcW w:w="144" w:type="pct"/>
          </w:tcPr>
          <w:p w:rsidR="00DD0726" w:rsidRPr="00AA4A76" w:rsidRDefault="00DD0726" w:rsidP="008C0F87">
            <w:pPr>
              <w:pStyle w:val="Textpoznpodarou"/>
              <w:jc w:val="both"/>
              <w:rPr>
                <w:highlight w:val="yellow"/>
              </w:rPr>
            </w:pPr>
          </w:p>
        </w:tc>
        <w:tc>
          <w:tcPr>
            <w:tcW w:w="568" w:type="pct"/>
          </w:tcPr>
          <w:p w:rsidR="00DD0726" w:rsidRPr="00AA4A76" w:rsidRDefault="00DD0726" w:rsidP="008C0F87">
            <w:pPr>
              <w:pStyle w:val="Textpoznpodarou"/>
              <w:jc w:val="both"/>
              <w:rPr>
                <w:highlight w:val="yellow"/>
              </w:rPr>
            </w:pPr>
            <w:r w:rsidRPr="00AA4A76">
              <w:rPr>
                <w:color w:val="000000"/>
              </w:rPr>
              <w:t>Graf č. 1</w:t>
            </w:r>
            <w:r>
              <w:rPr>
                <w:color w:val="000000"/>
              </w:rPr>
              <w:t>9</w:t>
            </w:r>
          </w:p>
        </w:tc>
        <w:tc>
          <w:tcPr>
            <w:tcW w:w="3272" w:type="pct"/>
          </w:tcPr>
          <w:p w:rsidR="00DD0726" w:rsidRPr="00AA4A76" w:rsidRDefault="00DD0726" w:rsidP="008C0F87">
            <w:pPr>
              <w:pStyle w:val="Textpoznpodarou"/>
              <w:jc w:val="both"/>
              <w:rPr>
                <w:highlight w:val="yellow"/>
              </w:rPr>
            </w:pPr>
            <w:r>
              <w:rPr>
                <w:b/>
                <w:color w:val="000000" w:themeColor="text1"/>
              </w:rPr>
              <w:t>Úvěry poskytnuté domácnostem</w:t>
            </w:r>
            <w:r w:rsidRPr="00AA4A76">
              <w:rPr>
                <w:b/>
                <w:color w:val="000000" w:themeColor="text1"/>
              </w:rPr>
              <w:t xml:space="preserve"> </w:t>
            </w:r>
            <w:r w:rsidRPr="00AA4A76">
              <w:rPr>
                <w:color w:val="000000" w:themeColor="text1"/>
              </w:rPr>
              <w:t>(</w:t>
            </w:r>
            <w:r>
              <w:rPr>
                <w:color w:val="000000" w:themeColor="text1"/>
              </w:rPr>
              <w:t>meziroční růst, v %</w:t>
            </w:r>
            <w:r w:rsidRPr="00AA4A76">
              <w:rPr>
                <w:color w:val="000000" w:themeColor="text1"/>
              </w:rPr>
              <w:t>)</w:t>
            </w:r>
          </w:p>
        </w:tc>
      </w:tr>
      <w:tr w:rsidR="00DD0726" w:rsidRPr="00A74192" w:rsidTr="008C0F87">
        <w:trPr>
          <w:trHeight w:val="145"/>
        </w:trPr>
        <w:tc>
          <w:tcPr>
            <w:tcW w:w="1016" w:type="pct"/>
            <w:shd w:val="clear" w:color="auto" w:fill="auto"/>
          </w:tcPr>
          <w:p w:rsidR="00DD0726" w:rsidRPr="006D3F53" w:rsidRDefault="00DD0726" w:rsidP="008C0F87">
            <w:pPr>
              <w:spacing w:line="240" w:lineRule="auto"/>
              <w:rPr>
                <w:color w:val="000000"/>
                <w:sz w:val="16"/>
                <w:szCs w:val="16"/>
                <w:highlight w:val="yellow"/>
              </w:rPr>
            </w:pPr>
          </w:p>
        </w:tc>
        <w:tc>
          <w:tcPr>
            <w:tcW w:w="144" w:type="pct"/>
          </w:tcPr>
          <w:p w:rsidR="00DD0726" w:rsidRPr="00A74192" w:rsidRDefault="00DD0726" w:rsidP="008C0F87">
            <w:pPr>
              <w:pStyle w:val="Textpoznpodarou"/>
              <w:jc w:val="both"/>
            </w:pPr>
          </w:p>
        </w:tc>
        <w:tc>
          <w:tcPr>
            <w:tcW w:w="3840" w:type="pct"/>
            <w:gridSpan w:val="2"/>
          </w:tcPr>
          <w:p w:rsidR="00DD0726" w:rsidRDefault="00DD0726" w:rsidP="008C0F87">
            <w:pPr>
              <w:pStyle w:val="Textpoznpodarou"/>
              <w:ind w:left="-124"/>
              <w:jc w:val="both"/>
              <w:rPr>
                <w:sz w:val="16"/>
                <w:szCs w:val="16"/>
              </w:rPr>
            </w:pPr>
            <w:r w:rsidRPr="002A0D0C">
              <w:rPr>
                <w:sz w:val="16"/>
                <w:szCs w:val="16"/>
              </w:rPr>
              <w:drawing>
                <wp:inline distT="0" distB="0" distL="0" distR="0">
                  <wp:extent cx="4737600" cy="3553200"/>
                  <wp:effectExtent l="0" t="0" r="5850" b="0"/>
                  <wp:docPr id="39"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D0726" w:rsidRDefault="00DD0726" w:rsidP="008C0F87">
            <w:pPr>
              <w:pStyle w:val="Textpoznpodarou"/>
              <w:ind w:left="-124"/>
              <w:jc w:val="right"/>
              <w:rPr>
                <w:sz w:val="14"/>
                <w:szCs w:val="14"/>
              </w:rPr>
            </w:pPr>
            <w:r w:rsidRPr="00DE1460">
              <w:rPr>
                <w:sz w:val="14"/>
                <w:szCs w:val="14"/>
              </w:rPr>
              <w:t>Zdroj: ČNB</w:t>
            </w:r>
          </w:p>
          <w:p w:rsidR="00DD0726" w:rsidRPr="003C20C4" w:rsidRDefault="00DD0726" w:rsidP="008C0F87">
            <w:pPr>
              <w:pStyle w:val="Textpoznpodarou"/>
              <w:ind w:left="-124"/>
              <w:jc w:val="right"/>
              <w:rPr>
                <w:sz w:val="14"/>
                <w:szCs w:val="14"/>
              </w:rPr>
            </w:pPr>
          </w:p>
        </w:tc>
      </w:tr>
    </w:tbl>
    <w:p w:rsidR="00BF7F08" w:rsidRPr="0011365A" w:rsidRDefault="00F853A5" w:rsidP="00DD0726">
      <w:pPr>
        <w:pStyle w:val="Nadpis1"/>
        <w:numPr>
          <w:ilvl w:val="0"/>
          <w:numId w:val="12"/>
        </w:numPr>
        <w:ind w:left="709"/>
        <w:jc w:val="both"/>
      </w:pPr>
      <w:bookmarkStart w:id="17" w:name="_Toc493683640"/>
      <w:r w:rsidRPr="00A74192">
        <w:lastRenderedPageBreak/>
        <w:t>Státní rozpočet</w:t>
      </w:r>
      <w:bookmarkEnd w:id="17"/>
    </w:p>
    <w:tbl>
      <w:tblPr>
        <w:tblW w:w="4995" w:type="pct"/>
        <w:tblInd w:w="108" w:type="dxa"/>
        <w:tblLayout w:type="fixed"/>
        <w:tblLook w:val="00A0"/>
      </w:tblPr>
      <w:tblGrid>
        <w:gridCol w:w="2000"/>
        <w:gridCol w:w="284"/>
        <w:gridCol w:w="7560"/>
      </w:tblGrid>
      <w:tr w:rsidR="001C3961" w:rsidRPr="00F06A1D" w:rsidTr="00853C0F">
        <w:trPr>
          <w:trHeight w:val="145"/>
        </w:trPr>
        <w:tc>
          <w:tcPr>
            <w:tcW w:w="1016" w:type="pct"/>
            <w:shd w:val="clear" w:color="auto" w:fill="auto"/>
          </w:tcPr>
          <w:p w:rsidR="001C3961" w:rsidRDefault="001C3961" w:rsidP="00853C0F">
            <w:pPr>
              <w:spacing w:line="240" w:lineRule="auto"/>
              <w:rPr>
                <w:rFonts w:cs="Arial"/>
                <w:color w:val="0D0D0D" w:themeColor="text1" w:themeTint="F2"/>
                <w:spacing w:val="-4"/>
                <w:sz w:val="16"/>
                <w:szCs w:val="16"/>
              </w:rPr>
            </w:pPr>
            <w:r>
              <w:rPr>
                <w:rFonts w:cs="Arial"/>
                <w:color w:val="0D0D0D" w:themeColor="text1" w:themeTint="F2"/>
                <w:spacing w:val="-4"/>
                <w:sz w:val="16"/>
                <w:szCs w:val="16"/>
              </w:rPr>
              <w:t>Státní rozpočet se v rámci 1. pololetí nacházel v přebytku již počtvrté v řadě, jeho výše byla ale meziročně nižší.</w:t>
            </w:r>
          </w:p>
          <w:p w:rsidR="001C3961" w:rsidRDefault="001C3961" w:rsidP="00853C0F">
            <w:pPr>
              <w:spacing w:line="240" w:lineRule="auto"/>
              <w:rPr>
                <w:rFonts w:cs="Arial"/>
                <w:color w:val="0D0D0D" w:themeColor="text1" w:themeTint="F2"/>
                <w:spacing w:val="-4"/>
                <w:sz w:val="16"/>
                <w:szCs w:val="16"/>
              </w:rPr>
            </w:pPr>
          </w:p>
          <w:p w:rsidR="001C3961" w:rsidRDefault="001C3961" w:rsidP="00853C0F">
            <w:pPr>
              <w:spacing w:line="240" w:lineRule="auto"/>
              <w:rPr>
                <w:rFonts w:cs="Arial"/>
                <w:color w:val="0D0D0D" w:themeColor="text1" w:themeTint="F2"/>
                <w:spacing w:val="-4"/>
                <w:sz w:val="16"/>
                <w:szCs w:val="16"/>
              </w:rPr>
            </w:pPr>
          </w:p>
          <w:p w:rsidR="001C3961" w:rsidRDefault="001C3961" w:rsidP="00853C0F">
            <w:pPr>
              <w:spacing w:line="240" w:lineRule="auto"/>
              <w:rPr>
                <w:rFonts w:cs="Arial"/>
                <w:color w:val="0D0D0D" w:themeColor="text1" w:themeTint="F2"/>
                <w:spacing w:val="-4"/>
                <w:sz w:val="16"/>
                <w:szCs w:val="16"/>
              </w:rPr>
            </w:pPr>
          </w:p>
          <w:p w:rsidR="001C3961" w:rsidRPr="00D607C1" w:rsidRDefault="001C3961" w:rsidP="00853C0F">
            <w:pPr>
              <w:spacing w:line="240" w:lineRule="auto"/>
              <w:rPr>
                <w:rFonts w:cs="Arial"/>
                <w:color w:val="0D0D0D" w:themeColor="text1" w:themeTint="F2"/>
                <w:spacing w:val="-4"/>
                <w:sz w:val="16"/>
                <w:szCs w:val="16"/>
              </w:rPr>
            </w:pPr>
            <w:r>
              <w:rPr>
                <w:rFonts w:cs="Arial"/>
                <w:color w:val="0D0D0D" w:themeColor="text1" w:themeTint="F2"/>
                <w:spacing w:val="-4"/>
                <w:sz w:val="16"/>
                <w:szCs w:val="16"/>
              </w:rPr>
              <w:t xml:space="preserve">Rozpočtově očekávaný výrazný pokles příjmů plynoucí z evropských fondů byl jen zčásti kompenzován sílícími daňovými příjmy. </w:t>
            </w:r>
          </w:p>
        </w:tc>
        <w:tc>
          <w:tcPr>
            <w:tcW w:w="144" w:type="pct"/>
          </w:tcPr>
          <w:p w:rsidR="001C3961" w:rsidRPr="00A90EFD" w:rsidRDefault="001C3961" w:rsidP="00853C0F">
            <w:pPr>
              <w:pStyle w:val="Textpoznpodarou"/>
              <w:jc w:val="both"/>
              <w:rPr>
                <w:rFonts w:cs="Arial"/>
                <w:color w:val="0D0D0D" w:themeColor="text1" w:themeTint="F2"/>
              </w:rPr>
            </w:pPr>
          </w:p>
        </w:tc>
        <w:tc>
          <w:tcPr>
            <w:tcW w:w="3840" w:type="pct"/>
          </w:tcPr>
          <w:p w:rsidR="001C3961" w:rsidRPr="00E266EC" w:rsidRDefault="001C3961" w:rsidP="00853C0F">
            <w:pPr>
              <w:pStyle w:val="Textpoznpodarou"/>
              <w:jc w:val="both"/>
              <w:rPr>
                <w:rFonts w:cs="Arial"/>
                <w:color w:val="000000" w:themeColor="text1"/>
                <w:spacing w:val="-3"/>
              </w:rPr>
            </w:pPr>
            <w:r w:rsidRPr="00E266EC">
              <w:rPr>
                <w:rFonts w:cs="Arial"/>
                <w:color w:val="0D0D0D" w:themeColor="text1" w:themeTint="F2"/>
                <w:spacing w:val="-3"/>
              </w:rPr>
              <w:t>Hospo</w:t>
            </w:r>
            <w:r>
              <w:rPr>
                <w:rFonts w:cs="Arial"/>
                <w:color w:val="0D0D0D" w:themeColor="text1" w:themeTint="F2"/>
                <w:spacing w:val="-3"/>
              </w:rPr>
              <w:t xml:space="preserve">daření státního rozpočtu (SR) </w:t>
            </w:r>
            <w:r w:rsidRPr="00E266EC">
              <w:rPr>
                <w:rFonts w:cs="Arial"/>
                <w:color w:val="0D0D0D" w:themeColor="text1" w:themeTint="F2"/>
                <w:spacing w:val="-3"/>
              </w:rPr>
              <w:t>v průběhu první poloviny roku nejvíce ovlivňovaly sílící ekonomický růst spolu s nepravidelným cyklem čerpání prostředků z evropských fondů. SR doc</w:t>
            </w:r>
            <w:r>
              <w:rPr>
                <w:rFonts w:cs="Arial"/>
                <w:color w:val="0D0D0D" w:themeColor="text1" w:themeTint="F2"/>
                <w:spacing w:val="-3"/>
              </w:rPr>
              <w:t>ílil v 1. pololetí 2017</w:t>
            </w:r>
            <w:r w:rsidRPr="00E266EC">
              <w:rPr>
                <w:rFonts w:cs="Arial"/>
                <w:color w:val="0D0D0D" w:themeColor="text1" w:themeTint="F2"/>
                <w:spacing w:val="-3"/>
              </w:rPr>
              <w:t xml:space="preserve"> mírného přebytku 4,6 mld. korun (dle údajů Ministerstva financí o pokladním plnění). V tomto období roku bylo dosaženo kladné bilance již počtvrté v řadě, letošní výsledek byl ale zároveň nejslabší po roce 2014. V tenčícím se přebytku se zrcadlil vliv výrazných nepravidelností toků prostředků z rozpočtu EU</w:t>
            </w:r>
            <w:r w:rsidRPr="00E266EC">
              <w:rPr>
                <w:rStyle w:val="Znakapoznpodarou"/>
                <w:color w:val="0D0D0D" w:themeColor="text1" w:themeTint="F2"/>
                <w:spacing w:val="-3"/>
              </w:rPr>
              <w:footnoteReference w:id="29"/>
            </w:r>
            <w:r w:rsidRPr="00E266EC">
              <w:rPr>
                <w:rFonts w:cs="Arial"/>
                <w:color w:val="0D0D0D" w:themeColor="text1" w:themeTint="F2"/>
                <w:spacing w:val="-3"/>
              </w:rPr>
              <w:t>. Příjmy SR z rozpočtu EU byly letos meziročně o t</w:t>
            </w:r>
            <w:r>
              <w:rPr>
                <w:rFonts w:cs="Arial"/>
                <w:color w:val="0D0D0D" w:themeColor="text1" w:themeTint="F2"/>
                <w:spacing w:val="-3"/>
              </w:rPr>
              <w:t>éměř 60</w:t>
            </w:r>
            <w:r w:rsidRPr="00E266EC">
              <w:rPr>
                <w:rFonts w:cs="Arial"/>
                <w:color w:val="0D0D0D" w:themeColor="text1" w:themeTint="F2"/>
                <w:spacing w:val="-3"/>
              </w:rPr>
              <w:t xml:space="preserve"> % nižší. Tento propad souvisel s faktem, že drtivá většina loňských příjmů byla ještě vázaná na </w:t>
            </w:r>
            <w:r w:rsidR="00B6493D">
              <w:rPr>
                <w:spacing w:val="-3"/>
              </w:rPr>
              <w:t xml:space="preserve">programové období 2007 až </w:t>
            </w:r>
            <w:r w:rsidRPr="00E266EC">
              <w:rPr>
                <w:spacing w:val="-3"/>
              </w:rPr>
              <w:t>2013 a také s</w:t>
            </w:r>
            <w:r w:rsidRPr="00E266EC">
              <w:rPr>
                <w:rFonts w:cs="Arial"/>
                <w:color w:val="0D0D0D" w:themeColor="text1" w:themeTint="F2"/>
                <w:spacing w:val="-3"/>
              </w:rPr>
              <w:t> </w:t>
            </w:r>
            <w:r w:rsidRPr="00E266EC">
              <w:rPr>
                <w:spacing w:val="-3"/>
              </w:rPr>
              <w:t>pomalým loňským i</w:t>
            </w:r>
            <w:r w:rsidR="00B6493D" w:rsidRPr="00E266EC">
              <w:rPr>
                <w:rFonts w:cs="Arial"/>
                <w:color w:val="0D0D0D" w:themeColor="text1" w:themeTint="F2"/>
                <w:spacing w:val="-3"/>
              </w:rPr>
              <w:t> </w:t>
            </w:r>
            <w:r w:rsidRPr="00E266EC">
              <w:rPr>
                <w:spacing w:val="-3"/>
              </w:rPr>
              <w:t xml:space="preserve">letošním náběhem čerpání prostředků v novém programovém období. Příznivý ekonomický vývoj nadále stimuloval růst celkových daňových příjmů, jejich celostátní výběr tak zrychlil na 8,7 % (nejlepší výsledek za první pololetí po roce 2005). </w:t>
            </w:r>
            <w:r w:rsidRPr="00E266EC">
              <w:rPr>
                <w:rFonts w:cs="Arial"/>
                <w:color w:val="0D0D0D" w:themeColor="text1" w:themeTint="F2"/>
                <w:spacing w:val="-3"/>
              </w:rPr>
              <w:t>Saldo SR tvořící klíčovou složku deficitu či přebytku sektoru vládních institucí činilo letos ve vztahu k</w:t>
            </w:r>
            <w:r w:rsidRPr="00E266EC">
              <w:rPr>
                <w:color w:val="0D0D0D" w:themeColor="text1" w:themeTint="F2"/>
                <w:spacing w:val="-3"/>
              </w:rPr>
              <w:t> </w:t>
            </w:r>
            <w:r>
              <w:rPr>
                <w:rFonts w:cs="Arial"/>
                <w:color w:val="000000" w:themeColor="text1"/>
                <w:spacing w:val="-3"/>
              </w:rPr>
              <w:t>nominálnímu HDP +0,2 %</w:t>
            </w:r>
            <w:r w:rsidRPr="00E266EC">
              <w:rPr>
                <w:rFonts w:cs="Arial"/>
                <w:color w:val="000000" w:themeColor="text1"/>
                <w:spacing w:val="-3"/>
              </w:rPr>
              <w:t xml:space="preserve"> (o rok dříve +1,7 %).</w:t>
            </w:r>
          </w:p>
          <w:p w:rsidR="001C3961" w:rsidRPr="00A7478D" w:rsidRDefault="001C3961" w:rsidP="00853C0F">
            <w:pPr>
              <w:pStyle w:val="Textpoznpodarou"/>
              <w:jc w:val="both"/>
              <w:rPr>
                <w:rFonts w:cs="Arial"/>
                <w:color w:val="0D0D0D" w:themeColor="text1" w:themeTint="F2"/>
                <w:spacing w:val="-3"/>
                <w:sz w:val="15"/>
                <w:szCs w:val="15"/>
              </w:rPr>
            </w:pPr>
          </w:p>
        </w:tc>
      </w:tr>
      <w:tr w:rsidR="001C3961" w:rsidRPr="0094422D" w:rsidTr="00853C0F">
        <w:trPr>
          <w:trHeight w:val="145"/>
        </w:trPr>
        <w:tc>
          <w:tcPr>
            <w:tcW w:w="1016" w:type="pct"/>
            <w:shd w:val="clear" w:color="auto" w:fill="auto"/>
          </w:tcPr>
          <w:p w:rsidR="001C3961" w:rsidRPr="001C4DD3" w:rsidRDefault="001C3961" w:rsidP="00853C0F">
            <w:pPr>
              <w:spacing w:line="240" w:lineRule="auto"/>
              <w:rPr>
                <w:rFonts w:cs="Arial"/>
                <w:color w:val="0D0D0D" w:themeColor="text1" w:themeTint="F2"/>
                <w:spacing w:val="-2"/>
                <w:sz w:val="16"/>
                <w:szCs w:val="16"/>
              </w:rPr>
            </w:pPr>
            <w:r>
              <w:rPr>
                <w:rFonts w:cs="Arial"/>
                <w:color w:val="0D0D0D" w:themeColor="text1" w:themeTint="F2"/>
                <w:spacing w:val="-2"/>
                <w:sz w:val="16"/>
                <w:szCs w:val="16"/>
              </w:rPr>
              <w:t xml:space="preserve">Meziroční tempo výběru DPH během prvních šesti měsíců roku 2017 zrychlovalo. </w:t>
            </w:r>
          </w:p>
        </w:tc>
        <w:tc>
          <w:tcPr>
            <w:tcW w:w="144" w:type="pct"/>
          </w:tcPr>
          <w:p w:rsidR="001C3961" w:rsidRPr="00A90EFD" w:rsidRDefault="001C3961" w:rsidP="00853C0F">
            <w:pPr>
              <w:pStyle w:val="Textpoznpodarou"/>
              <w:jc w:val="both"/>
              <w:rPr>
                <w:rFonts w:cs="Arial"/>
                <w:color w:val="0D0D0D" w:themeColor="text1" w:themeTint="F2"/>
              </w:rPr>
            </w:pPr>
          </w:p>
        </w:tc>
        <w:tc>
          <w:tcPr>
            <w:tcW w:w="3840" w:type="pct"/>
          </w:tcPr>
          <w:p w:rsidR="001C3961" w:rsidRPr="00FF5A0D" w:rsidRDefault="001C3961" w:rsidP="00853C0F">
            <w:pPr>
              <w:pStyle w:val="Textpoznpodarou"/>
              <w:jc w:val="both"/>
              <w:rPr>
                <w:rFonts w:cs="Arial"/>
                <w:color w:val="000000" w:themeColor="text1"/>
                <w:spacing w:val="-4"/>
              </w:rPr>
            </w:pPr>
            <w:r w:rsidRPr="00FF5A0D">
              <w:rPr>
                <w:rFonts w:cs="Arial"/>
                <w:color w:val="000000" w:themeColor="text1"/>
                <w:spacing w:val="-4"/>
              </w:rPr>
              <w:t xml:space="preserve">Tempo celostátního výběru váhově dominantní daně – DPH – se meziročně více než zdvojnásobilo – na 14,1 % (na úrovni SR </w:t>
            </w:r>
            <w:r>
              <w:rPr>
                <w:rFonts w:cs="Arial"/>
                <w:color w:val="000000" w:themeColor="text1"/>
                <w:spacing w:val="-4"/>
              </w:rPr>
              <w:t>na</w:t>
            </w:r>
            <w:r w:rsidRPr="00FF5A0D">
              <w:rPr>
                <w:rFonts w:cs="Arial"/>
                <w:color w:val="000000" w:themeColor="text1"/>
                <w:spacing w:val="-4"/>
              </w:rPr>
              <w:t>rostlo o 13,1 %)</w:t>
            </w:r>
            <w:r w:rsidRPr="00FF5A0D">
              <w:rPr>
                <w:rStyle w:val="Znakapoznpodarou"/>
                <w:color w:val="000000" w:themeColor="text1"/>
                <w:spacing w:val="-4"/>
              </w:rPr>
              <w:footnoteReference w:id="30"/>
            </w:r>
            <w:r>
              <w:rPr>
                <w:rFonts w:cs="Arial"/>
                <w:color w:val="000000" w:themeColor="text1"/>
                <w:spacing w:val="-4"/>
              </w:rPr>
              <w:t xml:space="preserve"> primárně</w:t>
            </w:r>
            <w:r w:rsidRPr="00FF5A0D">
              <w:rPr>
                <w:rFonts w:cs="Arial"/>
                <w:color w:val="000000" w:themeColor="text1"/>
                <w:spacing w:val="-4"/>
              </w:rPr>
              <w:t xml:space="preserve"> vlivem zrychlení temp</w:t>
            </w:r>
            <w:r>
              <w:rPr>
                <w:rFonts w:cs="Arial"/>
                <w:color w:val="000000" w:themeColor="text1"/>
                <w:spacing w:val="-4"/>
              </w:rPr>
              <w:t>a</w:t>
            </w:r>
            <w:r w:rsidRPr="00FF5A0D">
              <w:rPr>
                <w:rFonts w:cs="Arial"/>
                <w:color w:val="000000" w:themeColor="text1"/>
                <w:spacing w:val="-4"/>
              </w:rPr>
              <w:t xml:space="preserve"> ve 2. čtvrtletí 2017. K tomuto výsledku zřejmě částečně přispěl i přesun některých aktivit z šedé ekonomiky vlivem nedávných opatření zavedených na straně výběru daně. Naopak dlouhodobě </w:t>
            </w:r>
            <w:r>
              <w:rPr>
                <w:rFonts w:cs="Arial"/>
                <w:color w:val="000000" w:themeColor="text1"/>
                <w:spacing w:val="-4"/>
              </w:rPr>
              <w:t>působil</w:t>
            </w:r>
            <w:r w:rsidRPr="00FF5A0D">
              <w:rPr>
                <w:rFonts w:cs="Arial"/>
                <w:color w:val="000000" w:themeColor="text1"/>
                <w:spacing w:val="-4"/>
              </w:rPr>
              <w:t xml:space="preserve"> příznivý vývoj ekonomiky, jenž se v</w:t>
            </w:r>
            <w:r>
              <w:rPr>
                <w:rFonts w:cs="Arial"/>
                <w:color w:val="000000" w:themeColor="text1"/>
                <w:spacing w:val="-4"/>
              </w:rPr>
              <w:t> 1.</w:t>
            </w:r>
            <w:r w:rsidRPr="00E266EC">
              <w:rPr>
                <w:rFonts w:cs="Arial"/>
                <w:color w:val="0D0D0D" w:themeColor="text1" w:themeTint="F2"/>
                <w:spacing w:val="-3"/>
              </w:rPr>
              <w:t> </w:t>
            </w:r>
            <w:r w:rsidRPr="00FF5A0D">
              <w:rPr>
                <w:rFonts w:cs="Arial"/>
                <w:color w:val="000000" w:themeColor="text1"/>
                <w:spacing w:val="-4"/>
              </w:rPr>
              <w:t>pololetí projevoval i svižným růstem výdajů na konečnou spotřebu (u</w:t>
            </w:r>
            <w:r w:rsidRPr="00FF5A0D">
              <w:rPr>
                <w:rFonts w:cs="Arial"/>
                <w:color w:val="0D0D0D" w:themeColor="text1" w:themeTint="F2"/>
                <w:spacing w:val="-4"/>
              </w:rPr>
              <w:t> </w:t>
            </w:r>
            <w:r w:rsidRPr="00FF5A0D">
              <w:rPr>
                <w:rFonts w:cs="Arial"/>
                <w:color w:val="000000" w:themeColor="text1"/>
                <w:spacing w:val="-4"/>
              </w:rPr>
              <w:t>domácností nominálně o 6,1 %, u vládních institucí o 5,5 %)</w:t>
            </w:r>
            <w:r w:rsidRPr="00FF5A0D">
              <w:rPr>
                <w:rStyle w:val="Znakapoznpodarou"/>
                <w:color w:val="000000" w:themeColor="text1"/>
                <w:spacing w:val="-4"/>
              </w:rPr>
              <w:footnoteReference w:id="31"/>
            </w:r>
            <w:r w:rsidRPr="00FF5A0D">
              <w:rPr>
                <w:rFonts w:cs="Arial"/>
                <w:color w:val="000000" w:themeColor="text1"/>
                <w:spacing w:val="-4"/>
              </w:rPr>
              <w:t>. Letošní růst inkaso DPH ovlivňuje i</w:t>
            </w:r>
            <w:r w:rsidRPr="00E266EC">
              <w:rPr>
                <w:rFonts w:cs="Arial"/>
                <w:color w:val="0D0D0D" w:themeColor="text1" w:themeTint="F2"/>
                <w:spacing w:val="-3"/>
              </w:rPr>
              <w:t> </w:t>
            </w:r>
            <w:r w:rsidRPr="00FF5A0D">
              <w:rPr>
                <w:rFonts w:cs="Arial"/>
                <w:color w:val="000000" w:themeColor="text1"/>
                <w:spacing w:val="-4"/>
              </w:rPr>
              <w:t xml:space="preserve">fakt, že jeho loňský výběr (na rozdíl od ostatních objemově významných daní) těsně nenaplnil rozpočtová očekávání. Dílčí negativní dopad na výběr daně mělo snížení sazby DPH na stravovací služby </w:t>
            </w:r>
            <w:r>
              <w:rPr>
                <w:spacing w:val="-4"/>
              </w:rPr>
              <w:t>a od března 2017 i pokles</w:t>
            </w:r>
            <w:r w:rsidRPr="00FF5A0D">
              <w:rPr>
                <w:spacing w:val="-4"/>
              </w:rPr>
              <w:t xml:space="preserve"> sazby u novin a časopisů.</w:t>
            </w:r>
          </w:p>
        </w:tc>
      </w:tr>
    </w:tbl>
    <w:p w:rsidR="001C3961" w:rsidRPr="00FF5A0D" w:rsidRDefault="001C3961" w:rsidP="001C3961">
      <w:pPr>
        <w:pStyle w:val="Textpoznpodarou"/>
        <w:jc w:val="both"/>
        <w:rPr>
          <w:rFonts w:cs="Arial"/>
          <w:color w:val="000000"/>
          <w:spacing w:val="-2"/>
          <w:sz w:val="14"/>
          <w:szCs w:val="14"/>
        </w:rPr>
      </w:pPr>
    </w:p>
    <w:tbl>
      <w:tblPr>
        <w:tblW w:w="4963" w:type="pct"/>
        <w:tblInd w:w="108" w:type="dxa"/>
        <w:tblLayout w:type="fixed"/>
        <w:tblLook w:val="00A0"/>
      </w:tblPr>
      <w:tblGrid>
        <w:gridCol w:w="1997"/>
        <w:gridCol w:w="284"/>
        <w:gridCol w:w="1119"/>
        <w:gridCol w:w="6381"/>
      </w:tblGrid>
      <w:tr w:rsidR="001C3961" w:rsidRPr="00AA4A76" w:rsidTr="00853C0F">
        <w:trPr>
          <w:trHeight w:val="145"/>
        </w:trPr>
        <w:tc>
          <w:tcPr>
            <w:tcW w:w="1021" w:type="pct"/>
            <w:shd w:val="clear" w:color="auto" w:fill="auto"/>
          </w:tcPr>
          <w:p w:rsidR="001C3961" w:rsidRPr="00AA4A76" w:rsidRDefault="001C3961" w:rsidP="00853C0F">
            <w:pPr>
              <w:spacing w:line="240" w:lineRule="auto"/>
              <w:jc w:val="center"/>
              <w:rPr>
                <w:color w:val="000000"/>
                <w:szCs w:val="20"/>
              </w:rPr>
            </w:pPr>
          </w:p>
        </w:tc>
        <w:tc>
          <w:tcPr>
            <w:tcW w:w="145" w:type="pct"/>
          </w:tcPr>
          <w:p w:rsidR="001C3961" w:rsidRPr="00AA4A76" w:rsidRDefault="001C3961" w:rsidP="00853C0F">
            <w:pPr>
              <w:pStyle w:val="Textpoznpodarou"/>
              <w:jc w:val="both"/>
              <w:rPr>
                <w:highlight w:val="yellow"/>
              </w:rPr>
            </w:pPr>
          </w:p>
        </w:tc>
        <w:tc>
          <w:tcPr>
            <w:tcW w:w="572" w:type="pct"/>
          </w:tcPr>
          <w:p w:rsidR="001C3961" w:rsidRPr="00AA4A76" w:rsidRDefault="001C3961" w:rsidP="00853C0F">
            <w:pPr>
              <w:pStyle w:val="Textpoznpodarou"/>
              <w:jc w:val="both"/>
              <w:rPr>
                <w:highlight w:val="yellow"/>
              </w:rPr>
            </w:pPr>
            <w:r>
              <w:rPr>
                <w:color w:val="000000"/>
              </w:rPr>
              <w:t>Graf č. 20</w:t>
            </w:r>
          </w:p>
        </w:tc>
        <w:tc>
          <w:tcPr>
            <w:tcW w:w="3262" w:type="pct"/>
          </w:tcPr>
          <w:p w:rsidR="001C3961" w:rsidRDefault="001C3961" w:rsidP="00853C0F">
            <w:pPr>
              <w:spacing w:line="240" w:lineRule="auto"/>
              <w:rPr>
                <w:rFonts w:cs="Arial"/>
                <w:bCs/>
              </w:rPr>
            </w:pPr>
            <w:r>
              <w:rPr>
                <w:rFonts w:cs="Arial"/>
                <w:b/>
                <w:bCs/>
              </w:rPr>
              <w:t xml:space="preserve">Celostátní inkasa vybraných daňových příjmů </w:t>
            </w:r>
            <w:r>
              <w:rPr>
                <w:rFonts w:cs="Arial"/>
                <w:bCs/>
              </w:rPr>
              <w:t>(</w:t>
            </w:r>
            <w:r w:rsidRPr="00E62A33">
              <w:rPr>
                <w:spacing w:val="-2"/>
              </w:rPr>
              <w:t>meziročně</w:t>
            </w:r>
            <w:r w:rsidRPr="00E62A33">
              <w:rPr>
                <w:bCs/>
                <w:spacing w:val="-2"/>
              </w:rPr>
              <w:t xml:space="preserve"> v %)</w:t>
            </w:r>
            <w:r>
              <w:rPr>
                <w:rFonts w:cs="Arial"/>
                <w:bCs/>
              </w:rPr>
              <w:t xml:space="preserve"> </w:t>
            </w:r>
          </w:p>
          <w:p w:rsidR="001C3961" w:rsidRPr="0007324C" w:rsidRDefault="001C3961" w:rsidP="00853C0F">
            <w:pPr>
              <w:spacing w:line="240" w:lineRule="auto"/>
              <w:rPr>
                <w:rFonts w:cs="Arial"/>
                <w:b/>
                <w:bCs/>
              </w:rPr>
            </w:pPr>
            <w:r>
              <w:rPr>
                <w:rFonts w:cs="Arial"/>
                <w:b/>
                <w:bCs/>
              </w:rPr>
              <w:t>a saldo státního rozpočtu</w:t>
            </w:r>
            <w:r>
              <w:t xml:space="preserve"> </w:t>
            </w:r>
            <w:r>
              <w:rPr>
                <w:rFonts w:cs="Arial"/>
                <w:bCs/>
              </w:rPr>
              <w:t xml:space="preserve">(v mld. korun) </w:t>
            </w:r>
            <w:r>
              <w:rPr>
                <w:rFonts w:cs="Arial"/>
                <w:b/>
                <w:bCs/>
              </w:rPr>
              <w:t>v 1. polo</w:t>
            </w:r>
            <w:r w:rsidRPr="006808C5">
              <w:rPr>
                <w:rFonts w:cs="Arial"/>
                <w:b/>
                <w:bCs/>
              </w:rPr>
              <w:t>letích roku</w:t>
            </w:r>
            <w:r>
              <w:rPr>
                <w:rFonts w:cs="Arial"/>
                <w:b/>
                <w:bCs/>
              </w:rPr>
              <w:t xml:space="preserve"> </w:t>
            </w:r>
          </w:p>
        </w:tc>
      </w:tr>
      <w:tr w:rsidR="001C3961" w:rsidRPr="00AA4A76" w:rsidTr="00853C0F">
        <w:trPr>
          <w:trHeight w:val="145"/>
        </w:trPr>
        <w:tc>
          <w:tcPr>
            <w:tcW w:w="1021" w:type="pct"/>
            <w:shd w:val="clear" w:color="auto" w:fill="auto"/>
          </w:tcPr>
          <w:p w:rsidR="001C3961" w:rsidRPr="006D3F53" w:rsidRDefault="001C3961" w:rsidP="00853C0F">
            <w:pPr>
              <w:spacing w:line="240" w:lineRule="auto"/>
              <w:rPr>
                <w:color w:val="000000"/>
                <w:sz w:val="16"/>
                <w:szCs w:val="16"/>
                <w:highlight w:val="yellow"/>
              </w:rPr>
            </w:pPr>
          </w:p>
        </w:tc>
        <w:tc>
          <w:tcPr>
            <w:tcW w:w="145" w:type="pct"/>
          </w:tcPr>
          <w:p w:rsidR="001C3961" w:rsidRPr="00A74192" w:rsidRDefault="001C3961" w:rsidP="00853C0F">
            <w:pPr>
              <w:pStyle w:val="Textpoznpodarou"/>
              <w:jc w:val="both"/>
            </w:pPr>
          </w:p>
        </w:tc>
        <w:tc>
          <w:tcPr>
            <w:tcW w:w="3833" w:type="pct"/>
            <w:gridSpan w:val="2"/>
          </w:tcPr>
          <w:p w:rsidR="001C3961" w:rsidRDefault="001C3961" w:rsidP="00853C0F">
            <w:pPr>
              <w:pStyle w:val="Textpoznpodarou"/>
              <w:ind w:left="-124"/>
              <w:jc w:val="both"/>
              <w:rPr>
                <w:sz w:val="16"/>
                <w:szCs w:val="16"/>
              </w:rPr>
            </w:pPr>
            <w:r w:rsidRPr="009D745A">
              <w:rPr>
                <w:noProof/>
                <w:sz w:val="16"/>
                <w:szCs w:val="16"/>
              </w:rPr>
              <w:drawing>
                <wp:inline distT="0" distB="0" distL="0" distR="0">
                  <wp:extent cx="4751733" cy="3482671"/>
                  <wp:effectExtent l="19050" t="0" r="0" b="0"/>
                  <wp:docPr id="3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1C3961" w:rsidRPr="00535F78" w:rsidRDefault="001C3961" w:rsidP="00853C0F">
            <w:pPr>
              <w:pStyle w:val="Textpoznpodarou"/>
              <w:ind w:left="-124"/>
              <w:jc w:val="right"/>
              <w:rPr>
                <w:sz w:val="14"/>
                <w:szCs w:val="14"/>
              </w:rPr>
            </w:pPr>
            <w:r w:rsidRPr="00535F78">
              <w:rPr>
                <w:rFonts w:cs="Arial"/>
                <w:sz w:val="14"/>
                <w:szCs w:val="14"/>
              </w:rPr>
              <w:t>Zdroj: MF</w:t>
            </w:r>
          </w:p>
        </w:tc>
      </w:tr>
    </w:tbl>
    <w:p w:rsidR="001C3961" w:rsidRPr="00FF5A0D" w:rsidRDefault="001C3961" w:rsidP="001C3961">
      <w:pPr>
        <w:pStyle w:val="Textpoznpodarou"/>
        <w:jc w:val="both"/>
        <w:rPr>
          <w:rFonts w:cs="Arial"/>
          <w:color w:val="000000"/>
          <w:spacing w:val="-2"/>
          <w:sz w:val="6"/>
          <w:szCs w:val="6"/>
        </w:rPr>
      </w:pPr>
    </w:p>
    <w:tbl>
      <w:tblPr>
        <w:tblW w:w="4995" w:type="pct"/>
        <w:tblInd w:w="108" w:type="dxa"/>
        <w:tblLayout w:type="fixed"/>
        <w:tblLook w:val="00A0"/>
      </w:tblPr>
      <w:tblGrid>
        <w:gridCol w:w="2000"/>
        <w:gridCol w:w="284"/>
        <w:gridCol w:w="7560"/>
      </w:tblGrid>
      <w:tr w:rsidR="001C3961" w:rsidRPr="00F06A1D" w:rsidTr="00853C0F">
        <w:trPr>
          <w:trHeight w:val="145"/>
        </w:trPr>
        <w:tc>
          <w:tcPr>
            <w:tcW w:w="1016" w:type="pct"/>
            <w:shd w:val="clear" w:color="auto" w:fill="auto"/>
          </w:tcPr>
          <w:p w:rsidR="001C3961" w:rsidRPr="00A7478D" w:rsidRDefault="001C3961" w:rsidP="00853C0F">
            <w:pPr>
              <w:spacing w:line="240" w:lineRule="auto"/>
              <w:rPr>
                <w:rFonts w:cs="Arial"/>
                <w:bCs/>
                <w:iCs/>
                <w:color w:val="0D0D0D" w:themeColor="text1" w:themeTint="F2"/>
                <w:spacing w:val="-2"/>
                <w:sz w:val="16"/>
                <w:szCs w:val="16"/>
              </w:rPr>
            </w:pPr>
            <w:r>
              <w:rPr>
                <w:rFonts w:cs="Arial"/>
                <w:bCs/>
                <w:iCs/>
                <w:color w:val="0D0D0D" w:themeColor="text1" w:themeTint="F2"/>
                <w:sz w:val="16"/>
                <w:szCs w:val="16"/>
              </w:rPr>
              <w:lastRenderedPageBreak/>
              <w:t>Jen mírný růst</w:t>
            </w:r>
            <w:r w:rsidRPr="00A7478D">
              <w:rPr>
                <w:rFonts w:cs="Arial"/>
                <w:bCs/>
                <w:iCs/>
                <w:color w:val="0D0D0D" w:themeColor="text1" w:themeTint="F2"/>
                <w:sz w:val="16"/>
                <w:szCs w:val="16"/>
              </w:rPr>
              <w:t xml:space="preserve"> inkasa spotřebních daní byl</w:t>
            </w:r>
            <w:r>
              <w:rPr>
                <w:rFonts w:cs="Arial"/>
                <w:bCs/>
                <w:iCs/>
                <w:color w:val="0D0D0D" w:themeColor="text1" w:themeTint="F2"/>
                <w:sz w:val="16"/>
                <w:szCs w:val="16"/>
              </w:rPr>
              <w:t xml:space="preserve"> v první polovině roku</w:t>
            </w:r>
            <w:r w:rsidRPr="00A7478D">
              <w:rPr>
                <w:rFonts w:cs="Arial"/>
                <w:bCs/>
                <w:iCs/>
                <w:color w:val="0D0D0D" w:themeColor="text1" w:themeTint="F2"/>
                <w:sz w:val="16"/>
                <w:szCs w:val="16"/>
              </w:rPr>
              <w:t xml:space="preserve"> ovlivněn</w:t>
            </w:r>
            <w:r>
              <w:rPr>
                <w:rFonts w:cs="Arial"/>
                <w:bCs/>
                <w:iCs/>
                <w:color w:val="0D0D0D" w:themeColor="text1" w:themeTint="F2"/>
                <w:sz w:val="16"/>
                <w:szCs w:val="16"/>
              </w:rPr>
              <w:t xml:space="preserve"> krátkodobým snížením výběru daně</w:t>
            </w:r>
            <w:r w:rsidRPr="00A7478D">
              <w:rPr>
                <w:rFonts w:cs="Arial"/>
                <w:bCs/>
                <w:iCs/>
                <w:color w:val="0D0D0D" w:themeColor="text1" w:themeTint="F2"/>
                <w:sz w:val="16"/>
                <w:szCs w:val="16"/>
              </w:rPr>
              <w:t xml:space="preserve"> </w:t>
            </w:r>
            <w:r>
              <w:rPr>
                <w:rFonts w:cs="Arial"/>
                <w:bCs/>
                <w:iCs/>
                <w:color w:val="0D0D0D" w:themeColor="text1" w:themeTint="F2"/>
                <w:sz w:val="16"/>
                <w:szCs w:val="16"/>
              </w:rPr>
              <w:t>z</w:t>
            </w:r>
            <w:r>
              <w:rPr>
                <w:rFonts w:cs="Arial"/>
                <w:color w:val="0D0D0D" w:themeColor="text1" w:themeTint="F2"/>
                <w:spacing w:val="-4"/>
                <w:sz w:val="16"/>
                <w:szCs w:val="16"/>
              </w:rPr>
              <w:t> </w:t>
            </w:r>
            <w:r>
              <w:rPr>
                <w:rFonts w:cs="Arial"/>
                <w:bCs/>
                <w:iCs/>
                <w:color w:val="0D0D0D" w:themeColor="text1" w:themeTint="F2"/>
                <w:sz w:val="16"/>
                <w:szCs w:val="16"/>
              </w:rPr>
              <w:t>tabákových výrobků.</w:t>
            </w:r>
            <w:r w:rsidRPr="00A7478D">
              <w:rPr>
                <w:rFonts w:cs="Arial"/>
                <w:bCs/>
                <w:iCs/>
                <w:color w:val="0D0D0D" w:themeColor="text1" w:themeTint="F2"/>
                <w:sz w:val="16"/>
                <w:szCs w:val="16"/>
              </w:rPr>
              <w:t xml:space="preserve"> </w:t>
            </w:r>
          </w:p>
        </w:tc>
        <w:tc>
          <w:tcPr>
            <w:tcW w:w="144" w:type="pct"/>
          </w:tcPr>
          <w:p w:rsidR="001C3961" w:rsidRPr="00A90EFD" w:rsidRDefault="001C3961" w:rsidP="00853C0F">
            <w:pPr>
              <w:pStyle w:val="Textpoznpodarou"/>
              <w:jc w:val="both"/>
              <w:rPr>
                <w:rFonts w:cs="Arial"/>
                <w:color w:val="0D0D0D" w:themeColor="text1" w:themeTint="F2"/>
              </w:rPr>
            </w:pPr>
          </w:p>
        </w:tc>
        <w:tc>
          <w:tcPr>
            <w:tcW w:w="3840" w:type="pct"/>
          </w:tcPr>
          <w:p w:rsidR="001C3961" w:rsidRPr="00751FC1" w:rsidRDefault="001C3961" w:rsidP="00853C0F">
            <w:pPr>
              <w:pStyle w:val="Textpoznpodarou"/>
              <w:jc w:val="both"/>
              <w:rPr>
                <w:spacing w:val="-2"/>
              </w:rPr>
            </w:pPr>
            <w:r w:rsidRPr="00751FC1">
              <w:rPr>
                <w:rFonts w:cs="Arial"/>
                <w:color w:val="000000" w:themeColor="text1"/>
                <w:spacing w:val="-2"/>
              </w:rPr>
              <w:t xml:space="preserve">Růst inkasa všech spotřebních daní (oproti tempům z roku 2016) letos zpomaloval. V 1. čtvrtletí získal SR meziročně o 2,3 % více, ve 2. čtvrtletí výnos fakticky stagnoval. Tento vývoj byl ovlivněn hlavně poklesem výběru </w:t>
            </w:r>
            <w:r w:rsidRPr="00751FC1">
              <w:rPr>
                <w:rFonts w:cs="Arial"/>
                <w:color w:val="0D0D0D" w:themeColor="text1" w:themeTint="F2"/>
                <w:spacing w:val="-2"/>
              </w:rPr>
              <w:t>daně z tabákových výrobků (za 1. pololetí o 2,4 %). Krátkodobě rozpočtově negativně působící administrativní vlivy</w:t>
            </w:r>
            <w:r w:rsidRPr="00751FC1">
              <w:rPr>
                <w:rStyle w:val="Znakapoznpodarou"/>
                <w:color w:val="0D0D0D" w:themeColor="text1" w:themeTint="F2"/>
                <w:spacing w:val="-2"/>
              </w:rPr>
              <w:footnoteReference w:id="32"/>
            </w:r>
            <w:r w:rsidRPr="00751FC1">
              <w:rPr>
                <w:rFonts w:cs="Arial"/>
                <w:color w:val="0D0D0D" w:themeColor="text1" w:themeTint="F2"/>
                <w:spacing w:val="-2"/>
              </w:rPr>
              <w:t xml:space="preserve"> tak převýšily efekt </w:t>
            </w:r>
            <w:r w:rsidRPr="00751FC1">
              <w:rPr>
                <w:spacing w:val="-2"/>
              </w:rPr>
              <w:t>nárůstu sazeb spotřební daně z tabákových výrobků</w:t>
            </w:r>
            <w:r w:rsidRPr="00751FC1">
              <w:rPr>
                <w:rStyle w:val="Znakapoznpodarou"/>
                <w:spacing w:val="-2"/>
              </w:rPr>
              <w:footnoteReference w:id="33"/>
            </w:r>
            <w:r w:rsidRPr="00751FC1">
              <w:rPr>
                <w:spacing w:val="-2"/>
              </w:rPr>
              <w:t>. Naopak výběr váhově dominantní spotřební daně – z minerálních olejů – letos zatím rozpočtová očekávání naplňoval. Oproti 1. pololetí 2016 byl vyšší o</w:t>
            </w:r>
            <w:r w:rsidRPr="00751FC1">
              <w:rPr>
                <w:rFonts w:cs="Arial"/>
                <w:color w:val="000000" w:themeColor="text1"/>
                <w:spacing w:val="-2"/>
              </w:rPr>
              <w:t> </w:t>
            </w:r>
            <w:r w:rsidRPr="00751FC1">
              <w:rPr>
                <w:spacing w:val="-2"/>
              </w:rPr>
              <w:t>2,5</w:t>
            </w:r>
            <w:r w:rsidRPr="00751FC1">
              <w:rPr>
                <w:rFonts w:cs="Arial"/>
                <w:color w:val="000000" w:themeColor="text1"/>
                <w:spacing w:val="-2"/>
              </w:rPr>
              <w:t> </w:t>
            </w:r>
            <w:r w:rsidRPr="00751FC1">
              <w:rPr>
                <w:spacing w:val="-2"/>
              </w:rPr>
              <w:t>%, táhla ho především vyšší spotřeba motorové nafty a leteckého petroleje. Negativně naopak působilo zavedení tzv. zelené nafty i pro živočišnou prvovýrobu.</w:t>
            </w:r>
          </w:p>
          <w:p w:rsidR="001C3961" w:rsidRPr="00751FC1" w:rsidRDefault="001C3961" w:rsidP="00853C0F">
            <w:pPr>
              <w:pStyle w:val="Textpoznpodarou"/>
              <w:jc w:val="both"/>
              <w:rPr>
                <w:rFonts w:cs="Arial"/>
                <w:color w:val="0D0D0D" w:themeColor="text1" w:themeTint="F2"/>
                <w:spacing w:val="-2"/>
                <w:sz w:val="15"/>
                <w:szCs w:val="15"/>
              </w:rPr>
            </w:pPr>
            <w:r w:rsidRPr="00751FC1">
              <w:rPr>
                <w:spacing w:val="-2"/>
              </w:rPr>
              <w:t xml:space="preserve"> </w:t>
            </w:r>
          </w:p>
        </w:tc>
      </w:tr>
      <w:tr w:rsidR="001C3961" w:rsidRPr="0094422D" w:rsidTr="00853C0F">
        <w:trPr>
          <w:trHeight w:val="145"/>
        </w:trPr>
        <w:tc>
          <w:tcPr>
            <w:tcW w:w="1016" w:type="pct"/>
            <w:shd w:val="clear" w:color="auto" w:fill="auto"/>
          </w:tcPr>
          <w:p w:rsidR="001C3961" w:rsidRDefault="001C3961" w:rsidP="00853C0F">
            <w:pPr>
              <w:spacing w:line="240" w:lineRule="auto"/>
              <w:rPr>
                <w:rFonts w:cs="Arial"/>
                <w:bCs/>
                <w:iCs/>
                <w:color w:val="0D0D0D" w:themeColor="text1" w:themeTint="F2"/>
                <w:sz w:val="16"/>
                <w:szCs w:val="16"/>
              </w:rPr>
            </w:pPr>
            <w:r>
              <w:rPr>
                <w:rFonts w:cs="Arial"/>
                <w:bCs/>
                <w:iCs/>
                <w:color w:val="0D0D0D" w:themeColor="text1" w:themeTint="F2"/>
                <w:sz w:val="16"/>
                <w:szCs w:val="16"/>
              </w:rPr>
              <w:t xml:space="preserve">Růst inkasa </w:t>
            </w:r>
            <w:proofErr w:type="spellStart"/>
            <w:r>
              <w:rPr>
                <w:rFonts w:cs="Arial"/>
                <w:bCs/>
                <w:iCs/>
                <w:color w:val="0D0D0D" w:themeColor="text1" w:themeTint="F2"/>
                <w:sz w:val="16"/>
                <w:szCs w:val="16"/>
              </w:rPr>
              <w:t>korporátních</w:t>
            </w:r>
            <w:proofErr w:type="spellEnd"/>
            <w:r>
              <w:rPr>
                <w:rFonts w:cs="Arial"/>
                <w:bCs/>
                <w:iCs/>
                <w:color w:val="0D0D0D" w:themeColor="text1" w:themeTint="F2"/>
                <w:sz w:val="16"/>
                <w:szCs w:val="16"/>
              </w:rPr>
              <w:t xml:space="preserve"> </w:t>
            </w:r>
            <w:proofErr w:type="gramStart"/>
            <w:r>
              <w:rPr>
                <w:rFonts w:cs="Arial"/>
                <w:bCs/>
                <w:iCs/>
                <w:color w:val="0D0D0D" w:themeColor="text1" w:themeTint="F2"/>
                <w:sz w:val="16"/>
                <w:szCs w:val="16"/>
              </w:rPr>
              <w:t>daních</w:t>
            </w:r>
            <w:proofErr w:type="gramEnd"/>
            <w:r>
              <w:rPr>
                <w:rFonts w:cs="Arial"/>
                <w:bCs/>
                <w:iCs/>
                <w:color w:val="0D0D0D" w:themeColor="text1" w:themeTint="F2"/>
                <w:sz w:val="16"/>
                <w:szCs w:val="16"/>
              </w:rPr>
              <w:t xml:space="preserve"> za loňským rekordním tempem  zaostal. Do ziskovosti podniků se stále více promítaly rostoucí mzdové náklady.</w:t>
            </w:r>
          </w:p>
          <w:p w:rsidR="001C3961" w:rsidRDefault="001C3961" w:rsidP="00853C0F">
            <w:pPr>
              <w:spacing w:line="240" w:lineRule="auto"/>
              <w:rPr>
                <w:rFonts w:cs="Arial"/>
                <w:bCs/>
                <w:iCs/>
                <w:color w:val="0D0D0D" w:themeColor="text1" w:themeTint="F2"/>
                <w:sz w:val="16"/>
                <w:szCs w:val="16"/>
              </w:rPr>
            </w:pPr>
          </w:p>
          <w:p w:rsidR="001C3961" w:rsidRDefault="001C3961" w:rsidP="00853C0F">
            <w:pPr>
              <w:spacing w:line="240" w:lineRule="auto"/>
              <w:rPr>
                <w:rFonts w:cs="Arial"/>
                <w:bCs/>
                <w:iCs/>
                <w:color w:val="0D0D0D" w:themeColor="text1" w:themeTint="F2"/>
                <w:sz w:val="16"/>
                <w:szCs w:val="16"/>
              </w:rPr>
            </w:pPr>
          </w:p>
          <w:p w:rsidR="001C3961" w:rsidRPr="00D02B7C" w:rsidRDefault="001C3961" w:rsidP="00853C0F">
            <w:pPr>
              <w:spacing w:line="240" w:lineRule="auto"/>
              <w:rPr>
                <w:rFonts w:cs="Arial"/>
                <w:bCs/>
                <w:iCs/>
                <w:color w:val="0D0D0D" w:themeColor="text1" w:themeTint="F2"/>
                <w:sz w:val="16"/>
                <w:szCs w:val="16"/>
              </w:rPr>
            </w:pPr>
            <w:r>
              <w:rPr>
                <w:rFonts w:cs="Arial"/>
                <w:bCs/>
                <w:iCs/>
                <w:color w:val="0D0D0D" w:themeColor="text1" w:themeTint="F2"/>
                <w:sz w:val="16"/>
                <w:szCs w:val="16"/>
              </w:rPr>
              <w:t xml:space="preserve">Naopak </w:t>
            </w:r>
            <w:r w:rsidR="00B6493D">
              <w:rPr>
                <w:rFonts w:cs="Arial"/>
                <w:bCs/>
                <w:iCs/>
                <w:color w:val="0D0D0D" w:themeColor="text1" w:themeTint="F2"/>
                <w:spacing w:val="-2"/>
                <w:sz w:val="16"/>
                <w:szCs w:val="16"/>
              </w:rPr>
              <w:t>i</w:t>
            </w:r>
            <w:r w:rsidRPr="00F4351C">
              <w:rPr>
                <w:rFonts w:cs="Arial"/>
                <w:bCs/>
                <w:iCs/>
                <w:color w:val="0D0D0D" w:themeColor="text1" w:themeTint="F2"/>
                <w:spacing w:val="-2"/>
                <w:sz w:val="16"/>
                <w:szCs w:val="16"/>
              </w:rPr>
              <w:t xml:space="preserve">nkaso daně z příjmů fyzických osob ze závislé činnosti </w:t>
            </w:r>
            <w:r>
              <w:rPr>
                <w:rFonts w:cs="Arial"/>
                <w:bCs/>
                <w:iCs/>
                <w:color w:val="0D0D0D" w:themeColor="text1" w:themeTint="F2"/>
                <w:spacing w:val="-2"/>
                <w:sz w:val="16"/>
                <w:szCs w:val="16"/>
              </w:rPr>
              <w:t xml:space="preserve">nadále zrychlovalo, neboť </w:t>
            </w:r>
            <w:r w:rsidRPr="00F4351C">
              <w:rPr>
                <w:rFonts w:cs="Arial"/>
                <w:bCs/>
                <w:iCs/>
                <w:color w:val="0D0D0D" w:themeColor="text1" w:themeTint="F2"/>
                <w:spacing w:val="-2"/>
                <w:sz w:val="16"/>
                <w:szCs w:val="16"/>
              </w:rPr>
              <w:t>těžilo z příznivé situace na pracovním trhu</w:t>
            </w:r>
            <w:r>
              <w:rPr>
                <w:rFonts w:cs="Arial"/>
                <w:bCs/>
                <w:iCs/>
                <w:color w:val="0D0D0D" w:themeColor="text1" w:themeTint="F2"/>
                <w:spacing w:val="-2"/>
                <w:sz w:val="16"/>
                <w:szCs w:val="16"/>
              </w:rPr>
              <w:t>.</w:t>
            </w:r>
          </w:p>
        </w:tc>
        <w:tc>
          <w:tcPr>
            <w:tcW w:w="144" w:type="pct"/>
          </w:tcPr>
          <w:p w:rsidR="001C3961" w:rsidRPr="00A90EFD" w:rsidRDefault="001C3961" w:rsidP="00853C0F">
            <w:pPr>
              <w:pStyle w:val="Textpoznpodarou"/>
              <w:jc w:val="both"/>
              <w:rPr>
                <w:rFonts w:cs="Arial"/>
                <w:color w:val="0D0D0D" w:themeColor="text1" w:themeTint="F2"/>
              </w:rPr>
            </w:pPr>
          </w:p>
        </w:tc>
        <w:tc>
          <w:tcPr>
            <w:tcW w:w="3840" w:type="pct"/>
          </w:tcPr>
          <w:p w:rsidR="001C3961" w:rsidRPr="00751FC1" w:rsidRDefault="001C3961" w:rsidP="00853C0F">
            <w:pPr>
              <w:pStyle w:val="Textpoznpodarou"/>
              <w:jc w:val="both"/>
              <w:rPr>
                <w:rFonts w:cs="Arial"/>
                <w:color w:val="0D0D0D" w:themeColor="text1" w:themeTint="F2"/>
                <w:spacing w:val="-2"/>
              </w:rPr>
            </w:pPr>
            <w:r w:rsidRPr="00751FC1">
              <w:rPr>
                <w:rFonts w:cs="Arial"/>
                <w:color w:val="0D0D0D" w:themeColor="text1" w:themeTint="F2"/>
                <w:spacing w:val="-2"/>
              </w:rPr>
              <w:t>Přestože celostátní výběr daně z příjmů právnických osob rostl v 1. pololetí o</w:t>
            </w:r>
            <w:r w:rsidRPr="00751FC1">
              <w:rPr>
                <w:rFonts w:cs="Arial"/>
                <w:color w:val="000000" w:themeColor="text1"/>
                <w:spacing w:val="-2"/>
              </w:rPr>
              <w:t> </w:t>
            </w:r>
            <w:r w:rsidRPr="00751FC1">
              <w:rPr>
                <w:rFonts w:cs="Arial"/>
                <w:color w:val="0D0D0D" w:themeColor="text1" w:themeTint="F2"/>
                <w:spacing w:val="-2"/>
              </w:rPr>
              <w:t>svižných 7,6 %, jednalo se o nejslabší výsledek za poslední čtyři roky. V letošním inkasu se již ve větší míře začíná projevovat mírně klesající ziskovost podniků z let 2016 (a zčásti i 2017) vlivem sílících mzdových nákladů</w:t>
            </w:r>
            <w:r w:rsidRPr="00751FC1">
              <w:rPr>
                <w:rStyle w:val="Znakapoznpodarou"/>
                <w:color w:val="0D0D0D" w:themeColor="text1" w:themeTint="F2"/>
                <w:spacing w:val="-2"/>
              </w:rPr>
              <w:footnoteReference w:id="34"/>
            </w:r>
            <w:r w:rsidRPr="00751FC1">
              <w:rPr>
                <w:rFonts w:cs="Arial"/>
                <w:color w:val="0D0D0D" w:themeColor="text1" w:themeTint="F2"/>
                <w:spacing w:val="-2"/>
              </w:rPr>
              <w:t>.  Meziroční tempo výběru daně z příjmů fyzických osob (DPFO) ze závislé činnosti nadále zrychlovalo a za celé pololetí posílilo o 12,6 %</w:t>
            </w:r>
            <w:r>
              <w:rPr>
                <w:rFonts w:cs="Arial"/>
                <w:color w:val="0D0D0D" w:themeColor="text1" w:themeTint="F2"/>
                <w:spacing w:val="-2"/>
              </w:rPr>
              <w:t>. Těšně tak překonalo</w:t>
            </w:r>
            <w:r w:rsidRPr="00751FC1">
              <w:rPr>
                <w:rFonts w:cs="Arial"/>
                <w:color w:val="0D0D0D" w:themeColor="text1" w:themeTint="F2"/>
                <w:spacing w:val="-2"/>
              </w:rPr>
              <w:t xml:space="preserve"> dosud rekordní růst z první poloviny roku 2007. </w:t>
            </w:r>
            <w:r w:rsidRPr="00751FC1">
              <w:rPr>
                <w:rFonts w:cs="Arial"/>
                <w:spacing w:val="-2"/>
              </w:rPr>
              <w:t>Ve výběru se projevovala příznivá situace na trhu práce (vysoký růst zaměstnanosti, navyšování průměrných mezd ve firemní sféře i v odvětvích s dominancí státu), jakož i administrativní opatření státu (opakovaný růst hranice minimální mzdy, nástroje k omezení šedé ekonomiky). Meziročně příznivější byl letos i celostátní výběr DPFO ze samostatné výdělečné činnosti, který odrážel nejen finanční situaci drobných podnikatelů, ale i jejich rostoucí počet. O téměř 4 % se naopak snížilo inkaso DPFO z kapitálových výnosů. Ve slabších tempech se odrážely mj. i přetrváva</w:t>
            </w:r>
            <w:r>
              <w:rPr>
                <w:rFonts w:cs="Arial"/>
                <w:spacing w:val="-2"/>
              </w:rPr>
              <w:t>jící nízké úrokové sazby vkladů. N</w:t>
            </w:r>
            <w:r w:rsidRPr="00751FC1">
              <w:rPr>
                <w:rFonts w:cs="Arial"/>
                <w:spacing w:val="-2"/>
              </w:rPr>
              <w:t>egativně působilo</w:t>
            </w:r>
            <w:r w:rsidRPr="00751FC1">
              <w:rPr>
                <w:spacing w:val="-2"/>
              </w:rPr>
              <w:t xml:space="preserve"> i</w:t>
            </w:r>
            <w:r w:rsidRPr="00751FC1">
              <w:rPr>
                <w:rFonts w:cs="Arial"/>
                <w:spacing w:val="-2"/>
              </w:rPr>
              <w:t> </w:t>
            </w:r>
            <w:r w:rsidRPr="00751FC1">
              <w:rPr>
                <w:spacing w:val="-2"/>
              </w:rPr>
              <w:t xml:space="preserve">osvobození daně u </w:t>
            </w:r>
            <w:proofErr w:type="spellStart"/>
            <w:r w:rsidRPr="00751FC1">
              <w:rPr>
                <w:spacing w:val="-2"/>
              </w:rPr>
              <w:t>výsluhového</w:t>
            </w:r>
            <w:proofErr w:type="spellEnd"/>
            <w:r w:rsidRPr="00751FC1">
              <w:rPr>
                <w:spacing w:val="-2"/>
              </w:rPr>
              <w:t xml:space="preserve"> nároku ozbrojených složek.</w:t>
            </w:r>
          </w:p>
        </w:tc>
      </w:tr>
    </w:tbl>
    <w:p w:rsidR="001C3961" w:rsidRPr="0074690B" w:rsidRDefault="001C3961" w:rsidP="001C3961">
      <w:pPr>
        <w:pStyle w:val="Textpoznpodarou"/>
        <w:jc w:val="both"/>
        <w:rPr>
          <w:rFonts w:cs="Arial"/>
          <w:color w:val="000000"/>
          <w:spacing w:val="-2"/>
          <w:sz w:val="16"/>
          <w:szCs w:val="16"/>
        </w:rPr>
      </w:pPr>
    </w:p>
    <w:tbl>
      <w:tblPr>
        <w:tblW w:w="4963" w:type="pct"/>
        <w:tblInd w:w="108" w:type="dxa"/>
        <w:tblLayout w:type="fixed"/>
        <w:tblLook w:val="00A0"/>
      </w:tblPr>
      <w:tblGrid>
        <w:gridCol w:w="1997"/>
        <w:gridCol w:w="284"/>
        <w:gridCol w:w="1119"/>
        <w:gridCol w:w="6381"/>
      </w:tblGrid>
      <w:tr w:rsidR="001C3961" w:rsidRPr="00AA4A76" w:rsidTr="00853C0F">
        <w:trPr>
          <w:trHeight w:val="145"/>
        </w:trPr>
        <w:tc>
          <w:tcPr>
            <w:tcW w:w="1021" w:type="pct"/>
            <w:shd w:val="clear" w:color="auto" w:fill="auto"/>
          </w:tcPr>
          <w:p w:rsidR="001C3961" w:rsidRPr="00AA4A76" w:rsidRDefault="001C3961" w:rsidP="00853C0F">
            <w:pPr>
              <w:spacing w:line="240" w:lineRule="auto"/>
              <w:jc w:val="center"/>
              <w:rPr>
                <w:color w:val="000000"/>
                <w:szCs w:val="20"/>
              </w:rPr>
            </w:pPr>
          </w:p>
        </w:tc>
        <w:tc>
          <w:tcPr>
            <w:tcW w:w="145" w:type="pct"/>
          </w:tcPr>
          <w:p w:rsidR="001C3961" w:rsidRPr="00AA4A76" w:rsidRDefault="001C3961" w:rsidP="00853C0F">
            <w:pPr>
              <w:pStyle w:val="Textpoznpodarou"/>
              <w:jc w:val="both"/>
              <w:rPr>
                <w:highlight w:val="yellow"/>
              </w:rPr>
            </w:pPr>
          </w:p>
        </w:tc>
        <w:tc>
          <w:tcPr>
            <w:tcW w:w="572" w:type="pct"/>
          </w:tcPr>
          <w:p w:rsidR="001C3961" w:rsidRPr="00AA4A76" w:rsidRDefault="001C3961" w:rsidP="00853C0F">
            <w:pPr>
              <w:pStyle w:val="Textpoznpodarou"/>
              <w:jc w:val="both"/>
              <w:rPr>
                <w:highlight w:val="yellow"/>
              </w:rPr>
            </w:pPr>
            <w:r>
              <w:rPr>
                <w:color w:val="000000"/>
              </w:rPr>
              <w:t>Graf č. 21</w:t>
            </w:r>
          </w:p>
        </w:tc>
        <w:tc>
          <w:tcPr>
            <w:tcW w:w="3262" w:type="pct"/>
          </w:tcPr>
          <w:p w:rsidR="001C3961" w:rsidRPr="00E4793B" w:rsidRDefault="001C3961" w:rsidP="00853C0F">
            <w:pPr>
              <w:pStyle w:val="Textpoznpodarou"/>
              <w:rPr>
                <w:rFonts w:cs="Arial"/>
                <w:bCs/>
              </w:rPr>
            </w:pPr>
            <w:r>
              <w:rPr>
                <w:rFonts w:cs="Arial"/>
                <w:b/>
                <w:bCs/>
              </w:rPr>
              <w:t>Skladba příjm</w:t>
            </w:r>
            <w:r w:rsidRPr="00501E54">
              <w:rPr>
                <w:rFonts w:cs="Arial"/>
                <w:b/>
                <w:bCs/>
              </w:rPr>
              <w:t>ů ČR z rozpočtu EU a čistá pozice ČR vůči EU v 1. pololetích roku</w:t>
            </w:r>
            <w:r>
              <w:rPr>
                <w:rFonts w:cs="Arial"/>
                <w:bCs/>
              </w:rPr>
              <w:t xml:space="preserve"> (v mld. korun)</w:t>
            </w:r>
          </w:p>
        </w:tc>
      </w:tr>
      <w:tr w:rsidR="001C3961" w:rsidRPr="00AA4A76" w:rsidTr="00853C0F">
        <w:trPr>
          <w:trHeight w:val="145"/>
        </w:trPr>
        <w:tc>
          <w:tcPr>
            <w:tcW w:w="1021" w:type="pct"/>
            <w:shd w:val="clear" w:color="auto" w:fill="auto"/>
          </w:tcPr>
          <w:p w:rsidR="001C3961" w:rsidRPr="006D3F53" w:rsidRDefault="001C3961" w:rsidP="00853C0F">
            <w:pPr>
              <w:spacing w:line="240" w:lineRule="auto"/>
              <w:rPr>
                <w:color w:val="000000"/>
                <w:sz w:val="16"/>
                <w:szCs w:val="16"/>
                <w:highlight w:val="yellow"/>
              </w:rPr>
            </w:pPr>
          </w:p>
        </w:tc>
        <w:tc>
          <w:tcPr>
            <w:tcW w:w="145" w:type="pct"/>
          </w:tcPr>
          <w:p w:rsidR="001C3961" w:rsidRPr="00A74192" w:rsidRDefault="001C3961" w:rsidP="00853C0F">
            <w:pPr>
              <w:pStyle w:val="Textpoznpodarou"/>
              <w:jc w:val="both"/>
            </w:pPr>
          </w:p>
        </w:tc>
        <w:tc>
          <w:tcPr>
            <w:tcW w:w="3834" w:type="pct"/>
            <w:gridSpan w:val="2"/>
          </w:tcPr>
          <w:p w:rsidR="001C3961" w:rsidRDefault="001C3961" w:rsidP="00853C0F">
            <w:pPr>
              <w:pStyle w:val="Textpoznpodarou"/>
              <w:ind w:left="-124"/>
              <w:jc w:val="both"/>
              <w:rPr>
                <w:sz w:val="16"/>
                <w:szCs w:val="16"/>
              </w:rPr>
            </w:pPr>
            <w:r w:rsidRPr="00FF5A0D">
              <w:rPr>
                <w:noProof/>
                <w:sz w:val="16"/>
                <w:szCs w:val="16"/>
              </w:rPr>
              <w:drawing>
                <wp:inline distT="0" distB="0" distL="0" distR="0">
                  <wp:extent cx="4754880" cy="3458817"/>
                  <wp:effectExtent l="0" t="0" r="0" b="0"/>
                  <wp:docPr id="35"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C3961" w:rsidRPr="00535F78" w:rsidRDefault="001C3961" w:rsidP="00853C0F">
            <w:pPr>
              <w:pStyle w:val="Textpoznpodarou"/>
              <w:ind w:left="-124"/>
              <w:jc w:val="right"/>
              <w:rPr>
                <w:sz w:val="14"/>
                <w:szCs w:val="14"/>
              </w:rPr>
            </w:pPr>
            <w:r>
              <w:rPr>
                <w:rFonts w:cs="Arial"/>
                <w:sz w:val="14"/>
                <w:szCs w:val="14"/>
              </w:rPr>
              <w:t xml:space="preserve">*Zahrnuje také tržní operace a veterinární opatření.                                                                                       </w:t>
            </w:r>
            <w:r w:rsidRPr="00535F78">
              <w:rPr>
                <w:rFonts w:cs="Arial"/>
                <w:sz w:val="14"/>
                <w:szCs w:val="14"/>
              </w:rPr>
              <w:t>Zdroj: M</w:t>
            </w:r>
            <w:r w:rsidR="00FB332E">
              <w:rPr>
                <w:rFonts w:cs="Arial"/>
                <w:sz w:val="14"/>
                <w:szCs w:val="14"/>
              </w:rPr>
              <w:t>F</w:t>
            </w:r>
          </w:p>
        </w:tc>
      </w:tr>
    </w:tbl>
    <w:p w:rsidR="001C3961" w:rsidRPr="0074690B" w:rsidRDefault="001C3961" w:rsidP="001C3961">
      <w:pPr>
        <w:pStyle w:val="Textpoznpodarou"/>
        <w:jc w:val="both"/>
        <w:rPr>
          <w:rFonts w:cs="Arial"/>
          <w:color w:val="000000"/>
          <w:spacing w:val="-2"/>
          <w:sz w:val="16"/>
          <w:szCs w:val="16"/>
        </w:rPr>
      </w:pPr>
    </w:p>
    <w:tbl>
      <w:tblPr>
        <w:tblW w:w="4995" w:type="pct"/>
        <w:tblInd w:w="108" w:type="dxa"/>
        <w:tblLayout w:type="fixed"/>
        <w:tblLook w:val="00A0"/>
      </w:tblPr>
      <w:tblGrid>
        <w:gridCol w:w="2000"/>
        <w:gridCol w:w="284"/>
        <w:gridCol w:w="7560"/>
      </w:tblGrid>
      <w:tr w:rsidR="001C3961" w:rsidRPr="00AD0FC0" w:rsidTr="00853C0F">
        <w:trPr>
          <w:trHeight w:val="145"/>
        </w:trPr>
        <w:tc>
          <w:tcPr>
            <w:tcW w:w="1016" w:type="pct"/>
            <w:shd w:val="clear" w:color="auto" w:fill="auto"/>
          </w:tcPr>
          <w:p w:rsidR="001C3961" w:rsidRPr="00F4351C" w:rsidRDefault="001C3961" w:rsidP="00853C0F">
            <w:pPr>
              <w:spacing w:line="240" w:lineRule="auto"/>
              <w:rPr>
                <w:rFonts w:cs="Arial"/>
                <w:bCs/>
                <w:iCs/>
                <w:color w:val="0D0D0D" w:themeColor="text1" w:themeTint="F2"/>
                <w:spacing w:val="-2"/>
                <w:sz w:val="16"/>
                <w:szCs w:val="16"/>
              </w:rPr>
            </w:pPr>
            <w:r>
              <w:rPr>
                <w:rFonts w:cs="Arial"/>
                <w:bCs/>
                <w:iCs/>
                <w:color w:val="0D0D0D" w:themeColor="text1" w:themeTint="F2"/>
                <w:sz w:val="16"/>
                <w:szCs w:val="16"/>
              </w:rPr>
              <w:t>V</w:t>
            </w:r>
            <w:r w:rsidRPr="006B23FE">
              <w:rPr>
                <w:rFonts w:cs="Arial"/>
                <w:bCs/>
                <w:iCs/>
                <w:color w:val="0D0D0D" w:themeColor="text1" w:themeTint="F2"/>
                <w:sz w:val="16"/>
                <w:szCs w:val="16"/>
              </w:rPr>
              <w:t>ysoká růstová tempa celkov</w:t>
            </w:r>
            <w:r>
              <w:rPr>
                <w:rFonts w:cs="Arial"/>
                <w:bCs/>
                <w:iCs/>
                <w:color w:val="0D0D0D" w:themeColor="text1" w:themeTint="F2"/>
                <w:sz w:val="16"/>
                <w:szCs w:val="16"/>
              </w:rPr>
              <w:t>ých daňových příjmů</w:t>
            </w:r>
            <w:r w:rsidRPr="006B23FE">
              <w:rPr>
                <w:rFonts w:cs="Arial"/>
                <w:bCs/>
                <w:iCs/>
                <w:color w:val="0D0D0D" w:themeColor="text1" w:themeTint="F2"/>
                <w:sz w:val="16"/>
                <w:szCs w:val="16"/>
              </w:rPr>
              <w:t xml:space="preserve"> </w:t>
            </w:r>
            <w:r>
              <w:rPr>
                <w:rFonts w:cs="Arial"/>
                <w:bCs/>
                <w:iCs/>
                <w:color w:val="0D0D0D" w:themeColor="text1" w:themeTint="F2"/>
                <w:sz w:val="16"/>
                <w:szCs w:val="16"/>
              </w:rPr>
              <w:t xml:space="preserve">výrazně převyšovala rozpočtová </w:t>
            </w:r>
            <w:r>
              <w:rPr>
                <w:rFonts w:cs="Arial"/>
                <w:bCs/>
                <w:iCs/>
                <w:color w:val="0D0D0D" w:themeColor="text1" w:themeTint="F2"/>
                <w:sz w:val="16"/>
                <w:szCs w:val="16"/>
              </w:rPr>
              <w:lastRenderedPageBreak/>
              <w:t>očekávání a </w:t>
            </w:r>
            <w:r w:rsidRPr="006B23FE">
              <w:rPr>
                <w:rFonts w:cs="Arial"/>
                <w:bCs/>
                <w:iCs/>
                <w:color w:val="0D0D0D" w:themeColor="text1" w:themeTint="F2"/>
                <w:sz w:val="16"/>
                <w:szCs w:val="16"/>
              </w:rPr>
              <w:t xml:space="preserve">kontrastovala </w:t>
            </w:r>
            <w:r>
              <w:rPr>
                <w:rFonts w:cs="Arial"/>
                <w:bCs/>
                <w:iCs/>
                <w:color w:val="0D0D0D" w:themeColor="text1" w:themeTint="F2"/>
                <w:sz w:val="16"/>
                <w:szCs w:val="16"/>
              </w:rPr>
              <w:t>s nízkými příjmy z rozpočtu EU.</w:t>
            </w:r>
          </w:p>
        </w:tc>
        <w:tc>
          <w:tcPr>
            <w:tcW w:w="144" w:type="pct"/>
          </w:tcPr>
          <w:p w:rsidR="001C3961" w:rsidRPr="00807B25" w:rsidRDefault="001C3961" w:rsidP="00853C0F">
            <w:pPr>
              <w:pStyle w:val="Textpoznpodarou"/>
              <w:jc w:val="both"/>
              <w:rPr>
                <w:rFonts w:cs="Arial"/>
                <w:color w:val="0D0D0D" w:themeColor="text1" w:themeTint="F2"/>
                <w:spacing w:val="-4"/>
              </w:rPr>
            </w:pPr>
          </w:p>
        </w:tc>
        <w:tc>
          <w:tcPr>
            <w:tcW w:w="3840" w:type="pct"/>
          </w:tcPr>
          <w:p w:rsidR="001C3961" w:rsidRPr="00751FC1" w:rsidRDefault="001C3961" w:rsidP="00853C0F">
            <w:pPr>
              <w:pStyle w:val="Textpoznpodarou"/>
              <w:jc w:val="both"/>
              <w:rPr>
                <w:rFonts w:cs="Arial"/>
                <w:color w:val="0D0D0D" w:themeColor="text1" w:themeTint="F2"/>
                <w:spacing w:val="-2"/>
              </w:rPr>
            </w:pPr>
            <w:r w:rsidRPr="00751FC1">
              <w:rPr>
                <w:rFonts w:cs="Arial"/>
                <w:spacing w:val="-2"/>
              </w:rPr>
              <w:t xml:space="preserve">Veškeré daňové příjmy SR </w:t>
            </w:r>
            <w:r w:rsidRPr="00751FC1">
              <w:rPr>
                <w:rFonts w:cs="Arial"/>
                <w:color w:val="0D0D0D" w:themeColor="text1" w:themeTint="F2"/>
                <w:spacing w:val="-2"/>
              </w:rPr>
              <w:t xml:space="preserve">(vč. pojistného na sociálním zabezpečení) </w:t>
            </w:r>
            <w:r w:rsidRPr="00751FC1">
              <w:rPr>
                <w:rFonts w:cs="Arial"/>
                <w:spacing w:val="-2"/>
              </w:rPr>
              <w:t xml:space="preserve">rostly v první polovině roku o 8,2 % a výrazně předčily </w:t>
            </w:r>
            <w:r w:rsidRPr="00751FC1">
              <w:rPr>
                <w:rFonts w:cs="Arial"/>
                <w:color w:val="0D0D0D" w:themeColor="text1" w:themeTint="F2"/>
                <w:spacing w:val="-2"/>
              </w:rPr>
              <w:t>celoroční rozpočtové očekávání (3,9 %). Naproti tomu celkové příjmy SR byly proti 1. pololetí 2016 o</w:t>
            </w:r>
            <w:r w:rsidRPr="00751FC1">
              <w:rPr>
                <w:rFonts w:cs="Arial"/>
                <w:spacing w:val="-2"/>
              </w:rPr>
              <w:t> </w:t>
            </w:r>
            <w:r w:rsidRPr="00751FC1">
              <w:rPr>
                <w:rFonts w:cs="Arial"/>
                <w:color w:val="0D0D0D" w:themeColor="text1" w:themeTint="F2"/>
                <w:spacing w:val="-2"/>
              </w:rPr>
              <w:t xml:space="preserve">téměř 21 mld. nižší </w:t>
            </w:r>
            <w:r w:rsidRPr="00751FC1">
              <w:rPr>
                <w:rFonts w:cs="Arial"/>
                <w:color w:val="0D0D0D" w:themeColor="text1" w:themeTint="F2"/>
                <w:spacing w:val="-2"/>
              </w:rPr>
              <w:lastRenderedPageBreak/>
              <w:t>a</w:t>
            </w:r>
            <w:r w:rsidRPr="00751FC1">
              <w:rPr>
                <w:rFonts w:cs="Arial"/>
                <w:spacing w:val="-2"/>
              </w:rPr>
              <w:t> </w:t>
            </w:r>
            <w:r w:rsidRPr="00751FC1">
              <w:rPr>
                <w:rFonts w:cs="Arial"/>
                <w:color w:val="0D0D0D" w:themeColor="text1" w:themeTint="F2"/>
                <w:spacing w:val="-2"/>
              </w:rPr>
              <w:t>jejich tempo (-3,2 %) za rozpočtovým očekáváním zatím mírně zaostalo. Tento výsledek byl ovlivněn silným rozpočtově očeká</w:t>
            </w:r>
            <w:r>
              <w:rPr>
                <w:rFonts w:cs="Arial"/>
                <w:color w:val="0D0D0D" w:themeColor="text1" w:themeTint="F2"/>
                <w:spacing w:val="-2"/>
              </w:rPr>
              <w:t>vaným poklesem příjmů ze zdrojů</w:t>
            </w:r>
            <w:r w:rsidRPr="00751FC1">
              <w:rPr>
                <w:rFonts w:cs="Arial"/>
                <w:color w:val="0D0D0D" w:themeColor="text1" w:themeTint="F2"/>
                <w:spacing w:val="-2"/>
              </w:rPr>
              <w:t xml:space="preserve"> EU. Za 1. pololetí 2017 získalo Česko z rozpočtu EU celkem 39,5 mld. korun</w:t>
            </w:r>
            <w:r w:rsidRPr="00751FC1">
              <w:rPr>
                <w:rStyle w:val="Znakapoznpodarou"/>
                <w:color w:val="0D0D0D" w:themeColor="text1" w:themeTint="F2"/>
                <w:spacing w:val="-2"/>
              </w:rPr>
              <w:footnoteReference w:id="35"/>
            </w:r>
            <w:r w:rsidRPr="00751FC1">
              <w:rPr>
                <w:rFonts w:cs="Arial"/>
                <w:color w:val="0D0D0D" w:themeColor="text1" w:themeTint="F2"/>
                <w:spacing w:val="-2"/>
              </w:rPr>
              <w:t>. Šlo jen o</w:t>
            </w:r>
            <w:r w:rsidRPr="00751FC1">
              <w:rPr>
                <w:rFonts w:cs="Arial"/>
                <w:color w:val="000000" w:themeColor="text1"/>
                <w:spacing w:val="-2"/>
              </w:rPr>
              <w:t> </w:t>
            </w:r>
            <w:r>
              <w:rPr>
                <w:rFonts w:cs="Arial"/>
                <w:color w:val="0D0D0D" w:themeColor="text1" w:themeTint="F2"/>
                <w:spacing w:val="-2"/>
              </w:rPr>
              <w:t>čtvrtinu částky z</w:t>
            </w:r>
            <w:r w:rsidRPr="00751FC1">
              <w:rPr>
                <w:rFonts w:cs="Arial"/>
                <w:color w:val="0D0D0D" w:themeColor="text1" w:themeTint="F2"/>
                <w:spacing w:val="-2"/>
              </w:rPr>
              <w:t xml:space="preserve"> první poloviny roku 2015, kdy čerpání prostředků z rozpočtu EU vrcholilo. Vedle objemu financí se změnila i jejich skladba. Za slabším čerpáním na počátku </w:t>
            </w:r>
            <w:r>
              <w:rPr>
                <w:rFonts w:cs="Arial"/>
                <w:color w:val="0D0D0D" w:themeColor="text1" w:themeTint="F2"/>
                <w:spacing w:val="-2"/>
              </w:rPr>
              <w:t>nového programového období stál</w:t>
            </w:r>
            <w:r w:rsidRPr="00751FC1">
              <w:rPr>
                <w:rFonts w:cs="Arial"/>
                <w:color w:val="0D0D0D" w:themeColor="text1" w:themeTint="F2"/>
                <w:spacing w:val="-2"/>
              </w:rPr>
              <w:t xml:space="preserve"> hlavně výpadek u projektově náročněj</w:t>
            </w:r>
            <w:r>
              <w:rPr>
                <w:rFonts w:cs="Arial"/>
                <w:color w:val="0D0D0D" w:themeColor="text1" w:themeTint="F2"/>
                <w:spacing w:val="-2"/>
              </w:rPr>
              <w:t>ších strukturálních akcí (</w:t>
            </w:r>
            <w:r w:rsidR="00B6493D">
              <w:rPr>
                <w:rFonts w:cs="Arial"/>
                <w:color w:val="0D0D0D" w:themeColor="text1" w:themeTint="F2"/>
                <w:spacing w:val="-2"/>
              </w:rPr>
              <w:t xml:space="preserve">např. </w:t>
            </w:r>
            <w:r w:rsidRPr="00751FC1">
              <w:rPr>
                <w:rFonts w:cs="Arial"/>
                <w:color w:val="0D0D0D" w:themeColor="text1" w:themeTint="F2"/>
                <w:spacing w:val="-2"/>
              </w:rPr>
              <w:t>d</w:t>
            </w:r>
            <w:r w:rsidR="00B6493D">
              <w:rPr>
                <w:rFonts w:cs="Arial"/>
                <w:color w:val="0D0D0D" w:themeColor="text1" w:themeTint="F2"/>
                <w:spacing w:val="-2"/>
              </w:rPr>
              <w:t>opravních staveb financovaných z</w:t>
            </w:r>
            <w:r w:rsidRPr="00751FC1">
              <w:rPr>
                <w:rFonts w:cs="Arial"/>
                <w:color w:val="0D0D0D" w:themeColor="text1" w:themeTint="F2"/>
                <w:spacing w:val="-2"/>
              </w:rPr>
              <w:t>e</w:t>
            </w:r>
            <w:r w:rsidR="00B6493D">
              <w:rPr>
                <w:rFonts w:cs="Arial"/>
                <w:color w:val="0D0D0D" w:themeColor="text1" w:themeTint="F2"/>
                <w:spacing w:val="-2"/>
              </w:rPr>
              <w:t xml:space="preserve"> </w:t>
            </w:r>
            <w:r w:rsidRPr="00751FC1">
              <w:rPr>
                <w:rFonts w:cs="Arial"/>
                <w:color w:val="0D0D0D" w:themeColor="text1" w:themeTint="F2"/>
                <w:spacing w:val="-2"/>
              </w:rPr>
              <w:t xml:space="preserve">strukturálních fondů). Naopak objem přímých plateb v zemědělství se za posledních pět let </w:t>
            </w:r>
            <w:r>
              <w:rPr>
                <w:rFonts w:cs="Arial"/>
                <w:color w:val="0D0D0D" w:themeColor="text1" w:themeTint="F2"/>
                <w:spacing w:val="-2"/>
              </w:rPr>
              <w:t>prakticky nezměnil</w:t>
            </w:r>
            <w:r w:rsidRPr="00751FC1">
              <w:rPr>
                <w:rFonts w:cs="Arial"/>
                <w:color w:val="0D0D0D" w:themeColor="text1" w:themeTint="F2"/>
                <w:spacing w:val="-2"/>
              </w:rPr>
              <w:t xml:space="preserve"> </w:t>
            </w:r>
            <w:r>
              <w:rPr>
                <w:rFonts w:cs="Arial"/>
                <w:color w:val="0D0D0D" w:themeColor="text1" w:themeTint="F2"/>
                <w:spacing w:val="-2"/>
              </w:rPr>
              <w:t>(</w:t>
            </w:r>
            <w:r w:rsidRPr="00751FC1">
              <w:rPr>
                <w:rFonts w:cs="Arial"/>
                <w:color w:val="0D0D0D" w:themeColor="text1" w:themeTint="F2"/>
                <w:spacing w:val="-2"/>
              </w:rPr>
              <w:t>proti 1. polo</w:t>
            </w:r>
            <w:r>
              <w:rPr>
                <w:rFonts w:cs="Arial"/>
                <w:color w:val="0D0D0D" w:themeColor="text1" w:themeTint="F2"/>
                <w:spacing w:val="-2"/>
              </w:rPr>
              <w:t>letí 2016 dokonce mírně vzrostl)</w:t>
            </w:r>
            <w:r w:rsidRPr="00751FC1">
              <w:rPr>
                <w:rFonts w:cs="Arial"/>
                <w:color w:val="0D0D0D" w:themeColor="text1" w:themeTint="F2"/>
                <w:spacing w:val="-2"/>
              </w:rPr>
              <w:t>.</w:t>
            </w:r>
          </w:p>
          <w:p w:rsidR="001C3961" w:rsidRPr="00751FC1" w:rsidRDefault="001C3961" w:rsidP="00853C0F">
            <w:pPr>
              <w:pStyle w:val="Textpoznpodarou"/>
              <w:jc w:val="both"/>
              <w:rPr>
                <w:rFonts w:cs="Arial"/>
                <w:color w:val="0D0D0D" w:themeColor="text1" w:themeTint="F2"/>
                <w:spacing w:val="-2"/>
                <w:sz w:val="15"/>
                <w:szCs w:val="15"/>
              </w:rPr>
            </w:pPr>
          </w:p>
        </w:tc>
      </w:tr>
      <w:tr w:rsidR="001C3961" w:rsidRPr="00AD0FC0" w:rsidTr="00853C0F">
        <w:trPr>
          <w:trHeight w:val="145"/>
        </w:trPr>
        <w:tc>
          <w:tcPr>
            <w:tcW w:w="1016" w:type="pct"/>
            <w:shd w:val="clear" w:color="auto" w:fill="auto"/>
          </w:tcPr>
          <w:p w:rsidR="001C3961" w:rsidRPr="006E7FAA" w:rsidRDefault="001C3961" w:rsidP="00853C0F">
            <w:pPr>
              <w:spacing w:line="240" w:lineRule="auto"/>
              <w:rPr>
                <w:rFonts w:cs="Arial"/>
                <w:color w:val="0D0D0D" w:themeColor="text1" w:themeTint="F2"/>
                <w:spacing w:val="-2"/>
                <w:sz w:val="16"/>
                <w:szCs w:val="16"/>
              </w:rPr>
            </w:pPr>
            <w:r>
              <w:rPr>
                <w:rFonts w:cs="Arial"/>
                <w:color w:val="0D0D0D" w:themeColor="text1" w:themeTint="F2"/>
                <w:spacing w:val="-2"/>
                <w:sz w:val="16"/>
                <w:szCs w:val="16"/>
              </w:rPr>
              <w:lastRenderedPageBreak/>
              <w:t>Nízké čerpání investic v průběhu roku 2017 nadále pokračovalo.</w:t>
            </w:r>
          </w:p>
        </w:tc>
        <w:tc>
          <w:tcPr>
            <w:tcW w:w="144" w:type="pct"/>
          </w:tcPr>
          <w:p w:rsidR="001C3961" w:rsidRPr="00A90EFD" w:rsidRDefault="001C3961" w:rsidP="00853C0F">
            <w:pPr>
              <w:pStyle w:val="Textpoznpodarou"/>
              <w:jc w:val="both"/>
              <w:rPr>
                <w:rFonts w:cs="Arial"/>
                <w:color w:val="0D0D0D" w:themeColor="text1" w:themeTint="F2"/>
              </w:rPr>
            </w:pPr>
          </w:p>
        </w:tc>
        <w:tc>
          <w:tcPr>
            <w:tcW w:w="3840" w:type="pct"/>
          </w:tcPr>
          <w:p w:rsidR="001C3961" w:rsidRPr="00751FC1" w:rsidRDefault="001C3961" w:rsidP="00853C0F">
            <w:pPr>
              <w:pStyle w:val="Textpoznpodarou"/>
              <w:jc w:val="both"/>
              <w:rPr>
                <w:rFonts w:cs="Arial"/>
                <w:color w:val="000000" w:themeColor="text1"/>
                <w:spacing w:val="-2"/>
              </w:rPr>
            </w:pPr>
            <w:r w:rsidRPr="00751FC1">
              <w:rPr>
                <w:rFonts w:cs="Arial"/>
                <w:color w:val="000000" w:themeColor="text1"/>
                <w:spacing w:val="-2"/>
              </w:rPr>
              <w:t>Celkové výdaje SR posílily od ledna do června 2017 meziročně o 2,5 %. Růst běžných výdajů (5,9 %) byl na rozdíl od propadu investic (o 48 %) v souladu s rozpočtovým očekáváním. Kapitálové výdaje jen těsně překročily 20 mld. korun</w:t>
            </w:r>
            <w:r>
              <w:rPr>
                <w:rFonts w:cs="Arial"/>
                <w:color w:val="000000" w:themeColor="text1"/>
                <w:spacing w:val="-2"/>
              </w:rPr>
              <w:t>. N</w:t>
            </w:r>
            <w:r w:rsidRPr="00751FC1">
              <w:rPr>
                <w:rFonts w:cs="Arial"/>
                <w:color w:val="000000" w:themeColor="text1"/>
                <w:spacing w:val="-2"/>
              </w:rPr>
              <w:t>ecelá polovina z toho směřovala na financování společných programů ČR a EU (veškeré výdaje, tj. i neinvestiční, na tyto projekty činily 34 mld., meziročně o 16 mld. méně). Čerpání investic se příliš nezlepšilo ani v prázdninovém období</w:t>
            </w:r>
            <w:r w:rsidRPr="00751FC1">
              <w:rPr>
                <w:rStyle w:val="Znakapoznpodarou"/>
                <w:color w:val="000000" w:themeColor="text1"/>
                <w:spacing w:val="-2"/>
              </w:rPr>
              <w:footnoteReference w:id="36"/>
            </w:r>
            <w:r w:rsidRPr="00751FC1">
              <w:rPr>
                <w:rFonts w:cs="Arial"/>
                <w:color w:val="000000" w:themeColor="text1"/>
                <w:spacing w:val="-2"/>
              </w:rPr>
              <w:t>. Podíl investic na všech výdajích SR se snížil na 3,2 % (nejnižší hodnotu po roce 2000).</w:t>
            </w:r>
          </w:p>
          <w:p w:rsidR="001C3961" w:rsidRPr="00751FC1" w:rsidRDefault="001C3961" w:rsidP="00853C0F">
            <w:pPr>
              <w:pStyle w:val="Textpoznpodarou"/>
              <w:jc w:val="both"/>
              <w:rPr>
                <w:rFonts w:cs="Arial"/>
                <w:color w:val="0D0D0D" w:themeColor="text1" w:themeTint="F2"/>
                <w:spacing w:val="-2"/>
                <w:sz w:val="15"/>
                <w:szCs w:val="15"/>
              </w:rPr>
            </w:pPr>
          </w:p>
        </w:tc>
      </w:tr>
      <w:tr w:rsidR="001C3961" w:rsidRPr="00AD0FC0" w:rsidTr="00853C0F">
        <w:trPr>
          <w:trHeight w:val="145"/>
        </w:trPr>
        <w:tc>
          <w:tcPr>
            <w:tcW w:w="1016" w:type="pct"/>
            <w:shd w:val="clear" w:color="auto" w:fill="auto"/>
          </w:tcPr>
          <w:p w:rsidR="001C3961" w:rsidRPr="00F745A4" w:rsidRDefault="001C3961" w:rsidP="00853C0F">
            <w:pPr>
              <w:spacing w:line="240" w:lineRule="auto"/>
              <w:rPr>
                <w:rFonts w:cs="Arial"/>
                <w:bCs/>
                <w:iCs/>
                <w:color w:val="0D0D0D" w:themeColor="text1" w:themeTint="F2"/>
                <w:spacing w:val="-4"/>
                <w:sz w:val="16"/>
                <w:szCs w:val="16"/>
              </w:rPr>
            </w:pPr>
            <w:r>
              <w:rPr>
                <w:rFonts w:cs="Arial"/>
                <w:color w:val="0D0D0D" w:themeColor="text1" w:themeTint="F2"/>
                <w:spacing w:val="-2"/>
                <w:sz w:val="16"/>
                <w:szCs w:val="16"/>
              </w:rPr>
              <w:t>K růstu běžných výdajů přispěly zejména vyšší sociální dávky a výdaje na mzdy zaměstnancům v odvětvích s dominancí státu.</w:t>
            </w:r>
          </w:p>
        </w:tc>
        <w:tc>
          <w:tcPr>
            <w:tcW w:w="144" w:type="pct"/>
          </w:tcPr>
          <w:p w:rsidR="001C3961" w:rsidRPr="00782BA5" w:rsidRDefault="001C3961" w:rsidP="00853C0F">
            <w:pPr>
              <w:pStyle w:val="Textpoznpodarou"/>
              <w:jc w:val="both"/>
              <w:rPr>
                <w:rFonts w:cs="Arial"/>
                <w:color w:val="000000" w:themeColor="text1"/>
                <w:spacing w:val="-4"/>
              </w:rPr>
            </w:pPr>
          </w:p>
        </w:tc>
        <w:tc>
          <w:tcPr>
            <w:tcW w:w="3840" w:type="pct"/>
          </w:tcPr>
          <w:p w:rsidR="001C3961" w:rsidRPr="00751FC1" w:rsidRDefault="001C3961" w:rsidP="00853C0F">
            <w:pPr>
              <w:pStyle w:val="Textpoznpodarou"/>
              <w:jc w:val="both"/>
              <w:rPr>
                <w:rFonts w:cs="Arial"/>
                <w:color w:val="000000" w:themeColor="text1"/>
                <w:spacing w:val="-2"/>
              </w:rPr>
            </w:pPr>
            <w:r w:rsidRPr="00751FC1">
              <w:rPr>
                <w:rFonts w:cs="Arial"/>
                <w:color w:val="000000" w:themeColor="text1"/>
                <w:spacing w:val="-2"/>
              </w:rPr>
              <w:t>O vyšší běžné výdaje (+34 mld. ko</w:t>
            </w:r>
            <w:r>
              <w:rPr>
                <w:rFonts w:cs="Arial"/>
                <w:color w:val="000000" w:themeColor="text1"/>
                <w:spacing w:val="-2"/>
              </w:rPr>
              <w:t>run) se v 1. pololetí zasloužila</w:t>
            </w:r>
            <w:r w:rsidRPr="00751FC1">
              <w:rPr>
                <w:rFonts w:cs="Arial"/>
                <w:color w:val="000000" w:themeColor="text1"/>
                <w:spacing w:val="-2"/>
              </w:rPr>
              <w:t xml:space="preserve"> především váhově dominantní položk</w:t>
            </w:r>
            <w:r>
              <w:rPr>
                <w:rFonts w:cs="Arial"/>
                <w:color w:val="000000" w:themeColor="text1"/>
                <w:spacing w:val="-2"/>
              </w:rPr>
              <w:t>a sociálních dávek (+13,5 mld.). V</w:t>
            </w:r>
            <w:r w:rsidRPr="00751FC1">
              <w:rPr>
                <w:rFonts w:cs="Arial"/>
                <w:color w:val="000000" w:themeColor="text1"/>
                <w:spacing w:val="-2"/>
              </w:rPr>
              <w:t xml:space="preserve">ýrazně přispěly i neinvestiční výdaje podnikatelským subjektům, jež byly meziročně o bezmála třetinu vyšší. </w:t>
            </w:r>
            <w:r w:rsidRPr="00751FC1">
              <w:rPr>
                <w:spacing w:val="-2"/>
              </w:rPr>
              <w:t>Výdaje na platy zaměst</w:t>
            </w:r>
            <w:r>
              <w:rPr>
                <w:spacing w:val="-2"/>
              </w:rPr>
              <w:t>nanců státu se navýšily o 7,6 %</w:t>
            </w:r>
            <w:r w:rsidRPr="00751FC1">
              <w:rPr>
                <w:spacing w:val="-2"/>
              </w:rPr>
              <w:t xml:space="preserve"> </w:t>
            </w:r>
            <w:r>
              <w:rPr>
                <w:spacing w:val="-2"/>
              </w:rPr>
              <w:t>(</w:t>
            </w:r>
            <w:r w:rsidRPr="00751FC1">
              <w:rPr>
                <w:spacing w:val="-2"/>
              </w:rPr>
              <w:t>šlo o vyšší tempo než v předchozím roce, i než v 1. čtvrtletí 2017</w:t>
            </w:r>
            <w:r>
              <w:rPr>
                <w:spacing w:val="-2"/>
              </w:rPr>
              <w:t>)</w:t>
            </w:r>
            <w:r w:rsidRPr="00751FC1">
              <w:rPr>
                <w:spacing w:val="-2"/>
              </w:rPr>
              <w:t xml:space="preserve">. Růst výdělků pracovníků v regionálním školství se projevil ve vyšších </w:t>
            </w:r>
            <w:r w:rsidRPr="00751FC1">
              <w:rPr>
                <w:bCs/>
                <w:spacing w:val="-2"/>
                <w:szCs w:val="24"/>
              </w:rPr>
              <w:t xml:space="preserve">neinvestičních transferech veřejným rozpočtům územní úrovně (+9,1 %, za celý loňský rok +4,6 %). Méně prostředků bylo naopak meziročně vydáno na </w:t>
            </w:r>
            <w:r w:rsidRPr="00751FC1">
              <w:rPr>
                <w:rStyle w:val="tabulka"/>
                <w:spacing w:val="-2"/>
              </w:rPr>
              <w:t>neinvestiční trans</w:t>
            </w:r>
            <w:r>
              <w:rPr>
                <w:rStyle w:val="tabulka"/>
                <w:spacing w:val="-2"/>
              </w:rPr>
              <w:t>fery státním fondům (-5,5 mld.). Nadále pokračoval</w:t>
            </w:r>
            <w:r w:rsidRPr="00751FC1">
              <w:rPr>
                <w:rStyle w:val="tabulka"/>
                <w:spacing w:val="-2"/>
              </w:rPr>
              <w:t xml:space="preserve"> i dlouhodobější trend redukce čistých výdajů na státní dluh (-5 mld.). </w:t>
            </w:r>
          </w:p>
        </w:tc>
      </w:tr>
    </w:tbl>
    <w:p w:rsidR="001C3961" w:rsidRPr="001C6DE6" w:rsidRDefault="001C3961" w:rsidP="001C3961">
      <w:pPr>
        <w:pStyle w:val="Textpoznpodarou"/>
        <w:jc w:val="both"/>
        <w:rPr>
          <w:rFonts w:cs="Arial"/>
          <w:color w:val="000000"/>
          <w:spacing w:val="-2"/>
          <w:sz w:val="15"/>
          <w:szCs w:val="15"/>
        </w:rPr>
      </w:pPr>
    </w:p>
    <w:tbl>
      <w:tblPr>
        <w:tblW w:w="4963" w:type="pct"/>
        <w:tblInd w:w="108" w:type="dxa"/>
        <w:tblLayout w:type="fixed"/>
        <w:tblLook w:val="00A0"/>
      </w:tblPr>
      <w:tblGrid>
        <w:gridCol w:w="1997"/>
        <w:gridCol w:w="284"/>
        <w:gridCol w:w="1119"/>
        <w:gridCol w:w="6381"/>
      </w:tblGrid>
      <w:tr w:rsidR="001C3961" w:rsidRPr="00AA4A76" w:rsidTr="00853C0F">
        <w:trPr>
          <w:trHeight w:val="145"/>
        </w:trPr>
        <w:tc>
          <w:tcPr>
            <w:tcW w:w="1021" w:type="pct"/>
            <w:shd w:val="clear" w:color="auto" w:fill="auto"/>
          </w:tcPr>
          <w:p w:rsidR="001C3961" w:rsidRPr="00AA4A76" w:rsidRDefault="001C3961" w:rsidP="00853C0F">
            <w:pPr>
              <w:spacing w:line="240" w:lineRule="auto"/>
              <w:jc w:val="center"/>
              <w:rPr>
                <w:color w:val="000000"/>
                <w:szCs w:val="20"/>
              </w:rPr>
            </w:pPr>
          </w:p>
        </w:tc>
        <w:tc>
          <w:tcPr>
            <w:tcW w:w="145" w:type="pct"/>
          </w:tcPr>
          <w:p w:rsidR="001C3961" w:rsidRPr="00AA4A76" w:rsidRDefault="001C3961" w:rsidP="00853C0F">
            <w:pPr>
              <w:pStyle w:val="Textpoznpodarou"/>
              <w:jc w:val="both"/>
              <w:rPr>
                <w:highlight w:val="yellow"/>
              </w:rPr>
            </w:pPr>
          </w:p>
        </w:tc>
        <w:tc>
          <w:tcPr>
            <w:tcW w:w="572" w:type="pct"/>
          </w:tcPr>
          <w:p w:rsidR="001C3961" w:rsidRPr="00AA4A76" w:rsidRDefault="001C3961" w:rsidP="00853C0F">
            <w:pPr>
              <w:pStyle w:val="Textpoznpodarou"/>
              <w:jc w:val="both"/>
              <w:rPr>
                <w:highlight w:val="yellow"/>
              </w:rPr>
            </w:pPr>
            <w:r>
              <w:rPr>
                <w:color w:val="000000"/>
              </w:rPr>
              <w:t>Graf č. 22</w:t>
            </w:r>
          </w:p>
        </w:tc>
        <w:tc>
          <w:tcPr>
            <w:tcW w:w="3262" w:type="pct"/>
          </w:tcPr>
          <w:p w:rsidR="001C3961" w:rsidRDefault="001C3961" w:rsidP="00853C0F">
            <w:pPr>
              <w:spacing w:line="240" w:lineRule="auto"/>
              <w:rPr>
                <w:rFonts w:cs="Arial"/>
                <w:b/>
                <w:bCs/>
              </w:rPr>
            </w:pPr>
            <w:r>
              <w:rPr>
                <w:rFonts w:cs="Arial"/>
                <w:b/>
                <w:bCs/>
              </w:rPr>
              <w:t>Vybrané výdaje státního rozpočtu v 1. polo</w:t>
            </w:r>
            <w:r w:rsidRPr="006808C5">
              <w:rPr>
                <w:rFonts w:cs="Arial"/>
                <w:b/>
                <w:bCs/>
              </w:rPr>
              <w:t>letích roku</w:t>
            </w:r>
            <w:r>
              <w:rPr>
                <w:rFonts w:cs="Arial"/>
                <w:b/>
                <w:bCs/>
              </w:rPr>
              <w:t xml:space="preserve"> </w:t>
            </w:r>
          </w:p>
          <w:p w:rsidR="001C3961" w:rsidRPr="0007324C" w:rsidRDefault="001C3961" w:rsidP="00853C0F">
            <w:pPr>
              <w:spacing w:line="240" w:lineRule="auto"/>
              <w:rPr>
                <w:rFonts w:cs="Arial"/>
                <w:b/>
                <w:bCs/>
              </w:rPr>
            </w:pPr>
            <w:r>
              <w:rPr>
                <w:rFonts w:cs="Arial"/>
                <w:bCs/>
              </w:rPr>
              <w:t>(</w:t>
            </w:r>
            <w:r w:rsidRPr="00DB06E9">
              <w:rPr>
                <w:rFonts w:cs="Arial"/>
                <w:bCs/>
              </w:rPr>
              <w:t>v mld. korun</w:t>
            </w:r>
            <w:r>
              <w:rPr>
                <w:rFonts w:cs="Arial"/>
                <w:bCs/>
              </w:rPr>
              <w:t>)</w:t>
            </w:r>
          </w:p>
        </w:tc>
      </w:tr>
      <w:tr w:rsidR="001C3961" w:rsidRPr="00AA4A76" w:rsidTr="00853C0F">
        <w:trPr>
          <w:trHeight w:val="145"/>
        </w:trPr>
        <w:tc>
          <w:tcPr>
            <w:tcW w:w="1021" w:type="pct"/>
            <w:shd w:val="clear" w:color="auto" w:fill="auto"/>
          </w:tcPr>
          <w:p w:rsidR="001C3961" w:rsidRPr="006D3F53" w:rsidRDefault="001C3961" w:rsidP="00853C0F">
            <w:pPr>
              <w:spacing w:line="240" w:lineRule="auto"/>
              <w:rPr>
                <w:color w:val="000000"/>
                <w:sz w:val="16"/>
                <w:szCs w:val="16"/>
                <w:highlight w:val="yellow"/>
              </w:rPr>
            </w:pPr>
          </w:p>
        </w:tc>
        <w:tc>
          <w:tcPr>
            <w:tcW w:w="145" w:type="pct"/>
          </w:tcPr>
          <w:p w:rsidR="001C3961" w:rsidRPr="00A74192" w:rsidRDefault="001C3961" w:rsidP="00853C0F">
            <w:pPr>
              <w:pStyle w:val="Textpoznpodarou"/>
              <w:jc w:val="both"/>
            </w:pPr>
          </w:p>
        </w:tc>
        <w:tc>
          <w:tcPr>
            <w:tcW w:w="3833" w:type="pct"/>
            <w:gridSpan w:val="2"/>
          </w:tcPr>
          <w:p w:rsidR="001C3961" w:rsidRDefault="009C6215" w:rsidP="00853C0F">
            <w:pPr>
              <w:pStyle w:val="Textpoznpodarou"/>
              <w:ind w:left="-124"/>
              <w:jc w:val="both"/>
              <w:rPr>
                <w:sz w:val="16"/>
                <w:szCs w:val="16"/>
              </w:rPr>
            </w:pPr>
            <w:r w:rsidRPr="009C6215">
              <w:rPr>
                <w:noProof/>
                <w:sz w:val="16"/>
                <w:szCs w:val="16"/>
              </w:rPr>
              <w:drawing>
                <wp:inline distT="0" distB="0" distL="0" distR="0">
                  <wp:extent cx="4752000" cy="3528000"/>
                  <wp:effectExtent l="0" t="0" r="0" b="0"/>
                  <wp:docPr id="1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1C3961" w:rsidRDefault="001C3961" w:rsidP="00853C0F">
            <w:pPr>
              <w:pStyle w:val="Textpoznpodarou"/>
              <w:rPr>
                <w:sz w:val="14"/>
                <w:szCs w:val="14"/>
              </w:rPr>
            </w:pPr>
            <w:r>
              <w:rPr>
                <w:sz w:val="14"/>
                <w:szCs w:val="14"/>
              </w:rPr>
              <w:t>*Vč. dávek pěstounské péče.</w:t>
            </w:r>
          </w:p>
          <w:p w:rsidR="001C3961" w:rsidRPr="007E5880" w:rsidRDefault="001C3961" w:rsidP="00853C0F">
            <w:pPr>
              <w:pStyle w:val="Textpoznpodarou"/>
              <w:rPr>
                <w:sz w:val="14"/>
                <w:szCs w:val="14"/>
              </w:rPr>
            </w:pPr>
            <w:r>
              <w:rPr>
                <w:sz w:val="14"/>
                <w:szCs w:val="14"/>
              </w:rPr>
              <w:t>**D</w:t>
            </w:r>
            <w:r w:rsidRPr="007E5880">
              <w:rPr>
                <w:sz w:val="14"/>
                <w:szCs w:val="14"/>
              </w:rPr>
              <w:t>ávky pomoci</w:t>
            </w:r>
            <w:r>
              <w:rPr>
                <w:sz w:val="14"/>
                <w:szCs w:val="14"/>
              </w:rPr>
              <w:t xml:space="preserve"> v hmot.</w:t>
            </w:r>
            <w:r w:rsidRPr="007E5880">
              <w:rPr>
                <w:sz w:val="14"/>
                <w:szCs w:val="14"/>
              </w:rPr>
              <w:t xml:space="preserve"> nouzi,</w:t>
            </w:r>
            <w:r>
              <w:rPr>
                <w:sz w:val="14"/>
                <w:szCs w:val="14"/>
              </w:rPr>
              <w:t xml:space="preserve"> dávky osobám </w:t>
            </w:r>
            <w:proofErr w:type="gramStart"/>
            <w:r>
              <w:rPr>
                <w:sz w:val="14"/>
                <w:szCs w:val="14"/>
              </w:rPr>
              <w:t>se zdravot.</w:t>
            </w:r>
            <w:r w:rsidRPr="007E5880">
              <w:rPr>
                <w:sz w:val="14"/>
                <w:szCs w:val="14"/>
              </w:rPr>
              <w:t xml:space="preserve"> postižením</w:t>
            </w:r>
            <w:proofErr w:type="gramEnd"/>
            <w:r w:rsidRPr="007E5880">
              <w:rPr>
                <w:sz w:val="14"/>
                <w:szCs w:val="14"/>
              </w:rPr>
              <w:t xml:space="preserve">, příspěvek na péči dle zákona o </w:t>
            </w:r>
            <w:proofErr w:type="spellStart"/>
            <w:r w:rsidRPr="007E5880">
              <w:rPr>
                <w:sz w:val="14"/>
                <w:szCs w:val="14"/>
              </w:rPr>
              <w:t>soc</w:t>
            </w:r>
            <w:proofErr w:type="spellEnd"/>
            <w:r w:rsidRPr="007E5880">
              <w:rPr>
                <w:sz w:val="14"/>
                <w:szCs w:val="14"/>
              </w:rPr>
              <w:t>.</w:t>
            </w:r>
            <w:r>
              <w:rPr>
                <w:sz w:val="14"/>
                <w:szCs w:val="14"/>
              </w:rPr>
              <w:t xml:space="preserve"> službách.</w:t>
            </w:r>
          </w:p>
          <w:p w:rsidR="001C3961" w:rsidRPr="007E5880" w:rsidRDefault="001C3961" w:rsidP="00853C0F">
            <w:pPr>
              <w:pStyle w:val="Textpoznpodarou"/>
              <w:rPr>
                <w:sz w:val="14"/>
                <w:szCs w:val="14"/>
              </w:rPr>
            </w:pPr>
            <w:r>
              <w:rPr>
                <w:sz w:val="14"/>
                <w:szCs w:val="14"/>
              </w:rPr>
              <w:t>***Jde o čisté výdaje (</w:t>
            </w:r>
            <w:r w:rsidRPr="007E5880">
              <w:rPr>
                <w:sz w:val="14"/>
                <w:szCs w:val="14"/>
              </w:rPr>
              <w:t xml:space="preserve">jsou </w:t>
            </w:r>
            <w:r>
              <w:rPr>
                <w:sz w:val="14"/>
                <w:szCs w:val="14"/>
              </w:rPr>
              <w:t xml:space="preserve">v nich </w:t>
            </w:r>
            <w:r w:rsidRPr="007E5880">
              <w:rPr>
                <w:sz w:val="14"/>
                <w:szCs w:val="14"/>
              </w:rPr>
              <w:t>započteny i příjmy kapitoly Státní dluh</w:t>
            </w:r>
            <w:r>
              <w:rPr>
                <w:sz w:val="14"/>
                <w:szCs w:val="14"/>
              </w:rPr>
              <w:t xml:space="preserve">).                                     </w:t>
            </w:r>
            <w:r w:rsidR="00FB332E">
              <w:rPr>
                <w:rFonts w:cs="Arial"/>
                <w:sz w:val="14"/>
                <w:szCs w:val="14"/>
              </w:rPr>
              <w:t>Zdroj: MF</w:t>
            </w:r>
            <w:r w:rsidRPr="007E5880">
              <w:rPr>
                <w:rFonts w:cs="Arial"/>
                <w:sz w:val="14"/>
                <w:szCs w:val="14"/>
              </w:rPr>
              <w:t>, MPSV</w:t>
            </w:r>
          </w:p>
        </w:tc>
      </w:tr>
    </w:tbl>
    <w:p w:rsidR="001C3961" w:rsidRPr="0007324C" w:rsidRDefault="001C3961" w:rsidP="001C3961">
      <w:pPr>
        <w:pStyle w:val="Textpoznpodarou"/>
        <w:jc w:val="both"/>
        <w:rPr>
          <w:rFonts w:cs="Arial"/>
          <w:color w:val="000000"/>
          <w:spacing w:val="-2"/>
          <w:sz w:val="18"/>
          <w:szCs w:val="18"/>
        </w:rPr>
      </w:pPr>
    </w:p>
    <w:tbl>
      <w:tblPr>
        <w:tblW w:w="4995" w:type="pct"/>
        <w:tblInd w:w="108" w:type="dxa"/>
        <w:tblLayout w:type="fixed"/>
        <w:tblLook w:val="00A0"/>
      </w:tblPr>
      <w:tblGrid>
        <w:gridCol w:w="2000"/>
        <w:gridCol w:w="284"/>
        <w:gridCol w:w="7560"/>
      </w:tblGrid>
      <w:tr w:rsidR="001C3961" w:rsidRPr="00AD0FC0" w:rsidTr="00853C0F">
        <w:trPr>
          <w:trHeight w:val="145"/>
        </w:trPr>
        <w:tc>
          <w:tcPr>
            <w:tcW w:w="1016" w:type="pct"/>
            <w:shd w:val="clear" w:color="auto" w:fill="auto"/>
          </w:tcPr>
          <w:p w:rsidR="001C3961" w:rsidRPr="00674567" w:rsidRDefault="001C3961" w:rsidP="00853C0F">
            <w:pPr>
              <w:spacing w:line="240" w:lineRule="auto"/>
              <w:rPr>
                <w:rFonts w:cs="Arial"/>
                <w:bCs/>
                <w:iCs/>
                <w:color w:val="0D0D0D" w:themeColor="text1" w:themeTint="F2"/>
                <w:sz w:val="16"/>
                <w:szCs w:val="16"/>
              </w:rPr>
            </w:pPr>
            <w:r>
              <w:rPr>
                <w:rFonts w:cs="Arial"/>
                <w:bCs/>
                <w:iCs/>
                <w:color w:val="0D0D0D" w:themeColor="text1" w:themeTint="F2"/>
                <w:sz w:val="16"/>
                <w:szCs w:val="16"/>
              </w:rPr>
              <w:t xml:space="preserve">Navýšení výdajů na sociální dávky bylo </w:t>
            </w:r>
            <w:r>
              <w:rPr>
                <w:rFonts w:cs="Arial"/>
                <w:bCs/>
                <w:iCs/>
                <w:color w:val="0D0D0D" w:themeColor="text1" w:themeTint="F2"/>
                <w:sz w:val="16"/>
                <w:szCs w:val="16"/>
              </w:rPr>
              <w:lastRenderedPageBreak/>
              <w:t>primárně ovlivněno prostředky na důchody. Ty rostly v rámci prvních pololetí nejdynamičtěji za posledních šest let.</w:t>
            </w:r>
          </w:p>
        </w:tc>
        <w:tc>
          <w:tcPr>
            <w:tcW w:w="144" w:type="pct"/>
          </w:tcPr>
          <w:p w:rsidR="001C3961" w:rsidRPr="00A90EFD" w:rsidRDefault="001C3961" w:rsidP="00853C0F">
            <w:pPr>
              <w:pStyle w:val="Textpoznpodarou"/>
              <w:jc w:val="both"/>
              <w:rPr>
                <w:rFonts w:cs="Arial"/>
                <w:color w:val="0D0D0D" w:themeColor="text1" w:themeTint="F2"/>
              </w:rPr>
            </w:pPr>
          </w:p>
        </w:tc>
        <w:tc>
          <w:tcPr>
            <w:tcW w:w="3840" w:type="pct"/>
          </w:tcPr>
          <w:p w:rsidR="001C3961" w:rsidRPr="00751FC1" w:rsidRDefault="001C3961" w:rsidP="00853C0F">
            <w:pPr>
              <w:pStyle w:val="Textpoznpodarou"/>
              <w:jc w:val="both"/>
              <w:rPr>
                <w:rFonts w:cs="Arial"/>
                <w:color w:val="0D0D0D" w:themeColor="text1" w:themeTint="F2"/>
                <w:spacing w:val="-4"/>
              </w:rPr>
            </w:pPr>
            <w:r w:rsidRPr="00751FC1">
              <w:rPr>
                <w:rFonts w:cs="Arial"/>
                <w:color w:val="0D0D0D" w:themeColor="text1" w:themeTint="F2"/>
                <w:spacing w:val="-4"/>
              </w:rPr>
              <w:t xml:space="preserve">Meziroční tempo růstu výdajů na sociální dávky </w:t>
            </w:r>
            <w:r w:rsidR="00B6493D">
              <w:rPr>
                <w:rFonts w:cs="Arial"/>
                <w:color w:val="0D0D0D" w:themeColor="text1" w:themeTint="F2"/>
                <w:spacing w:val="-4"/>
              </w:rPr>
              <w:t xml:space="preserve">se </w:t>
            </w:r>
            <w:r w:rsidRPr="00751FC1">
              <w:rPr>
                <w:rFonts w:cs="Arial"/>
                <w:color w:val="0D0D0D" w:themeColor="text1" w:themeTint="F2"/>
                <w:spacing w:val="-4"/>
              </w:rPr>
              <w:t xml:space="preserve">v rámci 1. pololetí zvyšovalo již počtvrté v řadě a v roce 2017 dosáhlo 5,3 %. Táhly je hlavně váhově dominantní </w:t>
            </w:r>
            <w:r w:rsidRPr="00751FC1">
              <w:rPr>
                <w:rFonts w:cs="Arial"/>
                <w:color w:val="0D0D0D" w:themeColor="text1" w:themeTint="F2"/>
                <w:spacing w:val="-4"/>
              </w:rPr>
              <w:lastRenderedPageBreak/>
              <w:t>výdaje na důchody (+6,0 %), neboť bylo využito nové legislativní úpravy umožňující zvýšit důchody nad rámec standardní valorizace. Důchody od státu pobíralo</w:t>
            </w:r>
            <w:r>
              <w:rPr>
                <w:rFonts w:cs="Arial"/>
                <w:color w:val="0D0D0D" w:themeColor="text1" w:themeTint="F2"/>
                <w:spacing w:val="-4"/>
              </w:rPr>
              <w:t xml:space="preserve"> na konci června 2,89 mil. lidí. J</w:t>
            </w:r>
            <w:r w:rsidRPr="00751FC1">
              <w:rPr>
                <w:rFonts w:cs="Arial"/>
                <w:color w:val="0D0D0D" w:themeColor="text1" w:themeTint="F2"/>
                <w:spacing w:val="-4"/>
              </w:rPr>
              <w:t>ejich počet meziročně stagnoval (mírný růst počtu vyplacených starobních důchodů o 0,7 % byl vyvážen redukcí ve všech ostatních kategorií</w:t>
            </w:r>
            <w:r w:rsidR="00D9640A">
              <w:rPr>
                <w:rFonts w:cs="Arial"/>
                <w:color w:val="0D0D0D" w:themeColor="text1" w:themeTint="F2"/>
                <w:spacing w:val="-4"/>
              </w:rPr>
              <w:t>ch</w:t>
            </w:r>
            <w:r w:rsidRPr="00751FC1">
              <w:rPr>
                <w:rFonts w:cs="Arial"/>
                <w:color w:val="0D0D0D" w:themeColor="text1" w:themeTint="F2"/>
                <w:spacing w:val="-4"/>
              </w:rPr>
              <w:t xml:space="preserve"> důchodů). Přestože růst výdajů na důchody byl letos nejvyšší za posledních šest let, deficit salda důchodového účtu</w:t>
            </w:r>
            <w:r w:rsidRPr="00751FC1">
              <w:rPr>
                <w:rStyle w:val="Znakapoznpodarou"/>
                <w:color w:val="0D0D0D" w:themeColor="text1" w:themeTint="F2"/>
                <w:spacing w:val="-4"/>
              </w:rPr>
              <w:footnoteReference w:id="37"/>
            </w:r>
            <w:r w:rsidRPr="00751FC1">
              <w:rPr>
                <w:rFonts w:cs="Arial"/>
                <w:color w:val="0D0D0D" w:themeColor="text1" w:themeTint="F2"/>
                <w:spacing w:val="-4"/>
              </w:rPr>
              <w:t xml:space="preserve"> se nadále snižoval (až na 6,8 mld. korun v 1. pololetí 2017).</w:t>
            </w:r>
            <w:r w:rsidRPr="00751FC1">
              <w:rPr>
                <w:rFonts w:cs="Arial"/>
                <w:color w:val="000000" w:themeColor="text1"/>
                <w:spacing w:val="-4"/>
              </w:rPr>
              <w:t xml:space="preserve"> Pozitivně působil sílící růst výběru pojistného, jehož tempo (+7,3 %) se blížilo hodnotám z konjunkturního období předchozí dekády.</w:t>
            </w:r>
          </w:p>
          <w:p w:rsidR="001C3961" w:rsidRPr="00751FC1" w:rsidRDefault="001C3961" w:rsidP="00853C0F">
            <w:pPr>
              <w:pStyle w:val="Textpoznpodarou"/>
              <w:jc w:val="both"/>
              <w:rPr>
                <w:rFonts w:cs="Arial"/>
                <w:color w:val="0D0D0D" w:themeColor="text1" w:themeTint="F2"/>
                <w:spacing w:val="-4"/>
                <w:sz w:val="14"/>
                <w:szCs w:val="14"/>
              </w:rPr>
            </w:pPr>
          </w:p>
        </w:tc>
      </w:tr>
      <w:tr w:rsidR="001C3961" w:rsidRPr="00AD0FC0" w:rsidTr="00853C0F">
        <w:trPr>
          <w:trHeight w:val="145"/>
        </w:trPr>
        <w:tc>
          <w:tcPr>
            <w:tcW w:w="1016" w:type="pct"/>
            <w:shd w:val="clear" w:color="auto" w:fill="auto"/>
          </w:tcPr>
          <w:p w:rsidR="001C3961" w:rsidRPr="00ED54D4" w:rsidRDefault="001C3961" w:rsidP="00853C0F">
            <w:pPr>
              <w:spacing w:line="240" w:lineRule="auto"/>
              <w:rPr>
                <w:rFonts w:cs="Arial"/>
                <w:bCs/>
                <w:iCs/>
                <w:color w:val="0D0D0D" w:themeColor="text1" w:themeTint="F2"/>
                <w:spacing w:val="-2"/>
                <w:sz w:val="16"/>
                <w:szCs w:val="16"/>
              </w:rPr>
            </w:pPr>
            <w:r w:rsidRPr="00ED54D4">
              <w:rPr>
                <w:rFonts w:cs="Arial"/>
                <w:bCs/>
                <w:iCs/>
                <w:color w:val="0D0D0D" w:themeColor="text1" w:themeTint="F2"/>
                <w:spacing w:val="-2"/>
                <w:sz w:val="16"/>
                <w:szCs w:val="16"/>
              </w:rPr>
              <w:lastRenderedPageBreak/>
              <w:t>Pokračoval růst dávek nemocenského pojištění, legislativní úpravou posílily</w:t>
            </w:r>
            <w:r>
              <w:rPr>
                <w:rFonts w:cs="Arial"/>
                <w:bCs/>
                <w:iCs/>
                <w:color w:val="0D0D0D" w:themeColor="text1" w:themeTint="F2"/>
                <w:spacing w:val="-2"/>
                <w:sz w:val="16"/>
                <w:szCs w:val="16"/>
              </w:rPr>
              <w:t xml:space="preserve"> příspěvky na péči.</w:t>
            </w:r>
          </w:p>
          <w:p w:rsidR="001C3961" w:rsidRDefault="001C3961" w:rsidP="00853C0F">
            <w:pPr>
              <w:spacing w:line="240" w:lineRule="auto"/>
              <w:rPr>
                <w:rFonts w:cs="Arial"/>
                <w:bCs/>
                <w:iCs/>
                <w:color w:val="0D0D0D" w:themeColor="text1" w:themeTint="F2"/>
                <w:spacing w:val="-2"/>
                <w:sz w:val="16"/>
                <w:szCs w:val="16"/>
              </w:rPr>
            </w:pPr>
          </w:p>
          <w:p w:rsidR="001C3961" w:rsidRPr="00ED54D4" w:rsidRDefault="001C3961" w:rsidP="00853C0F">
            <w:pPr>
              <w:spacing w:line="240" w:lineRule="auto"/>
              <w:rPr>
                <w:rFonts w:cs="Arial"/>
                <w:bCs/>
                <w:iCs/>
                <w:color w:val="0D0D0D" w:themeColor="text1" w:themeTint="F2"/>
                <w:spacing w:val="-2"/>
                <w:sz w:val="16"/>
                <w:szCs w:val="16"/>
              </w:rPr>
            </w:pPr>
          </w:p>
          <w:p w:rsidR="001C3961" w:rsidRPr="009A6353" w:rsidRDefault="001C3961" w:rsidP="00853C0F">
            <w:pPr>
              <w:spacing w:line="240" w:lineRule="auto"/>
              <w:rPr>
                <w:rFonts w:cs="Arial"/>
                <w:bCs/>
                <w:iCs/>
                <w:color w:val="000000" w:themeColor="text1"/>
                <w:sz w:val="16"/>
                <w:szCs w:val="16"/>
              </w:rPr>
            </w:pPr>
            <w:r>
              <w:rPr>
                <w:rFonts w:cs="Arial"/>
                <w:bCs/>
                <w:iCs/>
                <w:color w:val="0D0D0D" w:themeColor="text1" w:themeTint="F2"/>
                <w:spacing w:val="-2"/>
                <w:sz w:val="16"/>
                <w:szCs w:val="16"/>
              </w:rPr>
              <w:t>P</w:t>
            </w:r>
            <w:r w:rsidRPr="00ED54D4">
              <w:rPr>
                <w:rFonts w:cs="Arial"/>
                <w:bCs/>
                <w:iCs/>
                <w:color w:val="0D0D0D" w:themeColor="text1" w:themeTint="F2"/>
                <w:spacing w:val="-2"/>
                <w:sz w:val="16"/>
                <w:szCs w:val="16"/>
              </w:rPr>
              <w:t>říznivější finanční situace domácností se odrazila v redukci objemu dávek hmotné nouze i</w:t>
            </w:r>
            <w:r w:rsidR="00D9640A">
              <w:rPr>
                <w:rFonts w:cs="Arial"/>
                <w:bCs/>
                <w:iCs/>
                <w:color w:val="0D0D0D" w:themeColor="text1" w:themeTint="F2"/>
                <w:sz w:val="16"/>
                <w:szCs w:val="16"/>
              </w:rPr>
              <w:t> </w:t>
            </w:r>
            <w:r w:rsidRPr="00ED54D4">
              <w:rPr>
                <w:rFonts w:cs="Arial"/>
                <w:bCs/>
                <w:iCs/>
                <w:color w:val="0D0D0D" w:themeColor="text1" w:themeTint="F2"/>
                <w:spacing w:val="-2"/>
                <w:sz w:val="16"/>
                <w:szCs w:val="16"/>
              </w:rPr>
              <w:t>státní sociální podpory</w:t>
            </w:r>
            <w:r w:rsidR="00D9640A" w:rsidRPr="00D9640A">
              <w:rPr>
                <w:rFonts w:cs="Arial"/>
                <w:bCs/>
                <w:iCs/>
                <w:color w:val="0D0D0D" w:themeColor="text1" w:themeTint="F2"/>
                <w:sz w:val="16"/>
                <w:szCs w:val="16"/>
              </w:rPr>
              <w:t>.</w:t>
            </w:r>
          </w:p>
        </w:tc>
        <w:tc>
          <w:tcPr>
            <w:tcW w:w="144" w:type="pct"/>
          </w:tcPr>
          <w:p w:rsidR="001C3961" w:rsidRPr="00A90EFD" w:rsidRDefault="001C3961" w:rsidP="00853C0F">
            <w:pPr>
              <w:pStyle w:val="Textpoznpodarou"/>
              <w:jc w:val="both"/>
              <w:rPr>
                <w:rFonts w:cs="Arial"/>
                <w:color w:val="0D0D0D" w:themeColor="text1" w:themeTint="F2"/>
              </w:rPr>
            </w:pPr>
          </w:p>
        </w:tc>
        <w:tc>
          <w:tcPr>
            <w:tcW w:w="3840" w:type="pct"/>
          </w:tcPr>
          <w:p w:rsidR="001C3961" w:rsidRPr="00751FC1" w:rsidRDefault="001C3961" w:rsidP="00853C0F">
            <w:pPr>
              <w:pStyle w:val="Textpoznpodarou"/>
              <w:jc w:val="both"/>
              <w:rPr>
                <w:rFonts w:cs="Arial"/>
                <w:color w:val="0D0D0D" w:themeColor="text1" w:themeTint="F2"/>
                <w:spacing w:val="-4"/>
              </w:rPr>
            </w:pPr>
            <w:r w:rsidRPr="00751FC1">
              <w:rPr>
                <w:rFonts w:cs="Arial"/>
                <w:color w:val="0D0D0D" w:themeColor="text1" w:themeTint="F2"/>
                <w:spacing w:val="-4"/>
              </w:rPr>
              <w:t xml:space="preserve">Výdaje </w:t>
            </w:r>
            <w:r>
              <w:rPr>
                <w:rFonts w:cs="Arial"/>
                <w:color w:val="0D0D0D" w:themeColor="text1" w:themeTint="F2"/>
                <w:spacing w:val="-4"/>
              </w:rPr>
              <w:t xml:space="preserve">na </w:t>
            </w:r>
            <w:r w:rsidRPr="00751FC1">
              <w:rPr>
                <w:rFonts w:cs="Arial"/>
                <w:color w:val="0D0D0D" w:themeColor="text1" w:themeTint="F2"/>
                <w:spacing w:val="-4"/>
              </w:rPr>
              <w:t xml:space="preserve">ostatní sociální dávky (mimo důchody) byly o 3,0 % vyšší. Jejich meziroční tempo rostlo již druhým rokem v řadě. Stály za tím vyšší výdaje na </w:t>
            </w:r>
            <w:r w:rsidRPr="00751FC1">
              <w:rPr>
                <w:color w:val="000000" w:themeColor="text1"/>
                <w:spacing w:val="-4"/>
              </w:rPr>
              <w:t xml:space="preserve">dávky nemocenského pojištění (již popáté v řadě, v úhrnu o 4,5 mld. více) vlivem rostoucí nemocnosti, ale i </w:t>
            </w:r>
            <w:r w:rsidRPr="00751FC1">
              <w:rPr>
                <w:spacing w:val="-4"/>
              </w:rPr>
              <w:t xml:space="preserve">vyššího čerpáním peněžité pomoci v mateřství. O 1,5 mld. korun vzrostly také příspěvky na péči dlouhodobě nemocným osobám (vlivem 10% plošné valorizace v srpnu 2016). Mírnějším tempem pokračoval i růst dávek pěstounské péče. </w:t>
            </w:r>
            <w:r>
              <w:rPr>
                <w:spacing w:val="-4"/>
              </w:rPr>
              <w:t>Stát vyplatil méně</w:t>
            </w:r>
            <w:r w:rsidRPr="00751FC1">
              <w:rPr>
                <w:spacing w:val="-4"/>
              </w:rPr>
              <w:t xml:space="preserve"> na podporách v nezaměstnanosti (-3,4 %), které pobírala čtvrtina všech registrovaných uchazečů o práci. Příznivější finanční situace domácností se odrazila v</w:t>
            </w:r>
            <w:r w:rsidRPr="00751FC1">
              <w:rPr>
                <w:rFonts w:cs="Arial"/>
                <w:color w:val="0D0D0D" w:themeColor="text1" w:themeTint="F2"/>
                <w:spacing w:val="-4"/>
              </w:rPr>
              <w:t> </w:t>
            </w:r>
            <w:r w:rsidRPr="00751FC1">
              <w:rPr>
                <w:spacing w:val="-4"/>
              </w:rPr>
              <w:t>nižším objemu vyplacených dávek státní sociální podpory (-1,5 %) a</w:t>
            </w:r>
            <w:r w:rsidRPr="00751FC1">
              <w:rPr>
                <w:rFonts w:cs="Arial"/>
                <w:color w:val="0D0D0D" w:themeColor="text1" w:themeTint="F2"/>
                <w:spacing w:val="-4"/>
              </w:rPr>
              <w:t> </w:t>
            </w:r>
            <w:r>
              <w:rPr>
                <w:spacing w:val="-4"/>
              </w:rPr>
              <w:t xml:space="preserve">zejména v </w:t>
            </w:r>
            <w:r w:rsidRPr="00751FC1">
              <w:rPr>
                <w:spacing w:val="-4"/>
              </w:rPr>
              <w:t>prohloubení poklesu výdajů na d</w:t>
            </w:r>
            <w:r>
              <w:rPr>
                <w:spacing w:val="-4"/>
              </w:rPr>
              <w:t>ávky</w:t>
            </w:r>
            <w:r w:rsidRPr="00751FC1">
              <w:rPr>
                <w:spacing w:val="-4"/>
              </w:rPr>
              <w:t xml:space="preserve"> v hmotné nouzi (na -17 %, za tři roky činil pokles 30 %).</w:t>
            </w:r>
          </w:p>
        </w:tc>
      </w:tr>
    </w:tbl>
    <w:p w:rsidR="001C3961" w:rsidRDefault="001C3961" w:rsidP="00D9640A">
      <w:pPr>
        <w:pStyle w:val="Textpoznpodarou"/>
        <w:jc w:val="both"/>
        <w:rPr>
          <w:rFonts w:cs="Arial"/>
          <w:color w:val="000000"/>
          <w:spacing w:val="-2"/>
          <w:sz w:val="16"/>
          <w:szCs w:val="16"/>
        </w:rPr>
      </w:pPr>
    </w:p>
    <w:tbl>
      <w:tblPr>
        <w:tblW w:w="4963" w:type="pct"/>
        <w:tblInd w:w="108" w:type="dxa"/>
        <w:tblLayout w:type="fixed"/>
        <w:tblLook w:val="00A0"/>
      </w:tblPr>
      <w:tblGrid>
        <w:gridCol w:w="1997"/>
        <w:gridCol w:w="284"/>
        <w:gridCol w:w="1119"/>
        <w:gridCol w:w="6381"/>
      </w:tblGrid>
      <w:tr w:rsidR="001C3961" w:rsidRPr="00AA4A76" w:rsidTr="00853C0F">
        <w:trPr>
          <w:trHeight w:val="145"/>
        </w:trPr>
        <w:tc>
          <w:tcPr>
            <w:tcW w:w="1021" w:type="pct"/>
            <w:shd w:val="clear" w:color="auto" w:fill="auto"/>
          </w:tcPr>
          <w:p w:rsidR="001C3961" w:rsidRPr="00AA4A76" w:rsidRDefault="001C3961" w:rsidP="00853C0F">
            <w:pPr>
              <w:spacing w:line="240" w:lineRule="auto"/>
              <w:jc w:val="center"/>
              <w:rPr>
                <w:color w:val="000000"/>
                <w:szCs w:val="20"/>
              </w:rPr>
            </w:pPr>
          </w:p>
        </w:tc>
        <w:tc>
          <w:tcPr>
            <w:tcW w:w="145" w:type="pct"/>
          </w:tcPr>
          <w:p w:rsidR="001C3961" w:rsidRPr="00AA4A76" w:rsidRDefault="001C3961" w:rsidP="00853C0F">
            <w:pPr>
              <w:pStyle w:val="Textpoznpodarou"/>
              <w:jc w:val="both"/>
              <w:rPr>
                <w:highlight w:val="yellow"/>
              </w:rPr>
            </w:pPr>
          </w:p>
        </w:tc>
        <w:tc>
          <w:tcPr>
            <w:tcW w:w="572" w:type="pct"/>
          </w:tcPr>
          <w:p w:rsidR="001C3961" w:rsidRPr="00AA4A76" w:rsidRDefault="001C3961" w:rsidP="00853C0F">
            <w:pPr>
              <w:pStyle w:val="Textpoznpodarou"/>
              <w:jc w:val="both"/>
              <w:rPr>
                <w:highlight w:val="yellow"/>
              </w:rPr>
            </w:pPr>
            <w:r>
              <w:rPr>
                <w:color w:val="000000"/>
              </w:rPr>
              <w:t>Graf č. 23</w:t>
            </w:r>
          </w:p>
        </w:tc>
        <w:tc>
          <w:tcPr>
            <w:tcW w:w="3262" w:type="pct"/>
          </w:tcPr>
          <w:p w:rsidR="001C3961" w:rsidRPr="007E5880" w:rsidRDefault="001C3961" w:rsidP="00853C0F">
            <w:pPr>
              <w:pStyle w:val="Textpoznpodarou"/>
              <w:rPr>
                <w:spacing w:val="-2"/>
                <w:lang w:eastAsia="en-US"/>
              </w:rPr>
            </w:pPr>
            <w:r w:rsidRPr="007E5880">
              <w:rPr>
                <w:rFonts w:cs="Arial"/>
                <w:b/>
                <w:bCs/>
                <w:spacing w:val="-2"/>
              </w:rPr>
              <w:t>Příjemci důchodů</w:t>
            </w:r>
            <w:r w:rsidRPr="007E5880">
              <w:rPr>
                <w:rFonts w:cs="Arial"/>
                <w:bCs/>
                <w:spacing w:val="-2"/>
              </w:rPr>
              <w:t>,</w:t>
            </w:r>
            <w:r w:rsidRPr="007E5880">
              <w:rPr>
                <w:rFonts w:cs="Arial"/>
                <w:b/>
                <w:bCs/>
                <w:spacing w:val="-2"/>
              </w:rPr>
              <w:t xml:space="preserve"> příjmy i výdaje na důchody ze SR </w:t>
            </w:r>
            <w:r w:rsidRPr="007E5880">
              <w:rPr>
                <w:rFonts w:cs="Arial"/>
                <w:bCs/>
                <w:spacing w:val="-2"/>
              </w:rPr>
              <w:t>(</w:t>
            </w:r>
            <w:proofErr w:type="spellStart"/>
            <w:r w:rsidRPr="007E5880">
              <w:rPr>
                <w:spacing w:val="-2"/>
              </w:rPr>
              <w:t>meziroč</w:t>
            </w:r>
            <w:proofErr w:type="spellEnd"/>
            <w:r w:rsidRPr="007E5880">
              <w:rPr>
                <w:spacing w:val="-2"/>
              </w:rPr>
              <w:t>.</w:t>
            </w:r>
            <w:r w:rsidRPr="007E5880">
              <w:rPr>
                <w:bCs/>
                <w:spacing w:val="-2"/>
              </w:rPr>
              <w:t xml:space="preserve"> v %)</w:t>
            </w:r>
            <w:r w:rsidRPr="007E5880">
              <w:rPr>
                <w:rFonts w:cs="Arial"/>
                <w:bCs/>
                <w:spacing w:val="-2"/>
              </w:rPr>
              <w:t xml:space="preserve"> </w:t>
            </w:r>
            <w:r w:rsidRPr="007E5880">
              <w:rPr>
                <w:rFonts w:cs="Arial"/>
                <w:b/>
                <w:bCs/>
                <w:spacing w:val="-2"/>
              </w:rPr>
              <w:t xml:space="preserve">a bilance důchodového účtu </w:t>
            </w:r>
            <w:r w:rsidRPr="007E5880">
              <w:rPr>
                <w:rFonts w:cs="Arial"/>
                <w:bCs/>
                <w:spacing w:val="-2"/>
              </w:rPr>
              <w:t xml:space="preserve">(v mld. korun) </w:t>
            </w:r>
            <w:r>
              <w:rPr>
                <w:rFonts w:cs="Arial"/>
                <w:b/>
                <w:bCs/>
                <w:spacing w:val="-2"/>
              </w:rPr>
              <w:t>v 1. polo</w:t>
            </w:r>
            <w:r w:rsidRPr="007E5880">
              <w:rPr>
                <w:rFonts w:cs="Arial"/>
                <w:b/>
                <w:bCs/>
                <w:spacing w:val="-2"/>
              </w:rPr>
              <w:t>letích roku</w:t>
            </w:r>
          </w:p>
        </w:tc>
      </w:tr>
      <w:tr w:rsidR="001C3961" w:rsidRPr="00AA4A76" w:rsidTr="00853C0F">
        <w:trPr>
          <w:trHeight w:val="145"/>
        </w:trPr>
        <w:tc>
          <w:tcPr>
            <w:tcW w:w="1021" w:type="pct"/>
            <w:shd w:val="clear" w:color="auto" w:fill="auto"/>
          </w:tcPr>
          <w:p w:rsidR="001C3961" w:rsidRPr="006D3F53" w:rsidRDefault="001C3961" w:rsidP="00853C0F">
            <w:pPr>
              <w:spacing w:line="240" w:lineRule="auto"/>
              <w:rPr>
                <w:color w:val="000000"/>
                <w:sz w:val="16"/>
                <w:szCs w:val="16"/>
                <w:highlight w:val="yellow"/>
              </w:rPr>
            </w:pPr>
          </w:p>
        </w:tc>
        <w:tc>
          <w:tcPr>
            <w:tcW w:w="145" w:type="pct"/>
          </w:tcPr>
          <w:p w:rsidR="001C3961" w:rsidRPr="00A74192" w:rsidRDefault="001C3961" w:rsidP="00853C0F">
            <w:pPr>
              <w:pStyle w:val="Textpoznpodarou"/>
              <w:jc w:val="both"/>
            </w:pPr>
          </w:p>
        </w:tc>
        <w:tc>
          <w:tcPr>
            <w:tcW w:w="3833" w:type="pct"/>
            <w:gridSpan w:val="2"/>
          </w:tcPr>
          <w:p w:rsidR="001C3961" w:rsidRDefault="001C3961" w:rsidP="00853C0F">
            <w:pPr>
              <w:pStyle w:val="Textpoznpodarou"/>
              <w:ind w:left="-124"/>
              <w:jc w:val="both"/>
              <w:rPr>
                <w:sz w:val="16"/>
                <w:szCs w:val="16"/>
              </w:rPr>
            </w:pPr>
            <w:r w:rsidRPr="006D67AC">
              <w:rPr>
                <w:noProof/>
                <w:sz w:val="16"/>
                <w:szCs w:val="16"/>
              </w:rPr>
              <w:drawing>
                <wp:inline distT="0" distB="0" distL="0" distR="0">
                  <wp:extent cx="4752000" cy="3528000"/>
                  <wp:effectExtent l="0" t="0" r="0" b="0"/>
                  <wp:docPr id="37"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C3961" w:rsidRPr="006D67AC" w:rsidRDefault="001C3961" w:rsidP="00853C0F">
            <w:pPr>
              <w:autoSpaceDE w:val="0"/>
              <w:autoSpaceDN w:val="0"/>
              <w:adjustRightInd w:val="0"/>
              <w:spacing w:line="240" w:lineRule="auto"/>
              <w:rPr>
                <w:rFonts w:cs="Arial"/>
                <w:sz w:val="14"/>
                <w:szCs w:val="14"/>
              </w:rPr>
            </w:pPr>
            <w:r w:rsidRPr="006D67AC">
              <w:rPr>
                <w:rFonts w:cs="Arial"/>
                <w:sz w:val="14"/>
                <w:szCs w:val="14"/>
              </w:rPr>
              <w:t>Pozn.: Starobní důchod přiznaný před dosažením důchodového věku a krácený za předčasnost je po celou dobu pobírání důchodu. (zahrnuje důchodce.</w:t>
            </w:r>
            <w:r>
              <w:rPr>
                <w:rFonts w:cs="Arial"/>
                <w:sz w:val="14"/>
                <w:szCs w:val="14"/>
              </w:rPr>
              <w:t xml:space="preserve">                                                                                                 </w:t>
            </w:r>
            <w:r w:rsidRPr="007E5880">
              <w:rPr>
                <w:sz w:val="14"/>
                <w:szCs w:val="14"/>
              </w:rPr>
              <w:t>Zdroj: MF, ČSSZ</w:t>
            </w:r>
          </w:p>
        </w:tc>
      </w:tr>
    </w:tbl>
    <w:p w:rsidR="001C3961" w:rsidRDefault="001C3961" w:rsidP="001C3961">
      <w:pPr>
        <w:pStyle w:val="Textpoznpodarou"/>
        <w:jc w:val="both"/>
        <w:rPr>
          <w:rFonts w:cs="Arial"/>
          <w:color w:val="000000"/>
          <w:spacing w:val="-2"/>
          <w:sz w:val="18"/>
          <w:szCs w:val="18"/>
        </w:rPr>
      </w:pPr>
    </w:p>
    <w:tbl>
      <w:tblPr>
        <w:tblW w:w="4995" w:type="pct"/>
        <w:tblInd w:w="108" w:type="dxa"/>
        <w:tblLayout w:type="fixed"/>
        <w:tblLook w:val="00A0"/>
      </w:tblPr>
      <w:tblGrid>
        <w:gridCol w:w="2000"/>
        <w:gridCol w:w="284"/>
        <w:gridCol w:w="7560"/>
      </w:tblGrid>
      <w:tr w:rsidR="001C3961" w:rsidRPr="00F06A1D" w:rsidTr="00853C0F">
        <w:trPr>
          <w:trHeight w:val="145"/>
        </w:trPr>
        <w:tc>
          <w:tcPr>
            <w:tcW w:w="1016" w:type="pct"/>
            <w:shd w:val="clear" w:color="auto" w:fill="auto"/>
          </w:tcPr>
          <w:p w:rsidR="001C3961" w:rsidRDefault="001C3961" w:rsidP="00853C0F">
            <w:pPr>
              <w:spacing w:line="240" w:lineRule="auto"/>
              <w:rPr>
                <w:rFonts w:cs="Arial"/>
                <w:bCs/>
                <w:iCs/>
                <w:color w:val="0D0D0D" w:themeColor="text1" w:themeTint="F2"/>
                <w:sz w:val="16"/>
                <w:szCs w:val="16"/>
              </w:rPr>
            </w:pPr>
            <w:r>
              <w:rPr>
                <w:rFonts w:cs="Arial"/>
                <w:bCs/>
                <w:iCs/>
                <w:color w:val="0D0D0D" w:themeColor="text1" w:themeTint="F2"/>
                <w:sz w:val="16"/>
                <w:szCs w:val="16"/>
              </w:rPr>
              <w:t xml:space="preserve">Výše státního dluhu se po jednorázovém navýšení v 1. čtvrtletí v následujících měsících stabilizovala. </w:t>
            </w:r>
          </w:p>
          <w:p w:rsidR="001C3961" w:rsidRDefault="001C3961" w:rsidP="00853C0F">
            <w:pPr>
              <w:spacing w:line="240" w:lineRule="auto"/>
              <w:rPr>
                <w:rFonts w:cs="Arial"/>
                <w:bCs/>
                <w:iCs/>
                <w:color w:val="0D0D0D" w:themeColor="text1" w:themeTint="F2"/>
                <w:sz w:val="16"/>
                <w:szCs w:val="16"/>
              </w:rPr>
            </w:pPr>
          </w:p>
          <w:p w:rsidR="001C3961" w:rsidRDefault="001C3961" w:rsidP="00853C0F">
            <w:pPr>
              <w:spacing w:line="240" w:lineRule="auto"/>
              <w:rPr>
                <w:rFonts w:cs="Arial"/>
                <w:bCs/>
                <w:iCs/>
                <w:color w:val="0D0D0D" w:themeColor="text1" w:themeTint="F2"/>
                <w:sz w:val="16"/>
                <w:szCs w:val="16"/>
              </w:rPr>
            </w:pPr>
          </w:p>
          <w:p w:rsidR="001C3961" w:rsidRDefault="001C3961" w:rsidP="00853C0F">
            <w:pPr>
              <w:spacing w:line="240" w:lineRule="auto"/>
              <w:rPr>
                <w:rFonts w:cs="Arial"/>
                <w:bCs/>
                <w:iCs/>
                <w:color w:val="0D0D0D" w:themeColor="text1" w:themeTint="F2"/>
                <w:sz w:val="16"/>
                <w:szCs w:val="16"/>
              </w:rPr>
            </w:pPr>
          </w:p>
          <w:p w:rsidR="001C3961" w:rsidRPr="00DB3D34" w:rsidRDefault="001C3961" w:rsidP="00853C0F">
            <w:pPr>
              <w:spacing w:line="240" w:lineRule="auto"/>
              <w:rPr>
                <w:rFonts w:cs="Arial"/>
                <w:bCs/>
                <w:iCs/>
                <w:color w:val="0D0D0D" w:themeColor="text1" w:themeTint="F2"/>
                <w:sz w:val="16"/>
                <w:szCs w:val="16"/>
              </w:rPr>
            </w:pPr>
            <w:r>
              <w:rPr>
                <w:rFonts w:cs="Arial"/>
                <w:bCs/>
                <w:iCs/>
                <w:color w:val="0D0D0D" w:themeColor="text1" w:themeTint="F2"/>
                <w:sz w:val="16"/>
                <w:szCs w:val="16"/>
              </w:rPr>
              <w:t xml:space="preserve">Podíl zahraničních investorů na celkové držbě českých státních </w:t>
            </w:r>
            <w:r>
              <w:rPr>
                <w:rFonts w:cs="Arial"/>
                <w:bCs/>
                <w:iCs/>
                <w:color w:val="0D0D0D" w:themeColor="text1" w:themeTint="F2"/>
                <w:sz w:val="16"/>
                <w:szCs w:val="16"/>
              </w:rPr>
              <w:lastRenderedPageBreak/>
              <w:t xml:space="preserve">dluhopisů zůstával nadále vysoký.  </w:t>
            </w:r>
          </w:p>
        </w:tc>
        <w:tc>
          <w:tcPr>
            <w:tcW w:w="144" w:type="pct"/>
          </w:tcPr>
          <w:p w:rsidR="001C3961" w:rsidRPr="00A90EFD" w:rsidRDefault="001C3961" w:rsidP="00853C0F">
            <w:pPr>
              <w:pStyle w:val="Textpoznpodarou"/>
              <w:jc w:val="both"/>
              <w:rPr>
                <w:rFonts w:cs="Arial"/>
                <w:color w:val="0D0D0D" w:themeColor="text1" w:themeTint="F2"/>
              </w:rPr>
            </w:pPr>
          </w:p>
        </w:tc>
        <w:tc>
          <w:tcPr>
            <w:tcW w:w="3840" w:type="pct"/>
          </w:tcPr>
          <w:p w:rsidR="001C3961" w:rsidRPr="00BD5D88" w:rsidRDefault="001C3961" w:rsidP="00853C0F">
            <w:pPr>
              <w:pStyle w:val="Textpoznpodarou"/>
              <w:jc w:val="both"/>
              <w:rPr>
                <w:color w:val="000000" w:themeColor="text1"/>
                <w:spacing w:val="-4"/>
              </w:rPr>
            </w:pPr>
            <w:r w:rsidRPr="00D77546">
              <w:rPr>
                <w:spacing w:val="-4"/>
              </w:rPr>
              <w:t>Státní dluh dosáhl na konci června dosud rekordní výše 1</w:t>
            </w:r>
            <w:r w:rsidR="00D9640A">
              <w:rPr>
                <w:spacing w:val="-4"/>
              </w:rPr>
              <w:t xml:space="preserve"> </w:t>
            </w:r>
            <w:r w:rsidRPr="00D77546">
              <w:rPr>
                <w:spacing w:val="-4"/>
              </w:rPr>
              <w:t xml:space="preserve">789 mld. korun. K výraznějšímu růstu zadluženosti (o 10,9 %) došlo během 1. čtvrtletí, v následujícím kvartále se jeho úroveň stabilizovala. </w:t>
            </w:r>
            <w:r w:rsidRPr="00D77546">
              <w:rPr>
                <w:rFonts w:cs="Arial"/>
                <w:spacing w:val="-4"/>
              </w:rPr>
              <w:t>Prudký nárůst dluhu souvisel s větším objemem vydaných střednědobých a dlouhodobých státních dluhopisů (SDD) určených na krytí splátek SDD, které se očekává ve zbývající části letošního roku. Po celé pololetí docházelo k intenzivnější emisi státních pokladničních poukázek</w:t>
            </w:r>
            <w:r>
              <w:rPr>
                <w:rFonts w:cs="Arial"/>
                <w:spacing w:val="-4"/>
              </w:rPr>
              <w:t xml:space="preserve"> realizo</w:t>
            </w:r>
            <w:r w:rsidRPr="00DD4CFF">
              <w:rPr>
                <w:rFonts w:cs="Arial"/>
                <w:color w:val="0D0D0D" w:themeColor="text1" w:themeTint="F2"/>
                <w:spacing w:val="-4"/>
              </w:rPr>
              <w:t>vané z</w:t>
            </w:r>
            <w:r w:rsidRPr="00DD4CFF">
              <w:rPr>
                <w:color w:val="0D0D0D" w:themeColor="text1" w:themeTint="F2"/>
                <w:spacing w:val="-4"/>
              </w:rPr>
              <w:t> </w:t>
            </w:r>
            <w:r w:rsidRPr="00DD4CFF">
              <w:rPr>
                <w:rFonts w:cs="Arial"/>
                <w:color w:val="0D0D0D" w:themeColor="text1" w:themeTint="F2"/>
                <w:spacing w:val="-4"/>
              </w:rPr>
              <w:t>důvodu využití záporných výnosů</w:t>
            </w:r>
            <w:r>
              <w:rPr>
                <w:rStyle w:val="Znakapoznpodarou"/>
                <w:color w:val="0D0D0D" w:themeColor="text1" w:themeTint="F2"/>
                <w:spacing w:val="-4"/>
              </w:rPr>
              <w:footnoteReference w:id="38"/>
            </w:r>
            <w:r w:rsidRPr="00DD4CFF">
              <w:rPr>
                <w:rFonts w:cs="Arial"/>
                <w:color w:val="0D0D0D" w:themeColor="text1" w:themeTint="F2"/>
                <w:spacing w:val="-4"/>
              </w:rPr>
              <w:t>. Tyto ope</w:t>
            </w:r>
            <w:r w:rsidRPr="00D77546">
              <w:rPr>
                <w:rFonts w:cs="Arial"/>
                <w:spacing w:val="-4"/>
              </w:rPr>
              <w:t xml:space="preserve">race </w:t>
            </w:r>
            <w:r>
              <w:rPr>
                <w:rFonts w:cs="Arial"/>
                <w:spacing w:val="-4"/>
              </w:rPr>
              <w:t>vedly</w:t>
            </w:r>
            <w:r w:rsidRPr="00D77546">
              <w:rPr>
                <w:rFonts w:cs="Arial"/>
                <w:spacing w:val="-4"/>
              </w:rPr>
              <w:t xml:space="preserve"> k růstu vnitřní zadluženosti. Naopak korunová hodnota vnějšího dluhu se od počátku roku mírně snížila (o 2,6 %). Podíl v</w:t>
            </w:r>
            <w:r w:rsidRPr="00D77546">
              <w:rPr>
                <w:color w:val="000000" w:themeColor="text1"/>
                <w:spacing w:val="-4"/>
              </w:rPr>
              <w:t xml:space="preserve">nějšího dluhu na celkové zadluženosti státu poklesl poprvé od počátku roku 2008 pod </w:t>
            </w:r>
            <w:r w:rsidRPr="00D77546">
              <w:rPr>
                <w:color w:val="000000" w:themeColor="text1"/>
                <w:spacing w:val="-4"/>
              </w:rPr>
              <w:lastRenderedPageBreak/>
              <w:t>15 %.</w:t>
            </w:r>
            <w:r>
              <w:rPr>
                <w:color w:val="000000" w:themeColor="text1"/>
                <w:spacing w:val="-4"/>
              </w:rPr>
              <w:t xml:space="preserve"> </w:t>
            </w:r>
            <w:r w:rsidRPr="00D77546">
              <w:rPr>
                <w:color w:val="000000" w:themeColor="text1"/>
                <w:spacing w:val="-4"/>
              </w:rPr>
              <w:t>V první třetině roku vrcholil příliv spekulativního kapitálu do ČR v souvislosti s očekávaným ukončením režimu devizových</w:t>
            </w:r>
            <w:r>
              <w:rPr>
                <w:color w:val="000000" w:themeColor="text1"/>
                <w:spacing w:val="-4"/>
              </w:rPr>
              <w:t xml:space="preserve"> intervencí. Dokládal to</w:t>
            </w:r>
            <w:r w:rsidRPr="00D77546">
              <w:rPr>
                <w:color w:val="000000" w:themeColor="text1"/>
                <w:spacing w:val="-4"/>
              </w:rPr>
              <w:t xml:space="preserve"> i silný růst objemu českých dluhopisů v držbě zahraničních investorů. Zatímco ti na konci roku 2016 vlastnili korunové dluhopisy v hodnotě 424 mld. korun, na konci letošního dubna již za 718 mld. korun (47 % hodnoty všech korunových dluhopisů). V průběhu </w:t>
            </w:r>
            <w:r>
              <w:rPr>
                <w:color w:val="000000" w:themeColor="text1"/>
                <w:spacing w:val="-4"/>
              </w:rPr>
              <w:t>2.</w:t>
            </w:r>
            <w:r w:rsidRPr="00D77546">
              <w:rPr>
                <w:spacing w:val="-4"/>
              </w:rPr>
              <w:t> </w:t>
            </w:r>
            <w:r w:rsidRPr="00D77546">
              <w:rPr>
                <w:color w:val="000000" w:themeColor="text1"/>
                <w:spacing w:val="-4"/>
              </w:rPr>
              <w:t xml:space="preserve">čtvrtletí </w:t>
            </w:r>
            <w:r>
              <w:rPr>
                <w:color w:val="000000" w:themeColor="text1"/>
                <w:spacing w:val="-4"/>
              </w:rPr>
              <w:t>se tento objem fakti</w:t>
            </w:r>
            <w:r w:rsidRPr="00D77546">
              <w:rPr>
                <w:color w:val="000000" w:themeColor="text1"/>
                <w:spacing w:val="-4"/>
              </w:rPr>
              <w:t>cky nezměnil.</w:t>
            </w:r>
          </w:p>
          <w:p w:rsidR="001C3961" w:rsidRPr="00BF7F08" w:rsidRDefault="001C3961" w:rsidP="00853C0F">
            <w:pPr>
              <w:pStyle w:val="Textpoznpodarou"/>
              <w:jc w:val="both"/>
              <w:rPr>
                <w:rFonts w:cs="Arial"/>
                <w:color w:val="000000" w:themeColor="text1"/>
                <w:sz w:val="14"/>
                <w:szCs w:val="14"/>
              </w:rPr>
            </w:pPr>
          </w:p>
        </w:tc>
      </w:tr>
      <w:tr w:rsidR="001C3961" w:rsidRPr="0094422D" w:rsidTr="00853C0F">
        <w:trPr>
          <w:trHeight w:val="145"/>
        </w:trPr>
        <w:tc>
          <w:tcPr>
            <w:tcW w:w="1016" w:type="pct"/>
            <w:shd w:val="clear" w:color="auto" w:fill="auto"/>
          </w:tcPr>
          <w:p w:rsidR="001C3961" w:rsidRDefault="001C3961" w:rsidP="00853C0F">
            <w:pPr>
              <w:spacing w:line="240" w:lineRule="auto"/>
              <w:rPr>
                <w:rFonts w:cs="Arial"/>
                <w:bCs/>
                <w:iCs/>
                <w:color w:val="0D0D0D" w:themeColor="text1" w:themeTint="F2"/>
                <w:sz w:val="16"/>
                <w:szCs w:val="16"/>
              </w:rPr>
            </w:pPr>
            <w:r>
              <w:rPr>
                <w:rFonts w:cs="Arial"/>
                <w:bCs/>
                <w:iCs/>
                <w:color w:val="0D0D0D" w:themeColor="text1" w:themeTint="F2"/>
                <w:sz w:val="16"/>
                <w:szCs w:val="16"/>
              </w:rPr>
              <w:lastRenderedPageBreak/>
              <w:t>Relativní zadluženost vládních institucí v ČR nedosahovala i přes navýšení v 1. čtvrtletí ani poloviny úrovně EU.</w:t>
            </w:r>
          </w:p>
          <w:p w:rsidR="001C3961" w:rsidRDefault="001C3961" w:rsidP="00853C0F">
            <w:pPr>
              <w:spacing w:line="240" w:lineRule="auto"/>
              <w:rPr>
                <w:rFonts w:cs="Arial"/>
                <w:bCs/>
                <w:iCs/>
                <w:color w:val="0D0D0D" w:themeColor="text1" w:themeTint="F2"/>
                <w:sz w:val="16"/>
                <w:szCs w:val="16"/>
              </w:rPr>
            </w:pPr>
          </w:p>
          <w:p w:rsidR="001C3961" w:rsidRDefault="001C3961" w:rsidP="00853C0F">
            <w:pPr>
              <w:spacing w:line="240" w:lineRule="auto"/>
              <w:rPr>
                <w:rFonts w:cs="Arial"/>
                <w:bCs/>
                <w:iCs/>
                <w:color w:val="0D0D0D" w:themeColor="text1" w:themeTint="F2"/>
                <w:sz w:val="16"/>
                <w:szCs w:val="16"/>
              </w:rPr>
            </w:pPr>
          </w:p>
          <w:p w:rsidR="001C3961" w:rsidRDefault="001C3961" w:rsidP="00853C0F">
            <w:pPr>
              <w:spacing w:line="240" w:lineRule="auto"/>
              <w:rPr>
                <w:rFonts w:cs="Arial"/>
                <w:bCs/>
                <w:iCs/>
                <w:color w:val="0D0D0D" w:themeColor="text1" w:themeTint="F2"/>
                <w:sz w:val="16"/>
                <w:szCs w:val="16"/>
              </w:rPr>
            </w:pPr>
          </w:p>
          <w:p w:rsidR="001C3961" w:rsidRDefault="001C3961" w:rsidP="00853C0F">
            <w:pPr>
              <w:spacing w:line="240" w:lineRule="auto"/>
              <w:rPr>
                <w:rFonts w:cs="Arial"/>
                <w:bCs/>
                <w:iCs/>
                <w:color w:val="0D0D0D" w:themeColor="text1" w:themeTint="F2"/>
                <w:sz w:val="16"/>
                <w:szCs w:val="16"/>
              </w:rPr>
            </w:pPr>
          </w:p>
          <w:p w:rsidR="001C3961" w:rsidRPr="00DB3D34" w:rsidRDefault="001C3961" w:rsidP="00853C0F">
            <w:pPr>
              <w:spacing w:line="240" w:lineRule="auto"/>
              <w:rPr>
                <w:rFonts w:cs="Arial"/>
                <w:bCs/>
                <w:iCs/>
                <w:color w:val="0D0D0D" w:themeColor="text1" w:themeTint="F2"/>
                <w:sz w:val="16"/>
                <w:szCs w:val="16"/>
              </w:rPr>
            </w:pPr>
            <w:r>
              <w:rPr>
                <w:rFonts w:cs="Arial"/>
                <w:bCs/>
                <w:iCs/>
                <w:color w:val="0D0D0D" w:themeColor="text1" w:themeTint="F2"/>
                <w:sz w:val="16"/>
                <w:szCs w:val="16"/>
              </w:rPr>
              <w:t>Post</w:t>
            </w:r>
            <w:r w:rsidR="00C41A06">
              <w:rPr>
                <w:rFonts w:cs="Arial"/>
                <w:bCs/>
                <w:iCs/>
                <w:color w:val="0D0D0D" w:themeColor="text1" w:themeTint="F2"/>
                <w:sz w:val="16"/>
                <w:szCs w:val="16"/>
              </w:rPr>
              <w:t>avení nejvíce zadlužených zemí U</w:t>
            </w:r>
            <w:r>
              <w:rPr>
                <w:rFonts w:cs="Arial"/>
                <w:bCs/>
                <w:iCs/>
                <w:color w:val="0D0D0D" w:themeColor="text1" w:themeTint="F2"/>
                <w:sz w:val="16"/>
                <w:szCs w:val="16"/>
              </w:rPr>
              <w:t>nie se za poslední rok nezlepšilo.</w:t>
            </w:r>
          </w:p>
        </w:tc>
        <w:tc>
          <w:tcPr>
            <w:tcW w:w="144" w:type="pct"/>
          </w:tcPr>
          <w:p w:rsidR="001C3961" w:rsidRPr="00A90EFD" w:rsidRDefault="001C3961" w:rsidP="00853C0F">
            <w:pPr>
              <w:pStyle w:val="Textpoznpodarou"/>
              <w:jc w:val="both"/>
              <w:rPr>
                <w:rFonts w:cs="Arial"/>
                <w:color w:val="0D0D0D" w:themeColor="text1" w:themeTint="F2"/>
              </w:rPr>
            </w:pPr>
          </w:p>
        </w:tc>
        <w:tc>
          <w:tcPr>
            <w:tcW w:w="3840" w:type="pct"/>
          </w:tcPr>
          <w:p w:rsidR="001C3961" w:rsidRPr="00ED54D4" w:rsidRDefault="001C3961" w:rsidP="00853C0F">
            <w:pPr>
              <w:pStyle w:val="Textpoznpodarou"/>
              <w:jc w:val="both"/>
              <w:rPr>
                <w:color w:val="000000" w:themeColor="text1"/>
                <w:spacing w:val="-4"/>
              </w:rPr>
            </w:pPr>
            <w:r>
              <w:rPr>
                <w:color w:val="000000" w:themeColor="text1"/>
                <w:spacing w:val="-4"/>
              </w:rPr>
              <w:t xml:space="preserve">Dluh celého </w:t>
            </w:r>
            <w:r w:rsidRPr="00020A28">
              <w:rPr>
                <w:color w:val="000000" w:themeColor="text1"/>
                <w:spacing w:val="-4"/>
              </w:rPr>
              <w:t>sektoru vládních institucí</w:t>
            </w:r>
            <w:r>
              <w:rPr>
                <w:color w:val="000000" w:themeColor="text1"/>
                <w:spacing w:val="-4"/>
              </w:rPr>
              <w:t xml:space="preserve"> (zohledňující</w:t>
            </w:r>
            <w:r w:rsidRPr="00741F3C">
              <w:rPr>
                <w:color w:val="000000" w:themeColor="text1"/>
                <w:spacing w:val="-4"/>
              </w:rPr>
              <w:t xml:space="preserve"> i hospodaření územně správních celků</w:t>
            </w:r>
            <w:r>
              <w:rPr>
                <w:color w:val="000000" w:themeColor="text1"/>
                <w:spacing w:val="-4"/>
              </w:rPr>
              <w:t xml:space="preserve"> či zdravotních pojišťoven</w:t>
            </w:r>
            <w:r w:rsidRPr="00741F3C">
              <w:rPr>
                <w:color w:val="000000" w:themeColor="text1"/>
                <w:spacing w:val="-4"/>
              </w:rPr>
              <w:t>) dosáhl d</w:t>
            </w:r>
            <w:r>
              <w:rPr>
                <w:color w:val="000000" w:themeColor="text1"/>
                <w:spacing w:val="-4"/>
              </w:rPr>
              <w:t>le aktuálních dat ČSÚ na konci 1</w:t>
            </w:r>
            <w:r w:rsidRPr="00741F3C">
              <w:rPr>
                <w:color w:val="000000" w:themeColor="text1"/>
                <w:spacing w:val="-4"/>
              </w:rPr>
              <w:t>. čtvrtletí 201</w:t>
            </w:r>
            <w:r>
              <w:rPr>
                <w:color w:val="000000" w:themeColor="text1"/>
                <w:spacing w:val="-4"/>
              </w:rPr>
              <w:t>7</w:t>
            </w:r>
            <w:r w:rsidRPr="00741F3C">
              <w:rPr>
                <w:rStyle w:val="Znakapoznpodarou"/>
                <w:color w:val="000000" w:themeColor="text1"/>
                <w:spacing w:val="-4"/>
              </w:rPr>
              <w:footnoteReference w:id="39"/>
            </w:r>
            <w:r>
              <w:rPr>
                <w:color w:val="000000" w:themeColor="text1"/>
                <w:spacing w:val="-4"/>
              </w:rPr>
              <w:t xml:space="preserve"> výše 1 925</w:t>
            </w:r>
            <w:r w:rsidRPr="00741F3C">
              <w:rPr>
                <w:color w:val="000000" w:themeColor="text1"/>
                <w:spacing w:val="-4"/>
              </w:rPr>
              <w:t xml:space="preserve"> mld. </w:t>
            </w:r>
            <w:r>
              <w:rPr>
                <w:color w:val="000000" w:themeColor="text1"/>
                <w:spacing w:val="-4"/>
              </w:rPr>
              <w:t>korun a ve vztahu k HDP činil 39,9</w:t>
            </w:r>
            <w:r w:rsidRPr="00741F3C">
              <w:rPr>
                <w:color w:val="000000" w:themeColor="text1"/>
                <w:spacing w:val="-4"/>
              </w:rPr>
              <w:t xml:space="preserve"> %</w:t>
            </w:r>
            <w:r>
              <w:rPr>
                <w:color w:val="000000" w:themeColor="text1"/>
                <w:spacing w:val="-4"/>
              </w:rPr>
              <w:t xml:space="preserve">. V průběhu prvních třech měsíců roku 2017 narostla absolutní výše dluhu o 9,7 %. Jednalo se o nejvyšší </w:t>
            </w:r>
            <w:proofErr w:type="spellStart"/>
            <w:r>
              <w:rPr>
                <w:color w:val="000000" w:themeColor="text1"/>
                <w:spacing w:val="-4"/>
              </w:rPr>
              <w:t>mezičtvrtletní</w:t>
            </w:r>
            <w:proofErr w:type="spellEnd"/>
            <w:r>
              <w:rPr>
                <w:color w:val="000000" w:themeColor="text1"/>
                <w:spacing w:val="-4"/>
              </w:rPr>
              <w:t xml:space="preserve"> přírůstek od roku 2010, kdy se naplno projevily dopady hospodářské recese. Letošní navýšení dluhu ale </w:t>
            </w:r>
            <w:r w:rsidRPr="000572EB">
              <w:rPr>
                <w:rFonts w:cs="Arial"/>
                <w:bCs/>
                <w:iCs/>
                <w:color w:val="0D0D0D" w:themeColor="text1" w:themeTint="F2"/>
              </w:rPr>
              <w:t>souviselo se specifickou situací na dluhopisovém trhu odrážející očekávání blížícího se ukončení režimu devizových intervencí.</w:t>
            </w:r>
            <w:r>
              <w:rPr>
                <w:rFonts w:cs="Arial"/>
                <w:bCs/>
                <w:iCs/>
                <w:color w:val="0D0D0D" w:themeColor="text1" w:themeTint="F2"/>
              </w:rPr>
              <w:t xml:space="preserve"> Na růstu dluhu se podílely téměř výhradně jen ústřední vládní instituce, neboť zadluženost místních vládních institucí se meziročně i </w:t>
            </w:r>
            <w:proofErr w:type="spellStart"/>
            <w:r>
              <w:rPr>
                <w:rFonts w:cs="Arial"/>
                <w:bCs/>
                <w:iCs/>
                <w:color w:val="0D0D0D" w:themeColor="text1" w:themeTint="F2"/>
              </w:rPr>
              <w:t>mezičtvrtletně</w:t>
            </w:r>
            <w:proofErr w:type="spellEnd"/>
            <w:r>
              <w:rPr>
                <w:rFonts w:cs="Arial"/>
                <w:bCs/>
                <w:iCs/>
                <w:color w:val="0D0D0D" w:themeColor="text1" w:themeTint="F2"/>
              </w:rPr>
              <w:t xml:space="preserve"> snížila. Česko bylo na konci 1. čtvrtletí osmou relativně nejméně zadluženou zemí (výrazně nižší dluh než ČR měly přitom jen </w:t>
            </w:r>
            <w:r>
              <w:rPr>
                <w:color w:val="0D0D0D" w:themeColor="text1" w:themeTint="F2"/>
                <w:spacing w:val="-4"/>
              </w:rPr>
              <w:t>Estonsko, Lucembursko a</w:t>
            </w:r>
            <w:r>
              <w:rPr>
                <w:color w:val="000000" w:themeColor="text1"/>
                <w:spacing w:val="-4"/>
              </w:rPr>
              <w:t> </w:t>
            </w:r>
            <w:r>
              <w:rPr>
                <w:color w:val="0D0D0D" w:themeColor="text1" w:themeTint="F2"/>
                <w:spacing w:val="-4"/>
              </w:rPr>
              <w:t>Bulharsko) i</w:t>
            </w:r>
            <w:r w:rsidRPr="00D77546">
              <w:rPr>
                <w:color w:val="000000" w:themeColor="text1"/>
                <w:spacing w:val="-4"/>
              </w:rPr>
              <w:t> </w:t>
            </w:r>
            <w:r>
              <w:rPr>
                <w:color w:val="0D0D0D" w:themeColor="text1" w:themeTint="F2"/>
                <w:spacing w:val="-4"/>
              </w:rPr>
              <w:t xml:space="preserve">přes mírné zhoršení pozice na začátku roku nedosahovala jeho zadluženost ani poloviny úrovně EU (84,1 %). Zadluženost v EU se meziročně snížila jen o 0,2 </w:t>
            </w:r>
            <w:proofErr w:type="spellStart"/>
            <w:proofErr w:type="gramStart"/>
            <w:r>
              <w:rPr>
                <w:color w:val="0D0D0D" w:themeColor="text1" w:themeTint="F2"/>
                <w:spacing w:val="-4"/>
              </w:rPr>
              <w:t>p.b</w:t>
            </w:r>
            <w:proofErr w:type="spellEnd"/>
            <w:r>
              <w:rPr>
                <w:color w:val="0D0D0D" w:themeColor="text1" w:themeTint="F2"/>
                <w:spacing w:val="-4"/>
              </w:rPr>
              <w:t>., neboť</w:t>
            </w:r>
            <w:proofErr w:type="gramEnd"/>
            <w:r>
              <w:rPr>
                <w:color w:val="0D0D0D" w:themeColor="text1" w:themeTint="F2"/>
                <w:spacing w:val="-4"/>
              </w:rPr>
              <w:t xml:space="preserve"> v nejvíce zasažených ekonomikách se situace nezlepšila.</w:t>
            </w:r>
          </w:p>
        </w:tc>
      </w:tr>
    </w:tbl>
    <w:p w:rsidR="001C3961" w:rsidRDefault="001C3961" w:rsidP="001C3961">
      <w:pPr>
        <w:pStyle w:val="Textpoznpodarou"/>
        <w:jc w:val="both"/>
        <w:rPr>
          <w:rFonts w:cs="Arial"/>
          <w:color w:val="000000"/>
          <w:sz w:val="15"/>
          <w:szCs w:val="15"/>
        </w:rPr>
      </w:pPr>
    </w:p>
    <w:tbl>
      <w:tblPr>
        <w:tblW w:w="4963" w:type="pct"/>
        <w:tblInd w:w="108" w:type="dxa"/>
        <w:tblLayout w:type="fixed"/>
        <w:tblLook w:val="00A0"/>
      </w:tblPr>
      <w:tblGrid>
        <w:gridCol w:w="1997"/>
        <w:gridCol w:w="284"/>
        <w:gridCol w:w="1119"/>
        <w:gridCol w:w="6381"/>
      </w:tblGrid>
      <w:tr w:rsidR="001C3961" w:rsidRPr="007E5880" w:rsidTr="00853C0F">
        <w:trPr>
          <w:trHeight w:val="145"/>
        </w:trPr>
        <w:tc>
          <w:tcPr>
            <w:tcW w:w="1021" w:type="pct"/>
            <w:shd w:val="clear" w:color="auto" w:fill="auto"/>
          </w:tcPr>
          <w:p w:rsidR="001C3961" w:rsidRPr="00AA4A76" w:rsidRDefault="001C3961" w:rsidP="00853C0F">
            <w:pPr>
              <w:spacing w:line="240" w:lineRule="auto"/>
              <w:jc w:val="center"/>
              <w:rPr>
                <w:color w:val="000000"/>
                <w:szCs w:val="20"/>
              </w:rPr>
            </w:pPr>
          </w:p>
        </w:tc>
        <w:tc>
          <w:tcPr>
            <w:tcW w:w="145" w:type="pct"/>
          </w:tcPr>
          <w:p w:rsidR="001C3961" w:rsidRPr="00AA4A76" w:rsidRDefault="001C3961" w:rsidP="00853C0F">
            <w:pPr>
              <w:pStyle w:val="Textpoznpodarou"/>
              <w:jc w:val="both"/>
              <w:rPr>
                <w:highlight w:val="yellow"/>
              </w:rPr>
            </w:pPr>
          </w:p>
        </w:tc>
        <w:tc>
          <w:tcPr>
            <w:tcW w:w="572" w:type="pct"/>
          </w:tcPr>
          <w:p w:rsidR="001C3961" w:rsidRPr="00AA4A76" w:rsidRDefault="001C3961" w:rsidP="00853C0F">
            <w:pPr>
              <w:pStyle w:val="Textpoznpodarou"/>
              <w:jc w:val="both"/>
              <w:rPr>
                <w:highlight w:val="yellow"/>
              </w:rPr>
            </w:pPr>
            <w:r>
              <w:rPr>
                <w:color w:val="000000"/>
              </w:rPr>
              <w:t>Graf č. 24</w:t>
            </w:r>
          </w:p>
        </w:tc>
        <w:tc>
          <w:tcPr>
            <w:tcW w:w="3262" w:type="pct"/>
          </w:tcPr>
          <w:p w:rsidR="001C3961" w:rsidRPr="007E5880" w:rsidRDefault="001C3961" w:rsidP="00853C0F">
            <w:pPr>
              <w:pStyle w:val="Textpoznpodarou"/>
              <w:rPr>
                <w:spacing w:val="-2"/>
                <w:lang w:eastAsia="en-US"/>
              </w:rPr>
            </w:pPr>
            <w:r w:rsidRPr="006808C5">
              <w:rPr>
                <w:rFonts w:cs="Arial"/>
                <w:b/>
                <w:bCs/>
              </w:rPr>
              <w:t xml:space="preserve">Struktura státního dluh ČR </w:t>
            </w:r>
            <w:r w:rsidRPr="006808C5">
              <w:rPr>
                <w:rFonts w:cs="Arial"/>
                <w:bCs/>
              </w:rPr>
              <w:t xml:space="preserve">(stav na konci čtvrtletí, v mld. korun) </w:t>
            </w:r>
            <w:r w:rsidRPr="006808C5">
              <w:rPr>
                <w:rFonts w:cs="Arial"/>
                <w:b/>
                <w:bCs/>
              </w:rPr>
              <w:t xml:space="preserve">a podíl korunových dluhopisů v držbě nerezidentů </w:t>
            </w:r>
            <w:r w:rsidRPr="006808C5">
              <w:rPr>
                <w:rFonts w:cs="Arial"/>
                <w:bCs/>
              </w:rPr>
              <w:t>(v %</w:t>
            </w:r>
            <w:r>
              <w:rPr>
                <w:rFonts w:cs="Arial"/>
                <w:bCs/>
              </w:rPr>
              <w:t>, pravá osa</w:t>
            </w:r>
            <w:r w:rsidRPr="006808C5">
              <w:rPr>
                <w:rFonts w:cs="Arial"/>
                <w:bCs/>
              </w:rPr>
              <w:t>)</w:t>
            </w:r>
          </w:p>
        </w:tc>
      </w:tr>
      <w:tr w:rsidR="001C3961" w:rsidRPr="006D67AC" w:rsidTr="00853C0F">
        <w:trPr>
          <w:trHeight w:val="145"/>
        </w:trPr>
        <w:tc>
          <w:tcPr>
            <w:tcW w:w="1021" w:type="pct"/>
            <w:shd w:val="clear" w:color="auto" w:fill="auto"/>
          </w:tcPr>
          <w:p w:rsidR="001C3961" w:rsidRPr="006D3F53" w:rsidRDefault="001C3961" w:rsidP="00853C0F">
            <w:pPr>
              <w:spacing w:line="240" w:lineRule="auto"/>
              <w:rPr>
                <w:color w:val="000000"/>
                <w:sz w:val="16"/>
                <w:szCs w:val="16"/>
                <w:highlight w:val="yellow"/>
              </w:rPr>
            </w:pPr>
          </w:p>
        </w:tc>
        <w:tc>
          <w:tcPr>
            <w:tcW w:w="145" w:type="pct"/>
          </w:tcPr>
          <w:p w:rsidR="001C3961" w:rsidRPr="00A74192" w:rsidRDefault="001C3961" w:rsidP="00853C0F">
            <w:pPr>
              <w:pStyle w:val="Textpoznpodarou"/>
              <w:jc w:val="both"/>
            </w:pPr>
          </w:p>
        </w:tc>
        <w:tc>
          <w:tcPr>
            <w:tcW w:w="3833" w:type="pct"/>
            <w:gridSpan w:val="2"/>
          </w:tcPr>
          <w:p w:rsidR="001C3961" w:rsidRDefault="009C6215" w:rsidP="00853C0F">
            <w:pPr>
              <w:pStyle w:val="Textpoznpodarou"/>
              <w:ind w:left="-124"/>
              <w:jc w:val="both"/>
              <w:rPr>
                <w:sz w:val="16"/>
                <w:szCs w:val="16"/>
              </w:rPr>
            </w:pPr>
            <w:r w:rsidRPr="009C6215">
              <w:rPr>
                <w:noProof/>
                <w:sz w:val="16"/>
                <w:szCs w:val="16"/>
              </w:rPr>
              <w:drawing>
                <wp:inline distT="0" distB="0" distL="0" distR="0">
                  <wp:extent cx="4757384" cy="3528000"/>
                  <wp:effectExtent l="0" t="0" r="5116" b="0"/>
                  <wp:docPr id="1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1C3961" w:rsidRPr="006D67AC" w:rsidRDefault="001C3961" w:rsidP="00853C0F">
            <w:pPr>
              <w:autoSpaceDE w:val="0"/>
              <w:autoSpaceDN w:val="0"/>
              <w:adjustRightInd w:val="0"/>
              <w:spacing w:line="240" w:lineRule="auto"/>
              <w:jc w:val="right"/>
              <w:rPr>
                <w:rFonts w:cs="Arial"/>
                <w:sz w:val="14"/>
                <w:szCs w:val="14"/>
              </w:rPr>
            </w:pPr>
            <w:r>
              <w:rPr>
                <w:sz w:val="14"/>
                <w:szCs w:val="14"/>
              </w:rPr>
              <w:t>Zdroj: MF</w:t>
            </w:r>
          </w:p>
        </w:tc>
      </w:tr>
    </w:tbl>
    <w:p w:rsidR="008A03DE" w:rsidRPr="00CE7158" w:rsidRDefault="008A03DE" w:rsidP="008A03DE">
      <w:pPr>
        <w:pStyle w:val="Textpoznpodarou"/>
        <w:jc w:val="both"/>
        <w:rPr>
          <w:rFonts w:cs="Arial"/>
          <w:color w:val="000000"/>
          <w:sz w:val="10"/>
          <w:szCs w:val="10"/>
        </w:rPr>
      </w:pPr>
    </w:p>
    <w:sectPr w:rsidR="008A03DE" w:rsidRPr="00CE7158" w:rsidSect="00E83DAB">
      <w:headerReference w:type="even" r:id="rId37"/>
      <w:headerReference w:type="default" r:id="rId38"/>
      <w:footerReference w:type="even" r:id="rId39"/>
      <w:footerReference w:type="default" r:id="rId40"/>
      <w:type w:val="continuous"/>
      <w:pgSz w:w="11906" w:h="16838" w:code="9"/>
      <w:pgMar w:top="1134" w:right="1134" w:bottom="1418"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7C6" w:rsidRDefault="009227C6" w:rsidP="00E71A58">
      <w:r>
        <w:separator/>
      </w:r>
    </w:p>
  </w:endnote>
  <w:endnote w:type="continuationSeparator" w:id="0">
    <w:p w:rsidR="009227C6" w:rsidRDefault="009227C6"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F6C" w:rsidRDefault="00F23F6C" w:rsidP="00357449">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6704" behindDoc="0" locked="0" layoutInCell="1" allowOverlap="1">
          <wp:simplePos x="0" y="0"/>
          <wp:positionH relativeFrom="column">
            <wp:posOffset>3810</wp:posOffset>
          </wp:positionH>
          <wp:positionV relativeFrom="paragraph">
            <wp:posOffset>90170</wp:posOffset>
          </wp:positionV>
          <wp:extent cx="495300" cy="266700"/>
          <wp:effectExtent l="19050" t="0" r="0" b="0"/>
          <wp:wrapNone/>
          <wp:docPr id="1" name="obrázek 142"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2" descr="Description: 3"/>
                  <pic:cNvPicPr>
                    <a:picLocks noChangeAspect="1" noChangeArrowheads="1"/>
                  </pic:cNvPicPr>
                </pic:nvPicPr>
                <pic:blipFill>
                  <a:blip r:embed="rId1"/>
                  <a:srcRect/>
                  <a:stretch>
                    <a:fillRect/>
                  </a:stretch>
                </pic:blipFill>
                <pic:spPr bwMode="auto">
                  <a:xfrm>
                    <a:off x="0" y="0"/>
                    <a:ext cx="495300" cy="266700"/>
                  </a:xfrm>
                  <a:prstGeom prst="rect">
                    <a:avLst/>
                  </a:prstGeom>
                  <a:noFill/>
                  <a:ln w="9525">
                    <a:noFill/>
                    <a:miter lim="800000"/>
                    <a:headEnd/>
                    <a:tailEnd/>
                  </a:ln>
                </pic:spPr>
              </pic:pic>
            </a:graphicData>
          </a:graphic>
        </wp:anchor>
      </w:drawing>
    </w:r>
    <w:r>
      <w:tab/>
    </w:r>
    <w:r>
      <w:tab/>
    </w:r>
    <w:r w:rsidRPr="00DC5B3B">
      <w:t xml:space="preserve">                              </w:t>
    </w:r>
  </w:p>
  <w:p w:rsidR="00F23F6C" w:rsidRPr="00223E00" w:rsidRDefault="00EA1CFB"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2017</w:t>
    </w:r>
    <w:r w:rsidR="00F23F6C">
      <w:rPr>
        <w:rFonts w:ascii="Arial" w:hAnsi="Arial" w:cs="Arial"/>
        <w:sz w:val="16"/>
        <w:szCs w:val="16"/>
      </w:rPr>
      <w:tab/>
    </w:r>
    <w:r w:rsidR="00880F23" w:rsidRPr="00223E00">
      <w:rPr>
        <w:rFonts w:ascii="Arial" w:hAnsi="Arial" w:cs="Arial"/>
        <w:sz w:val="16"/>
        <w:szCs w:val="16"/>
      </w:rPr>
      <w:fldChar w:fldCharType="begin"/>
    </w:r>
    <w:r w:rsidR="00F23F6C" w:rsidRPr="00223E00">
      <w:rPr>
        <w:rFonts w:ascii="Arial" w:hAnsi="Arial" w:cs="Arial"/>
        <w:sz w:val="16"/>
        <w:szCs w:val="16"/>
      </w:rPr>
      <w:instrText xml:space="preserve"> PAGE   \* MERGEFORMAT </w:instrText>
    </w:r>
    <w:r w:rsidR="00880F23" w:rsidRPr="00223E00">
      <w:rPr>
        <w:rFonts w:ascii="Arial" w:hAnsi="Arial" w:cs="Arial"/>
        <w:sz w:val="16"/>
        <w:szCs w:val="16"/>
      </w:rPr>
      <w:fldChar w:fldCharType="separate"/>
    </w:r>
    <w:r w:rsidR="00DD0726">
      <w:rPr>
        <w:rFonts w:ascii="Arial" w:hAnsi="Arial" w:cs="Arial"/>
        <w:noProof/>
        <w:sz w:val="16"/>
        <w:szCs w:val="16"/>
      </w:rPr>
      <w:t>3</w:t>
    </w:r>
    <w:r w:rsidR="00880F23" w:rsidRPr="00223E00">
      <w:rP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F6C" w:rsidRDefault="00F23F6C" w:rsidP="00357449">
    <w:pPr>
      <w:pStyle w:val="Zpat"/>
      <w:tabs>
        <w:tab w:val="clear" w:pos="4536"/>
        <w:tab w:val="clear" w:pos="9072"/>
        <w:tab w:val="center" w:pos="4820"/>
        <w:tab w:val="right" w:pos="9639"/>
      </w:tabs>
    </w:pPr>
    <w:r>
      <w:rPr>
        <w:noProof/>
        <w:lang w:eastAsia="cs-CZ"/>
      </w:rPr>
      <w:drawing>
        <wp:anchor distT="0" distB="0" distL="114300" distR="114300" simplePos="0" relativeHeight="251657728" behindDoc="0" locked="0" layoutInCell="1" allowOverlap="1">
          <wp:simplePos x="0" y="0"/>
          <wp:positionH relativeFrom="column">
            <wp:posOffset>5660390</wp:posOffset>
          </wp:positionH>
          <wp:positionV relativeFrom="paragraph">
            <wp:posOffset>-52070</wp:posOffset>
          </wp:positionV>
          <wp:extent cx="466725" cy="219075"/>
          <wp:effectExtent l="19050" t="0" r="9525" b="0"/>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srcRect/>
                  <a:stretch>
                    <a:fillRect/>
                  </a:stretch>
                </pic:blipFill>
                <pic:spPr bwMode="auto">
                  <a:xfrm>
                    <a:off x="0" y="0"/>
                    <a:ext cx="466725" cy="219075"/>
                  </a:xfrm>
                  <a:prstGeom prst="rect">
                    <a:avLst/>
                  </a:prstGeom>
                  <a:noFill/>
                  <a:ln w="9525">
                    <a:noFill/>
                    <a:miter lim="800000"/>
                    <a:headEnd/>
                    <a:tailEnd/>
                  </a:ln>
                </pic:spPr>
              </pic:pic>
            </a:graphicData>
          </a:graphic>
        </wp:anchor>
      </w:drawing>
    </w:r>
    <w:r w:rsidR="00880F23" w:rsidRPr="005A21E0">
      <w:rPr>
        <w:rFonts w:ascii="Arial" w:hAnsi="Arial" w:cs="Arial"/>
        <w:sz w:val="16"/>
        <w:szCs w:val="16"/>
      </w:rPr>
      <w:fldChar w:fldCharType="begin"/>
    </w:r>
    <w:r w:rsidRPr="005A21E0">
      <w:rPr>
        <w:rFonts w:ascii="Arial" w:hAnsi="Arial" w:cs="Arial"/>
        <w:sz w:val="16"/>
        <w:szCs w:val="16"/>
      </w:rPr>
      <w:instrText>PAGE   \* MERGEFORMAT</w:instrText>
    </w:r>
    <w:r w:rsidR="00880F23" w:rsidRPr="005A21E0">
      <w:rPr>
        <w:rFonts w:ascii="Arial" w:hAnsi="Arial" w:cs="Arial"/>
        <w:sz w:val="16"/>
        <w:szCs w:val="16"/>
      </w:rPr>
      <w:fldChar w:fldCharType="separate"/>
    </w:r>
    <w:r w:rsidR="00DD0726">
      <w:rPr>
        <w:rFonts w:ascii="Arial" w:hAnsi="Arial" w:cs="Arial"/>
        <w:noProof/>
        <w:sz w:val="16"/>
        <w:szCs w:val="16"/>
      </w:rPr>
      <w:t>4</w:t>
    </w:r>
    <w:r w:rsidR="00880F23" w:rsidRPr="005A21E0">
      <w:rPr>
        <w:rFonts w:ascii="Arial" w:hAnsi="Arial" w:cs="Arial"/>
        <w:sz w:val="16"/>
        <w:szCs w:val="16"/>
      </w:rPr>
      <w:fldChar w:fldCharType="end"/>
    </w:r>
    <w:r>
      <w:rPr>
        <w:rFonts w:ascii="Arial" w:hAnsi="Arial" w:cs="Arial"/>
        <w:sz w:val="16"/>
        <w:szCs w:val="16"/>
      </w:rPr>
      <w:tab/>
      <w:t>2017</w:t>
    </w: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F6C" w:rsidRDefault="00F23F6C" w:rsidP="00357449">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8752" behindDoc="0" locked="0" layoutInCell="1" allowOverlap="1">
          <wp:simplePos x="0" y="0"/>
          <wp:positionH relativeFrom="column">
            <wp:posOffset>3810</wp:posOffset>
          </wp:positionH>
          <wp:positionV relativeFrom="paragraph">
            <wp:posOffset>90170</wp:posOffset>
          </wp:positionV>
          <wp:extent cx="495300" cy="266700"/>
          <wp:effectExtent l="19050" t="0" r="0" b="0"/>
          <wp:wrapNone/>
          <wp:docPr id="3"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srcRect/>
                  <a:stretch>
                    <a:fillRect/>
                  </a:stretch>
                </pic:blipFill>
                <pic:spPr bwMode="auto">
                  <a:xfrm>
                    <a:off x="0" y="0"/>
                    <a:ext cx="495300" cy="266700"/>
                  </a:xfrm>
                  <a:prstGeom prst="rect">
                    <a:avLst/>
                  </a:prstGeom>
                  <a:noFill/>
                  <a:ln w="9525">
                    <a:noFill/>
                    <a:miter lim="800000"/>
                    <a:headEnd/>
                    <a:tailEnd/>
                  </a:ln>
                </pic:spPr>
              </pic:pic>
            </a:graphicData>
          </a:graphic>
        </wp:anchor>
      </w:drawing>
    </w:r>
    <w:r>
      <w:tab/>
    </w:r>
    <w:r>
      <w:tab/>
    </w:r>
    <w:r w:rsidRPr="00DC5B3B">
      <w:t xml:space="preserve">                              </w:t>
    </w:r>
  </w:p>
  <w:p w:rsidR="00F23F6C" w:rsidRPr="00223E00" w:rsidRDefault="00F23F6C"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2017</w:t>
    </w:r>
    <w:r>
      <w:rPr>
        <w:rFonts w:ascii="Arial" w:hAnsi="Arial" w:cs="Arial"/>
        <w:sz w:val="16"/>
        <w:szCs w:val="16"/>
      </w:rPr>
      <w:tab/>
    </w:r>
    <w:r w:rsidR="00880F23"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880F23" w:rsidRPr="00223E00">
      <w:rPr>
        <w:rFonts w:ascii="Arial" w:hAnsi="Arial" w:cs="Arial"/>
        <w:sz w:val="16"/>
        <w:szCs w:val="16"/>
      </w:rPr>
      <w:fldChar w:fldCharType="separate"/>
    </w:r>
    <w:r w:rsidR="00DD0726">
      <w:rPr>
        <w:rFonts w:ascii="Arial" w:hAnsi="Arial" w:cs="Arial"/>
        <w:noProof/>
        <w:sz w:val="16"/>
        <w:szCs w:val="16"/>
      </w:rPr>
      <w:t>5</w:t>
    </w:r>
    <w:r w:rsidR="00880F23"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7C6" w:rsidRDefault="009227C6" w:rsidP="00E71A58">
      <w:r>
        <w:separator/>
      </w:r>
    </w:p>
  </w:footnote>
  <w:footnote w:type="continuationSeparator" w:id="0">
    <w:p w:rsidR="009227C6" w:rsidRDefault="009227C6" w:rsidP="00E71A58">
      <w:r>
        <w:continuationSeparator/>
      </w:r>
    </w:p>
  </w:footnote>
  <w:footnote w:id="1">
    <w:p w:rsidR="00F23F6C" w:rsidRPr="0021507A" w:rsidRDefault="00F23F6C" w:rsidP="0021507A">
      <w:pPr>
        <w:pStyle w:val="Textpoznpodarou"/>
        <w:rPr>
          <w:sz w:val="16"/>
          <w:szCs w:val="16"/>
        </w:rPr>
      </w:pPr>
      <w:r w:rsidRPr="0021507A">
        <w:rPr>
          <w:rStyle w:val="Znakapoznpodarou"/>
          <w:sz w:val="16"/>
          <w:szCs w:val="16"/>
        </w:rPr>
        <w:footnoteRef/>
      </w:r>
      <w:r w:rsidRPr="0021507A">
        <w:rPr>
          <w:sz w:val="16"/>
          <w:szCs w:val="16"/>
        </w:rPr>
        <w:t xml:space="preserve"> Data o HDP, hrubé přidané hodnotě a jejich složkách jsou vyjádřena ve stálých cenách a v očištění o sezónní a kalendářní vlivy.</w:t>
      </w:r>
    </w:p>
  </w:footnote>
  <w:footnote w:id="2">
    <w:p w:rsidR="00F23F6C" w:rsidRPr="0021507A" w:rsidRDefault="00F23F6C" w:rsidP="00540D25">
      <w:pPr>
        <w:pStyle w:val="Textpoznpodarou"/>
        <w:rPr>
          <w:sz w:val="16"/>
          <w:szCs w:val="16"/>
        </w:rPr>
      </w:pPr>
      <w:r w:rsidRPr="0021507A">
        <w:rPr>
          <w:rStyle w:val="Znakapoznpodarou"/>
          <w:sz w:val="16"/>
          <w:szCs w:val="16"/>
        </w:rPr>
        <w:footnoteRef/>
      </w:r>
      <w:r w:rsidRPr="0021507A">
        <w:rPr>
          <w:sz w:val="16"/>
          <w:szCs w:val="16"/>
        </w:rPr>
        <w:t xml:space="preserve"> Sezónně očištěné údaje v pojetí národních účtů.</w:t>
      </w:r>
    </w:p>
  </w:footnote>
  <w:footnote w:id="3">
    <w:p w:rsidR="00DD0726" w:rsidRPr="00EF1EE3" w:rsidRDefault="00DD0726" w:rsidP="00DD0726">
      <w:pPr>
        <w:pStyle w:val="Textpoznpodarou"/>
        <w:rPr>
          <w:sz w:val="16"/>
          <w:szCs w:val="16"/>
        </w:rPr>
      </w:pPr>
      <w:r w:rsidRPr="00EF1EE3">
        <w:rPr>
          <w:rStyle w:val="Znakapoznpodarou"/>
          <w:sz w:val="16"/>
          <w:szCs w:val="16"/>
        </w:rPr>
        <w:footnoteRef/>
      </w:r>
      <w:r w:rsidRPr="00EF1EE3">
        <w:rPr>
          <w:sz w:val="16"/>
          <w:szCs w:val="16"/>
        </w:rPr>
        <w:t xml:space="preserve"> </w:t>
      </w:r>
      <w:r>
        <w:rPr>
          <w:sz w:val="16"/>
          <w:szCs w:val="16"/>
        </w:rPr>
        <w:t>Vývoj</w:t>
      </w:r>
      <w:r w:rsidRPr="00EF1EE3">
        <w:rPr>
          <w:sz w:val="16"/>
          <w:szCs w:val="16"/>
        </w:rPr>
        <w:t xml:space="preserve"> HDP, hrubé přidané hodnot</w:t>
      </w:r>
      <w:r>
        <w:rPr>
          <w:sz w:val="16"/>
          <w:szCs w:val="16"/>
        </w:rPr>
        <w:t>y</w:t>
      </w:r>
      <w:r w:rsidRPr="00EF1EE3">
        <w:rPr>
          <w:sz w:val="16"/>
          <w:szCs w:val="16"/>
        </w:rPr>
        <w:t xml:space="preserve"> a jejich slož</w:t>
      </w:r>
      <w:r>
        <w:rPr>
          <w:sz w:val="16"/>
          <w:szCs w:val="16"/>
        </w:rPr>
        <w:t>e</w:t>
      </w:r>
      <w:r w:rsidRPr="00EF1EE3">
        <w:rPr>
          <w:sz w:val="16"/>
          <w:szCs w:val="16"/>
        </w:rPr>
        <w:t xml:space="preserve">k </w:t>
      </w:r>
      <w:r>
        <w:rPr>
          <w:sz w:val="16"/>
          <w:szCs w:val="16"/>
        </w:rPr>
        <w:t xml:space="preserve">je </w:t>
      </w:r>
      <w:r w:rsidRPr="00EF1EE3">
        <w:rPr>
          <w:sz w:val="16"/>
          <w:szCs w:val="16"/>
        </w:rPr>
        <w:t>vyjádřen</w:t>
      </w:r>
      <w:r>
        <w:rPr>
          <w:sz w:val="16"/>
          <w:szCs w:val="16"/>
        </w:rPr>
        <w:t xml:space="preserve"> prostřednictvím objemových indexů (tj. očištěn o změny cen)</w:t>
      </w:r>
      <w:r w:rsidRPr="00EF1EE3">
        <w:rPr>
          <w:sz w:val="16"/>
          <w:szCs w:val="16"/>
        </w:rPr>
        <w:t xml:space="preserve"> a v očištění o sezónní a kalendářn</w:t>
      </w:r>
      <w:r>
        <w:rPr>
          <w:sz w:val="16"/>
          <w:szCs w:val="16"/>
        </w:rPr>
        <w:t>í vlivy. Údaje byly zveřejněny 1</w:t>
      </w:r>
      <w:r w:rsidRPr="00EF1EE3">
        <w:rPr>
          <w:sz w:val="16"/>
          <w:szCs w:val="16"/>
        </w:rPr>
        <w:t>.</w:t>
      </w:r>
      <w:r>
        <w:rPr>
          <w:sz w:val="16"/>
          <w:szCs w:val="16"/>
        </w:rPr>
        <w:t xml:space="preserve"> 9</w:t>
      </w:r>
      <w:r w:rsidRPr="00EF1EE3">
        <w:rPr>
          <w:sz w:val="16"/>
          <w:szCs w:val="16"/>
        </w:rPr>
        <w:t>. 201</w:t>
      </w:r>
      <w:r>
        <w:rPr>
          <w:sz w:val="16"/>
          <w:szCs w:val="16"/>
        </w:rPr>
        <w:t>7</w:t>
      </w:r>
      <w:r w:rsidRPr="00EF1EE3">
        <w:rPr>
          <w:sz w:val="16"/>
          <w:szCs w:val="16"/>
        </w:rPr>
        <w:t xml:space="preserve"> a z</w:t>
      </w:r>
      <w:r>
        <w:rPr>
          <w:sz w:val="16"/>
          <w:szCs w:val="16"/>
        </w:rPr>
        <w:t xml:space="preserve">revidované údaje </w:t>
      </w:r>
      <w:r w:rsidRPr="00EF1EE3">
        <w:rPr>
          <w:sz w:val="16"/>
          <w:szCs w:val="16"/>
        </w:rPr>
        <w:t>bud</w:t>
      </w:r>
      <w:r>
        <w:rPr>
          <w:sz w:val="16"/>
          <w:szCs w:val="16"/>
        </w:rPr>
        <w:t>ou</w:t>
      </w:r>
      <w:r w:rsidRPr="00EF1EE3">
        <w:rPr>
          <w:sz w:val="16"/>
          <w:szCs w:val="16"/>
        </w:rPr>
        <w:t xml:space="preserve"> publikován</w:t>
      </w:r>
      <w:r>
        <w:rPr>
          <w:sz w:val="16"/>
          <w:szCs w:val="16"/>
        </w:rPr>
        <w:t>y</w:t>
      </w:r>
      <w:r w:rsidRPr="00EF1EE3">
        <w:rPr>
          <w:sz w:val="16"/>
          <w:szCs w:val="16"/>
        </w:rPr>
        <w:t xml:space="preserve"> </w:t>
      </w:r>
      <w:r>
        <w:rPr>
          <w:sz w:val="16"/>
          <w:szCs w:val="16"/>
        </w:rPr>
        <w:t>3</w:t>
      </w:r>
      <w:r w:rsidRPr="00EF1EE3">
        <w:rPr>
          <w:sz w:val="16"/>
          <w:szCs w:val="16"/>
        </w:rPr>
        <w:t xml:space="preserve">. </w:t>
      </w:r>
      <w:r>
        <w:rPr>
          <w:sz w:val="16"/>
          <w:szCs w:val="16"/>
        </w:rPr>
        <w:t>10</w:t>
      </w:r>
      <w:r w:rsidRPr="00EF1EE3">
        <w:rPr>
          <w:sz w:val="16"/>
          <w:szCs w:val="16"/>
        </w:rPr>
        <w:t>. 2017.</w:t>
      </w:r>
    </w:p>
  </w:footnote>
  <w:footnote w:id="4">
    <w:p w:rsidR="00DD0726" w:rsidRPr="00BB319F" w:rsidRDefault="00DD0726" w:rsidP="00DD0726">
      <w:pPr>
        <w:pStyle w:val="Textpoznpodarou"/>
        <w:rPr>
          <w:sz w:val="16"/>
          <w:szCs w:val="16"/>
        </w:rPr>
      </w:pPr>
      <w:r w:rsidRPr="00AF6B7C">
        <w:rPr>
          <w:rStyle w:val="Znakapoznpodarou"/>
          <w:sz w:val="16"/>
          <w:szCs w:val="16"/>
        </w:rPr>
        <w:footnoteRef/>
      </w:r>
      <w:r w:rsidRPr="00AF6B7C">
        <w:rPr>
          <w:sz w:val="16"/>
          <w:szCs w:val="16"/>
        </w:rPr>
        <w:t xml:space="preserve"> </w:t>
      </w:r>
      <w:r w:rsidRPr="00BB319F">
        <w:rPr>
          <w:sz w:val="16"/>
          <w:szCs w:val="16"/>
        </w:rPr>
        <w:t>Nedostupná data za Irsko</w:t>
      </w:r>
      <w:r>
        <w:rPr>
          <w:sz w:val="16"/>
          <w:szCs w:val="16"/>
        </w:rPr>
        <w:t xml:space="preserve"> </w:t>
      </w:r>
      <w:r w:rsidRPr="00BB319F">
        <w:rPr>
          <w:sz w:val="16"/>
          <w:szCs w:val="16"/>
        </w:rPr>
        <w:t>a Lucembursko.</w:t>
      </w:r>
    </w:p>
  </w:footnote>
  <w:footnote w:id="5">
    <w:p w:rsidR="00DD0726" w:rsidRDefault="00DD0726" w:rsidP="00DD0726">
      <w:pPr>
        <w:pStyle w:val="Textpoznpodarou"/>
      </w:pPr>
      <w:r w:rsidRPr="00CE59DB">
        <w:rPr>
          <w:rStyle w:val="Znakapoznpodarou"/>
          <w:sz w:val="16"/>
          <w:szCs w:val="16"/>
        </w:rPr>
        <w:footnoteRef/>
      </w:r>
      <w:r w:rsidRPr="00CE59DB">
        <w:rPr>
          <w:sz w:val="16"/>
          <w:szCs w:val="16"/>
        </w:rPr>
        <w:t xml:space="preserve"> Slovenská data nejsou očištěna o kalendářní vlivy. Slovensko podobně jako Česko mělo o čtyři pracovní dny méně než v minulém roce, což se může poměrně výrazně projevit na výši meziročního tempa růstu.</w:t>
      </w:r>
      <w:r>
        <w:t xml:space="preserve">  </w:t>
      </w:r>
    </w:p>
  </w:footnote>
  <w:footnote w:id="6">
    <w:p w:rsidR="00DD0726" w:rsidRPr="009C6EA8" w:rsidRDefault="00DD0726" w:rsidP="00DD0726">
      <w:pPr>
        <w:pStyle w:val="Textpoznpodarou"/>
        <w:rPr>
          <w:sz w:val="16"/>
          <w:szCs w:val="16"/>
        </w:rPr>
      </w:pPr>
      <w:r w:rsidRPr="009C6EA8">
        <w:rPr>
          <w:rStyle w:val="Znakapoznpodarou"/>
          <w:sz w:val="16"/>
          <w:szCs w:val="16"/>
        </w:rPr>
        <w:footnoteRef/>
      </w:r>
      <w:r w:rsidRPr="009C6EA8">
        <w:rPr>
          <w:sz w:val="16"/>
          <w:szCs w:val="16"/>
        </w:rPr>
        <w:t xml:space="preserve"> Příspěvky ke změně HDP po vyloučení dovozu pro konečné užití.</w:t>
      </w:r>
    </w:p>
  </w:footnote>
  <w:footnote w:id="7">
    <w:p w:rsidR="00DD0726" w:rsidRPr="009C6EA8" w:rsidRDefault="00DD0726" w:rsidP="00DD0726">
      <w:pPr>
        <w:pStyle w:val="Textpoznpodarou"/>
        <w:rPr>
          <w:sz w:val="16"/>
          <w:szCs w:val="16"/>
        </w:rPr>
      </w:pPr>
      <w:r w:rsidRPr="009C6EA8">
        <w:rPr>
          <w:rStyle w:val="Znakapoznpodarou"/>
          <w:sz w:val="16"/>
          <w:szCs w:val="16"/>
        </w:rPr>
        <w:footnoteRef/>
      </w:r>
      <w:r w:rsidRPr="009C6EA8">
        <w:rPr>
          <w:sz w:val="16"/>
          <w:szCs w:val="16"/>
        </w:rPr>
        <w:t xml:space="preserve"> Do reálného vyjádření převedeno s využitím deflátoru výdajů na konečnou spotřebu domácností.</w:t>
      </w:r>
    </w:p>
  </w:footnote>
  <w:footnote w:id="8">
    <w:p w:rsidR="00DD0726" w:rsidRDefault="00DD0726" w:rsidP="00DD0726">
      <w:pPr>
        <w:pStyle w:val="Textpoznpodarou"/>
      </w:pPr>
      <w:r w:rsidRPr="009C6EA8">
        <w:rPr>
          <w:rStyle w:val="Znakapoznpodarou"/>
          <w:sz w:val="16"/>
          <w:szCs w:val="16"/>
        </w:rPr>
        <w:footnoteRef/>
      </w:r>
      <w:r w:rsidRPr="009C6EA8">
        <w:rPr>
          <w:sz w:val="16"/>
          <w:szCs w:val="16"/>
        </w:rPr>
        <w:t xml:space="preserve"> V pojetí národních účtů, sezónně očištěno</w:t>
      </w:r>
      <w:r w:rsidRPr="00004BA8">
        <w:rPr>
          <w:sz w:val="16"/>
        </w:rPr>
        <w:t>.</w:t>
      </w:r>
    </w:p>
  </w:footnote>
  <w:footnote w:id="9">
    <w:p w:rsidR="00DD0726" w:rsidRPr="0021552C" w:rsidRDefault="00DD0726" w:rsidP="00DD0726">
      <w:pPr>
        <w:pStyle w:val="Textpoznpodarou"/>
        <w:rPr>
          <w:sz w:val="16"/>
          <w:szCs w:val="16"/>
        </w:rPr>
      </w:pPr>
      <w:r w:rsidRPr="0021552C">
        <w:rPr>
          <w:rStyle w:val="Znakapoznpodarou"/>
          <w:sz w:val="16"/>
          <w:szCs w:val="16"/>
        </w:rPr>
        <w:footnoteRef/>
      </w:r>
      <w:r w:rsidRPr="0021552C">
        <w:rPr>
          <w:sz w:val="16"/>
          <w:szCs w:val="16"/>
        </w:rPr>
        <w:t xml:space="preserve"> </w:t>
      </w:r>
      <w:r>
        <w:rPr>
          <w:rFonts w:cs="Arial"/>
          <w:sz w:val="16"/>
          <w:szCs w:val="16"/>
        </w:rPr>
        <w:t>D</w:t>
      </w:r>
      <w:r w:rsidRPr="0021552C">
        <w:rPr>
          <w:rFonts w:cs="Arial"/>
          <w:sz w:val="16"/>
          <w:szCs w:val="16"/>
        </w:rPr>
        <w:t xml:space="preserve">ata o věcném členění tvorby </w:t>
      </w:r>
      <w:r>
        <w:rPr>
          <w:rFonts w:cs="Arial"/>
          <w:sz w:val="16"/>
          <w:szCs w:val="16"/>
        </w:rPr>
        <w:t>hrubého fixního kapitálu</w:t>
      </w:r>
      <w:r w:rsidRPr="0021552C">
        <w:rPr>
          <w:rFonts w:cs="Arial"/>
          <w:sz w:val="16"/>
          <w:szCs w:val="16"/>
        </w:rPr>
        <w:t xml:space="preserve"> nejsou sezónně očištěna</w:t>
      </w:r>
      <w:r>
        <w:rPr>
          <w:rFonts w:cs="Arial"/>
          <w:sz w:val="16"/>
          <w:szCs w:val="16"/>
        </w:rPr>
        <w:t>.</w:t>
      </w:r>
    </w:p>
  </w:footnote>
  <w:footnote w:id="10">
    <w:p w:rsidR="00DD0726" w:rsidRPr="00167B30" w:rsidRDefault="00DD0726" w:rsidP="00DD0726">
      <w:pPr>
        <w:pStyle w:val="Textpoznpodarou"/>
        <w:rPr>
          <w:sz w:val="16"/>
          <w:szCs w:val="16"/>
        </w:rPr>
      </w:pPr>
      <w:r w:rsidRPr="00167B30">
        <w:rPr>
          <w:rStyle w:val="Znakapoznpodarou"/>
          <w:sz w:val="16"/>
          <w:szCs w:val="16"/>
        </w:rPr>
        <w:footnoteRef/>
      </w:r>
      <w:r w:rsidRPr="00167B30">
        <w:rPr>
          <w:sz w:val="16"/>
          <w:szCs w:val="16"/>
        </w:rPr>
        <w:t xml:space="preserve"> Podle metodiky čtvrtletních národních účtů (vývoz a dovoz v ocenění FOB/FOB)</w:t>
      </w:r>
      <w:r>
        <w:rPr>
          <w:sz w:val="16"/>
          <w:szCs w:val="16"/>
        </w:rPr>
        <w:t>.</w:t>
      </w:r>
    </w:p>
  </w:footnote>
  <w:footnote w:id="11">
    <w:p w:rsidR="00DD0726" w:rsidRPr="00494933" w:rsidRDefault="00DD0726" w:rsidP="00DD0726">
      <w:pPr>
        <w:pStyle w:val="Textpoznpodarou"/>
        <w:rPr>
          <w:sz w:val="16"/>
          <w:szCs w:val="16"/>
        </w:rPr>
      </w:pPr>
      <w:r w:rsidRPr="00494933">
        <w:rPr>
          <w:rStyle w:val="Znakapoznpodarou"/>
          <w:sz w:val="16"/>
          <w:szCs w:val="16"/>
        </w:rPr>
        <w:footnoteRef/>
      </w:r>
      <w:r w:rsidRPr="00494933">
        <w:rPr>
          <w:sz w:val="16"/>
          <w:szCs w:val="16"/>
        </w:rPr>
        <w:t xml:space="preserve"> Podle deflátoru.</w:t>
      </w:r>
    </w:p>
  </w:footnote>
  <w:footnote w:id="12">
    <w:p w:rsidR="00F23F6C" w:rsidRPr="00670182" w:rsidRDefault="00F23F6C" w:rsidP="00654093">
      <w:pPr>
        <w:pStyle w:val="Textpoznpodarou"/>
        <w:jc w:val="both"/>
        <w:rPr>
          <w:color w:val="0D0D0D" w:themeColor="text1" w:themeTint="F2"/>
          <w:spacing w:val="-2"/>
          <w:sz w:val="16"/>
          <w:szCs w:val="16"/>
        </w:rPr>
      </w:pPr>
      <w:r w:rsidRPr="00670182">
        <w:rPr>
          <w:rStyle w:val="Znakapoznpodarou"/>
          <w:color w:val="0D0D0D" w:themeColor="text1" w:themeTint="F2"/>
          <w:spacing w:val="-2"/>
          <w:sz w:val="16"/>
          <w:szCs w:val="16"/>
        </w:rPr>
        <w:footnoteRef/>
      </w:r>
      <w:r w:rsidRPr="00670182">
        <w:rPr>
          <w:color w:val="0D0D0D" w:themeColor="text1" w:themeTint="F2"/>
          <w:spacing w:val="-2"/>
          <w:sz w:val="16"/>
          <w:szCs w:val="16"/>
        </w:rPr>
        <w:t xml:space="preserve"> Údaje o HPH jsou vyjádřeny ve stálých cenách a v očištění o sezónní a kalendářní vlivy.</w:t>
      </w:r>
    </w:p>
  </w:footnote>
  <w:footnote w:id="13">
    <w:p w:rsidR="00F23F6C" w:rsidRPr="00670182" w:rsidRDefault="00F23F6C" w:rsidP="00654093">
      <w:pPr>
        <w:pStyle w:val="Textpoznpodarou"/>
        <w:jc w:val="both"/>
        <w:rPr>
          <w:color w:val="0D0D0D" w:themeColor="text1" w:themeTint="F2"/>
          <w:spacing w:val="-2"/>
          <w:sz w:val="16"/>
          <w:szCs w:val="16"/>
        </w:rPr>
      </w:pPr>
      <w:r w:rsidRPr="00670182">
        <w:rPr>
          <w:rStyle w:val="Znakapoznpodarou"/>
          <w:color w:val="0D0D0D" w:themeColor="text1" w:themeTint="F2"/>
          <w:spacing w:val="-2"/>
          <w:sz w:val="16"/>
          <w:szCs w:val="16"/>
        </w:rPr>
        <w:footnoteRef/>
      </w:r>
      <w:r w:rsidRPr="00670182">
        <w:rPr>
          <w:color w:val="0D0D0D" w:themeColor="text1" w:themeTint="F2"/>
          <w:spacing w:val="-2"/>
          <w:sz w:val="16"/>
          <w:szCs w:val="16"/>
        </w:rPr>
        <w:t xml:space="preserve"> Zahrnutá odvětví: Těžba a dobývání, Zpracovatelský průmysl, Energetika. Všechna meziroční tempa produkce (na úrovni odvětvových sekcí i oddílů) jsou očištěna o kalendářní vlivy.</w:t>
      </w:r>
    </w:p>
  </w:footnote>
  <w:footnote w:id="14">
    <w:p w:rsidR="00F23F6C" w:rsidRPr="00342F9F" w:rsidRDefault="00F23F6C" w:rsidP="00654093">
      <w:pPr>
        <w:pStyle w:val="Textpoznpodarou"/>
        <w:jc w:val="both"/>
        <w:rPr>
          <w:sz w:val="16"/>
          <w:szCs w:val="16"/>
        </w:rPr>
      </w:pPr>
      <w:r w:rsidRPr="00670182">
        <w:rPr>
          <w:rStyle w:val="Znakapoznpodarou"/>
          <w:spacing w:val="-2"/>
          <w:sz w:val="16"/>
          <w:szCs w:val="16"/>
        </w:rPr>
        <w:footnoteRef/>
      </w:r>
      <w:r w:rsidRPr="00670182">
        <w:rPr>
          <w:spacing w:val="-2"/>
          <w:sz w:val="16"/>
          <w:szCs w:val="16"/>
        </w:rPr>
        <w:t xml:space="preserve"> V obou letošních čtvrtletích se do výkonu průmyslu výrazně promítaly kalendářní vlivy. V 1. čtvrtletí bylo meziročně o tři pracovní dny více, ve 2. čtvrtletí naopak o čtyři dny méně. Bez očištění o tyto vlivy činil na počátku roku 2017 růst průmyslu 7,5 %, v následujícím čtvrtletí jen 3,2 %. Rozdíl mezi očištěnou a neočištěnou produkcí byl ve 2. čtvrtletí (3,6 </w:t>
      </w:r>
      <w:proofErr w:type="spellStart"/>
      <w:proofErr w:type="gramStart"/>
      <w:r w:rsidRPr="00670182">
        <w:rPr>
          <w:spacing w:val="-2"/>
          <w:sz w:val="16"/>
          <w:szCs w:val="16"/>
        </w:rPr>
        <w:t>p.b</w:t>
      </w:r>
      <w:proofErr w:type="spellEnd"/>
      <w:r w:rsidRPr="00670182">
        <w:rPr>
          <w:spacing w:val="-2"/>
          <w:sz w:val="16"/>
          <w:szCs w:val="16"/>
        </w:rPr>
        <w:t>.) nejv</w:t>
      </w:r>
      <w:r>
        <w:rPr>
          <w:spacing w:val="-2"/>
          <w:sz w:val="16"/>
          <w:szCs w:val="16"/>
        </w:rPr>
        <w:t>yšší</w:t>
      </w:r>
      <w:proofErr w:type="gramEnd"/>
      <w:r>
        <w:rPr>
          <w:spacing w:val="-2"/>
          <w:sz w:val="16"/>
          <w:szCs w:val="16"/>
        </w:rPr>
        <w:t xml:space="preserve"> v historii sledování (od ro</w:t>
      </w:r>
      <w:r w:rsidRPr="00670182">
        <w:rPr>
          <w:spacing w:val="-2"/>
          <w:sz w:val="16"/>
          <w:szCs w:val="16"/>
        </w:rPr>
        <w:t>ku 2001).</w:t>
      </w:r>
    </w:p>
  </w:footnote>
  <w:footnote w:id="15">
    <w:p w:rsidR="00F23F6C" w:rsidRPr="00EC671E" w:rsidRDefault="00F23F6C" w:rsidP="00654093">
      <w:pPr>
        <w:pStyle w:val="Textpoznpodarou"/>
        <w:jc w:val="both"/>
        <w:rPr>
          <w:color w:val="0D0D0D" w:themeColor="text1" w:themeTint="F2"/>
          <w:sz w:val="16"/>
          <w:szCs w:val="16"/>
        </w:rPr>
      </w:pPr>
      <w:r w:rsidRPr="00EC671E">
        <w:rPr>
          <w:rStyle w:val="Znakapoznpodarou"/>
          <w:color w:val="0D0D0D" w:themeColor="text1" w:themeTint="F2"/>
          <w:sz w:val="16"/>
          <w:szCs w:val="16"/>
        </w:rPr>
        <w:footnoteRef/>
      </w:r>
      <w:r w:rsidRPr="00EC671E">
        <w:rPr>
          <w:color w:val="0D0D0D" w:themeColor="text1" w:themeTint="F2"/>
          <w:sz w:val="16"/>
          <w:szCs w:val="16"/>
        </w:rPr>
        <w:t xml:space="preserve"> Podle údajů Sdružení automobilového průmyslu bylo v Česku</w:t>
      </w:r>
      <w:r>
        <w:rPr>
          <w:color w:val="0D0D0D" w:themeColor="text1" w:themeTint="F2"/>
          <w:sz w:val="16"/>
          <w:szCs w:val="16"/>
        </w:rPr>
        <w:t xml:space="preserve"> za prvních sedm měsíců roku 2017 vyrobeno 823</w:t>
      </w:r>
      <w:r w:rsidRPr="00EC671E">
        <w:rPr>
          <w:color w:val="0D0D0D" w:themeColor="text1" w:themeTint="F2"/>
          <w:sz w:val="16"/>
          <w:szCs w:val="16"/>
        </w:rPr>
        <w:t xml:space="preserve"> tis. oso</w:t>
      </w:r>
      <w:r>
        <w:rPr>
          <w:color w:val="0D0D0D" w:themeColor="text1" w:themeTint="F2"/>
          <w:sz w:val="16"/>
          <w:szCs w:val="16"/>
        </w:rPr>
        <w:t>bních automobilů, meziročně o 6,2 % více. Růst zaznamenala i většina</w:t>
      </w:r>
      <w:r w:rsidRPr="00EC671E">
        <w:rPr>
          <w:color w:val="0D0D0D" w:themeColor="text1" w:themeTint="F2"/>
          <w:sz w:val="16"/>
          <w:szCs w:val="16"/>
        </w:rPr>
        <w:t xml:space="preserve"> výrobců ostatních druhů motorových vozidel.</w:t>
      </w:r>
    </w:p>
  </w:footnote>
  <w:footnote w:id="16">
    <w:p w:rsidR="00F23F6C" w:rsidRPr="00EC671E" w:rsidRDefault="00F23F6C" w:rsidP="00654093">
      <w:pPr>
        <w:pStyle w:val="Textpoznpodarou"/>
        <w:jc w:val="both"/>
        <w:rPr>
          <w:rFonts w:cs="Arial"/>
          <w:color w:val="0D0D0D" w:themeColor="text1" w:themeTint="F2"/>
          <w:sz w:val="16"/>
          <w:szCs w:val="16"/>
        </w:rPr>
      </w:pPr>
      <w:r w:rsidRPr="00EC671E">
        <w:rPr>
          <w:rStyle w:val="Znakapoznpodarou"/>
          <w:rFonts w:cs="Arial"/>
          <w:color w:val="0D0D0D" w:themeColor="text1" w:themeTint="F2"/>
          <w:sz w:val="16"/>
          <w:szCs w:val="16"/>
        </w:rPr>
        <w:footnoteRef/>
      </w:r>
      <w:r w:rsidRPr="00EC671E">
        <w:rPr>
          <w:rFonts w:cs="Arial"/>
          <w:color w:val="0D0D0D" w:themeColor="text1" w:themeTint="F2"/>
          <w:sz w:val="16"/>
          <w:szCs w:val="16"/>
        </w:rPr>
        <w:t xml:space="preserve"> Průmyslové zakázky se sledují pouze ve vybraných oddílech CZ-NACE (13, 14, 17, 20 až 21, 24 až 30), které vyrábějí převážně na zakázku, s dlouhodobějším výrobním cyklem a s většími zásobami zakázek.</w:t>
      </w:r>
    </w:p>
  </w:footnote>
  <w:footnote w:id="17">
    <w:p w:rsidR="00F23F6C" w:rsidRPr="00D85B50" w:rsidRDefault="00F23F6C" w:rsidP="00654093">
      <w:pPr>
        <w:pStyle w:val="Textpoznpodarou"/>
        <w:jc w:val="both"/>
        <w:rPr>
          <w:spacing w:val="-4"/>
          <w:sz w:val="16"/>
          <w:szCs w:val="16"/>
        </w:rPr>
      </w:pPr>
      <w:r w:rsidRPr="00D85B50">
        <w:rPr>
          <w:rStyle w:val="Znakapoznpodarou"/>
          <w:color w:val="0D0D0D" w:themeColor="text1" w:themeTint="F2"/>
          <w:spacing w:val="-4"/>
          <w:sz w:val="16"/>
          <w:szCs w:val="16"/>
        </w:rPr>
        <w:footnoteRef/>
      </w:r>
      <w:r w:rsidRPr="00D85B50">
        <w:rPr>
          <w:color w:val="0D0D0D" w:themeColor="text1" w:themeTint="F2"/>
          <w:spacing w:val="-4"/>
          <w:sz w:val="16"/>
          <w:szCs w:val="16"/>
        </w:rPr>
        <w:t xml:space="preserve"> Meziroční údaje o stavební produkci jsou korigovány o kalendářní vlivy. Bez tohoto očištění by produkce ve 2. čtvrtletí 2017 rostla jen o 5,4 %.</w:t>
      </w:r>
    </w:p>
  </w:footnote>
  <w:footnote w:id="18">
    <w:p w:rsidR="00F23F6C" w:rsidRPr="00A41E54" w:rsidRDefault="00F23F6C" w:rsidP="00654093">
      <w:pPr>
        <w:pStyle w:val="Textpoznpodarou"/>
        <w:rPr>
          <w:sz w:val="16"/>
          <w:szCs w:val="16"/>
        </w:rPr>
      </w:pPr>
      <w:r w:rsidRPr="00A41E54">
        <w:rPr>
          <w:rStyle w:val="Znakapoznpodarou"/>
          <w:sz w:val="16"/>
          <w:szCs w:val="16"/>
        </w:rPr>
        <w:footnoteRef/>
      </w:r>
      <w:r w:rsidRPr="00A41E54">
        <w:rPr>
          <w:sz w:val="16"/>
          <w:szCs w:val="16"/>
        </w:rPr>
        <w:t xml:space="preserve"> Údaj zahrnuje pouze stavební podniky s 50 a více zaměstnanci.</w:t>
      </w:r>
    </w:p>
  </w:footnote>
  <w:footnote w:id="19">
    <w:p w:rsidR="00F23F6C" w:rsidRPr="004A26AF" w:rsidRDefault="00F23F6C" w:rsidP="00654093">
      <w:pPr>
        <w:pStyle w:val="Textpoznpodarou"/>
        <w:rPr>
          <w:color w:val="0D0D0D" w:themeColor="text1" w:themeTint="F2"/>
          <w:sz w:val="16"/>
          <w:szCs w:val="16"/>
        </w:rPr>
      </w:pPr>
      <w:r w:rsidRPr="004A26AF">
        <w:rPr>
          <w:rStyle w:val="Znakapoznpodarou"/>
          <w:color w:val="0D0D0D" w:themeColor="text1" w:themeTint="F2"/>
          <w:sz w:val="16"/>
          <w:szCs w:val="16"/>
        </w:rPr>
        <w:footnoteRef/>
      </w:r>
      <w:r w:rsidRPr="004A26AF">
        <w:rPr>
          <w:color w:val="0D0D0D" w:themeColor="text1" w:themeTint="F2"/>
          <w:sz w:val="16"/>
          <w:szCs w:val="16"/>
        </w:rPr>
        <w:t>Bez obchodu, peněžnictví, poji</w:t>
      </w:r>
      <w:r w:rsidR="004A26AF">
        <w:rPr>
          <w:color w:val="0D0D0D" w:themeColor="text1" w:themeTint="F2"/>
          <w:sz w:val="16"/>
          <w:szCs w:val="16"/>
        </w:rPr>
        <w:t>šťovnictví, vědy, výzkumu a veřejných</w:t>
      </w:r>
      <w:r w:rsidRPr="004A26AF">
        <w:rPr>
          <w:color w:val="0D0D0D" w:themeColor="text1" w:themeTint="F2"/>
          <w:sz w:val="16"/>
          <w:szCs w:val="16"/>
        </w:rPr>
        <w:t xml:space="preserve"> služeb. Všechny údaje za služby jsou očištěny o kalendářní vlivy ve stálých cenách.</w:t>
      </w:r>
    </w:p>
  </w:footnote>
  <w:footnote w:id="20">
    <w:p w:rsidR="00F23F6C" w:rsidRPr="00544A98" w:rsidRDefault="00F23F6C" w:rsidP="00654093">
      <w:pPr>
        <w:pStyle w:val="Textpoznpodarou"/>
        <w:rPr>
          <w:sz w:val="16"/>
          <w:szCs w:val="16"/>
        </w:rPr>
      </w:pPr>
      <w:r w:rsidRPr="00544A98">
        <w:rPr>
          <w:rStyle w:val="Znakapoznpodarou"/>
          <w:sz w:val="16"/>
          <w:szCs w:val="16"/>
        </w:rPr>
        <w:footnoteRef/>
      </w:r>
      <w:r w:rsidRPr="00544A98">
        <w:rPr>
          <w:sz w:val="16"/>
          <w:szCs w:val="16"/>
        </w:rPr>
        <w:t xml:space="preserve"> </w:t>
      </w:r>
      <w:r>
        <w:rPr>
          <w:sz w:val="16"/>
          <w:szCs w:val="16"/>
        </w:rPr>
        <w:t>Data nezahrnují motoristický segment</w:t>
      </w:r>
      <w:r w:rsidRPr="00544A98">
        <w:rPr>
          <w:sz w:val="16"/>
          <w:szCs w:val="16"/>
        </w:rPr>
        <w:t>. Údaje o maloobchodu jsou očištěny o kalendářní vlivy ve stálých cenách.</w:t>
      </w:r>
    </w:p>
  </w:footnote>
  <w:footnote w:id="21">
    <w:p w:rsidR="00DD0726" w:rsidRPr="003279A7" w:rsidRDefault="00DD0726" w:rsidP="00DD0726">
      <w:pPr>
        <w:pStyle w:val="Textpoznpodarou"/>
        <w:rPr>
          <w:sz w:val="16"/>
          <w:szCs w:val="16"/>
        </w:rPr>
      </w:pPr>
      <w:r w:rsidRPr="003279A7">
        <w:rPr>
          <w:rStyle w:val="Znakapoznpodarou"/>
          <w:sz w:val="16"/>
          <w:szCs w:val="16"/>
        </w:rPr>
        <w:footnoteRef/>
      </w:r>
      <w:r w:rsidRPr="003279A7">
        <w:rPr>
          <w:sz w:val="16"/>
          <w:szCs w:val="16"/>
        </w:rPr>
        <w:t xml:space="preserve"> Údaje </w:t>
      </w:r>
      <w:r>
        <w:rPr>
          <w:sz w:val="16"/>
          <w:szCs w:val="16"/>
        </w:rPr>
        <w:t xml:space="preserve">statistiky zahraničního obchodu </w:t>
      </w:r>
      <w:r w:rsidRPr="003279A7">
        <w:rPr>
          <w:sz w:val="16"/>
          <w:szCs w:val="16"/>
        </w:rPr>
        <w:t>v národním pojetí v nominálním vyjádření zahrnující pouze obchod se zbožím. Hodnota vývozu je zachycena v cenách FOB, tj. včetně nákladů souvisejících s dopravou na hranice ČR. Dovoz</w:t>
      </w:r>
      <w:r>
        <w:rPr>
          <w:sz w:val="16"/>
          <w:szCs w:val="16"/>
        </w:rPr>
        <w:t xml:space="preserve"> uvedený níže v této kapitole</w:t>
      </w:r>
      <w:r w:rsidRPr="003279A7">
        <w:rPr>
          <w:sz w:val="16"/>
          <w:szCs w:val="16"/>
        </w:rPr>
        <w:t xml:space="preserve"> je v cenách CIF, tj. včetně nákladů souvisejících s dopravou v zahraničí na hranice ČR. Data jsou platná k </w:t>
      </w:r>
      <w:r>
        <w:rPr>
          <w:sz w:val="16"/>
          <w:szCs w:val="16"/>
        </w:rPr>
        <w:t>6</w:t>
      </w:r>
      <w:r w:rsidRPr="003279A7">
        <w:rPr>
          <w:sz w:val="16"/>
          <w:szCs w:val="16"/>
        </w:rPr>
        <w:t>.</w:t>
      </w:r>
      <w:r>
        <w:rPr>
          <w:sz w:val="16"/>
          <w:szCs w:val="16"/>
        </w:rPr>
        <w:t xml:space="preserve"> 9</w:t>
      </w:r>
      <w:r w:rsidRPr="003279A7">
        <w:rPr>
          <w:sz w:val="16"/>
          <w:szCs w:val="16"/>
        </w:rPr>
        <w:t>.</w:t>
      </w:r>
      <w:r>
        <w:rPr>
          <w:sz w:val="16"/>
          <w:szCs w:val="16"/>
        </w:rPr>
        <w:t xml:space="preserve"> 2017.</w:t>
      </w:r>
      <w:r w:rsidRPr="003279A7">
        <w:rPr>
          <w:sz w:val="16"/>
          <w:szCs w:val="16"/>
        </w:rPr>
        <w:t xml:space="preserve">  </w:t>
      </w:r>
    </w:p>
  </w:footnote>
  <w:footnote w:id="22">
    <w:p w:rsidR="00F23F6C" w:rsidRPr="00B4223A" w:rsidRDefault="00F23F6C" w:rsidP="0036710C">
      <w:pPr>
        <w:pStyle w:val="Textpoznpodarou"/>
        <w:jc w:val="both"/>
        <w:rPr>
          <w:sz w:val="16"/>
          <w:szCs w:val="16"/>
        </w:rPr>
      </w:pPr>
      <w:r w:rsidRPr="00B4223A">
        <w:rPr>
          <w:rStyle w:val="Znakapoznpodarou"/>
          <w:sz w:val="16"/>
          <w:szCs w:val="16"/>
        </w:rPr>
        <w:footnoteRef/>
      </w:r>
      <w:r w:rsidRPr="00B4223A">
        <w:rPr>
          <w:sz w:val="16"/>
          <w:szCs w:val="16"/>
        </w:rPr>
        <w:t xml:space="preserve"> Pok</w:t>
      </w:r>
      <w:r>
        <w:rPr>
          <w:sz w:val="16"/>
          <w:szCs w:val="16"/>
        </w:rPr>
        <w:t xml:space="preserve">ud není uvedeno jinak, jsou </w:t>
      </w:r>
      <w:r w:rsidRPr="00B4223A">
        <w:rPr>
          <w:sz w:val="16"/>
          <w:szCs w:val="16"/>
        </w:rPr>
        <w:t xml:space="preserve">v této kapitole </w:t>
      </w:r>
      <w:r>
        <w:rPr>
          <w:sz w:val="16"/>
          <w:szCs w:val="16"/>
        </w:rPr>
        <w:t>údaje o zaměstnanosti</w:t>
      </w:r>
      <w:r w:rsidRPr="00B4223A">
        <w:rPr>
          <w:sz w:val="16"/>
          <w:szCs w:val="16"/>
        </w:rPr>
        <w:t xml:space="preserve"> </w:t>
      </w:r>
      <w:r>
        <w:rPr>
          <w:sz w:val="16"/>
          <w:szCs w:val="16"/>
        </w:rPr>
        <w:t xml:space="preserve">uvedeny </w:t>
      </w:r>
      <w:r w:rsidRPr="00B4223A">
        <w:rPr>
          <w:sz w:val="16"/>
          <w:szCs w:val="16"/>
        </w:rPr>
        <w:t>v pojetí národních účtů v očištění o sezónní vlivy.</w:t>
      </w:r>
    </w:p>
  </w:footnote>
  <w:footnote w:id="23">
    <w:p w:rsidR="00F23F6C" w:rsidRPr="00352482" w:rsidRDefault="00F23F6C" w:rsidP="0036710C">
      <w:pPr>
        <w:pStyle w:val="Textpoznpodarou"/>
        <w:jc w:val="both"/>
        <w:rPr>
          <w:spacing w:val="-4"/>
          <w:sz w:val="16"/>
          <w:szCs w:val="16"/>
        </w:rPr>
      </w:pPr>
      <w:r w:rsidRPr="00352482">
        <w:rPr>
          <w:rStyle w:val="Znakapoznpodarou"/>
          <w:spacing w:val="-4"/>
          <w:sz w:val="16"/>
          <w:szCs w:val="16"/>
        </w:rPr>
        <w:footnoteRef/>
      </w:r>
      <w:r w:rsidRPr="00352482">
        <w:rPr>
          <w:spacing w:val="-4"/>
          <w:sz w:val="16"/>
          <w:szCs w:val="16"/>
        </w:rPr>
        <w:t xml:space="preserve"> Zahrnuje odvětví: Veřejná správa a obrana, vzdělávání, zdravotní a sociální péče.</w:t>
      </w:r>
    </w:p>
  </w:footnote>
  <w:footnote w:id="24">
    <w:p w:rsidR="00F23F6C" w:rsidRPr="003161CA" w:rsidRDefault="00F23F6C" w:rsidP="0036710C">
      <w:pPr>
        <w:pStyle w:val="Textpoznpodarou"/>
        <w:jc w:val="both"/>
        <w:rPr>
          <w:sz w:val="16"/>
          <w:szCs w:val="16"/>
        </w:rPr>
      </w:pPr>
      <w:r w:rsidRPr="00352482">
        <w:rPr>
          <w:rStyle w:val="Znakapoznpodarou"/>
          <w:spacing w:val="-4"/>
          <w:sz w:val="16"/>
          <w:szCs w:val="16"/>
        </w:rPr>
        <w:footnoteRef/>
      </w:r>
      <w:r w:rsidRPr="00352482">
        <w:rPr>
          <w:spacing w:val="-4"/>
          <w:sz w:val="16"/>
          <w:szCs w:val="16"/>
        </w:rPr>
        <w:t xml:space="preserve"> Míra nezaměstnanosti v této skupině ve 2. čtvrtletí 2017 činila 14,4 %, o rok dříve 21,4 %. Zastoupení osob s maximálně základním vzděláním mezi </w:t>
      </w:r>
      <w:r w:rsidR="00352482" w:rsidRPr="00352482">
        <w:rPr>
          <w:spacing w:val="-4"/>
          <w:sz w:val="16"/>
          <w:szCs w:val="16"/>
        </w:rPr>
        <w:t xml:space="preserve">ekonomicky aktivními ve věku 15 – </w:t>
      </w:r>
      <w:r w:rsidRPr="00352482">
        <w:rPr>
          <w:spacing w:val="-4"/>
          <w:sz w:val="16"/>
          <w:szCs w:val="16"/>
        </w:rPr>
        <w:t>64 let dosahovalo v ČR necelých 5 %. Jednalo se o druhý nejnižší podíl ze všech států EU.</w:t>
      </w:r>
    </w:p>
  </w:footnote>
  <w:footnote w:id="25">
    <w:p w:rsidR="00F23F6C" w:rsidRPr="00431E19" w:rsidRDefault="00F23F6C" w:rsidP="0036710C">
      <w:pPr>
        <w:pStyle w:val="Textpoznpodarou"/>
        <w:jc w:val="both"/>
        <w:rPr>
          <w:sz w:val="16"/>
          <w:szCs w:val="16"/>
        </w:rPr>
      </w:pPr>
      <w:r w:rsidRPr="00431E19">
        <w:rPr>
          <w:rStyle w:val="Znakapoznpodarou"/>
          <w:sz w:val="16"/>
          <w:szCs w:val="16"/>
        </w:rPr>
        <w:footnoteRef/>
      </w:r>
      <w:r w:rsidRPr="00431E19">
        <w:rPr>
          <w:sz w:val="16"/>
          <w:szCs w:val="16"/>
        </w:rPr>
        <w:t xml:space="preserve"> Většinou však šlo o osoby, které z různých důvodů do zaměstnání okamžitě nastoupit nemohly. Do dvou týdnů mohlo nastoupit do práce pouze 35 tis. osob. Podobně nízké počty byly naposledy vykázány v konjunkturním období minulé dekády.</w:t>
      </w:r>
    </w:p>
  </w:footnote>
  <w:footnote w:id="26">
    <w:p w:rsidR="00F23F6C" w:rsidRPr="00431E19" w:rsidRDefault="00F23F6C" w:rsidP="0036710C">
      <w:pPr>
        <w:pStyle w:val="Textpoznpodarou"/>
        <w:jc w:val="both"/>
        <w:rPr>
          <w:sz w:val="16"/>
          <w:szCs w:val="16"/>
        </w:rPr>
      </w:pPr>
      <w:r w:rsidRPr="00431E19">
        <w:rPr>
          <w:rStyle w:val="Znakapoznpodarou"/>
          <w:sz w:val="16"/>
          <w:szCs w:val="16"/>
        </w:rPr>
        <w:footnoteRef/>
      </w:r>
      <w:r w:rsidRPr="00431E19">
        <w:rPr>
          <w:sz w:val="16"/>
          <w:szCs w:val="16"/>
        </w:rPr>
        <w:t xml:space="preserve"> Efekt mzdové akcelerace byl ještě umocněn skutečností, že ve 2. čtv</w:t>
      </w:r>
      <w:r>
        <w:rPr>
          <w:sz w:val="16"/>
          <w:szCs w:val="16"/>
        </w:rPr>
        <w:t>rtletí 2017 bylo meziročně</w:t>
      </w:r>
      <w:r w:rsidRPr="00431E19">
        <w:rPr>
          <w:sz w:val="16"/>
          <w:szCs w:val="16"/>
        </w:rPr>
        <w:t xml:space="preserve"> o čtyři pracovní dny méně.</w:t>
      </w:r>
      <w:r>
        <w:rPr>
          <w:sz w:val="16"/>
          <w:szCs w:val="16"/>
        </w:rPr>
        <w:t xml:space="preserve"> To se odrazilo v</w:t>
      </w:r>
      <w:r w:rsidRPr="00431E19">
        <w:rPr>
          <w:sz w:val="16"/>
          <w:szCs w:val="16"/>
        </w:rPr>
        <w:t xml:space="preserve"> nižším počtu odpracovaných hodin (u zaměstnanců šlo dle údajů národních účtů o redukci ve výši 2,8 %).</w:t>
      </w:r>
    </w:p>
  </w:footnote>
  <w:footnote w:id="27">
    <w:p w:rsidR="00F23F6C" w:rsidRPr="00431E19" w:rsidRDefault="00F23F6C" w:rsidP="0036710C">
      <w:pPr>
        <w:pStyle w:val="Textpoznpodarou"/>
        <w:rPr>
          <w:sz w:val="15"/>
          <w:szCs w:val="15"/>
        </w:rPr>
      </w:pPr>
      <w:r w:rsidRPr="00431E19">
        <w:rPr>
          <w:rStyle w:val="Znakapoznpodarou"/>
          <w:sz w:val="16"/>
          <w:szCs w:val="16"/>
        </w:rPr>
        <w:footnoteRef/>
      </w:r>
      <w:r w:rsidRPr="00431E19">
        <w:rPr>
          <w:sz w:val="16"/>
          <w:szCs w:val="16"/>
        </w:rPr>
        <w:t xml:space="preserve"> Šlo o jediný případ v rámci všech devatenácti odvětvových sekcí ekonomiky, kdy letošní meziroční růst průměrných mezd </w:t>
      </w:r>
      <w:r>
        <w:rPr>
          <w:sz w:val="16"/>
          <w:szCs w:val="16"/>
        </w:rPr>
        <w:t xml:space="preserve">(+3,7 %) </w:t>
      </w:r>
      <w:r w:rsidRPr="00431E19">
        <w:rPr>
          <w:sz w:val="16"/>
          <w:szCs w:val="16"/>
        </w:rPr>
        <w:t xml:space="preserve">za obdobným tempem z 1. pololetí 2016 </w:t>
      </w:r>
      <w:r>
        <w:rPr>
          <w:sz w:val="16"/>
          <w:szCs w:val="16"/>
        </w:rPr>
        <w:t xml:space="preserve">(+4,0 %) </w:t>
      </w:r>
      <w:r w:rsidRPr="00431E19">
        <w:rPr>
          <w:sz w:val="16"/>
          <w:szCs w:val="16"/>
        </w:rPr>
        <w:t>zaostal.</w:t>
      </w:r>
      <w:r w:rsidRPr="00431E19">
        <w:rPr>
          <w:sz w:val="15"/>
          <w:szCs w:val="15"/>
        </w:rPr>
        <w:t xml:space="preserve"> </w:t>
      </w:r>
    </w:p>
  </w:footnote>
  <w:footnote w:id="28">
    <w:p w:rsidR="00DD0726" w:rsidRPr="007E12C1" w:rsidRDefault="00DD0726" w:rsidP="00DD0726">
      <w:pPr>
        <w:pStyle w:val="Textpoznpodarou"/>
        <w:rPr>
          <w:sz w:val="16"/>
          <w:szCs w:val="16"/>
        </w:rPr>
      </w:pPr>
      <w:r w:rsidRPr="007E12C1">
        <w:rPr>
          <w:rStyle w:val="Znakapoznpodarou"/>
          <w:sz w:val="16"/>
          <w:szCs w:val="16"/>
        </w:rPr>
        <w:footnoteRef/>
      </w:r>
      <w:r w:rsidRPr="007E12C1">
        <w:rPr>
          <w:sz w:val="16"/>
          <w:szCs w:val="16"/>
        </w:rPr>
        <w:t xml:space="preserve"> Údaje ČNB. Není-li uvedeno jinak, jsou veškeré údaje v této kapitole převzaty z databáze ARAD České národní banky. </w:t>
      </w:r>
    </w:p>
  </w:footnote>
  <w:footnote w:id="29">
    <w:p w:rsidR="00F23F6C" w:rsidRPr="00E9220F" w:rsidRDefault="00F23F6C" w:rsidP="001C3961">
      <w:pPr>
        <w:pStyle w:val="Textpoznpodarou"/>
        <w:jc w:val="both"/>
        <w:rPr>
          <w:color w:val="0D0D0D" w:themeColor="text1" w:themeTint="F2"/>
          <w:spacing w:val="-2"/>
          <w:sz w:val="16"/>
          <w:szCs w:val="16"/>
        </w:rPr>
      </w:pPr>
      <w:r w:rsidRPr="00E9220F">
        <w:rPr>
          <w:rStyle w:val="Znakapoznpodarou"/>
          <w:color w:val="0D0D0D" w:themeColor="text1" w:themeTint="F2"/>
          <w:spacing w:val="-2"/>
          <w:sz w:val="16"/>
          <w:szCs w:val="16"/>
        </w:rPr>
        <w:footnoteRef/>
      </w:r>
      <w:r w:rsidRPr="00E9220F">
        <w:rPr>
          <w:color w:val="0D0D0D" w:themeColor="text1" w:themeTint="F2"/>
          <w:spacing w:val="-2"/>
          <w:sz w:val="16"/>
          <w:szCs w:val="16"/>
        </w:rPr>
        <w:t xml:space="preserve"> Dle propočtů MF by</w:t>
      </w:r>
      <w:r>
        <w:rPr>
          <w:color w:val="0D0D0D" w:themeColor="text1" w:themeTint="F2"/>
          <w:spacing w:val="-2"/>
          <w:sz w:val="16"/>
          <w:szCs w:val="16"/>
        </w:rPr>
        <w:t xml:space="preserve"> hospodaření SR</w:t>
      </w:r>
      <w:r w:rsidRPr="00E9220F">
        <w:rPr>
          <w:color w:val="0D0D0D" w:themeColor="text1" w:themeTint="F2"/>
          <w:spacing w:val="-2"/>
          <w:sz w:val="16"/>
          <w:szCs w:val="16"/>
        </w:rPr>
        <w:t xml:space="preserve"> očištěné na příjmové i výdajové straně o prostředky z rozpočtu EU (a finančních mecha</w:t>
      </w:r>
      <w:r>
        <w:rPr>
          <w:color w:val="0D0D0D" w:themeColor="text1" w:themeTint="F2"/>
          <w:spacing w:val="-2"/>
          <w:sz w:val="16"/>
          <w:szCs w:val="16"/>
        </w:rPr>
        <w:t>nismů) skončilo letos schodkem 13,2 mld. korun (v 1. pololetí</w:t>
      </w:r>
      <w:r w:rsidRPr="00E9220F">
        <w:rPr>
          <w:color w:val="0D0D0D" w:themeColor="text1" w:themeTint="F2"/>
          <w:spacing w:val="-2"/>
          <w:sz w:val="16"/>
          <w:szCs w:val="16"/>
        </w:rPr>
        <w:t xml:space="preserve"> roku 2016 by takto očištěný výsledek představoval scho</w:t>
      </w:r>
      <w:r>
        <w:rPr>
          <w:color w:val="0D0D0D" w:themeColor="text1" w:themeTint="F2"/>
          <w:spacing w:val="-2"/>
          <w:sz w:val="16"/>
          <w:szCs w:val="16"/>
        </w:rPr>
        <w:t>dek 30,8</w:t>
      </w:r>
      <w:r w:rsidRPr="00E9220F">
        <w:rPr>
          <w:color w:val="0D0D0D" w:themeColor="text1" w:themeTint="F2"/>
          <w:spacing w:val="-2"/>
          <w:sz w:val="16"/>
          <w:szCs w:val="16"/>
        </w:rPr>
        <w:t xml:space="preserve"> mld.).</w:t>
      </w:r>
    </w:p>
  </w:footnote>
  <w:footnote w:id="30">
    <w:p w:rsidR="00F23F6C" w:rsidRPr="00E9220F" w:rsidRDefault="00F23F6C" w:rsidP="001C3961">
      <w:pPr>
        <w:pStyle w:val="Textpoznpodarou"/>
        <w:jc w:val="both"/>
        <w:rPr>
          <w:color w:val="0D0D0D" w:themeColor="text1" w:themeTint="F2"/>
          <w:spacing w:val="-2"/>
          <w:sz w:val="16"/>
          <w:szCs w:val="16"/>
        </w:rPr>
      </w:pPr>
      <w:r w:rsidRPr="00E9220F">
        <w:rPr>
          <w:rStyle w:val="Znakapoznpodarou"/>
          <w:color w:val="0D0D0D" w:themeColor="text1" w:themeTint="F2"/>
          <w:spacing w:val="-2"/>
          <w:sz w:val="16"/>
          <w:szCs w:val="16"/>
        </w:rPr>
        <w:footnoteRef/>
      </w:r>
      <w:r w:rsidRPr="00E9220F">
        <w:rPr>
          <w:color w:val="0D0D0D" w:themeColor="text1" w:themeTint="F2"/>
          <w:spacing w:val="-2"/>
          <w:sz w:val="16"/>
          <w:szCs w:val="16"/>
        </w:rPr>
        <w:t xml:space="preserve"> Od 1.</w:t>
      </w:r>
      <w:r>
        <w:rPr>
          <w:color w:val="0D0D0D" w:themeColor="text1" w:themeTint="F2"/>
          <w:spacing w:val="-2"/>
          <w:sz w:val="16"/>
          <w:szCs w:val="16"/>
        </w:rPr>
        <w:t xml:space="preserve"> 1. </w:t>
      </w:r>
      <w:r w:rsidRPr="00E9220F">
        <w:rPr>
          <w:color w:val="0D0D0D" w:themeColor="text1" w:themeTint="F2"/>
          <w:spacing w:val="-2"/>
          <w:sz w:val="16"/>
          <w:szCs w:val="16"/>
        </w:rPr>
        <w:t>2017 klesl změnou rozpočtového určení daní podíl SR na celostátním výnosu DPH ze 70,25 % na 69,68 % ve prospěch podílu obcí. Recipročně došlo k úpravě procentního podílu u výnosu daně z příjmu fyzických osob z přiznání, a to ve prospěch SR.</w:t>
      </w:r>
    </w:p>
  </w:footnote>
  <w:footnote w:id="31">
    <w:p w:rsidR="00F23F6C" w:rsidRPr="005006F3" w:rsidRDefault="00F23F6C" w:rsidP="001C3961">
      <w:pPr>
        <w:pStyle w:val="Textpoznpodarou"/>
        <w:jc w:val="both"/>
        <w:rPr>
          <w:sz w:val="16"/>
          <w:szCs w:val="16"/>
        </w:rPr>
      </w:pPr>
      <w:r w:rsidRPr="005006F3">
        <w:rPr>
          <w:rStyle w:val="Znakapoznpodarou"/>
          <w:sz w:val="16"/>
          <w:szCs w:val="16"/>
        </w:rPr>
        <w:footnoteRef/>
      </w:r>
      <w:r w:rsidRPr="005006F3">
        <w:rPr>
          <w:sz w:val="16"/>
          <w:szCs w:val="16"/>
        </w:rPr>
        <w:t xml:space="preserve"> Údaje jsou bez očištění o sezónní a kalendářní vlivy. V</w:t>
      </w:r>
      <w:r>
        <w:rPr>
          <w:sz w:val="16"/>
          <w:szCs w:val="16"/>
        </w:rPr>
        <w:t xml:space="preserve"> samotném</w:t>
      </w:r>
      <w:r w:rsidRPr="005006F3">
        <w:rPr>
          <w:sz w:val="16"/>
          <w:szCs w:val="16"/>
        </w:rPr>
        <w:t xml:space="preserve"> 2. čtvrtletí bylo meziročně i </w:t>
      </w:r>
      <w:proofErr w:type="spellStart"/>
      <w:r w:rsidRPr="005006F3">
        <w:rPr>
          <w:sz w:val="16"/>
          <w:szCs w:val="16"/>
        </w:rPr>
        <w:t>mezičtvrtletně</w:t>
      </w:r>
      <w:proofErr w:type="spellEnd"/>
      <w:r w:rsidRPr="005006F3">
        <w:rPr>
          <w:sz w:val="16"/>
          <w:szCs w:val="16"/>
        </w:rPr>
        <w:t xml:space="preserve"> o 4 pracovní dny méně. </w:t>
      </w:r>
      <w:r>
        <w:rPr>
          <w:sz w:val="16"/>
          <w:szCs w:val="16"/>
        </w:rPr>
        <w:t>Meziroční tempo růstu celkových nominálních výdajů na konečnou spotřebu v průběhu první poloviny roku 2017 stagnovalo, po očištění naopak vzrostlo (v 1. čtvrtletí činilo 5,4 %, ve 2. čtvrtletí 6,4 %).</w:t>
      </w:r>
    </w:p>
  </w:footnote>
  <w:footnote w:id="32">
    <w:p w:rsidR="00F23F6C" w:rsidRPr="002A52AF" w:rsidRDefault="00F23F6C" w:rsidP="001C3961">
      <w:pPr>
        <w:pStyle w:val="Textpoznpodarou"/>
        <w:jc w:val="both"/>
        <w:rPr>
          <w:color w:val="0D0D0D" w:themeColor="text1" w:themeTint="F2"/>
          <w:sz w:val="16"/>
          <w:szCs w:val="16"/>
        </w:rPr>
      </w:pPr>
      <w:r w:rsidRPr="002A52AF">
        <w:rPr>
          <w:rStyle w:val="Znakapoznpodarou"/>
          <w:color w:val="0D0D0D" w:themeColor="text1" w:themeTint="F2"/>
          <w:sz w:val="16"/>
          <w:szCs w:val="16"/>
        </w:rPr>
        <w:footnoteRef/>
      </w:r>
      <w:r w:rsidRPr="002A52AF">
        <w:rPr>
          <w:color w:val="0D0D0D" w:themeColor="text1" w:themeTint="F2"/>
          <w:sz w:val="16"/>
          <w:szCs w:val="16"/>
        </w:rPr>
        <w:t xml:space="preserve"> Došlo k </w:t>
      </w:r>
      <w:r>
        <w:rPr>
          <w:rFonts w:cs="Arial"/>
          <w:color w:val="0D0D0D" w:themeColor="text1" w:themeTint="F2"/>
          <w:sz w:val="16"/>
          <w:szCs w:val="16"/>
        </w:rPr>
        <w:t xml:space="preserve">vrácení daně za </w:t>
      </w:r>
      <w:r w:rsidRPr="002A52AF">
        <w:rPr>
          <w:rFonts w:cs="Arial"/>
          <w:color w:val="0D0D0D" w:themeColor="text1" w:themeTint="F2"/>
          <w:sz w:val="16"/>
          <w:szCs w:val="16"/>
        </w:rPr>
        <w:t>cigaret</w:t>
      </w:r>
      <w:r>
        <w:rPr>
          <w:rFonts w:cs="Arial"/>
          <w:color w:val="0D0D0D" w:themeColor="text1" w:themeTint="F2"/>
          <w:sz w:val="16"/>
          <w:szCs w:val="16"/>
        </w:rPr>
        <w:t>y se starými obaly</w:t>
      </w:r>
      <w:r w:rsidRPr="002A52AF">
        <w:rPr>
          <w:rFonts w:cs="Arial"/>
          <w:color w:val="0D0D0D" w:themeColor="text1" w:themeTint="F2"/>
          <w:sz w:val="16"/>
          <w:szCs w:val="16"/>
        </w:rPr>
        <w:t>, jež bylo nutno stáhnout z oběhu.</w:t>
      </w:r>
      <w:r w:rsidRPr="002A52AF">
        <w:rPr>
          <w:color w:val="0D0D0D" w:themeColor="text1" w:themeTint="F2"/>
          <w:sz w:val="16"/>
          <w:szCs w:val="16"/>
        </w:rPr>
        <w:t xml:space="preserve"> Stažení cigaret souviselo s uvedením nových produktů zatížených vyšší sazbou daně a obsahujících důslednější zdravotní varování.</w:t>
      </w:r>
    </w:p>
  </w:footnote>
  <w:footnote w:id="33">
    <w:p w:rsidR="00F23F6C" w:rsidRPr="003455E4" w:rsidRDefault="00F23F6C" w:rsidP="001C3961">
      <w:pPr>
        <w:pStyle w:val="Textpoznpodarou"/>
        <w:rPr>
          <w:spacing w:val="-2"/>
          <w:sz w:val="16"/>
          <w:szCs w:val="16"/>
        </w:rPr>
      </w:pPr>
      <w:r w:rsidRPr="003455E4">
        <w:rPr>
          <w:rStyle w:val="Znakapoznpodarou"/>
          <w:spacing w:val="-2"/>
          <w:sz w:val="16"/>
          <w:szCs w:val="16"/>
        </w:rPr>
        <w:footnoteRef/>
      </w:r>
      <w:r w:rsidRPr="003455E4">
        <w:rPr>
          <w:spacing w:val="-2"/>
          <w:sz w:val="16"/>
          <w:szCs w:val="16"/>
        </w:rPr>
        <w:t xml:space="preserve"> Za prvních osm měsíců roku 2017 již převážil vliv navýšených sazeb a inkaso daní z tabákových výrobků již bylo meziročně o 0,8 % vyšší.</w:t>
      </w:r>
    </w:p>
  </w:footnote>
  <w:footnote w:id="34">
    <w:p w:rsidR="00F23F6C" w:rsidRPr="001D0079" w:rsidRDefault="00F23F6C" w:rsidP="001C3961">
      <w:pPr>
        <w:pStyle w:val="Textpoznpodarou"/>
        <w:rPr>
          <w:sz w:val="16"/>
          <w:szCs w:val="16"/>
        </w:rPr>
      </w:pPr>
      <w:r w:rsidRPr="001D0079">
        <w:rPr>
          <w:rStyle w:val="Znakapoznpodarou"/>
          <w:sz w:val="16"/>
          <w:szCs w:val="16"/>
        </w:rPr>
        <w:footnoteRef/>
      </w:r>
      <w:r w:rsidRPr="001D0079">
        <w:rPr>
          <w:sz w:val="16"/>
          <w:szCs w:val="16"/>
        </w:rPr>
        <w:t xml:space="preserve"> Tuto skutečnost ještě více odráží údaje za prvních osm měsíců roku (ve kterých již jsou plně zohledněny úhrady všech velkých plátců daně za rok 2016), kdy se meziroční růst inkasa </w:t>
      </w:r>
      <w:proofErr w:type="spellStart"/>
      <w:r w:rsidRPr="001D0079">
        <w:rPr>
          <w:sz w:val="16"/>
          <w:szCs w:val="16"/>
        </w:rPr>
        <w:t>korporátních</w:t>
      </w:r>
      <w:proofErr w:type="spellEnd"/>
      <w:r w:rsidRPr="001D0079">
        <w:rPr>
          <w:sz w:val="16"/>
          <w:szCs w:val="16"/>
        </w:rPr>
        <w:t xml:space="preserve"> daní snížil pod 2 %.</w:t>
      </w:r>
    </w:p>
  </w:footnote>
  <w:footnote w:id="35">
    <w:p w:rsidR="00F23F6C" w:rsidRPr="0074690B" w:rsidRDefault="00F23F6C" w:rsidP="001C3961">
      <w:pPr>
        <w:pStyle w:val="Textpoznpodarou"/>
        <w:rPr>
          <w:sz w:val="16"/>
          <w:szCs w:val="16"/>
        </w:rPr>
      </w:pPr>
      <w:r w:rsidRPr="0074690B">
        <w:rPr>
          <w:rStyle w:val="Znakapoznpodarou"/>
          <w:sz w:val="16"/>
          <w:szCs w:val="16"/>
        </w:rPr>
        <w:footnoteRef/>
      </w:r>
      <w:r w:rsidRPr="0074690B">
        <w:rPr>
          <w:sz w:val="16"/>
          <w:szCs w:val="16"/>
        </w:rPr>
        <w:t xml:space="preserve"> Dle podrobnějších údajů zveřejněných MF ČR na počátku srpna 2017.</w:t>
      </w:r>
    </w:p>
  </w:footnote>
  <w:footnote w:id="36">
    <w:p w:rsidR="00F23F6C" w:rsidRPr="009760E6" w:rsidRDefault="00F23F6C" w:rsidP="001C3961">
      <w:pPr>
        <w:pStyle w:val="Textpoznpodarou"/>
        <w:rPr>
          <w:sz w:val="16"/>
          <w:szCs w:val="16"/>
        </w:rPr>
      </w:pPr>
      <w:r w:rsidRPr="009760E6">
        <w:rPr>
          <w:rStyle w:val="Znakapoznpodarou"/>
          <w:sz w:val="16"/>
          <w:szCs w:val="16"/>
        </w:rPr>
        <w:footnoteRef/>
      </w:r>
      <w:r w:rsidRPr="009760E6">
        <w:rPr>
          <w:sz w:val="16"/>
          <w:szCs w:val="16"/>
        </w:rPr>
        <w:t xml:space="preserve"> Od ledna do srpna 2017 dosáhly celkové kapitálové výdaje SR 34,4 mld. korun, tvořily necelou třetinu celoroční rozpočtem očekávané částky. Výdaje na krytí společných programů EU a ČR z programového období 2014-2020 mírně stouply na 16,6 mld. korun.</w:t>
      </w:r>
    </w:p>
  </w:footnote>
  <w:footnote w:id="37">
    <w:p w:rsidR="00F23F6C" w:rsidRPr="00E82336" w:rsidRDefault="00F23F6C" w:rsidP="001C3961">
      <w:pPr>
        <w:pStyle w:val="Textpoznpodarou"/>
        <w:rPr>
          <w:sz w:val="16"/>
          <w:szCs w:val="16"/>
        </w:rPr>
      </w:pPr>
      <w:r w:rsidRPr="00E82336">
        <w:rPr>
          <w:rStyle w:val="Znakapoznpodarou"/>
          <w:sz w:val="16"/>
          <w:szCs w:val="16"/>
        </w:rPr>
        <w:footnoteRef/>
      </w:r>
      <w:r w:rsidRPr="00E82336">
        <w:rPr>
          <w:sz w:val="16"/>
          <w:szCs w:val="16"/>
        </w:rPr>
        <w:t xml:space="preserve"> </w:t>
      </w:r>
      <w:r>
        <w:rPr>
          <w:sz w:val="16"/>
          <w:szCs w:val="16"/>
        </w:rPr>
        <w:t>Je v</w:t>
      </w:r>
      <w:r w:rsidRPr="00E82336">
        <w:rPr>
          <w:sz w:val="16"/>
          <w:szCs w:val="16"/>
        </w:rPr>
        <w:t xml:space="preserve">yjádřený jako </w:t>
      </w:r>
      <w:r w:rsidRPr="00E82336">
        <w:rPr>
          <w:rFonts w:cs="Arial"/>
          <w:color w:val="000000" w:themeColor="text1"/>
          <w:spacing w:val="-4"/>
          <w:sz w:val="16"/>
          <w:szCs w:val="16"/>
        </w:rPr>
        <w:t>rozdíl mezi příjmy a výdaji na důchody ze SR</w:t>
      </w:r>
      <w:r>
        <w:rPr>
          <w:rFonts w:cs="Arial"/>
          <w:color w:val="000000" w:themeColor="text1"/>
          <w:spacing w:val="-4"/>
          <w:sz w:val="16"/>
          <w:szCs w:val="16"/>
        </w:rPr>
        <w:t xml:space="preserve"> (z předběžných údajů)</w:t>
      </w:r>
      <w:r w:rsidRPr="00E82336">
        <w:rPr>
          <w:rFonts w:cs="Arial"/>
          <w:color w:val="000000" w:themeColor="text1"/>
          <w:spacing w:val="-4"/>
          <w:sz w:val="16"/>
          <w:szCs w:val="16"/>
        </w:rPr>
        <w:t>.</w:t>
      </w:r>
    </w:p>
  </w:footnote>
  <w:footnote w:id="38">
    <w:p w:rsidR="00F23F6C" w:rsidRPr="00937DB8" w:rsidRDefault="00F23F6C" w:rsidP="001C3961">
      <w:pPr>
        <w:pStyle w:val="Textpoznpodarou"/>
        <w:rPr>
          <w:sz w:val="16"/>
          <w:szCs w:val="16"/>
        </w:rPr>
      </w:pPr>
      <w:r w:rsidRPr="00937DB8">
        <w:rPr>
          <w:rStyle w:val="Znakapoznpodarou"/>
          <w:sz w:val="16"/>
          <w:szCs w:val="16"/>
        </w:rPr>
        <w:footnoteRef/>
      </w:r>
      <w:r w:rsidRPr="00937DB8">
        <w:rPr>
          <w:sz w:val="16"/>
          <w:szCs w:val="16"/>
        </w:rPr>
        <w:t xml:space="preserve"> Vlivem těchto operací se zvýšil podíl krátkodobého dluhu. </w:t>
      </w:r>
      <w:r>
        <w:rPr>
          <w:sz w:val="16"/>
          <w:szCs w:val="16"/>
        </w:rPr>
        <w:t>Podíl hodnoty dluhopisů se splatností do 18 měsíců na všech dluhopisech činil na konci června 2017</w:t>
      </w:r>
      <w:r w:rsidRPr="00937DB8">
        <w:rPr>
          <w:sz w:val="16"/>
          <w:szCs w:val="16"/>
        </w:rPr>
        <w:t xml:space="preserve"> </w:t>
      </w:r>
      <w:r>
        <w:rPr>
          <w:sz w:val="16"/>
          <w:szCs w:val="16"/>
        </w:rPr>
        <w:t>více než</w:t>
      </w:r>
      <w:r w:rsidRPr="00937DB8">
        <w:rPr>
          <w:sz w:val="16"/>
          <w:szCs w:val="16"/>
        </w:rPr>
        <w:t xml:space="preserve"> 30 %</w:t>
      </w:r>
      <w:r>
        <w:rPr>
          <w:sz w:val="16"/>
          <w:szCs w:val="16"/>
        </w:rPr>
        <w:t>, o rok dříve by</w:t>
      </w:r>
      <w:r w:rsidR="00D9640A">
        <w:rPr>
          <w:sz w:val="16"/>
          <w:szCs w:val="16"/>
        </w:rPr>
        <w:t>l</w:t>
      </w:r>
      <w:r>
        <w:rPr>
          <w:sz w:val="16"/>
          <w:szCs w:val="16"/>
        </w:rPr>
        <w:t xml:space="preserve"> o 5 </w:t>
      </w:r>
      <w:proofErr w:type="spellStart"/>
      <w:proofErr w:type="gramStart"/>
      <w:r>
        <w:rPr>
          <w:sz w:val="16"/>
          <w:szCs w:val="16"/>
        </w:rPr>
        <w:t>p.b</w:t>
      </w:r>
      <w:proofErr w:type="spellEnd"/>
      <w:r>
        <w:rPr>
          <w:sz w:val="16"/>
          <w:szCs w:val="16"/>
        </w:rPr>
        <w:t>. nižší</w:t>
      </w:r>
      <w:proofErr w:type="gramEnd"/>
      <w:r>
        <w:rPr>
          <w:sz w:val="16"/>
          <w:szCs w:val="16"/>
        </w:rPr>
        <w:t>.</w:t>
      </w:r>
    </w:p>
  </w:footnote>
  <w:footnote w:id="39">
    <w:p w:rsidR="00F23F6C" w:rsidRPr="00E9220F" w:rsidRDefault="00F23F6C" w:rsidP="001C3961">
      <w:pPr>
        <w:pStyle w:val="Textpoznpodarou"/>
        <w:rPr>
          <w:color w:val="0D0D0D" w:themeColor="text1" w:themeTint="F2"/>
          <w:spacing w:val="-2"/>
          <w:sz w:val="16"/>
          <w:szCs w:val="16"/>
        </w:rPr>
      </w:pPr>
      <w:r w:rsidRPr="00E9220F">
        <w:rPr>
          <w:rStyle w:val="Znakapoznpodarou"/>
          <w:color w:val="0D0D0D" w:themeColor="text1" w:themeTint="F2"/>
          <w:spacing w:val="-2"/>
          <w:sz w:val="16"/>
          <w:szCs w:val="16"/>
        </w:rPr>
        <w:footnoteRef/>
      </w:r>
      <w:r w:rsidRPr="00E9220F">
        <w:rPr>
          <w:color w:val="0D0D0D" w:themeColor="text1" w:themeTint="F2"/>
          <w:spacing w:val="-2"/>
          <w:sz w:val="16"/>
          <w:szCs w:val="16"/>
        </w:rPr>
        <w:t xml:space="preserve"> Předběžné údaje o dluhu a deficitu</w:t>
      </w:r>
      <w:r>
        <w:rPr>
          <w:color w:val="0D0D0D" w:themeColor="text1" w:themeTint="F2"/>
          <w:spacing w:val="-2"/>
          <w:sz w:val="16"/>
          <w:szCs w:val="16"/>
        </w:rPr>
        <w:t xml:space="preserve"> sektoru vládních institucí za 2. čtvrtletí 2017 zveřejní ČSÚ 4</w:t>
      </w:r>
      <w:r w:rsidRPr="00E9220F">
        <w:rPr>
          <w:color w:val="0D0D0D" w:themeColor="text1" w:themeTint="F2"/>
          <w:spacing w:val="-2"/>
          <w:sz w:val="16"/>
          <w:szCs w:val="16"/>
        </w:rPr>
        <w:t xml:space="preserve">. </w:t>
      </w:r>
      <w:r>
        <w:rPr>
          <w:color w:val="0D0D0D" w:themeColor="text1" w:themeTint="F2"/>
          <w:spacing w:val="-2"/>
          <w:sz w:val="16"/>
          <w:szCs w:val="16"/>
        </w:rPr>
        <w:t>října 2017</w:t>
      </w:r>
      <w:r w:rsidRPr="00E9220F">
        <w:rPr>
          <w:color w:val="0D0D0D" w:themeColor="text1" w:themeTint="F2"/>
          <w:spacing w:val="-2"/>
          <w:sz w:val="16"/>
          <w:szCs w:val="16"/>
        </w:rPr>
        <w:t xml:space="preserve">, </w:t>
      </w:r>
      <w:proofErr w:type="spellStart"/>
      <w:r w:rsidRPr="00E9220F">
        <w:rPr>
          <w:color w:val="0D0D0D" w:themeColor="text1" w:themeTint="F2"/>
          <w:spacing w:val="-2"/>
          <w:sz w:val="16"/>
          <w:szCs w:val="16"/>
        </w:rPr>
        <w:t>Eurostat</w:t>
      </w:r>
      <w:proofErr w:type="spellEnd"/>
      <w:r w:rsidRPr="00E9220F">
        <w:rPr>
          <w:color w:val="0D0D0D" w:themeColor="text1" w:themeTint="F2"/>
          <w:spacing w:val="-2"/>
          <w:sz w:val="16"/>
          <w:szCs w:val="16"/>
        </w:rPr>
        <w:t xml:space="preserve"> </w:t>
      </w:r>
      <w:r>
        <w:rPr>
          <w:color w:val="0D0D0D" w:themeColor="text1" w:themeTint="F2"/>
          <w:spacing w:val="-2"/>
          <w:sz w:val="16"/>
          <w:szCs w:val="16"/>
        </w:rPr>
        <w:t>pak 24</w:t>
      </w:r>
      <w:r w:rsidRPr="00E9220F">
        <w:rPr>
          <w:color w:val="0D0D0D" w:themeColor="text1" w:themeTint="F2"/>
          <w:spacing w:val="-2"/>
          <w:sz w:val="16"/>
          <w:szCs w:val="16"/>
        </w:rPr>
        <w:t>.</w:t>
      </w:r>
      <w:r w:rsidR="00FB332E">
        <w:rPr>
          <w:color w:val="0D0D0D" w:themeColor="text1" w:themeTint="F2"/>
          <w:spacing w:val="-2"/>
          <w:sz w:val="16"/>
          <w:szCs w:val="16"/>
        </w:rPr>
        <w:t xml:space="preserve"> </w:t>
      </w:r>
      <w:r>
        <w:rPr>
          <w:color w:val="0D0D0D" w:themeColor="text1" w:themeTint="F2"/>
          <w:spacing w:val="-2"/>
          <w:sz w:val="16"/>
          <w:szCs w:val="16"/>
        </w:rPr>
        <w:t>října</w:t>
      </w:r>
      <w:r w:rsidRPr="00E9220F">
        <w:rPr>
          <w:color w:val="0D0D0D" w:themeColor="text1" w:themeTint="F2"/>
          <w:spacing w:val="-2"/>
          <w:sz w:val="16"/>
          <w:szCs w:val="16"/>
        </w:rPr>
        <w:t xml:space="preserve"> 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F6C" w:rsidRPr="00173642" w:rsidRDefault="00F23F6C" w:rsidP="00173642">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Vývoj ekonomiky České republiky v roce 2014/</w:t>
    </w:r>
    <w:r w:rsidRPr="00D43998">
      <w:rPr>
        <w:rFonts w:ascii="Arial" w:hAnsi="Arial" w:cs="Arial"/>
        <w:sz w:val="16"/>
        <w:szCs w:val="16"/>
      </w:rPr>
      <w:t xml:space="preserve"> </w:t>
    </w:r>
    <w:r>
      <w:rPr>
        <w:rFonts w:ascii="Arial" w:hAnsi="Arial" w:cs="Arial"/>
        <w:sz w:val="16"/>
        <w:szCs w:val="16"/>
      </w:rPr>
      <w:t>Souhrnná výkonnost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F6C" w:rsidRPr="00DC5B3B" w:rsidRDefault="00F23F6C" w:rsidP="002C6091">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Vývoj ekonomiky České republiky v 1. pololetí 2017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F6C" w:rsidRPr="00C00831" w:rsidRDefault="00F23F6C" w:rsidP="00D766EF">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Vývoj ekonomiky České republiky v 1. pololetí 2017</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F6C" w:rsidRPr="0030768C" w:rsidRDefault="00F23F6C" w:rsidP="0030768C">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Vývoj ekonomiky České republiky v 1. pololetí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5BAB"/>
    <w:multiLevelType w:val="hybridMultilevel"/>
    <w:tmpl w:val="4150E6B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6FB457C"/>
    <w:multiLevelType w:val="hybridMultilevel"/>
    <w:tmpl w:val="5A2A4F0E"/>
    <w:lvl w:ilvl="0" w:tplc="AFDC3104">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186057FE"/>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19714A0B"/>
    <w:multiLevelType w:val="hybridMultilevel"/>
    <w:tmpl w:val="11CE6D6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9CF62C9"/>
    <w:multiLevelType w:val="hybridMultilevel"/>
    <w:tmpl w:val="FFCA852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6">
    <w:nsid w:val="23A7708B"/>
    <w:multiLevelType w:val="hybridMultilevel"/>
    <w:tmpl w:val="9CF6FB5C"/>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31AD014E"/>
    <w:multiLevelType w:val="hybridMultilevel"/>
    <w:tmpl w:val="5A5ABD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33B18EA"/>
    <w:multiLevelType w:val="hybridMultilevel"/>
    <w:tmpl w:val="CFC2F5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2E20C48"/>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4C534B5E"/>
    <w:multiLevelType w:val="hybridMultilevel"/>
    <w:tmpl w:val="1180B77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57605137"/>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5D4D0FE2"/>
    <w:multiLevelType w:val="hybridMultilevel"/>
    <w:tmpl w:val="ECDE86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F940067"/>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3690D45"/>
    <w:multiLevelType w:val="hybridMultilevel"/>
    <w:tmpl w:val="7810A3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69C501C8"/>
    <w:multiLevelType w:val="hybridMultilevel"/>
    <w:tmpl w:val="0C043E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F805D16"/>
    <w:multiLevelType w:val="hybridMultilevel"/>
    <w:tmpl w:val="A12480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35261EC"/>
    <w:multiLevelType w:val="hybridMultilevel"/>
    <w:tmpl w:val="BFC0B07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ABC47DB"/>
    <w:multiLevelType w:val="hybridMultilevel"/>
    <w:tmpl w:val="AA506508"/>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16"/>
  </w:num>
  <w:num w:numId="2">
    <w:abstractNumId w:val="22"/>
  </w:num>
  <w:num w:numId="3">
    <w:abstractNumId w:val="12"/>
  </w:num>
  <w:num w:numId="4">
    <w:abstractNumId w:val="20"/>
  </w:num>
  <w:num w:numId="5">
    <w:abstractNumId w:val="14"/>
  </w:num>
  <w:num w:numId="6">
    <w:abstractNumId w:val="17"/>
  </w:num>
  <w:num w:numId="7">
    <w:abstractNumId w:val="5"/>
  </w:num>
  <w:num w:numId="8">
    <w:abstractNumId w:val="10"/>
  </w:num>
  <w:num w:numId="9">
    <w:abstractNumId w:val="19"/>
  </w:num>
  <w:num w:numId="10">
    <w:abstractNumId w:val="4"/>
  </w:num>
  <w:num w:numId="11">
    <w:abstractNumId w:val="8"/>
  </w:num>
  <w:num w:numId="12">
    <w:abstractNumId w:val="2"/>
  </w:num>
  <w:num w:numId="13">
    <w:abstractNumId w:val="7"/>
  </w:num>
  <w:num w:numId="14">
    <w:abstractNumId w:val="0"/>
  </w:num>
  <w:num w:numId="15">
    <w:abstractNumId w:val="18"/>
  </w:num>
  <w:num w:numId="16">
    <w:abstractNumId w:val="15"/>
  </w:num>
  <w:num w:numId="17">
    <w:abstractNumId w:val="6"/>
  </w:num>
  <w:num w:numId="18">
    <w:abstractNumId w:val="21"/>
  </w:num>
  <w:num w:numId="19">
    <w:abstractNumId w:val="9"/>
  </w:num>
  <w:num w:numId="20">
    <w:abstractNumId w:val="1"/>
  </w:num>
  <w:num w:numId="21">
    <w:abstractNumId w:val="11"/>
  </w:num>
  <w:num w:numId="22">
    <w:abstractNumId w:val="13"/>
  </w:num>
  <w:num w:numId="23">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54274"/>
  </w:hdrShapeDefaults>
  <w:footnotePr>
    <w:footnote w:id="-1"/>
    <w:footnote w:id="0"/>
  </w:footnotePr>
  <w:endnotePr>
    <w:endnote w:id="-1"/>
    <w:endnote w:id="0"/>
  </w:endnotePr>
  <w:compat/>
  <w:rsids>
    <w:rsidRoot w:val="009B70BD"/>
    <w:rsid w:val="00000FA7"/>
    <w:rsid w:val="00001EFF"/>
    <w:rsid w:val="00003687"/>
    <w:rsid w:val="00003C43"/>
    <w:rsid w:val="00004C5D"/>
    <w:rsid w:val="00004EB0"/>
    <w:rsid w:val="00007498"/>
    <w:rsid w:val="0000767A"/>
    <w:rsid w:val="000101F5"/>
    <w:rsid w:val="000104B9"/>
    <w:rsid w:val="00010702"/>
    <w:rsid w:val="00010770"/>
    <w:rsid w:val="00010982"/>
    <w:rsid w:val="00011191"/>
    <w:rsid w:val="0001159B"/>
    <w:rsid w:val="000117CA"/>
    <w:rsid w:val="00012986"/>
    <w:rsid w:val="00014028"/>
    <w:rsid w:val="00015195"/>
    <w:rsid w:val="0001519F"/>
    <w:rsid w:val="0001572B"/>
    <w:rsid w:val="0001573E"/>
    <w:rsid w:val="000157DA"/>
    <w:rsid w:val="0001589D"/>
    <w:rsid w:val="00016033"/>
    <w:rsid w:val="000162DB"/>
    <w:rsid w:val="00017F05"/>
    <w:rsid w:val="000202C6"/>
    <w:rsid w:val="00020315"/>
    <w:rsid w:val="000208B1"/>
    <w:rsid w:val="00020946"/>
    <w:rsid w:val="00022081"/>
    <w:rsid w:val="0002292C"/>
    <w:rsid w:val="00022B41"/>
    <w:rsid w:val="00023FB5"/>
    <w:rsid w:val="0002434F"/>
    <w:rsid w:val="00024887"/>
    <w:rsid w:val="00024CBA"/>
    <w:rsid w:val="00025501"/>
    <w:rsid w:val="00026998"/>
    <w:rsid w:val="00026B06"/>
    <w:rsid w:val="000304C4"/>
    <w:rsid w:val="0003066A"/>
    <w:rsid w:val="00030F14"/>
    <w:rsid w:val="000311C5"/>
    <w:rsid w:val="00032838"/>
    <w:rsid w:val="00032C12"/>
    <w:rsid w:val="00032E0C"/>
    <w:rsid w:val="00035CCF"/>
    <w:rsid w:val="00035FC6"/>
    <w:rsid w:val="0003705E"/>
    <w:rsid w:val="00037667"/>
    <w:rsid w:val="0003780E"/>
    <w:rsid w:val="0004075D"/>
    <w:rsid w:val="000411E1"/>
    <w:rsid w:val="00041E9C"/>
    <w:rsid w:val="00042EC6"/>
    <w:rsid w:val="00043C68"/>
    <w:rsid w:val="00043E05"/>
    <w:rsid w:val="00045681"/>
    <w:rsid w:val="0004694F"/>
    <w:rsid w:val="00046E43"/>
    <w:rsid w:val="000500DC"/>
    <w:rsid w:val="000509FD"/>
    <w:rsid w:val="00051ADE"/>
    <w:rsid w:val="00052052"/>
    <w:rsid w:val="00052172"/>
    <w:rsid w:val="000534FD"/>
    <w:rsid w:val="00053CBA"/>
    <w:rsid w:val="00054E43"/>
    <w:rsid w:val="00055059"/>
    <w:rsid w:val="000553E4"/>
    <w:rsid w:val="0005619C"/>
    <w:rsid w:val="000567FA"/>
    <w:rsid w:val="00056B26"/>
    <w:rsid w:val="00057C16"/>
    <w:rsid w:val="00060F26"/>
    <w:rsid w:val="00062D43"/>
    <w:rsid w:val="00062EC5"/>
    <w:rsid w:val="00064256"/>
    <w:rsid w:val="000706A4"/>
    <w:rsid w:val="00070A0C"/>
    <w:rsid w:val="00071F80"/>
    <w:rsid w:val="00072118"/>
    <w:rsid w:val="00073173"/>
    <w:rsid w:val="0007324C"/>
    <w:rsid w:val="000779AC"/>
    <w:rsid w:val="00080A41"/>
    <w:rsid w:val="00080AA8"/>
    <w:rsid w:val="00081851"/>
    <w:rsid w:val="00083803"/>
    <w:rsid w:val="00083D7F"/>
    <w:rsid w:val="00084393"/>
    <w:rsid w:val="0008716A"/>
    <w:rsid w:val="00087634"/>
    <w:rsid w:val="00091237"/>
    <w:rsid w:val="000916B1"/>
    <w:rsid w:val="0009191B"/>
    <w:rsid w:val="000920EC"/>
    <w:rsid w:val="000921B6"/>
    <w:rsid w:val="00092208"/>
    <w:rsid w:val="00092505"/>
    <w:rsid w:val="000927EB"/>
    <w:rsid w:val="00092C9A"/>
    <w:rsid w:val="00093F4B"/>
    <w:rsid w:val="000973B6"/>
    <w:rsid w:val="00097BFC"/>
    <w:rsid w:val="00097D02"/>
    <w:rsid w:val="000A1183"/>
    <w:rsid w:val="000A2121"/>
    <w:rsid w:val="000A2484"/>
    <w:rsid w:val="000A2929"/>
    <w:rsid w:val="000A36CE"/>
    <w:rsid w:val="000A59BF"/>
    <w:rsid w:val="000A66C2"/>
    <w:rsid w:val="000A68A7"/>
    <w:rsid w:val="000B1CFE"/>
    <w:rsid w:val="000B210A"/>
    <w:rsid w:val="000B249B"/>
    <w:rsid w:val="000B2ADE"/>
    <w:rsid w:val="000B3B01"/>
    <w:rsid w:val="000B3DB9"/>
    <w:rsid w:val="000B3F02"/>
    <w:rsid w:val="000B48A2"/>
    <w:rsid w:val="000B48E7"/>
    <w:rsid w:val="000B4F41"/>
    <w:rsid w:val="000B7663"/>
    <w:rsid w:val="000C1106"/>
    <w:rsid w:val="000C11D3"/>
    <w:rsid w:val="000C12F5"/>
    <w:rsid w:val="000C3408"/>
    <w:rsid w:val="000C54AF"/>
    <w:rsid w:val="000C57C5"/>
    <w:rsid w:val="000C5C0F"/>
    <w:rsid w:val="000C5D56"/>
    <w:rsid w:val="000C60D8"/>
    <w:rsid w:val="000C6498"/>
    <w:rsid w:val="000D0B22"/>
    <w:rsid w:val="000D0D51"/>
    <w:rsid w:val="000D14B3"/>
    <w:rsid w:val="000D1BFB"/>
    <w:rsid w:val="000D1F52"/>
    <w:rsid w:val="000D208B"/>
    <w:rsid w:val="000D263E"/>
    <w:rsid w:val="000D2B8D"/>
    <w:rsid w:val="000D2E41"/>
    <w:rsid w:val="000D342A"/>
    <w:rsid w:val="000D43CB"/>
    <w:rsid w:val="000D5E7A"/>
    <w:rsid w:val="000D5FAA"/>
    <w:rsid w:val="000D65A4"/>
    <w:rsid w:val="000D6AEF"/>
    <w:rsid w:val="000D7414"/>
    <w:rsid w:val="000E025B"/>
    <w:rsid w:val="000E0ECB"/>
    <w:rsid w:val="000E153A"/>
    <w:rsid w:val="000E19A8"/>
    <w:rsid w:val="000E1EEA"/>
    <w:rsid w:val="000E4241"/>
    <w:rsid w:val="000E4A42"/>
    <w:rsid w:val="000E6184"/>
    <w:rsid w:val="000E6476"/>
    <w:rsid w:val="000E78D2"/>
    <w:rsid w:val="000F3332"/>
    <w:rsid w:val="000F33EE"/>
    <w:rsid w:val="000F401E"/>
    <w:rsid w:val="000F5445"/>
    <w:rsid w:val="000F5598"/>
    <w:rsid w:val="000F5673"/>
    <w:rsid w:val="000F67B2"/>
    <w:rsid w:val="000F6CFB"/>
    <w:rsid w:val="000F74B6"/>
    <w:rsid w:val="000F790F"/>
    <w:rsid w:val="000F7E1B"/>
    <w:rsid w:val="00100014"/>
    <w:rsid w:val="0010039A"/>
    <w:rsid w:val="00101E94"/>
    <w:rsid w:val="00101FB2"/>
    <w:rsid w:val="001028CF"/>
    <w:rsid w:val="00102CB8"/>
    <w:rsid w:val="00102F02"/>
    <w:rsid w:val="0010385D"/>
    <w:rsid w:val="00103E41"/>
    <w:rsid w:val="001041B6"/>
    <w:rsid w:val="001070EA"/>
    <w:rsid w:val="0011002A"/>
    <w:rsid w:val="001107CE"/>
    <w:rsid w:val="001109F0"/>
    <w:rsid w:val="0011110A"/>
    <w:rsid w:val="001118AF"/>
    <w:rsid w:val="00111CA5"/>
    <w:rsid w:val="0011256E"/>
    <w:rsid w:val="0011352E"/>
    <w:rsid w:val="0011365A"/>
    <w:rsid w:val="00114FC0"/>
    <w:rsid w:val="00115496"/>
    <w:rsid w:val="00116DB9"/>
    <w:rsid w:val="00116F28"/>
    <w:rsid w:val="00117CE8"/>
    <w:rsid w:val="00121C39"/>
    <w:rsid w:val="00123255"/>
    <w:rsid w:val="00124D2D"/>
    <w:rsid w:val="00124DA1"/>
    <w:rsid w:val="00125326"/>
    <w:rsid w:val="00125CB5"/>
    <w:rsid w:val="00127535"/>
    <w:rsid w:val="001307BE"/>
    <w:rsid w:val="00130C8F"/>
    <w:rsid w:val="001314F2"/>
    <w:rsid w:val="001317DA"/>
    <w:rsid w:val="001323BA"/>
    <w:rsid w:val="0013254D"/>
    <w:rsid w:val="00133AAC"/>
    <w:rsid w:val="00133FBD"/>
    <w:rsid w:val="00134DFD"/>
    <w:rsid w:val="00136561"/>
    <w:rsid w:val="00136AE8"/>
    <w:rsid w:val="001400E1"/>
    <w:rsid w:val="001405FA"/>
    <w:rsid w:val="001413B3"/>
    <w:rsid w:val="001425C3"/>
    <w:rsid w:val="00142F16"/>
    <w:rsid w:val="00143E03"/>
    <w:rsid w:val="00143E93"/>
    <w:rsid w:val="00143FA3"/>
    <w:rsid w:val="0014428D"/>
    <w:rsid w:val="0014731B"/>
    <w:rsid w:val="00147E55"/>
    <w:rsid w:val="001500FC"/>
    <w:rsid w:val="00151AC0"/>
    <w:rsid w:val="00151B27"/>
    <w:rsid w:val="00152046"/>
    <w:rsid w:val="00152488"/>
    <w:rsid w:val="00152E53"/>
    <w:rsid w:val="00154147"/>
    <w:rsid w:val="001550F3"/>
    <w:rsid w:val="00155746"/>
    <w:rsid w:val="00156318"/>
    <w:rsid w:val="0015639A"/>
    <w:rsid w:val="0016081D"/>
    <w:rsid w:val="00160CF3"/>
    <w:rsid w:val="00160E61"/>
    <w:rsid w:val="00161300"/>
    <w:rsid w:val="001620FA"/>
    <w:rsid w:val="00162853"/>
    <w:rsid w:val="00163793"/>
    <w:rsid w:val="00167FB2"/>
    <w:rsid w:val="001707DE"/>
    <w:rsid w:val="00170B04"/>
    <w:rsid w:val="00170F47"/>
    <w:rsid w:val="001711F2"/>
    <w:rsid w:val="001714F2"/>
    <w:rsid w:val="001718C2"/>
    <w:rsid w:val="00173642"/>
    <w:rsid w:val="00173AF4"/>
    <w:rsid w:val="00173CB0"/>
    <w:rsid w:val="00174CE8"/>
    <w:rsid w:val="00174E7D"/>
    <w:rsid w:val="001752CB"/>
    <w:rsid w:val="00175351"/>
    <w:rsid w:val="00175F60"/>
    <w:rsid w:val="00176050"/>
    <w:rsid w:val="001764D8"/>
    <w:rsid w:val="00176A8F"/>
    <w:rsid w:val="00180D58"/>
    <w:rsid w:val="00181938"/>
    <w:rsid w:val="00182981"/>
    <w:rsid w:val="00184CF9"/>
    <w:rsid w:val="00185010"/>
    <w:rsid w:val="001852EC"/>
    <w:rsid w:val="00186447"/>
    <w:rsid w:val="001874CF"/>
    <w:rsid w:val="00190214"/>
    <w:rsid w:val="00190D9B"/>
    <w:rsid w:val="00191BAE"/>
    <w:rsid w:val="00193432"/>
    <w:rsid w:val="0019346C"/>
    <w:rsid w:val="00194AE3"/>
    <w:rsid w:val="00195335"/>
    <w:rsid w:val="00195444"/>
    <w:rsid w:val="0019579E"/>
    <w:rsid w:val="00197806"/>
    <w:rsid w:val="001A199D"/>
    <w:rsid w:val="001A2855"/>
    <w:rsid w:val="001A2BDB"/>
    <w:rsid w:val="001A30F4"/>
    <w:rsid w:val="001A47AB"/>
    <w:rsid w:val="001A4C0D"/>
    <w:rsid w:val="001A552F"/>
    <w:rsid w:val="001A56F3"/>
    <w:rsid w:val="001A737B"/>
    <w:rsid w:val="001A750C"/>
    <w:rsid w:val="001B1D89"/>
    <w:rsid w:val="001B2143"/>
    <w:rsid w:val="001B3110"/>
    <w:rsid w:val="001B4198"/>
    <w:rsid w:val="001B44BC"/>
    <w:rsid w:val="001B5215"/>
    <w:rsid w:val="001B5888"/>
    <w:rsid w:val="001B5A75"/>
    <w:rsid w:val="001B618F"/>
    <w:rsid w:val="001B6277"/>
    <w:rsid w:val="001B6545"/>
    <w:rsid w:val="001B681B"/>
    <w:rsid w:val="001B6A49"/>
    <w:rsid w:val="001B7231"/>
    <w:rsid w:val="001B74FB"/>
    <w:rsid w:val="001B77A1"/>
    <w:rsid w:val="001C0422"/>
    <w:rsid w:val="001C0E0E"/>
    <w:rsid w:val="001C0E66"/>
    <w:rsid w:val="001C0EB9"/>
    <w:rsid w:val="001C1219"/>
    <w:rsid w:val="001C357A"/>
    <w:rsid w:val="001C3961"/>
    <w:rsid w:val="001C3A37"/>
    <w:rsid w:val="001C4384"/>
    <w:rsid w:val="001C55F5"/>
    <w:rsid w:val="001C65FF"/>
    <w:rsid w:val="001C6747"/>
    <w:rsid w:val="001D3787"/>
    <w:rsid w:val="001D47E5"/>
    <w:rsid w:val="001D584C"/>
    <w:rsid w:val="001D5E1B"/>
    <w:rsid w:val="001D66C1"/>
    <w:rsid w:val="001D6EF6"/>
    <w:rsid w:val="001D7C6F"/>
    <w:rsid w:val="001E0024"/>
    <w:rsid w:val="001E0C65"/>
    <w:rsid w:val="001E23E3"/>
    <w:rsid w:val="001E29AF"/>
    <w:rsid w:val="001E387A"/>
    <w:rsid w:val="001E3DA4"/>
    <w:rsid w:val="001E5469"/>
    <w:rsid w:val="001E5830"/>
    <w:rsid w:val="001E684C"/>
    <w:rsid w:val="001E701C"/>
    <w:rsid w:val="001E7552"/>
    <w:rsid w:val="001E7C03"/>
    <w:rsid w:val="001F02AF"/>
    <w:rsid w:val="001F0649"/>
    <w:rsid w:val="001F28F4"/>
    <w:rsid w:val="001F2902"/>
    <w:rsid w:val="001F2CC6"/>
    <w:rsid w:val="001F3055"/>
    <w:rsid w:val="001F31BC"/>
    <w:rsid w:val="001F378E"/>
    <w:rsid w:val="001F3C79"/>
    <w:rsid w:val="001F3E68"/>
    <w:rsid w:val="001F4597"/>
    <w:rsid w:val="001F56A9"/>
    <w:rsid w:val="001F5C6A"/>
    <w:rsid w:val="001F63A7"/>
    <w:rsid w:val="001F670A"/>
    <w:rsid w:val="00200D15"/>
    <w:rsid w:val="0020223B"/>
    <w:rsid w:val="0020294A"/>
    <w:rsid w:val="00203074"/>
    <w:rsid w:val="00203B09"/>
    <w:rsid w:val="00203B46"/>
    <w:rsid w:val="00203FCB"/>
    <w:rsid w:val="002048E1"/>
    <w:rsid w:val="002070AB"/>
    <w:rsid w:val="00207DB6"/>
    <w:rsid w:val="00210278"/>
    <w:rsid w:val="00210CC2"/>
    <w:rsid w:val="00210F5B"/>
    <w:rsid w:val="00210FFA"/>
    <w:rsid w:val="00211262"/>
    <w:rsid w:val="0021139C"/>
    <w:rsid w:val="002115F5"/>
    <w:rsid w:val="00211AC9"/>
    <w:rsid w:val="0021329E"/>
    <w:rsid w:val="0021355B"/>
    <w:rsid w:val="00215061"/>
    <w:rsid w:val="0021507A"/>
    <w:rsid w:val="0021552C"/>
    <w:rsid w:val="00215A2C"/>
    <w:rsid w:val="00217980"/>
    <w:rsid w:val="002179F9"/>
    <w:rsid w:val="002205F2"/>
    <w:rsid w:val="0022080E"/>
    <w:rsid w:val="00220895"/>
    <w:rsid w:val="00220B20"/>
    <w:rsid w:val="0022139E"/>
    <w:rsid w:val="0022272B"/>
    <w:rsid w:val="00222A99"/>
    <w:rsid w:val="00223678"/>
    <w:rsid w:val="002236F7"/>
    <w:rsid w:val="00223E00"/>
    <w:rsid w:val="002252E0"/>
    <w:rsid w:val="002255F6"/>
    <w:rsid w:val="00225F36"/>
    <w:rsid w:val="00226466"/>
    <w:rsid w:val="002266D0"/>
    <w:rsid w:val="00226887"/>
    <w:rsid w:val="00227991"/>
    <w:rsid w:val="00230DAD"/>
    <w:rsid w:val="0023229C"/>
    <w:rsid w:val="0023301B"/>
    <w:rsid w:val="002334DF"/>
    <w:rsid w:val="0023355C"/>
    <w:rsid w:val="00234280"/>
    <w:rsid w:val="00234DD5"/>
    <w:rsid w:val="00235000"/>
    <w:rsid w:val="002350E3"/>
    <w:rsid w:val="00235330"/>
    <w:rsid w:val="00236443"/>
    <w:rsid w:val="00240773"/>
    <w:rsid w:val="00240815"/>
    <w:rsid w:val="00240A5B"/>
    <w:rsid w:val="00240C76"/>
    <w:rsid w:val="002411EF"/>
    <w:rsid w:val="00241446"/>
    <w:rsid w:val="00242730"/>
    <w:rsid w:val="002436BA"/>
    <w:rsid w:val="002444ED"/>
    <w:rsid w:val="00244A15"/>
    <w:rsid w:val="00244D40"/>
    <w:rsid w:val="00246AE9"/>
    <w:rsid w:val="0024799E"/>
    <w:rsid w:val="00250C59"/>
    <w:rsid w:val="00250E0D"/>
    <w:rsid w:val="002518F6"/>
    <w:rsid w:val="00251D59"/>
    <w:rsid w:val="00252602"/>
    <w:rsid w:val="00252609"/>
    <w:rsid w:val="00252FDC"/>
    <w:rsid w:val="002532E2"/>
    <w:rsid w:val="00253E11"/>
    <w:rsid w:val="00254B3B"/>
    <w:rsid w:val="002550D8"/>
    <w:rsid w:val="00257613"/>
    <w:rsid w:val="00261A0F"/>
    <w:rsid w:val="00261E5B"/>
    <w:rsid w:val="00262F34"/>
    <w:rsid w:val="002633E5"/>
    <w:rsid w:val="00263470"/>
    <w:rsid w:val="00263733"/>
    <w:rsid w:val="00264676"/>
    <w:rsid w:val="00265536"/>
    <w:rsid w:val="00265E54"/>
    <w:rsid w:val="00266F3E"/>
    <w:rsid w:val="00270785"/>
    <w:rsid w:val="00272464"/>
    <w:rsid w:val="00272B0B"/>
    <w:rsid w:val="00272CC5"/>
    <w:rsid w:val="00273C60"/>
    <w:rsid w:val="00273DCD"/>
    <w:rsid w:val="00274291"/>
    <w:rsid w:val="00276C09"/>
    <w:rsid w:val="00276CFE"/>
    <w:rsid w:val="00277071"/>
    <w:rsid w:val="0027786C"/>
    <w:rsid w:val="00277BF7"/>
    <w:rsid w:val="00281416"/>
    <w:rsid w:val="00282084"/>
    <w:rsid w:val="00283C61"/>
    <w:rsid w:val="00284C6F"/>
    <w:rsid w:val="00285CD3"/>
    <w:rsid w:val="0028633E"/>
    <w:rsid w:val="0028686A"/>
    <w:rsid w:val="00286E66"/>
    <w:rsid w:val="002870B7"/>
    <w:rsid w:val="002919B5"/>
    <w:rsid w:val="00293441"/>
    <w:rsid w:val="00294238"/>
    <w:rsid w:val="0029493E"/>
    <w:rsid w:val="002962E0"/>
    <w:rsid w:val="00296C2E"/>
    <w:rsid w:val="002A1B05"/>
    <w:rsid w:val="002A267F"/>
    <w:rsid w:val="002A3354"/>
    <w:rsid w:val="002A35EA"/>
    <w:rsid w:val="002A37B6"/>
    <w:rsid w:val="002A3BD5"/>
    <w:rsid w:val="002A43A2"/>
    <w:rsid w:val="002A44ED"/>
    <w:rsid w:val="002A4612"/>
    <w:rsid w:val="002A4F70"/>
    <w:rsid w:val="002A5263"/>
    <w:rsid w:val="002A63B9"/>
    <w:rsid w:val="002A6821"/>
    <w:rsid w:val="002A74D2"/>
    <w:rsid w:val="002A7CDA"/>
    <w:rsid w:val="002A7F47"/>
    <w:rsid w:val="002B1544"/>
    <w:rsid w:val="002B1DC1"/>
    <w:rsid w:val="002B36C8"/>
    <w:rsid w:val="002B385B"/>
    <w:rsid w:val="002B6B7A"/>
    <w:rsid w:val="002B71B4"/>
    <w:rsid w:val="002B7240"/>
    <w:rsid w:val="002B7937"/>
    <w:rsid w:val="002C0FF4"/>
    <w:rsid w:val="002C125A"/>
    <w:rsid w:val="002C2668"/>
    <w:rsid w:val="002C43BD"/>
    <w:rsid w:val="002C493D"/>
    <w:rsid w:val="002C5261"/>
    <w:rsid w:val="002C6091"/>
    <w:rsid w:val="002C63C1"/>
    <w:rsid w:val="002D0562"/>
    <w:rsid w:val="002D1B5A"/>
    <w:rsid w:val="002D2500"/>
    <w:rsid w:val="002D338A"/>
    <w:rsid w:val="002D3F00"/>
    <w:rsid w:val="002D4D59"/>
    <w:rsid w:val="002D54BF"/>
    <w:rsid w:val="002D5C3D"/>
    <w:rsid w:val="002D5E94"/>
    <w:rsid w:val="002D632D"/>
    <w:rsid w:val="002D6B01"/>
    <w:rsid w:val="002D6B11"/>
    <w:rsid w:val="002D6FC7"/>
    <w:rsid w:val="002D7EF4"/>
    <w:rsid w:val="002E02A1"/>
    <w:rsid w:val="002E0982"/>
    <w:rsid w:val="002E0DB9"/>
    <w:rsid w:val="002E2CE4"/>
    <w:rsid w:val="002E34F3"/>
    <w:rsid w:val="002E4217"/>
    <w:rsid w:val="002E435E"/>
    <w:rsid w:val="002E73F2"/>
    <w:rsid w:val="002F33FB"/>
    <w:rsid w:val="002F663A"/>
    <w:rsid w:val="002F68A4"/>
    <w:rsid w:val="002F7594"/>
    <w:rsid w:val="002F7902"/>
    <w:rsid w:val="003003E7"/>
    <w:rsid w:val="00300D6F"/>
    <w:rsid w:val="00301357"/>
    <w:rsid w:val="0030192C"/>
    <w:rsid w:val="00301D04"/>
    <w:rsid w:val="003035D4"/>
    <w:rsid w:val="00303A3C"/>
    <w:rsid w:val="00303DCB"/>
    <w:rsid w:val="00304771"/>
    <w:rsid w:val="00304E6C"/>
    <w:rsid w:val="00305736"/>
    <w:rsid w:val="00305C33"/>
    <w:rsid w:val="00306C5B"/>
    <w:rsid w:val="00306E3B"/>
    <w:rsid w:val="0030768C"/>
    <w:rsid w:val="00310ADB"/>
    <w:rsid w:val="003119B6"/>
    <w:rsid w:val="00312C3D"/>
    <w:rsid w:val="00314331"/>
    <w:rsid w:val="00317E31"/>
    <w:rsid w:val="00320214"/>
    <w:rsid w:val="003209D6"/>
    <w:rsid w:val="0032109A"/>
    <w:rsid w:val="0032214F"/>
    <w:rsid w:val="00322164"/>
    <w:rsid w:val="00323CF7"/>
    <w:rsid w:val="00323E61"/>
    <w:rsid w:val="0032513D"/>
    <w:rsid w:val="00326251"/>
    <w:rsid w:val="0032739C"/>
    <w:rsid w:val="003276D1"/>
    <w:rsid w:val="00327DEE"/>
    <w:rsid w:val="003302DA"/>
    <w:rsid w:val="00330EB0"/>
    <w:rsid w:val="00331574"/>
    <w:rsid w:val="0033229B"/>
    <w:rsid w:val="003329F3"/>
    <w:rsid w:val="0033352E"/>
    <w:rsid w:val="00333690"/>
    <w:rsid w:val="00333D20"/>
    <w:rsid w:val="00333F53"/>
    <w:rsid w:val="003340EF"/>
    <w:rsid w:val="00334A49"/>
    <w:rsid w:val="0033536F"/>
    <w:rsid w:val="00335BB0"/>
    <w:rsid w:val="0033627B"/>
    <w:rsid w:val="003406BD"/>
    <w:rsid w:val="00343474"/>
    <w:rsid w:val="00343F84"/>
    <w:rsid w:val="00344135"/>
    <w:rsid w:val="003450E2"/>
    <w:rsid w:val="00351B63"/>
    <w:rsid w:val="00352482"/>
    <w:rsid w:val="00352E57"/>
    <w:rsid w:val="003541B0"/>
    <w:rsid w:val="0035457E"/>
    <w:rsid w:val="00355885"/>
    <w:rsid w:val="00355CAA"/>
    <w:rsid w:val="0035605E"/>
    <w:rsid w:val="00356244"/>
    <w:rsid w:val="00357449"/>
    <w:rsid w:val="00357C28"/>
    <w:rsid w:val="00361F76"/>
    <w:rsid w:val="0036238B"/>
    <w:rsid w:val="00362408"/>
    <w:rsid w:val="003630B0"/>
    <w:rsid w:val="00364087"/>
    <w:rsid w:val="003649FC"/>
    <w:rsid w:val="003651A4"/>
    <w:rsid w:val="00365680"/>
    <w:rsid w:val="003657F3"/>
    <w:rsid w:val="00366D4D"/>
    <w:rsid w:val="00366F77"/>
    <w:rsid w:val="00367038"/>
    <w:rsid w:val="003670FE"/>
    <w:rsid w:val="0036710C"/>
    <w:rsid w:val="00370963"/>
    <w:rsid w:val="0037144E"/>
    <w:rsid w:val="00372272"/>
    <w:rsid w:val="0037290D"/>
    <w:rsid w:val="003736B5"/>
    <w:rsid w:val="00374F1E"/>
    <w:rsid w:val="003750CF"/>
    <w:rsid w:val="003769F0"/>
    <w:rsid w:val="00376DEC"/>
    <w:rsid w:val="00377200"/>
    <w:rsid w:val="00377666"/>
    <w:rsid w:val="0038034A"/>
    <w:rsid w:val="00380E04"/>
    <w:rsid w:val="00380E6C"/>
    <w:rsid w:val="00383227"/>
    <w:rsid w:val="003839C9"/>
    <w:rsid w:val="0038422D"/>
    <w:rsid w:val="00384D8F"/>
    <w:rsid w:val="003857A2"/>
    <w:rsid w:val="00385D98"/>
    <w:rsid w:val="00385EC5"/>
    <w:rsid w:val="0038658E"/>
    <w:rsid w:val="003875C2"/>
    <w:rsid w:val="0039066E"/>
    <w:rsid w:val="00391C95"/>
    <w:rsid w:val="00392110"/>
    <w:rsid w:val="00393D74"/>
    <w:rsid w:val="003948D7"/>
    <w:rsid w:val="00394D49"/>
    <w:rsid w:val="00396DAC"/>
    <w:rsid w:val="003971D0"/>
    <w:rsid w:val="003A0214"/>
    <w:rsid w:val="003A027D"/>
    <w:rsid w:val="003A1D74"/>
    <w:rsid w:val="003A2B4D"/>
    <w:rsid w:val="003A2D2B"/>
    <w:rsid w:val="003A2DD4"/>
    <w:rsid w:val="003A3982"/>
    <w:rsid w:val="003A3B1C"/>
    <w:rsid w:val="003A4088"/>
    <w:rsid w:val="003A478C"/>
    <w:rsid w:val="003A4F82"/>
    <w:rsid w:val="003A5525"/>
    <w:rsid w:val="003A6B38"/>
    <w:rsid w:val="003B2142"/>
    <w:rsid w:val="003B2580"/>
    <w:rsid w:val="003B293F"/>
    <w:rsid w:val="003B2E63"/>
    <w:rsid w:val="003B3189"/>
    <w:rsid w:val="003B3A9D"/>
    <w:rsid w:val="003B3DDD"/>
    <w:rsid w:val="003B5031"/>
    <w:rsid w:val="003B5A32"/>
    <w:rsid w:val="003B6105"/>
    <w:rsid w:val="003C03CC"/>
    <w:rsid w:val="003C04C4"/>
    <w:rsid w:val="003C08E2"/>
    <w:rsid w:val="003C0B96"/>
    <w:rsid w:val="003C26F4"/>
    <w:rsid w:val="003C3686"/>
    <w:rsid w:val="003C3E2C"/>
    <w:rsid w:val="003C4852"/>
    <w:rsid w:val="003C5BC7"/>
    <w:rsid w:val="003C601E"/>
    <w:rsid w:val="003C66C4"/>
    <w:rsid w:val="003C6DB9"/>
    <w:rsid w:val="003D2393"/>
    <w:rsid w:val="003D2C4E"/>
    <w:rsid w:val="003D3600"/>
    <w:rsid w:val="003D3825"/>
    <w:rsid w:val="003D3EC4"/>
    <w:rsid w:val="003D44E2"/>
    <w:rsid w:val="003D4760"/>
    <w:rsid w:val="003D49DC"/>
    <w:rsid w:val="003D4DD9"/>
    <w:rsid w:val="003D4FB5"/>
    <w:rsid w:val="003D59BE"/>
    <w:rsid w:val="003D5D7A"/>
    <w:rsid w:val="003D5E4B"/>
    <w:rsid w:val="003D653F"/>
    <w:rsid w:val="003D6B55"/>
    <w:rsid w:val="003E0663"/>
    <w:rsid w:val="003E133F"/>
    <w:rsid w:val="003E49F6"/>
    <w:rsid w:val="003E699C"/>
    <w:rsid w:val="003E69F3"/>
    <w:rsid w:val="003E782E"/>
    <w:rsid w:val="003E7A0B"/>
    <w:rsid w:val="003E7B2B"/>
    <w:rsid w:val="003F0293"/>
    <w:rsid w:val="003F116D"/>
    <w:rsid w:val="003F181F"/>
    <w:rsid w:val="003F1A48"/>
    <w:rsid w:val="003F1E23"/>
    <w:rsid w:val="003F22F6"/>
    <w:rsid w:val="003F2B0A"/>
    <w:rsid w:val="003F313C"/>
    <w:rsid w:val="003F32AB"/>
    <w:rsid w:val="003F341B"/>
    <w:rsid w:val="003F37FC"/>
    <w:rsid w:val="003F3A26"/>
    <w:rsid w:val="003F49A6"/>
    <w:rsid w:val="003F5047"/>
    <w:rsid w:val="003F5098"/>
    <w:rsid w:val="003F5568"/>
    <w:rsid w:val="003F5A95"/>
    <w:rsid w:val="003F6D19"/>
    <w:rsid w:val="004000D5"/>
    <w:rsid w:val="00400244"/>
    <w:rsid w:val="004005C1"/>
    <w:rsid w:val="00400BBD"/>
    <w:rsid w:val="00401716"/>
    <w:rsid w:val="004018F7"/>
    <w:rsid w:val="00401A09"/>
    <w:rsid w:val="0040273A"/>
    <w:rsid w:val="00402C25"/>
    <w:rsid w:val="004036FB"/>
    <w:rsid w:val="004050D7"/>
    <w:rsid w:val="004078BD"/>
    <w:rsid w:val="00410132"/>
    <w:rsid w:val="004104E4"/>
    <w:rsid w:val="00410A97"/>
    <w:rsid w:val="00410BCD"/>
    <w:rsid w:val="00410DE5"/>
    <w:rsid w:val="0041175D"/>
    <w:rsid w:val="004117CE"/>
    <w:rsid w:val="004123BE"/>
    <w:rsid w:val="00414CE5"/>
    <w:rsid w:val="00416673"/>
    <w:rsid w:val="0042160D"/>
    <w:rsid w:val="00423A3C"/>
    <w:rsid w:val="00423C04"/>
    <w:rsid w:val="00424D9B"/>
    <w:rsid w:val="0042681B"/>
    <w:rsid w:val="00427193"/>
    <w:rsid w:val="0043068A"/>
    <w:rsid w:val="004306E0"/>
    <w:rsid w:val="00431D54"/>
    <w:rsid w:val="00431F98"/>
    <w:rsid w:val="004329BE"/>
    <w:rsid w:val="00432C38"/>
    <w:rsid w:val="004342EC"/>
    <w:rsid w:val="00437C76"/>
    <w:rsid w:val="00437F4A"/>
    <w:rsid w:val="0044105C"/>
    <w:rsid w:val="00442197"/>
    <w:rsid w:val="00443E95"/>
    <w:rsid w:val="004441A0"/>
    <w:rsid w:val="00444268"/>
    <w:rsid w:val="00444326"/>
    <w:rsid w:val="004443BF"/>
    <w:rsid w:val="00444C19"/>
    <w:rsid w:val="00445218"/>
    <w:rsid w:val="00445CDD"/>
    <w:rsid w:val="00446892"/>
    <w:rsid w:val="00447267"/>
    <w:rsid w:val="00447E36"/>
    <w:rsid w:val="00450700"/>
    <w:rsid w:val="00450C30"/>
    <w:rsid w:val="004529C7"/>
    <w:rsid w:val="004540FF"/>
    <w:rsid w:val="004541F1"/>
    <w:rsid w:val="00455ECA"/>
    <w:rsid w:val="00457296"/>
    <w:rsid w:val="00457320"/>
    <w:rsid w:val="00460164"/>
    <w:rsid w:val="0046039A"/>
    <w:rsid w:val="00460A6B"/>
    <w:rsid w:val="00461977"/>
    <w:rsid w:val="00461A3F"/>
    <w:rsid w:val="004620C7"/>
    <w:rsid w:val="004629FD"/>
    <w:rsid w:val="00462AD2"/>
    <w:rsid w:val="00463B4B"/>
    <w:rsid w:val="00463F4D"/>
    <w:rsid w:val="00464658"/>
    <w:rsid w:val="0046471F"/>
    <w:rsid w:val="00464BE8"/>
    <w:rsid w:val="00465019"/>
    <w:rsid w:val="00465FA4"/>
    <w:rsid w:val="0046613F"/>
    <w:rsid w:val="0046655D"/>
    <w:rsid w:val="00466808"/>
    <w:rsid w:val="00466AAE"/>
    <w:rsid w:val="0046765E"/>
    <w:rsid w:val="004676E2"/>
    <w:rsid w:val="00471EDD"/>
    <w:rsid w:val="00473E94"/>
    <w:rsid w:val="0047400C"/>
    <w:rsid w:val="00474471"/>
    <w:rsid w:val="004745D9"/>
    <w:rsid w:val="00474B94"/>
    <w:rsid w:val="004761D2"/>
    <w:rsid w:val="004762D8"/>
    <w:rsid w:val="004765B3"/>
    <w:rsid w:val="00476D29"/>
    <w:rsid w:val="00477241"/>
    <w:rsid w:val="0047728F"/>
    <w:rsid w:val="004774F5"/>
    <w:rsid w:val="00477EAF"/>
    <w:rsid w:val="00477EE0"/>
    <w:rsid w:val="00480AB8"/>
    <w:rsid w:val="0048139F"/>
    <w:rsid w:val="00481C00"/>
    <w:rsid w:val="00483053"/>
    <w:rsid w:val="00484874"/>
    <w:rsid w:val="00485230"/>
    <w:rsid w:val="00487127"/>
    <w:rsid w:val="004879E9"/>
    <w:rsid w:val="00487F81"/>
    <w:rsid w:val="00490082"/>
    <w:rsid w:val="00490247"/>
    <w:rsid w:val="0049104F"/>
    <w:rsid w:val="00491218"/>
    <w:rsid w:val="00491CFD"/>
    <w:rsid w:val="00492991"/>
    <w:rsid w:val="00493362"/>
    <w:rsid w:val="00494343"/>
    <w:rsid w:val="00494AAB"/>
    <w:rsid w:val="00496C2F"/>
    <w:rsid w:val="0049740D"/>
    <w:rsid w:val="004978D3"/>
    <w:rsid w:val="004A06A6"/>
    <w:rsid w:val="004A11F8"/>
    <w:rsid w:val="004A22BD"/>
    <w:rsid w:val="004A22FA"/>
    <w:rsid w:val="004A269A"/>
    <w:rsid w:val="004A26AF"/>
    <w:rsid w:val="004A26DB"/>
    <w:rsid w:val="004A30FB"/>
    <w:rsid w:val="004A35DD"/>
    <w:rsid w:val="004A37D3"/>
    <w:rsid w:val="004A3AD6"/>
    <w:rsid w:val="004A3BCE"/>
    <w:rsid w:val="004A5865"/>
    <w:rsid w:val="004A7670"/>
    <w:rsid w:val="004A77DF"/>
    <w:rsid w:val="004B0295"/>
    <w:rsid w:val="004B0803"/>
    <w:rsid w:val="004B10A8"/>
    <w:rsid w:val="004B1F58"/>
    <w:rsid w:val="004B1F9D"/>
    <w:rsid w:val="004B22DA"/>
    <w:rsid w:val="004B3CB7"/>
    <w:rsid w:val="004B3D55"/>
    <w:rsid w:val="004B55B7"/>
    <w:rsid w:val="004B5836"/>
    <w:rsid w:val="004B5F05"/>
    <w:rsid w:val="004C00A6"/>
    <w:rsid w:val="004C0243"/>
    <w:rsid w:val="004C0BBB"/>
    <w:rsid w:val="004C1AD6"/>
    <w:rsid w:val="004C1B86"/>
    <w:rsid w:val="004C1DEE"/>
    <w:rsid w:val="004C3382"/>
    <w:rsid w:val="004C3867"/>
    <w:rsid w:val="004C4AB7"/>
    <w:rsid w:val="004C4B88"/>
    <w:rsid w:val="004C4CD0"/>
    <w:rsid w:val="004C57B5"/>
    <w:rsid w:val="004C5C25"/>
    <w:rsid w:val="004C6717"/>
    <w:rsid w:val="004C6CFF"/>
    <w:rsid w:val="004C70DC"/>
    <w:rsid w:val="004C7268"/>
    <w:rsid w:val="004C7C50"/>
    <w:rsid w:val="004D0211"/>
    <w:rsid w:val="004D1C9C"/>
    <w:rsid w:val="004D2A0E"/>
    <w:rsid w:val="004D458D"/>
    <w:rsid w:val="004D4F13"/>
    <w:rsid w:val="004D504B"/>
    <w:rsid w:val="004D536E"/>
    <w:rsid w:val="004D58CE"/>
    <w:rsid w:val="004D70B1"/>
    <w:rsid w:val="004D76CC"/>
    <w:rsid w:val="004E1415"/>
    <w:rsid w:val="004E1839"/>
    <w:rsid w:val="004E4A75"/>
    <w:rsid w:val="004E541A"/>
    <w:rsid w:val="004E5A5C"/>
    <w:rsid w:val="004E7007"/>
    <w:rsid w:val="004E76D6"/>
    <w:rsid w:val="004E7F57"/>
    <w:rsid w:val="004F06F5"/>
    <w:rsid w:val="004F191F"/>
    <w:rsid w:val="004F2A4D"/>
    <w:rsid w:val="004F2A73"/>
    <w:rsid w:val="004F33A0"/>
    <w:rsid w:val="004F353A"/>
    <w:rsid w:val="004F4353"/>
    <w:rsid w:val="004F447D"/>
    <w:rsid w:val="004F4C28"/>
    <w:rsid w:val="004F4E82"/>
    <w:rsid w:val="004F5470"/>
    <w:rsid w:val="004F5CC5"/>
    <w:rsid w:val="004F6350"/>
    <w:rsid w:val="004F7170"/>
    <w:rsid w:val="005028E1"/>
    <w:rsid w:val="00505989"/>
    <w:rsid w:val="00506309"/>
    <w:rsid w:val="0050692E"/>
    <w:rsid w:val="00507040"/>
    <w:rsid w:val="005079F8"/>
    <w:rsid w:val="00510189"/>
    <w:rsid w:val="005108C0"/>
    <w:rsid w:val="00511873"/>
    <w:rsid w:val="00512603"/>
    <w:rsid w:val="00512CC5"/>
    <w:rsid w:val="0051367B"/>
    <w:rsid w:val="00513A89"/>
    <w:rsid w:val="00513B7E"/>
    <w:rsid w:val="005140DE"/>
    <w:rsid w:val="00514474"/>
    <w:rsid w:val="005147E9"/>
    <w:rsid w:val="0051507D"/>
    <w:rsid w:val="0051593C"/>
    <w:rsid w:val="00517567"/>
    <w:rsid w:val="0051778E"/>
    <w:rsid w:val="005215EF"/>
    <w:rsid w:val="00524637"/>
    <w:rsid w:val="00524FDD"/>
    <w:rsid w:val="00525137"/>
    <w:rsid w:val="005251DD"/>
    <w:rsid w:val="00526DB6"/>
    <w:rsid w:val="0053017A"/>
    <w:rsid w:val="00530492"/>
    <w:rsid w:val="005308E4"/>
    <w:rsid w:val="005325A8"/>
    <w:rsid w:val="00532854"/>
    <w:rsid w:val="005350F2"/>
    <w:rsid w:val="00535152"/>
    <w:rsid w:val="00535359"/>
    <w:rsid w:val="005357A2"/>
    <w:rsid w:val="005359E3"/>
    <w:rsid w:val="00535D87"/>
    <w:rsid w:val="00535EF0"/>
    <w:rsid w:val="00535F78"/>
    <w:rsid w:val="005363DF"/>
    <w:rsid w:val="0053734B"/>
    <w:rsid w:val="005375B1"/>
    <w:rsid w:val="00537AFD"/>
    <w:rsid w:val="00537CB4"/>
    <w:rsid w:val="00540CB3"/>
    <w:rsid w:val="00540D25"/>
    <w:rsid w:val="00541822"/>
    <w:rsid w:val="00542D19"/>
    <w:rsid w:val="0054516B"/>
    <w:rsid w:val="0054559E"/>
    <w:rsid w:val="005459BD"/>
    <w:rsid w:val="00546833"/>
    <w:rsid w:val="0054787A"/>
    <w:rsid w:val="005513D5"/>
    <w:rsid w:val="005523B9"/>
    <w:rsid w:val="00553C88"/>
    <w:rsid w:val="005545E0"/>
    <w:rsid w:val="00554865"/>
    <w:rsid w:val="00554E57"/>
    <w:rsid w:val="00557E6A"/>
    <w:rsid w:val="00562749"/>
    <w:rsid w:val="00562DE9"/>
    <w:rsid w:val="005638A5"/>
    <w:rsid w:val="00564137"/>
    <w:rsid w:val="00566381"/>
    <w:rsid w:val="00566A03"/>
    <w:rsid w:val="00571932"/>
    <w:rsid w:val="00573C97"/>
    <w:rsid w:val="00574240"/>
    <w:rsid w:val="0057454C"/>
    <w:rsid w:val="005752EB"/>
    <w:rsid w:val="005755FE"/>
    <w:rsid w:val="00575CDC"/>
    <w:rsid w:val="005765D5"/>
    <w:rsid w:val="00576A3E"/>
    <w:rsid w:val="0057703D"/>
    <w:rsid w:val="00581892"/>
    <w:rsid w:val="0058366F"/>
    <w:rsid w:val="00583D5B"/>
    <w:rsid w:val="00583FFD"/>
    <w:rsid w:val="00587CCD"/>
    <w:rsid w:val="005908AE"/>
    <w:rsid w:val="0059176E"/>
    <w:rsid w:val="00592854"/>
    <w:rsid w:val="00593152"/>
    <w:rsid w:val="005934CE"/>
    <w:rsid w:val="00593CA3"/>
    <w:rsid w:val="00594161"/>
    <w:rsid w:val="00594969"/>
    <w:rsid w:val="00594B91"/>
    <w:rsid w:val="00595035"/>
    <w:rsid w:val="00596C5E"/>
    <w:rsid w:val="005A2194"/>
    <w:rsid w:val="005A21E0"/>
    <w:rsid w:val="005A3210"/>
    <w:rsid w:val="005A33A1"/>
    <w:rsid w:val="005A3687"/>
    <w:rsid w:val="005A54EE"/>
    <w:rsid w:val="005A563B"/>
    <w:rsid w:val="005A5F82"/>
    <w:rsid w:val="005A61D1"/>
    <w:rsid w:val="005A6E85"/>
    <w:rsid w:val="005A7500"/>
    <w:rsid w:val="005A77E4"/>
    <w:rsid w:val="005A77F6"/>
    <w:rsid w:val="005B0262"/>
    <w:rsid w:val="005B0B8F"/>
    <w:rsid w:val="005B1BDB"/>
    <w:rsid w:val="005B22A7"/>
    <w:rsid w:val="005B2BAA"/>
    <w:rsid w:val="005B2D53"/>
    <w:rsid w:val="005B3247"/>
    <w:rsid w:val="005B3409"/>
    <w:rsid w:val="005B498A"/>
    <w:rsid w:val="005B7B12"/>
    <w:rsid w:val="005C16CB"/>
    <w:rsid w:val="005C21D6"/>
    <w:rsid w:val="005C3F9F"/>
    <w:rsid w:val="005C406F"/>
    <w:rsid w:val="005C40BA"/>
    <w:rsid w:val="005C4A23"/>
    <w:rsid w:val="005C562C"/>
    <w:rsid w:val="005C5812"/>
    <w:rsid w:val="005C6400"/>
    <w:rsid w:val="005C7F1E"/>
    <w:rsid w:val="005D073B"/>
    <w:rsid w:val="005D25B4"/>
    <w:rsid w:val="005D374F"/>
    <w:rsid w:val="005D5802"/>
    <w:rsid w:val="005D6CFC"/>
    <w:rsid w:val="005D73E2"/>
    <w:rsid w:val="005D757A"/>
    <w:rsid w:val="005D7C4B"/>
    <w:rsid w:val="005E1871"/>
    <w:rsid w:val="005E1E4B"/>
    <w:rsid w:val="005E362D"/>
    <w:rsid w:val="005E3A0C"/>
    <w:rsid w:val="005E3FAC"/>
    <w:rsid w:val="005E4483"/>
    <w:rsid w:val="005E492C"/>
    <w:rsid w:val="005E4BAA"/>
    <w:rsid w:val="005E52EF"/>
    <w:rsid w:val="005E5B56"/>
    <w:rsid w:val="005E6088"/>
    <w:rsid w:val="005E61DF"/>
    <w:rsid w:val="005E6AB8"/>
    <w:rsid w:val="005E6B65"/>
    <w:rsid w:val="005E6B78"/>
    <w:rsid w:val="005E75B8"/>
    <w:rsid w:val="005F0976"/>
    <w:rsid w:val="005F26CE"/>
    <w:rsid w:val="005F38D3"/>
    <w:rsid w:val="005F3F04"/>
    <w:rsid w:val="005F4057"/>
    <w:rsid w:val="005F4088"/>
    <w:rsid w:val="005F42F4"/>
    <w:rsid w:val="005F4C83"/>
    <w:rsid w:val="005F5628"/>
    <w:rsid w:val="005F5916"/>
    <w:rsid w:val="005F601D"/>
    <w:rsid w:val="005F6119"/>
    <w:rsid w:val="005F7940"/>
    <w:rsid w:val="00600712"/>
    <w:rsid w:val="0060107A"/>
    <w:rsid w:val="00601AFF"/>
    <w:rsid w:val="00602D1D"/>
    <w:rsid w:val="00604307"/>
    <w:rsid w:val="0060487F"/>
    <w:rsid w:val="00605814"/>
    <w:rsid w:val="00606B93"/>
    <w:rsid w:val="00607727"/>
    <w:rsid w:val="00607934"/>
    <w:rsid w:val="00610BD5"/>
    <w:rsid w:val="00611363"/>
    <w:rsid w:val="00611531"/>
    <w:rsid w:val="006118AA"/>
    <w:rsid w:val="00611C28"/>
    <w:rsid w:val="00612E84"/>
    <w:rsid w:val="006139C7"/>
    <w:rsid w:val="006150EA"/>
    <w:rsid w:val="006153E3"/>
    <w:rsid w:val="006167AB"/>
    <w:rsid w:val="0061718A"/>
    <w:rsid w:val="00617D2D"/>
    <w:rsid w:val="00617D83"/>
    <w:rsid w:val="00620430"/>
    <w:rsid w:val="00620AC5"/>
    <w:rsid w:val="00621575"/>
    <w:rsid w:val="006215FC"/>
    <w:rsid w:val="00624093"/>
    <w:rsid w:val="006260B8"/>
    <w:rsid w:val="00630F66"/>
    <w:rsid w:val="00631FC2"/>
    <w:rsid w:val="00632171"/>
    <w:rsid w:val="0063332A"/>
    <w:rsid w:val="006347F9"/>
    <w:rsid w:val="0063494E"/>
    <w:rsid w:val="00634C90"/>
    <w:rsid w:val="00635818"/>
    <w:rsid w:val="00635E79"/>
    <w:rsid w:val="00636E5E"/>
    <w:rsid w:val="006379E0"/>
    <w:rsid w:val="00637D0E"/>
    <w:rsid w:val="006404A7"/>
    <w:rsid w:val="006407F3"/>
    <w:rsid w:val="006408EC"/>
    <w:rsid w:val="0064129B"/>
    <w:rsid w:val="00641DF7"/>
    <w:rsid w:val="00643497"/>
    <w:rsid w:val="00643735"/>
    <w:rsid w:val="00643A80"/>
    <w:rsid w:val="00644DFC"/>
    <w:rsid w:val="006451E4"/>
    <w:rsid w:val="006454B4"/>
    <w:rsid w:val="00645A9C"/>
    <w:rsid w:val="006460B8"/>
    <w:rsid w:val="00646448"/>
    <w:rsid w:val="006467D0"/>
    <w:rsid w:val="006504A0"/>
    <w:rsid w:val="00650784"/>
    <w:rsid w:val="006520C7"/>
    <w:rsid w:val="006520D5"/>
    <w:rsid w:val="00652179"/>
    <w:rsid w:val="00652CBB"/>
    <w:rsid w:val="006530B8"/>
    <w:rsid w:val="006535D6"/>
    <w:rsid w:val="00654093"/>
    <w:rsid w:val="00656716"/>
    <w:rsid w:val="006572ED"/>
    <w:rsid w:val="00657E87"/>
    <w:rsid w:val="0066026B"/>
    <w:rsid w:val="00660457"/>
    <w:rsid w:val="00660CB4"/>
    <w:rsid w:val="00660E1E"/>
    <w:rsid w:val="006637B1"/>
    <w:rsid w:val="00663CFD"/>
    <w:rsid w:val="006647AD"/>
    <w:rsid w:val="00664B64"/>
    <w:rsid w:val="00665691"/>
    <w:rsid w:val="00665D67"/>
    <w:rsid w:val="00665D77"/>
    <w:rsid w:val="006660CD"/>
    <w:rsid w:val="00666883"/>
    <w:rsid w:val="00666B1D"/>
    <w:rsid w:val="00666EC8"/>
    <w:rsid w:val="00666F4B"/>
    <w:rsid w:val="006676D0"/>
    <w:rsid w:val="0066796E"/>
    <w:rsid w:val="00670FAC"/>
    <w:rsid w:val="006710C9"/>
    <w:rsid w:val="006716A5"/>
    <w:rsid w:val="006717CC"/>
    <w:rsid w:val="006743E8"/>
    <w:rsid w:val="00675E37"/>
    <w:rsid w:val="00675F0F"/>
    <w:rsid w:val="006764ED"/>
    <w:rsid w:val="00676AFC"/>
    <w:rsid w:val="00676F11"/>
    <w:rsid w:val="00680079"/>
    <w:rsid w:val="00680ECC"/>
    <w:rsid w:val="00680F68"/>
    <w:rsid w:val="0068260E"/>
    <w:rsid w:val="0068373D"/>
    <w:rsid w:val="00683BFE"/>
    <w:rsid w:val="0068437D"/>
    <w:rsid w:val="006857DF"/>
    <w:rsid w:val="00685E66"/>
    <w:rsid w:val="00686B72"/>
    <w:rsid w:val="00686BF1"/>
    <w:rsid w:val="00687AE5"/>
    <w:rsid w:val="00690A09"/>
    <w:rsid w:val="00690A25"/>
    <w:rsid w:val="006936AD"/>
    <w:rsid w:val="00693EA1"/>
    <w:rsid w:val="00693FEA"/>
    <w:rsid w:val="00694930"/>
    <w:rsid w:val="00695170"/>
    <w:rsid w:val="00695BEF"/>
    <w:rsid w:val="006960D6"/>
    <w:rsid w:val="006963FB"/>
    <w:rsid w:val="00696AA5"/>
    <w:rsid w:val="006977F6"/>
    <w:rsid w:val="0069789D"/>
    <w:rsid w:val="00697A13"/>
    <w:rsid w:val="006A109C"/>
    <w:rsid w:val="006A18AE"/>
    <w:rsid w:val="006A2EE8"/>
    <w:rsid w:val="006A3CF3"/>
    <w:rsid w:val="006A568F"/>
    <w:rsid w:val="006A65EF"/>
    <w:rsid w:val="006A672B"/>
    <w:rsid w:val="006B1781"/>
    <w:rsid w:val="006B23A9"/>
    <w:rsid w:val="006B23D8"/>
    <w:rsid w:val="006B281D"/>
    <w:rsid w:val="006B3F8A"/>
    <w:rsid w:val="006B59D7"/>
    <w:rsid w:val="006B5CA3"/>
    <w:rsid w:val="006B6B3B"/>
    <w:rsid w:val="006B7248"/>
    <w:rsid w:val="006B7714"/>
    <w:rsid w:val="006B78D8"/>
    <w:rsid w:val="006B7CCE"/>
    <w:rsid w:val="006C090F"/>
    <w:rsid w:val="006C0935"/>
    <w:rsid w:val="006C0BCE"/>
    <w:rsid w:val="006C113F"/>
    <w:rsid w:val="006C2AED"/>
    <w:rsid w:val="006C38DD"/>
    <w:rsid w:val="006C457F"/>
    <w:rsid w:val="006C53C7"/>
    <w:rsid w:val="006C5577"/>
    <w:rsid w:val="006C559A"/>
    <w:rsid w:val="006C58FA"/>
    <w:rsid w:val="006C6197"/>
    <w:rsid w:val="006D004F"/>
    <w:rsid w:val="006D042D"/>
    <w:rsid w:val="006D06EF"/>
    <w:rsid w:val="006D142E"/>
    <w:rsid w:val="006D3B87"/>
    <w:rsid w:val="006D4497"/>
    <w:rsid w:val="006D4E6F"/>
    <w:rsid w:val="006D61F6"/>
    <w:rsid w:val="006D710C"/>
    <w:rsid w:val="006E0EB0"/>
    <w:rsid w:val="006E182C"/>
    <w:rsid w:val="006E1F4C"/>
    <w:rsid w:val="006E22C8"/>
    <w:rsid w:val="006E279A"/>
    <w:rsid w:val="006E2C28"/>
    <w:rsid w:val="006E2F3F"/>
    <w:rsid w:val="006E313B"/>
    <w:rsid w:val="006E442A"/>
    <w:rsid w:val="006E4434"/>
    <w:rsid w:val="006E4A1B"/>
    <w:rsid w:val="006E59FC"/>
    <w:rsid w:val="006E5CFD"/>
    <w:rsid w:val="006E7E2C"/>
    <w:rsid w:val="006F1326"/>
    <w:rsid w:val="006F2280"/>
    <w:rsid w:val="006F2BEE"/>
    <w:rsid w:val="006F3708"/>
    <w:rsid w:val="006F376C"/>
    <w:rsid w:val="006F3A90"/>
    <w:rsid w:val="006F3E6B"/>
    <w:rsid w:val="006F4619"/>
    <w:rsid w:val="006F4A59"/>
    <w:rsid w:val="006F6968"/>
    <w:rsid w:val="00700232"/>
    <w:rsid w:val="00701382"/>
    <w:rsid w:val="007014C7"/>
    <w:rsid w:val="00702100"/>
    <w:rsid w:val="00702D6F"/>
    <w:rsid w:val="007031C6"/>
    <w:rsid w:val="00703B6C"/>
    <w:rsid w:val="00703C6B"/>
    <w:rsid w:val="007047D5"/>
    <w:rsid w:val="00705D98"/>
    <w:rsid w:val="00707891"/>
    <w:rsid w:val="00707D43"/>
    <w:rsid w:val="00710F7C"/>
    <w:rsid w:val="00711EF1"/>
    <w:rsid w:val="0071229A"/>
    <w:rsid w:val="00712572"/>
    <w:rsid w:val="00713495"/>
    <w:rsid w:val="00713EEB"/>
    <w:rsid w:val="007142C1"/>
    <w:rsid w:val="00715487"/>
    <w:rsid w:val="007159D2"/>
    <w:rsid w:val="00716DCC"/>
    <w:rsid w:val="00717726"/>
    <w:rsid w:val="0072050E"/>
    <w:rsid w:val="00720958"/>
    <w:rsid w:val="00720FA2"/>
    <w:rsid w:val="007211F5"/>
    <w:rsid w:val="007240C5"/>
    <w:rsid w:val="00724666"/>
    <w:rsid w:val="00724E80"/>
    <w:rsid w:val="00725492"/>
    <w:rsid w:val="007256B7"/>
    <w:rsid w:val="00726043"/>
    <w:rsid w:val="0072704A"/>
    <w:rsid w:val="007279B9"/>
    <w:rsid w:val="00730AE8"/>
    <w:rsid w:val="007315DA"/>
    <w:rsid w:val="00731963"/>
    <w:rsid w:val="00732706"/>
    <w:rsid w:val="0073325D"/>
    <w:rsid w:val="00734321"/>
    <w:rsid w:val="00734597"/>
    <w:rsid w:val="00735044"/>
    <w:rsid w:val="0073532E"/>
    <w:rsid w:val="00735B01"/>
    <w:rsid w:val="007367F6"/>
    <w:rsid w:val="00740310"/>
    <w:rsid w:val="00740652"/>
    <w:rsid w:val="00740F02"/>
    <w:rsid w:val="00740FEC"/>
    <w:rsid w:val="0074132E"/>
    <w:rsid w:val="00741493"/>
    <w:rsid w:val="007426B3"/>
    <w:rsid w:val="007426FD"/>
    <w:rsid w:val="007430AB"/>
    <w:rsid w:val="0074329D"/>
    <w:rsid w:val="00744376"/>
    <w:rsid w:val="007449EA"/>
    <w:rsid w:val="00744D00"/>
    <w:rsid w:val="00744D2B"/>
    <w:rsid w:val="00745273"/>
    <w:rsid w:val="00745F3C"/>
    <w:rsid w:val="00746DD9"/>
    <w:rsid w:val="0075057A"/>
    <w:rsid w:val="00751771"/>
    <w:rsid w:val="00751C1C"/>
    <w:rsid w:val="00752180"/>
    <w:rsid w:val="007521A1"/>
    <w:rsid w:val="00752BC3"/>
    <w:rsid w:val="0075315D"/>
    <w:rsid w:val="007538F9"/>
    <w:rsid w:val="00754253"/>
    <w:rsid w:val="007552BB"/>
    <w:rsid w:val="007558D3"/>
    <w:rsid w:val="007559D7"/>
    <w:rsid w:val="00755D3A"/>
    <w:rsid w:val="00760141"/>
    <w:rsid w:val="007609C6"/>
    <w:rsid w:val="007610A0"/>
    <w:rsid w:val="00762036"/>
    <w:rsid w:val="007620F2"/>
    <w:rsid w:val="00762EBA"/>
    <w:rsid w:val="0076359D"/>
    <w:rsid w:val="00763A13"/>
    <w:rsid w:val="00763D86"/>
    <w:rsid w:val="0077058D"/>
    <w:rsid w:val="00770931"/>
    <w:rsid w:val="00772536"/>
    <w:rsid w:val="00773613"/>
    <w:rsid w:val="0077430F"/>
    <w:rsid w:val="00774782"/>
    <w:rsid w:val="00776476"/>
    <w:rsid w:val="00776527"/>
    <w:rsid w:val="00777DB1"/>
    <w:rsid w:val="007805E1"/>
    <w:rsid w:val="00780DDF"/>
    <w:rsid w:val="0078113E"/>
    <w:rsid w:val="00781834"/>
    <w:rsid w:val="007821DB"/>
    <w:rsid w:val="00782818"/>
    <w:rsid w:val="007838F1"/>
    <w:rsid w:val="007841BB"/>
    <w:rsid w:val="00784C4A"/>
    <w:rsid w:val="00787432"/>
    <w:rsid w:val="00787507"/>
    <w:rsid w:val="0078778C"/>
    <w:rsid w:val="007879F2"/>
    <w:rsid w:val="00790393"/>
    <w:rsid w:val="00791804"/>
    <w:rsid w:val="0079197F"/>
    <w:rsid w:val="00791CF8"/>
    <w:rsid w:val="00791EF9"/>
    <w:rsid w:val="00792262"/>
    <w:rsid w:val="00793387"/>
    <w:rsid w:val="00793BAE"/>
    <w:rsid w:val="007941C3"/>
    <w:rsid w:val="00794870"/>
    <w:rsid w:val="00794E0A"/>
    <w:rsid w:val="00795B04"/>
    <w:rsid w:val="00796642"/>
    <w:rsid w:val="007A11D9"/>
    <w:rsid w:val="007A327B"/>
    <w:rsid w:val="007A4048"/>
    <w:rsid w:val="007A45B1"/>
    <w:rsid w:val="007A4606"/>
    <w:rsid w:val="007A4D58"/>
    <w:rsid w:val="007A5039"/>
    <w:rsid w:val="007B04E8"/>
    <w:rsid w:val="007B0D67"/>
    <w:rsid w:val="007B0F90"/>
    <w:rsid w:val="007B1966"/>
    <w:rsid w:val="007B2257"/>
    <w:rsid w:val="007B2779"/>
    <w:rsid w:val="007B2AF7"/>
    <w:rsid w:val="007B3DCC"/>
    <w:rsid w:val="007B4518"/>
    <w:rsid w:val="007B5031"/>
    <w:rsid w:val="007B573F"/>
    <w:rsid w:val="007B72AC"/>
    <w:rsid w:val="007B78F8"/>
    <w:rsid w:val="007C0065"/>
    <w:rsid w:val="007C010B"/>
    <w:rsid w:val="007C32B6"/>
    <w:rsid w:val="007C3AE3"/>
    <w:rsid w:val="007C605B"/>
    <w:rsid w:val="007C6EBA"/>
    <w:rsid w:val="007C7BAC"/>
    <w:rsid w:val="007C7CC5"/>
    <w:rsid w:val="007D2A5A"/>
    <w:rsid w:val="007D2AD8"/>
    <w:rsid w:val="007D2C47"/>
    <w:rsid w:val="007D2C61"/>
    <w:rsid w:val="007D2DA3"/>
    <w:rsid w:val="007D2F81"/>
    <w:rsid w:val="007D3167"/>
    <w:rsid w:val="007D3CF7"/>
    <w:rsid w:val="007D4128"/>
    <w:rsid w:val="007D4281"/>
    <w:rsid w:val="007D42F5"/>
    <w:rsid w:val="007D44C3"/>
    <w:rsid w:val="007D5947"/>
    <w:rsid w:val="007D65C1"/>
    <w:rsid w:val="007E030F"/>
    <w:rsid w:val="007E0D49"/>
    <w:rsid w:val="007E0E59"/>
    <w:rsid w:val="007E0F4B"/>
    <w:rsid w:val="007E12C1"/>
    <w:rsid w:val="007E1EF7"/>
    <w:rsid w:val="007E3715"/>
    <w:rsid w:val="007E5880"/>
    <w:rsid w:val="007E5F3D"/>
    <w:rsid w:val="007E6588"/>
    <w:rsid w:val="007E7063"/>
    <w:rsid w:val="007E7E61"/>
    <w:rsid w:val="007F0316"/>
    <w:rsid w:val="007F0845"/>
    <w:rsid w:val="007F0DF6"/>
    <w:rsid w:val="007F1092"/>
    <w:rsid w:val="007F16F9"/>
    <w:rsid w:val="007F2801"/>
    <w:rsid w:val="007F3E3E"/>
    <w:rsid w:val="007F42E0"/>
    <w:rsid w:val="007F500D"/>
    <w:rsid w:val="007F5F14"/>
    <w:rsid w:val="007F7B54"/>
    <w:rsid w:val="007F7C60"/>
    <w:rsid w:val="00800073"/>
    <w:rsid w:val="008005D7"/>
    <w:rsid w:val="00801FDD"/>
    <w:rsid w:val="008020C2"/>
    <w:rsid w:val="0080255C"/>
    <w:rsid w:val="008054FB"/>
    <w:rsid w:val="00806088"/>
    <w:rsid w:val="00806D07"/>
    <w:rsid w:val="0081019B"/>
    <w:rsid w:val="0081187C"/>
    <w:rsid w:val="00811E24"/>
    <w:rsid w:val="008120C5"/>
    <w:rsid w:val="00812386"/>
    <w:rsid w:val="00812E2B"/>
    <w:rsid w:val="00813A70"/>
    <w:rsid w:val="00813CB4"/>
    <w:rsid w:val="00813DB0"/>
    <w:rsid w:val="00813FE6"/>
    <w:rsid w:val="00815B82"/>
    <w:rsid w:val="00815C6E"/>
    <w:rsid w:val="00815DD0"/>
    <w:rsid w:val="00815F10"/>
    <w:rsid w:val="0081645F"/>
    <w:rsid w:val="00816A28"/>
    <w:rsid w:val="008174A3"/>
    <w:rsid w:val="00817755"/>
    <w:rsid w:val="008178C2"/>
    <w:rsid w:val="008178CF"/>
    <w:rsid w:val="00817C98"/>
    <w:rsid w:val="00820C9F"/>
    <w:rsid w:val="00821AAE"/>
    <w:rsid w:val="00821FF6"/>
    <w:rsid w:val="00823AAF"/>
    <w:rsid w:val="00824081"/>
    <w:rsid w:val="0082409A"/>
    <w:rsid w:val="008252D7"/>
    <w:rsid w:val="00825C0F"/>
    <w:rsid w:val="00826376"/>
    <w:rsid w:val="00826ED1"/>
    <w:rsid w:val="00827181"/>
    <w:rsid w:val="0082733C"/>
    <w:rsid w:val="00827746"/>
    <w:rsid w:val="0083102D"/>
    <w:rsid w:val="0083143E"/>
    <w:rsid w:val="0083159D"/>
    <w:rsid w:val="008318FF"/>
    <w:rsid w:val="00832187"/>
    <w:rsid w:val="00832493"/>
    <w:rsid w:val="008329BD"/>
    <w:rsid w:val="008334C3"/>
    <w:rsid w:val="008336D8"/>
    <w:rsid w:val="008339C4"/>
    <w:rsid w:val="00834F0A"/>
    <w:rsid w:val="00834FAA"/>
    <w:rsid w:val="00835181"/>
    <w:rsid w:val="00835991"/>
    <w:rsid w:val="00836086"/>
    <w:rsid w:val="00840699"/>
    <w:rsid w:val="00841D9F"/>
    <w:rsid w:val="00842078"/>
    <w:rsid w:val="00842604"/>
    <w:rsid w:val="00843ECF"/>
    <w:rsid w:val="00845AB1"/>
    <w:rsid w:val="00846673"/>
    <w:rsid w:val="008508A9"/>
    <w:rsid w:val="0085188D"/>
    <w:rsid w:val="008518D8"/>
    <w:rsid w:val="008525F9"/>
    <w:rsid w:val="0085281A"/>
    <w:rsid w:val="00853C0F"/>
    <w:rsid w:val="00853F33"/>
    <w:rsid w:val="008548EA"/>
    <w:rsid w:val="008550EA"/>
    <w:rsid w:val="008559FE"/>
    <w:rsid w:val="0085686D"/>
    <w:rsid w:val="00857339"/>
    <w:rsid w:val="00860706"/>
    <w:rsid w:val="00862A7A"/>
    <w:rsid w:val="00862FBD"/>
    <w:rsid w:val="00863104"/>
    <w:rsid w:val="008636CD"/>
    <w:rsid w:val="00863702"/>
    <w:rsid w:val="00863D9E"/>
    <w:rsid w:val="00863FDC"/>
    <w:rsid w:val="008642AF"/>
    <w:rsid w:val="00865286"/>
    <w:rsid w:val="00865729"/>
    <w:rsid w:val="00865EA8"/>
    <w:rsid w:val="00865ED4"/>
    <w:rsid w:val="008669A7"/>
    <w:rsid w:val="00867464"/>
    <w:rsid w:val="00867D15"/>
    <w:rsid w:val="00867E29"/>
    <w:rsid w:val="00870F2B"/>
    <w:rsid w:val="00873B2E"/>
    <w:rsid w:val="00874097"/>
    <w:rsid w:val="008746E6"/>
    <w:rsid w:val="0087515D"/>
    <w:rsid w:val="00875740"/>
    <w:rsid w:val="0087594C"/>
    <w:rsid w:val="00876086"/>
    <w:rsid w:val="008765FA"/>
    <w:rsid w:val="008768D6"/>
    <w:rsid w:val="008775D1"/>
    <w:rsid w:val="008777BB"/>
    <w:rsid w:val="00877D68"/>
    <w:rsid w:val="00877E5D"/>
    <w:rsid w:val="00880150"/>
    <w:rsid w:val="00880ABA"/>
    <w:rsid w:val="00880F23"/>
    <w:rsid w:val="00883A67"/>
    <w:rsid w:val="00883D45"/>
    <w:rsid w:val="00884D69"/>
    <w:rsid w:val="0088503D"/>
    <w:rsid w:val="00885EC6"/>
    <w:rsid w:val="008869D2"/>
    <w:rsid w:val="00886A8F"/>
    <w:rsid w:val="0088733A"/>
    <w:rsid w:val="008901CC"/>
    <w:rsid w:val="00891BE0"/>
    <w:rsid w:val="00893302"/>
    <w:rsid w:val="00893648"/>
    <w:rsid w:val="00893D83"/>
    <w:rsid w:val="00893F0C"/>
    <w:rsid w:val="00893F3C"/>
    <w:rsid w:val="008945A1"/>
    <w:rsid w:val="00894A63"/>
    <w:rsid w:val="00894F71"/>
    <w:rsid w:val="00895A54"/>
    <w:rsid w:val="00896776"/>
    <w:rsid w:val="00896916"/>
    <w:rsid w:val="00896BDE"/>
    <w:rsid w:val="0089763E"/>
    <w:rsid w:val="008A03DE"/>
    <w:rsid w:val="008A0861"/>
    <w:rsid w:val="008A0BB2"/>
    <w:rsid w:val="008A1AB3"/>
    <w:rsid w:val="008A1D5C"/>
    <w:rsid w:val="008A3292"/>
    <w:rsid w:val="008A3A85"/>
    <w:rsid w:val="008A43E9"/>
    <w:rsid w:val="008A4CB1"/>
    <w:rsid w:val="008A615E"/>
    <w:rsid w:val="008A632B"/>
    <w:rsid w:val="008A6BFE"/>
    <w:rsid w:val="008A6F21"/>
    <w:rsid w:val="008A73DA"/>
    <w:rsid w:val="008B00C2"/>
    <w:rsid w:val="008B04A0"/>
    <w:rsid w:val="008B05E8"/>
    <w:rsid w:val="008B07EF"/>
    <w:rsid w:val="008B16DE"/>
    <w:rsid w:val="008B190E"/>
    <w:rsid w:val="008B1A8A"/>
    <w:rsid w:val="008B1FC9"/>
    <w:rsid w:val="008B531F"/>
    <w:rsid w:val="008B54A3"/>
    <w:rsid w:val="008B634C"/>
    <w:rsid w:val="008B6B67"/>
    <w:rsid w:val="008B7306"/>
    <w:rsid w:val="008B775F"/>
    <w:rsid w:val="008B7C02"/>
    <w:rsid w:val="008B7D13"/>
    <w:rsid w:val="008B7F9E"/>
    <w:rsid w:val="008C034E"/>
    <w:rsid w:val="008C0E88"/>
    <w:rsid w:val="008C1399"/>
    <w:rsid w:val="008C18A5"/>
    <w:rsid w:val="008C1AA8"/>
    <w:rsid w:val="008C22A8"/>
    <w:rsid w:val="008C5B43"/>
    <w:rsid w:val="008C63FD"/>
    <w:rsid w:val="008C6CB8"/>
    <w:rsid w:val="008C6D92"/>
    <w:rsid w:val="008C777A"/>
    <w:rsid w:val="008C7815"/>
    <w:rsid w:val="008C7A07"/>
    <w:rsid w:val="008C7E90"/>
    <w:rsid w:val="008C7EB3"/>
    <w:rsid w:val="008D0171"/>
    <w:rsid w:val="008D0632"/>
    <w:rsid w:val="008D0E3B"/>
    <w:rsid w:val="008D13EA"/>
    <w:rsid w:val="008D2671"/>
    <w:rsid w:val="008D2A16"/>
    <w:rsid w:val="008D2ECF"/>
    <w:rsid w:val="008D347D"/>
    <w:rsid w:val="008D3F3D"/>
    <w:rsid w:val="008D4376"/>
    <w:rsid w:val="008E0367"/>
    <w:rsid w:val="008E2DCD"/>
    <w:rsid w:val="008E308D"/>
    <w:rsid w:val="008E31FF"/>
    <w:rsid w:val="008E46A3"/>
    <w:rsid w:val="008E5DE6"/>
    <w:rsid w:val="008E6113"/>
    <w:rsid w:val="008E6AB3"/>
    <w:rsid w:val="008E6AD3"/>
    <w:rsid w:val="008E6EBD"/>
    <w:rsid w:val="008E71A6"/>
    <w:rsid w:val="008E77B6"/>
    <w:rsid w:val="008E7C55"/>
    <w:rsid w:val="008F032E"/>
    <w:rsid w:val="008F0F14"/>
    <w:rsid w:val="008F1638"/>
    <w:rsid w:val="008F2097"/>
    <w:rsid w:val="008F2F44"/>
    <w:rsid w:val="008F4FCE"/>
    <w:rsid w:val="008F5301"/>
    <w:rsid w:val="008F6967"/>
    <w:rsid w:val="008F6A0C"/>
    <w:rsid w:val="008F6F38"/>
    <w:rsid w:val="008F7721"/>
    <w:rsid w:val="008F7D28"/>
    <w:rsid w:val="009003A8"/>
    <w:rsid w:val="009010A7"/>
    <w:rsid w:val="009010E3"/>
    <w:rsid w:val="00901703"/>
    <w:rsid w:val="00901AF3"/>
    <w:rsid w:val="00902CBE"/>
    <w:rsid w:val="00902D74"/>
    <w:rsid w:val="00902EFF"/>
    <w:rsid w:val="00902FAC"/>
    <w:rsid w:val="00903E06"/>
    <w:rsid w:val="009045D1"/>
    <w:rsid w:val="00904B9D"/>
    <w:rsid w:val="00905A11"/>
    <w:rsid w:val="00905FE8"/>
    <w:rsid w:val="009066E1"/>
    <w:rsid w:val="00906F67"/>
    <w:rsid w:val="00907A41"/>
    <w:rsid w:val="009102BD"/>
    <w:rsid w:val="00910F93"/>
    <w:rsid w:val="00910FBC"/>
    <w:rsid w:val="0091255A"/>
    <w:rsid w:val="00914426"/>
    <w:rsid w:val="0091675F"/>
    <w:rsid w:val="00917709"/>
    <w:rsid w:val="00917918"/>
    <w:rsid w:val="00920874"/>
    <w:rsid w:val="00921F14"/>
    <w:rsid w:val="009227C6"/>
    <w:rsid w:val="00923750"/>
    <w:rsid w:val="009243A5"/>
    <w:rsid w:val="0092500F"/>
    <w:rsid w:val="009250D2"/>
    <w:rsid w:val="0092519D"/>
    <w:rsid w:val="0092540B"/>
    <w:rsid w:val="009256C5"/>
    <w:rsid w:val="00925A21"/>
    <w:rsid w:val="00926283"/>
    <w:rsid w:val="009306BE"/>
    <w:rsid w:val="0093161F"/>
    <w:rsid w:val="00934836"/>
    <w:rsid w:val="00934963"/>
    <w:rsid w:val="00936ECA"/>
    <w:rsid w:val="00937B11"/>
    <w:rsid w:val="00940F1F"/>
    <w:rsid w:val="00941250"/>
    <w:rsid w:val="00941339"/>
    <w:rsid w:val="0094396E"/>
    <w:rsid w:val="0094427A"/>
    <w:rsid w:val="00944380"/>
    <w:rsid w:val="009459C5"/>
    <w:rsid w:val="00945E5E"/>
    <w:rsid w:val="0094626C"/>
    <w:rsid w:val="0095013A"/>
    <w:rsid w:val="00953AEF"/>
    <w:rsid w:val="009551E2"/>
    <w:rsid w:val="00955783"/>
    <w:rsid w:val="009558A6"/>
    <w:rsid w:val="00955E5F"/>
    <w:rsid w:val="009560B0"/>
    <w:rsid w:val="00956F23"/>
    <w:rsid w:val="009576AC"/>
    <w:rsid w:val="00957871"/>
    <w:rsid w:val="00960077"/>
    <w:rsid w:val="00960769"/>
    <w:rsid w:val="00962D2E"/>
    <w:rsid w:val="00963724"/>
    <w:rsid w:val="00964498"/>
    <w:rsid w:val="0096504D"/>
    <w:rsid w:val="00965795"/>
    <w:rsid w:val="00965A2D"/>
    <w:rsid w:val="009663EB"/>
    <w:rsid w:val="0096650F"/>
    <w:rsid w:val="00967801"/>
    <w:rsid w:val="00967AD2"/>
    <w:rsid w:val="009700DB"/>
    <w:rsid w:val="00971DC6"/>
    <w:rsid w:val="00972263"/>
    <w:rsid w:val="00972502"/>
    <w:rsid w:val="00972D8D"/>
    <w:rsid w:val="00973AAE"/>
    <w:rsid w:val="009742F7"/>
    <w:rsid w:val="0097476C"/>
    <w:rsid w:val="00974923"/>
    <w:rsid w:val="00974D48"/>
    <w:rsid w:val="00974D5F"/>
    <w:rsid w:val="00975017"/>
    <w:rsid w:val="009759DF"/>
    <w:rsid w:val="00977A4D"/>
    <w:rsid w:val="00980373"/>
    <w:rsid w:val="00980621"/>
    <w:rsid w:val="0098095B"/>
    <w:rsid w:val="00982072"/>
    <w:rsid w:val="009833FA"/>
    <w:rsid w:val="00983DBB"/>
    <w:rsid w:val="00983ECF"/>
    <w:rsid w:val="00985157"/>
    <w:rsid w:val="00986745"/>
    <w:rsid w:val="009867BC"/>
    <w:rsid w:val="00987109"/>
    <w:rsid w:val="00987309"/>
    <w:rsid w:val="00987351"/>
    <w:rsid w:val="0099012D"/>
    <w:rsid w:val="00990363"/>
    <w:rsid w:val="00991266"/>
    <w:rsid w:val="009928AE"/>
    <w:rsid w:val="00993BE6"/>
    <w:rsid w:val="00993D9C"/>
    <w:rsid w:val="00993F56"/>
    <w:rsid w:val="009954FF"/>
    <w:rsid w:val="0099571E"/>
    <w:rsid w:val="00995E2F"/>
    <w:rsid w:val="009961BC"/>
    <w:rsid w:val="00996355"/>
    <w:rsid w:val="0099788F"/>
    <w:rsid w:val="00997ADD"/>
    <w:rsid w:val="009A05A2"/>
    <w:rsid w:val="009A1374"/>
    <w:rsid w:val="009A13FA"/>
    <w:rsid w:val="009A2014"/>
    <w:rsid w:val="009A2030"/>
    <w:rsid w:val="009A3A87"/>
    <w:rsid w:val="009A4E12"/>
    <w:rsid w:val="009A5C68"/>
    <w:rsid w:val="009A5DE2"/>
    <w:rsid w:val="009A6EF7"/>
    <w:rsid w:val="009B04D0"/>
    <w:rsid w:val="009B052C"/>
    <w:rsid w:val="009B0975"/>
    <w:rsid w:val="009B0EF2"/>
    <w:rsid w:val="009B23A3"/>
    <w:rsid w:val="009B2C0E"/>
    <w:rsid w:val="009B4925"/>
    <w:rsid w:val="009B4B4B"/>
    <w:rsid w:val="009B4CE3"/>
    <w:rsid w:val="009B6FD3"/>
    <w:rsid w:val="009B70BD"/>
    <w:rsid w:val="009C07A5"/>
    <w:rsid w:val="009C24A3"/>
    <w:rsid w:val="009C3705"/>
    <w:rsid w:val="009C6215"/>
    <w:rsid w:val="009C7388"/>
    <w:rsid w:val="009C74C2"/>
    <w:rsid w:val="009D0CFF"/>
    <w:rsid w:val="009D1551"/>
    <w:rsid w:val="009D2859"/>
    <w:rsid w:val="009D36EC"/>
    <w:rsid w:val="009D3CD0"/>
    <w:rsid w:val="009D4173"/>
    <w:rsid w:val="009D51CA"/>
    <w:rsid w:val="009D6095"/>
    <w:rsid w:val="009D6306"/>
    <w:rsid w:val="009E048A"/>
    <w:rsid w:val="009E1124"/>
    <w:rsid w:val="009E1FBA"/>
    <w:rsid w:val="009E2C54"/>
    <w:rsid w:val="009E3710"/>
    <w:rsid w:val="009E6F65"/>
    <w:rsid w:val="009E7340"/>
    <w:rsid w:val="009E7B1F"/>
    <w:rsid w:val="009F346F"/>
    <w:rsid w:val="009F371A"/>
    <w:rsid w:val="009F3F25"/>
    <w:rsid w:val="009F3FC3"/>
    <w:rsid w:val="009F41C4"/>
    <w:rsid w:val="009F5846"/>
    <w:rsid w:val="009F63D2"/>
    <w:rsid w:val="009F777A"/>
    <w:rsid w:val="009F7B52"/>
    <w:rsid w:val="009F7D77"/>
    <w:rsid w:val="00A004D2"/>
    <w:rsid w:val="00A015EA"/>
    <w:rsid w:val="00A0172C"/>
    <w:rsid w:val="00A05B91"/>
    <w:rsid w:val="00A10D66"/>
    <w:rsid w:val="00A12BA8"/>
    <w:rsid w:val="00A133F2"/>
    <w:rsid w:val="00A13993"/>
    <w:rsid w:val="00A1420C"/>
    <w:rsid w:val="00A1456C"/>
    <w:rsid w:val="00A14821"/>
    <w:rsid w:val="00A14C9D"/>
    <w:rsid w:val="00A17754"/>
    <w:rsid w:val="00A2055B"/>
    <w:rsid w:val="00A20E22"/>
    <w:rsid w:val="00A219FE"/>
    <w:rsid w:val="00A2253C"/>
    <w:rsid w:val="00A23545"/>
    <w:rsid w:val="00A23A55"/>
    <w:rsid w:val="00A23E43"/>
    <w:rsid w:val="00A23EF0"/>
    <w:rsid w:val="00A24F8C"/>
    <w:rsid w:val="00A262BF"/>
    <w:rsid w:val="00A271AD"/>
    <w:rsid w:val="00A276D5"/>
    <w:rsid w:val="00A30336"/>
    <w:rsid w:val="00A30BB5"/>
    <w:rsid w:val="00A3128F"/>
    <w:rsid w:val="00A326D0"/>
    <w:rsid w:val="00A35287"/>
    <w:rsid w:val="00A355F2"/>
    <w:rsid w:val="00A378F8"/>
    <w:rsid w:val="00A40965"/>
    <w:rsid w:val="00A40B19"/>
    <w:rsid w:val="00A40F56"/>
    <w:rsid w:val="00A41D07"/>
    <w:rsid w:val="00A424F8"/>
    <w:rsid w:val="00A42883"/>
    <w:rsid w:val="00A437B7"/>
    <w:rsid w:val="00A43EA2"/>
    <w:rsid w:val="00A46C70"/>
    <w:rsid w:val="00A46D48"/>
    <w:rsid w:val="00A46DE0"/>
    <w:rsid w:val="00A4778A"/>
    <w:rsid w:val="00A47C94"/>
    <w:rsid w:val="00A504C0"/>
    <w:rsid w:val="00A5067F"/>
    <w:rsid w:val="00A517C1"/>
    <w:rsid w:val="00A518E0"/>
    <w:rsid w:val="00A5408A"/>
    <w:rsid w:val="00A55301"/>
    <w:rsid w:val="00A572FB"/>
    <w:rsid w:val="00A57B3C"/>
    <w:rsid w:val="00A57F1B"/>
    <w:rsid w:val="00A600D2"/>
    <w:rsid w:val="00A6128E"/>
    <w:rsid w:val="00A62CE1"/>
    <w:rsid w:val="00A631FA"/>
    <w:rsid w:val="00A64203"/>
    <w:rsid w:val="00A64348"/>
    <w:rsid w:val="00A644E1"/>
    <w:rsid w:val="00A6766C"/>
    <w:rsid w:val="00A711B0"/>
    <w:rsid w:val="00A71279"/>
    <w:rsid w:val="00A721FB"/>
    <w:rsid w:val="00A727BA"/>
    <w:rsid w:val="00A72D4B"/>
    <w:rsid w:val="00A732AE"/>
    <w:rsid w:val="00A74192"/>
    <w:rsid w:val="00A75837"/>
    <w:rsid w:val="00A75E40"/>
    <w:rsid w:val="00A76B12"/>
    <w:rsid w:val="00A76EF2"/>
    <w:rsid w:val="00A7727E"/>
    <w:rsid w:val="00A77EB2"/>
    <w:rsid w:val="00A81094"/>
    <w:rsid w:val="00A82B66"/>
    <w:rsid w:val="00A82C52"/>
    <w:rsid w:val="00A83B58"/>
    <w:rsid w:val="00A84D7D"/>
    <w:rsid w:val="00A84FAF"/>
    <w:rsid w:val="00A851B6"/>
    <w:rsid w:val="00A85729"/>
    <w:rsid w:val="00A8574B"/>
    <w:rsid w:val="00A857C0"/>
    <w:rsid w:val="00A85F5E"/>
    <w:rsid w:val="00A90343"/>
    <w:rsid w:val="00A91336"/>
    <w:rsid w:val="00A9221C"/>
    <w:rsid w:val="00A92277"/>
    <w:rsid w:val="00A92916"/>
    <w:rsid w:val="00A929D1"/>
    <w:rsid w:val="00A94628"/>
    <w:rsid w:val="00A94954"/>
    <w:rsid w:val="00A9497A"/>
    <w:rsid w:val="00A949A6"/>
    <w:rsid w:val="00A96241"/>
    <w:rsid w:val="00A96463"/>
    <w:rsid w:val="00A97E3F"/>
    <w:rsid w:val="00AA09D3"/>
    <w:rsid w:val="00AA1356"/>
    <w:rsid w:val="00AA220F"/>
    <w:rsid w:val="00AA23FB"/>
    <w:rsid w:val="00AA34FE"/>
    <w:rsid w:val="00AA42AB"/>
    <w:rsid w:val="00AA4A76"/>
    <w:rsid w:val="00AA559A"/>
    <w:rsid w:val="00AA57A4"/>
    <w:rsid w:val="00AA5F10"/>
    <w:rsid w:val="00AB0BB9"/>
    <w:rsid w:val="00AB104D"/>
    <w:rsid w:val="00AB1441"/>
    <w:rsid w:val="00AB1653"/>
    <w:rsid w:val="00AB2AF1"/>
    <w:rsid w:val="00AB440B"/>
    <w:rsid w:val="00AB47E3"/>
    <w:rsid w:val="00AB74C5"/>
    <w:rsid w:val="00AB7BEE"/>
    <w:rsid w:val="00AB7DF2"/>
    <w:rsid w:val="00AC1E3F"/>
    <w:rsid w:val="00AC219A"/>
    <w:rsid w:val="00AC3D02"/>
    <w:rsid w:val="00AC4F18"/>
    <w:rsid w:val="00AC69CA"/>
    <w:rsid w:val="00AD0B46"/>
    <w:rsid w:val="00AD1094"/>
    <w:rsid w:val="00AD2565"/>
    <w:rsid w:val="00AD2862"/>
    <w:rsid w:val="00AD306C"/>
    <w:rsid w:val="00AD3424"/>
    <w:rsid w:val="00AD3E3F"/>
    <w:rsid w:val="00AD4FEF"/>
    <w:rsid w:val="00AD50D1"/>
    <w:rsid w:val="00AD59BB"/>
    <w:rsid w:val="00AD5D68"/>
    <w:rsid w:val="00AD6C73"/>
    <w:rsid w:val="00AD7D49"/>
    <w:rsid w:val="00AE06D0"/>
    <w:rsid w:val="00AE1B8A"/>
    <w:rsid w:val="00AE39DC"/>
    <w:rsid w:val="00AE3CDA"/>
    <w:rsid w:val="00AE481D"/>
    <w:rsid w:val="00AE608F"/>
    <w:rsid w:val="00AE6734"/>
    <w:rsid w:val="00AE7968"/>
    <w:rsid w:val="00AE7B2B"/>
    <w:rsid w:val="00AE7DFF"/>
    <w:rsid w:val="00AF128B"/>
    <w:rsid w:val="00AF1AEA"/>
    <w:rsid w:val="00AF2536"/>
    <w:rsid w:val="00AF2852"/>
    <w:rsid w:val="00AF3225"/>
    <w:rsid w:val="00AF4983"/>
    <w:rsid w:val="00AF4CA7"/>
    <w:rsid w:val="00AF518B"/>
    <w:rsid w:val="00AF5275"/>
    <w:rsid w:val="00AF5D62"/>
    <w:rsid w:val="00AF6367"/>
    <w:rsid w:val="00AF6A79"/>
    <w:rsid w:val="00AF6B7C"/>
    <w:rsid w:val="00AF724E"/>
    <w:rsid w:val="00AF73A9"/>
    <w:rsid w:val="00B01436"/>
    <w:rsid w:val="00B01C2C"/>
    <w:rsid w:val="00B0231C"/>
    <w:rsid w:val="00B07372"/>
    <w:rsid w:val="00B07C2A"/>
    <w:rsid w:val="00B10100"/>
    <w:rsid w:val="00B128E5"/>
    <w:rsid w:val="00B13681"/>
    <w:rsid w:val="00B13BCE"/>
    <w:rsid w:val="00B15DCD"/>
    <w:rsid w:val="00B16201"/>
    <w:rsid w:val="00B17E71"/>
    <w:rsid w:val="00B17FDE"/>
    <w:rsid w:val="00B208FC"/>
    <w:rsid w:val="00B20C65"/>
    <w:rsid w:val="00B22E17"/>
    <w:rsid w:val="00B25567"/>
    <w:rsid w:val="00B25E31"/>
    <w:rsid w:val="00B266C5"/>
    <w:rsid w:val="00B27293"/>
    <w:rsid w:val="00B300E8"/>
    <w:rsid w:val="00B301BB"/>
    <w:rsid w:val="00B321E3"/>
    <w:rsid w:val="00B3229E"/>
    <w:rsid w:val="00B32DDB"/>
    <w:rsid w:val="00B3447A"/>
    <w:rsid w:val="00B3448C"/>
    <w:rsid w:val="00B34931"/>
    <w:rsid w:val="00B35174"/>
    <w:rsid w:val="00B35BEA"/>
    <w:rsid w:val="00B365CB"/>
    <w:rsid w:val="00B37915"/>
    <w:rsid w:val="00B3793D"/>
    <w:rsid w:val="00B41BE6"/>
    <w:rsid w:val="00B42831"/>
    <w:rsid w:val="00B428A4"/>
    <w:rsid w:val="00B457E7"/>
    <w:rsid w:val="00B45D1B"/>
    <w:rsid w:val="00B45DE5"/>
    <w:rsid w:val="00B46D25"/>
    <w:rsid w:val="00B47430"/>
    <w:rsid w:val="00B47AC6"/>
    <w:rsid w:val="00B52D2D"/>
    <w:rsid w:val="00B534EF"/>
    <w:rsid w:val="00B548DA"/>
    <w:rsid w:val="00B55BA8"/>
    <w:rsid w:val="00B55F15"/>
    <w:rsid w:val="00B561A6"/>
    <w:rsid w:val="00B57CC4"/>
    <w:rsid w:val="00B60062"/>
    <w:rsid w:val="00B62960"/>
    <w:rsid w:val="00B63A11"/>
    <w:rsid w:val="00B63FD0"/>
    <w:rsid w:val="00B6493D"/>
    <w:rsid w:val="00B6553E"/>
    <w:rsid w:val="00B65C84"/>
    <w:rsid w:val="00B6608F"/>
    <w:rsid w:val="00B73180"/>
    <w:rsid w:val="00B74317"/>
    <w:rsid w:val="00B75700"/>
    <w:rsid w:val="00B760C1"/>
    <w:rsid w:val="00B76D1E"/>
    <w:rsid w:val="00B77BC8"/>
    <w:rsid w:val="00B77FB7"/>
    <w:rsid w:val="00B800EB"/>
    <w:rsid w:val="00B822D2"/>
    <w:rsid w:val="00B823F1"/>
    <w:rsid w:val="00B831B4"/>
    <w:rsid w:val="00B83D46"/>
    <w:rsid w:val="00B848B8"/>
    <w:rsid w:val="00B84A41"/>
    <w:rsid w:val="00B84D57"/>
    <w:rsid w:val="00B8504B"/>
    <w:rsid w:val="00B853C2"/>
    <w:rsid w:val="00B85689"/>
    <w:rsid w:val="00B86748"/>
    <w:rsid w:val="00B907EA"/>
    <w:rsid w:val="00B91EC9"/>
    <w:rsid w:val="00B924CA"/>
    <w:rsid w:val="00B92A4B"/>
    <w:rsid w:val="00B93384"/>
    <w:rsid w:val="00B93616"/>
    <w:rsid w:val="00B94417"/>
    <w:rsid w:val="00B95566"/>
    <w:rsid w:val="00B95940"/>
    <w:rsid w:val="00B95EF8"/>
    <w:rsid w:val="00B95F50"/>
    <w:rsid w:val="00B96BD9"/>
    <w:rsid w:val="00B979A0"/>
    <w:rsid w:val="00BA094F"/>
    <w:rsid w:val="00BA0DED"/>
    <w:rsid w:val="00BA0F99"/>
    <w:rsid w:val="00BA6D2C"/>
    <w:rsid w:val="00BB0274"/>
    <w:rsid w:val="00BB0B13"/>
    <w:rsid w:val="00BB1CFD"/>
    <w:rsid w:val="00BB2C53"/>
    <w:rsid w:val="00BB32DA"/>
    <w:rsid w:val="00BB3A54"/>
    <w:rsid w:val="00BB462A"/>
    <w:rsid w:val="00BB4D26"/>
    <w:rsid w:val="00BB4E21"/>
    <w:rsid w:val="00BB7746"/>
    <w:rsid w:val="00BC22EB"/>
    <w:rsid w:val="00BC682B"/>
    <w:rsid w:val="00BC68BA"/>
    <w:rsid w:val="00BC6B04"/>
    <w:rsid w:val="00BC6D27"/>
    <w:rsid w:val="00BD059A"/>
    <w:rsid w:val="00BD0CBB"/>
    <w:rsid w:val="00BD186B"/>
    <w:rsid w:val="00BD1EAC"/>
    <w:rsid w:val="00BD254C"/>
    <w:rsid w:val="00BD3428"/>
    <w:rsid w:val="00BD366B"/>
    <w:rsid w:val="00BD5298"/>
    <w:rsid w:val="00BD534C"/>
    <w:rsid w:val="00BD557B"/>
    <w:rsid w:val="00BD55A9"/>
    <w:rsid w:val="00BD56BC"/>
    <w:rsid w:val="00BD5D91"/>
    <w:rsid w:val="00BD6445"/>
    <w:rsid w:val="00BD6615"/>
    <w:rsid w:val="00BD6D50"/>
    <w:rsid w:val="00BE0D79"/>
    <w:rsid w:val="00BE0DB0"/>
    <w:rsid w:val="00BE15B9"/>
    <w:rsid w:val="00BE2C15"/>
    <w:rsid w:val="00BE3381"/>
    <w:rsid w:val="00BE3F09"/>
    <w:rsid w:val="00BE670A"/>
    <w:rsid w:val="00BE6906"/>
    <w:rsid w:val="00BF18F4"/>
    <w:rsid w:val="00BF1A69"/>
    <w:rsid w:val="00BF3BC8"/>
    <w:rsid w:val="00BF3DF1"/>
    <w:rsid w:val="00BF4C31"/>
    <w:rsid w:val="00BF4E57"/>
    <w:rsid w:val="00BF53B8"/>
    <w:rsid w:val="00BF786A"/>
    <w:rsid w:val="00BF7CB8"/>
    <w:rsid w:val="00BF7F08"/>
    <w:rsid w:val="00C00831"/>
    <w:rsid w:val="00C00F20"/>
    <w:rsid w:val="00C01354"/>
    <w:rsid w:val="00C01700"/>
    <w:rsid w:val="00C01B84"/>
    <w:rsid w:val="00C034E6"/>
    <w:rsid w:val="00C05715"/>
    <w:rsid w:val="00C05926"/>
    <w:rsid w:val="00C0784A"/>
    <w:rsid w:val="00C10B28"/>
    <w:rsid w:val="00C10D62"/>
    <w:rsid w:val="00C10FAE"/>
    <w:rsid w:val="00C1135D"/>
    <w:rsid w:val="00C11DAF"/>
    <w:rsid w:val="00C123B4"/>
    <w:rsid w:val="00C12A69"/>
    <w:rsid w:val="00C13150"/>
    <w:rsid w:val="00C13737"/>
    <w:rsid w:val="00C150BE"/>
    <w:rsid w:val="00C158B0"/>
    <w:rsid w:val="00C15A0C"/>
    <w:rsid w:val="00C15CEB"/>
    <w:rsid w:val="00C15DCB"/>
    <w:rsid w:val="00C16208"/>
    <w:rsid w:val="00C1711F"/>
    <w:rsid w:val="00C17E38"/>
    <w:rsid w:val="00C2038A"/>
    <w:rsid w:val="00C205BF"/>
    <w:rsid w:val="00C20744"/>
    <w:rsid w:val="00C20B1C"/>
    <w:rsid w:val="00C20C4D"/>
    <w:rsid w:val="00C21D46"/>
    <w:rsid w:val="00C21F94"/>
    <w:rsid w:val="00C222A1"/>
    <w:rsid w:val="00C22C59"/>
    <w:rsid w:val="00C23371"/>
    <w:rsid w:val="00C23CBD"/>
    <w:rsid w:val="00C23D22"/>
    <w:rsid w:val="00C2463B"/>
    <w:rsid w:val="00C24E77"/>
    <w:rsid w:val="00C2732D"/>
    <w:rsid w:val="00C273C6"/>
    <w:rsid w:val="00C27913"/>
    <w:rsid w:val="00C3004E"/>
    <w:rsid w:val="00C300C6"/>
    <w:rsid w:val="00C30828"/>
    <w:rsid w:val="00C30924"/>
    <w:rsid w:val="00C31DD8"/>
    <w:rsid w:val="00C3271C"/>
    <w:rsid w:val="00C32A35"/>
    <w:rsid w:val="00C34FDE"/>
    <w:rsid w:val="00C35C16"/>
    <w:rsid w:val="00C36EC3"/>
    <w:rsid w:val="00C40E09"/>
    <w:rsid w:val="00C40F81"/>
    <w:rsid w:val="00C41463"/>
    <w:rsid w:val="00C41A06"/>
    <w:rsid w:val="00C41A72"/>
    <w:rsid w:val="00C42D45"/>
    <w:rsid w:val="00C43CB1"/>
    <w:rsid w:val="00C4422D"/>
    <w:rsid w:val="00C466D1"/>
    <w:rsid w:val="00C476C5"/>
    <w:rsid w:val="00C503B0"/>
    <w:rsid w:val="00C511C2"/>
    <w:rsid w:val="00C527C6"/>
    <w:rsid w:val="00C538FC"/>
    <w:rsid w:val="00C53CDB"/>
    <w:rsid w:val="00C53D82"/>
    <w:rsid w:val="00C54748"/>
    <w:rsid w:val="00C574CF"/>
    <w:rsid w:val="00C575FB"/>
    <w:rsid w:val="00C60696"/>
    <w:rsid w:val="00C60943"/>
    <w:rsid w:val="00C60EEF"/>
    <w:rsid w:val="00C610C5"/>
    <w:rsid w:val="00C6121D"/>
    <w:rsid w:val="00C615F1"/>
    <w:rsid w:val="00C61627"/>
    <w:rsid w:val="00C63B1A"/>
    <w:rsid w:val="00C64E60"/>
    <w:rsid w:val="00C657A4"/>
    <w:rsid w:val="00C66589"/>
    <w:rsid w:val="00C6736C"/>
    <w:rsid w:val="00C7179C"/>
    <w:rsid w:val="00C71A1D"/>
    <w:rsid w:val="00C71EC4"/>
    <w:rsid w:val="00C7410A"/>
    <w:rsid w:val="00C74791"/>
    <w:rsid w:val="00C7591E"/>
    <w:rsid w:val="00C75C7E"/>
    <w:rsid w:val="00C75C9B"/>
    <w:rsid w:val="00C76D8E"/>
    <w:rsid w:val="00C77833"/>
    <w:rsid w:val="00C80953"/>
    <w:rsid w:val="00C80C9B"/>
    <w:rsid w:val="00C8180B"/>
    <w:rsid w:val="00C8335E"/>
    <w:rsid w:val="00C83F9C"/>
    <w:rsid w:val="00C84CE3"/>
    <w:rsid w:val="00C85614"/>
    <w:rsid w:val="00C86127"/>
    <w:rsid w:val="00C9003C"/>
    <w:rsid w:val="00C90CF4"/>
    <w:rsid w:val="00C91C19"/>
    <w:rsid w:val="00C929A0"/>
    <w:rsid w:val="00C930FB"/>
    <w:rsid w:val="00C93389"/>
    <w:rsid w:val="00C937DB"/>
    <w:rsid w:val="00C94519"/>
    <w:rsid w:val="00C94E11"/>
    <w:rsid w:val="00C94E83"/>
    <w:rsid w:val="00C9567E"/>
    <w:rsid w:val="00C97038"/>
    <w:rsid w:val="00C97D46"/>
    <w:rsid w:val="00CA02B2"/>
    <w:rsid w:val="00CA0883"/>
    <w:rsid w:val="00CA1085"/>
    <w:rsid w:val="00CA140F"/>
    <w:rsid w:val="00CA25C2"/>
    <w:rsid w:val="00CA37BB"/>
    <w:rsid w:val="00CA37CA"/>
    <w:rsid w:val="00CA39E1"/>
    <w:rsid w:val="00CA5016"/>
    <w:rsid w:val="00CA5724"/>
    <w:rsid w:val="00CA6508"/>
    <w:rsid w:val="00CA6BA1"/>
    <w:rsid w:val="00CA6CD5"/>
    <w:rsid w:val="00CA6D0B"/>
    <w:rsid w:val="00CB1910"/>
    <w:rsid w:val="00CB2150"/>
    <w:rsid w:val="00CB28EE"/>
    <w:rsid w:val="00CB2B15"/>
    <w:rsid w:val="00CB2EEA"/>
    <w:rsid w:val="00CB39FE"/>
    <w:rsid w:val="00CB43A7"/>
    <w:rsid w:val="00CB4DF1"/>
    <w:rsid w:val="00CB5996"/>
    <w:rsid w:val="00CB6809"/>
    <w:rsid w:val="00CB7452"/>
    <w:rsid w:val="00CC0E10"/>
    <w:rsid w:val="00CC1DAF"/>
    <w:rsid w:val="00CC2642"/>
    <w:rsid w:val="00CC2967"/>
    <w:rsid w:val="00CC2A1E"/>
    <w:rsid w:val="00CC2A36"/>
    <w:rsid w:val="00CC2E15"/>
    <w:rsid w:val="00CC3440"/>
    <w:rsid w:val="00CC351B"/>
    <w:rsid w:val="00CC3908"/>
    <w:rsid w:val="00CC4F3D"/>
    <w:rsid w:val="00CC62AD"/>
    <w:rsid w:val="00CC6CA2"/>
    <w:rsid w:val="00CC7086"/>
    <w:rsid w:val="00CC7B80"/>
    <w:rsid w:val="00CD0080"/>
    <w:rsid w:val="00CD0779"/>
    <w:rsid w:val="00CD2B3C"/>
    <w:rsid w:val="00CD30F6"/>
    <w:rsid w:val="00CD4B29"/>
    <w:rsid w:val="00CD5493"/>
    <w:rsid w:val="00CD67CA"/>
    <w:rsid w:val="00CD6954"/>
    <w:rsid w:val="00CD6DA3"/>
    <w:rsid w:val="00CD6EF1"/>
    <w:rsid w:val="00CD7E35"/>
    <w:rsid w:val="00CE21C7"/>
    <w:rsid w:val="00CE2682"/>
    <w:rsid w:val="00CE2756"/>
    <w:rsid w:val="00CE442A"/>
    <w:rsid w:val="00CE4DEB"/>
    <w:rsid w:val="00CE57D8"/>
    <w:rsid w:val="00CE5F03"/>
    <w:rsid w:val="00CE617A"/>
    <w:rsid w:val="00CE6E3C"/>
    <w:rsid w:val="00CE7158"/>
    <w:rsid w:val="00CE797F"/>
    <w:rsid w:val="00CF107E"/>
    <w:rsid w:val="00CF15BF"/>
    <w:rsid w:val="00CF25D2"/>
    <w:rsid w:val="00CF28C2"/>
    <w:rsid w:val="00CF3D3A"/>
    <w:rsid w:val="00CF42BD"/>
    <w:rsid w:val="00CF51EC"/>
    <w:rsid w:val="00CF6A9D"/>
    <w:rsid w:val="00CF6CD7"/>
    <w:rsid w:val="00CF7276"/>
    <w:rsid w:val="00CF75EC"/>
    <w:rsid w:val="00D002DF"/>
    <w:rsid w:val="00D0037A"/>
    <w:rsid w:val="00D0061E"/>
    <w:rsid w:val="00D00DAF"/>
    <w:rsid w:val="00D017EC"/>
    <w:rsid w:val="00D01CDA"/>
    <w:rsid w:val="00D020FC"/>
    <w:rsid w:val="00D03866"/>
    <w:rsid w:val="00D040DD"/>
    <w:rsid w:val="00D04E1B"/>
    <w:rsid w:val="00D0547B"/>
    <w:rsid w:val="00D076DB"/>
    <w:rsid w:val="00D07EFF"/>
    <w:rsid w:val="00D1067C"/>
    <w:rsid w:val="00D11CBB"/>
    <w:rsid w:val="00D136D4"/>
    <w:rsid w:val="00D13830"/>
    <w:rsid w:val="00D13ECF"/>
    <w:rsid w:val="00D142E5"/>
    <w:rsid w:val="00D148CD"/>
    <w:rsid w:val="00D1611E"/>
    <w:rsid w:val="00D163CC"/>
    <w:rsid w:val="00D16E69"/>
    <w:rsid w:val="00D17F4A"/>
    <w:rsid w:val="00D205A9"/>
    <w:rsid w:val="00D217EE"/>
    <w:rsid w:val="00D24299"/>
    <w:rsid w:val="00D245BA"/>
    <w:rsid w:val="00D26923"/>
    <w:rsid w:val="00D27856"/>
    <w:rsid w:val="00D27D34"/>
    <w:rsid w:val="00D3006B"/>
    <w:rsid w:val="00D301CA"/>
    <w:rsid w:val="00D30740"/>
    <w:rsid w:val="00D31075"/>
    <w:rsid w:val="00D31445"/>
    <w:rsid w:val="00D31932"/>
    <w:rsid w:val="00D32AE0"/>
    <w:rsid w:val="00D360DA"/>
    <w:rsid w:val="00D374B3"/>
    <w:rsid w:val="00D37689"/>
    <w:rsid w:val="00D378CC"/>
    <w:rsid w:val="00D4042C"/>
    <w:rsid w:val="00D40B9E"/>
    <w:rsid w:val="00D41281"/>
    <w:rsid w:val="00D42312"/>
    <w:rsid w:val="00D433F5"/>
    <w:rsid w:val="00D43998"/>
    <w:rsid w:val="00D439C2"/>
    <w:rsid w:val="00D451E0"/>
    <w:rsid w:val="00D45A1D"/>
    <w:rsid w:val="00D4615E"/>
    <w:rsid w:val="00D4651F"/>
    <w:rsid w:val="00D478E2"/>
    <w:rsid w:val="00D5264C"/>
    <w:rsid w:val="00D547BA"/>
    <w:rsid w:val="00D55626"/>
    <w:rsid w:val="00D556BC"/>
    <w:rsid w:val="00D5626D"/>
    <w:rsid w:val="00D56631"/>
    <w:rsid w:val="00D577A4"/>
    <w:rsid w:val="00D57E4B"/>
    <w:rsid w:val="00D60277"/>
    <w:rsid w:val="00D60336"/>
    <w:rsid w:val="00D61B06"/>
    <w:rsid w:val="00D61F88"/>
    <w:rsid w:val="00D62688"/>
    <w:rsid w:val="00D62901"/>
    <w:rsid w:val="00D6345E"/>
    <w:rsid w:val="00D6470C"/>
    <w:rsid w:val="00D64853"/>
    <w:rsid w:val="00D64CB5"/>
    <w:rsid w:val="00D66D48"/>
    <w:rsid w:val="00D7162F"/>
    <w:rsid w:val="00D72897"/>
    <w:rsid w:val="00D73256"/>
    <w:rsid w:val="00D73A30"/>
    <w:rsid w:val="00D73E6F"/>
    <w:rsid w:val="00D74ABF"/>
    <w:rsid w:val="00D74C65"/>
    <w:rsid w:val="00D74E97"/>
    <w:rsid w:val="00D74F21"/>
    <w:rsid w:val="00D758D0"/>
    <w:rsid w:val="00D75DC2"/>
    <w:rsid w:val="00D75DC3"/>
    <w:rsid w:val="00D766EF"/>
    <w:rsid w:val="00D76C03"/>
    <w:rsid w:val="00D77F8D"/>
    <w:rsid w:val="00D80E07"/>
    <w:rsid w:val="00D8119B"/>
    <w:rsid w:val="00D81B44"/>
    <w:rsid w:val="00D82462"/>
    <w:rsid w:val="00D831C6"/>
    <w:rsid w:val="00D83EF3"/>
    <w:rsid w:val="00D84BD1"/>
    <w:rsid w:val="00D85773"/>
    <w:rsid w:val="00D85886"/>
    <w:rsid w:val="00D868CE"/>
    <w:rsid w:val="00D86DAE"/>
    <w:rsid w:val="00D90116"/>
    <w:rsid w:val="00D90C1E"/>
    <w:rsid w:val="00D91BDF"/>
    <w:rsid w:val="00D91F2C"/>
    <w:rsid w:val="00D9266B"/>
    <w:rsid w:val="00D93F09"/>
    <w:rsid w:val="00D94859"/>
    <w:rsid w:val="00D954C2"/>
    <w:rsid w:val="00D9640A"/>
    <w:rsid w:val="00D97BB8"/>
    <w:rsid w:val="00DA1318"/>
    <w:rsid w:val="00DA1382"/>
    <w:rsid w:val="00DA28B7"/>
    <w:rsid w:val="00DA2FE8"/>
    <w:rsid w:val="00DA4AF6"/>
    <w:rsid w:val="00DA7AB2"/>
    <w:rsid w:val="00DB016E"/>
    <w:rsid w:val="00DB06E9"/>
    <w:rsid w:val="00DB0BF3"/>
    <w:rsid w:val="00DB19BD"/>
    <w:rsid w:val="00DB1D55"/>
    <w:rsid w:val="00DB378E"/>
    <w:rsid w:val="00DB3C0D"/>
    <w:rsid w:val="00DB3E9D"/>
    <w:rsid w:val="00DB47B9"/>
    <w:rsid w:val="00DB4FB8"/>
    <w:rsid w:val="00DB53CE"/>
    <w:rsid w:val="00DB549D"/>
    <w:rsid w:val="00DB5792"/>
    <w:rsid w:val="00DB6A88"/>
    <w:rsid w:val="00DB7BA4"/>
    <w:rsid w:val="00DB7D77"/>
    <w:rsid w:val="00DC08D7"/>
    <w:rsid w:val="00DC226A"/>
    <w:rsid w:val="00DC257F"/>
    <w:rsid w:val="00DC2A9F"/>
    <w:rsid w:val="00DC2FA9"/>
    <w:rsid w:val="00DC350B"/>
    <w:rsid w:val="00DC3790"/>
    <w:rsid w:val="00DC408A"/>
    <w:rsid w:val="00DC436D"/>
    <w:rsid w:val="00DC519B"/>
    <w:rsid w:val="00DC5B3B"/>
    <w:rsid w:val="00DC6796"/>
    <w:rsid w:val="00DC6CC6"/>
    <w:rsid w:val="00DC78DF"/>
    <w:rsid w:val="00DC7D4C"/>
    <w:rsid w:val="00DD0726"/>
    <w:rsid w:val="00DD0821"/>
    <w:rsid w:val="00DD0E32"/>
    <w:rsid w:val="00DD1878"/>
    <w:rsid w:val="00DD1DC1"/>
    <w:rsid w:val="00DD2872"/>
    <w:rsid w:val="00DD2A62"/>
    <w:rsid w:val="00DD2BD0"/>
    <w:rsid w:val="00DD2BFE"/>
    <w:rsid w:val="00DD373E"/>
    <w:rsid w:val="00DD3867"/>
    <w:rsid w:val="00DD57AD"/>
    <w:rsid w:val="00DD7435"/>
    <w:rsid w:val="00DD7C6D"/>
    <w:rsid w:val="00DE009B"/>
    <w:rsid w:val="00DE08F8"/>
    <w:rsid w:val="00DE0C31"/>
    <w:rsid w:val="00DE0E40"/>
    <w:rsid w:val="00DE1460"/>
    <w:rsid w:val="00DE2ED9"/>
    <w:rsid w:val="00DE319A"/>
    <w:rsid w:val="00DF0615"/>
    <w:rsid w:val="00DF0DC3"/>
    <w:rsid w:val="00DF21FD"/>
    <w:rsid w:val="00DF2873"/>
    <w:rsid w:val="00DF293C"/>
    <w:rsid w:val="00DF34B2"/>
    <w:rsid w:val="00DF4C74"/>
    <w:rsid w:val="00DF5578"/>
    <w:rsid w:val="00DF6CF8"/>
    <w:rsid w:val="00DF78DD"/>
    <w:rsid w:val="00DF7FEC"/>
    <w:rsid w:val="00E01B16"/>
    <w:rsid w:val="00E01C0E"/>
    <w:rsid w:val="00E02086"/>
    <w:rsid w:val="00E023BE"/>
    <w:rsid w:val="00E02740"/>
    <w:rsid w:val="00E03B27"/>
    <w:rsid w:val="00E03B58"/>
    <w:rsid w:val="00E04694"/>
    <w:rsid w:val="00E049F6"/>
    <w:rsid w:val="00E04CA9"/>
    <w:rsid w:val="00E05B2B"/>
    <w:rsid w:val="00E05EAD"/>
    <w:rsid w:val="00E06A2A"/>
    <w:rsid w:val="00E07F05"/>
    <w:rsid w:val="00E106A2"/>
    <w:rsid w:val="00E127E1"/>
    <w:rsid w:val="00E12BCE"/>
    <w:rsid w:val="00E144D2"/>
    <w:rsid w:val="00E144D6"/>
    <w:rsid w:val="00E15346"/>
    <w:rsid w:val="00E15B7D"/>
    <w:rsid w:val="00E17C5F"/>
    <w:rsid w:val="00E2097E"/>
    <w:rsid w:val="00E215EA"/>
    <w:rsid w:val="00E21CAB"/>
    <w:rsid w:val="00E221FC"/>
    <w:rsid w:val="00E22E78"/>
    <w:rsid w:val="00E24619"/>
    <w:rsid w:val="00E25223"/>
    <w:rsid w:val="00E25999"/>
    <w:rsid w:val="00E263A8"/>
    <w:rsid w:val="00E30BEA"/>
    <w:rsid w:val="00E31764"/>
    <w:rsid w:val="00E3288A"/>
    <w:rsid w:val="00E32BC2"/>
    <w:rsid w:val="00E33313"/>
    <w:rsid w:val="00E34985"/>
    <w:rsid w:val="00E34E4A"/>
    <w:rsid w:val="00E365B3"/>
    <w:rsid w:val="00E366BB"/>
    <w:rsid w:val="00E372FD"/>
    <w:rsid w:val="00E37C45"/>
    <w:rsid w:val="00E40AAA"/>
    <w:rsid w:val="00E41A59"/>
    <w:rsid w:val="00E42444"/>
    <w:rsid w:val="00E438CF"/>
    <w:rsid w:val="00E43B06"/>
    <w:rsid w:val="00E43C41"/>
    <w:rsid w:val="00E4500E"/>
    <w:rsid w:val="00E450CE"/>
    <w:rsid w:val="00E45703"/>
    <w:rsid w:val="00E45A00"/>
    <w:rsid w:val="00E45CE7"/>
    <w:rsid w:val="00E4631F"/>
    <w:rsid w:val="00E46A4A"/>
    <w:rsid w:val="00E4793B"/>
    <w:rsid w:val="00E47CB8"/>
    <w:rsid w:val="00E522BB"/>
    <w:rsid w:val="00E52A3D"/>
    <w:rsid w:val="00E533B7"/>
    <w:rsid w:val="00E539E4"/>
    <w:rsid w:val="00E53C14"/>
    <w:rsid w:val="00E569C7"/>
    <w:rsid w:val="00E571F2"/>
    <w:rsid w:val="00E57429"/>
    <w:rsid w:val="00E60FCE"/>
    <w:rsid w:val="00E61EA8"/>
    <w:rsid w:val="00E62A33"/>
    <w:rsid w:val="00E63221"/>
    <w:rsid w:val="00E63EC6"/>
    <w:rsid w:val="00E64AE4"/>
    <w:rsid w:val="00E64CFF"/>
    <w:rsid w:val="00E64EA1"/>
    <w:rsid w:val="00E6582D"/>
    <w:rsid w:val="00E669C7"/>
    <w:rsid w:val="00E67611"/>
    <w:rsid w:val="00E70510"/>
    <w:rsid w:val="00E71262"/>
    <w:rsid w:val="00E71A58"/>
    <w:rsid w:val="00E737F6"/>
    <w:rsid w:val="00E7568F"/>
    <w:rsid w:val="00E764AE"/>
    <w:rsid w:val="00E7724B"/>
    <w:rsid w:val="00E80E31"/>
    <w:rsid w:val="00E81130"/>
    <w:rsid w:val="00E83DAB"/>
    <w:rsid w:val="00E84F21"/>
    <w:rsid w:val="00E8618A"/>
    <w:rsid w:val="00E90A4B"/>
    <w:rsid w:val="00E90D67"/>
    <w:rsid w:val="00E90F73"/>
    <w:rsid w:val="00E910A7"/>
    <w:rsid w:val="00E91607"/>
    <w:rsid w:val="00E921C7"/>
    <w:rsid w:val="00E92995"/>
    <w:rsid w:val="00E9446C"/>
    <w:rsid w:val="00E94612"/>
    <w:rsid w:val="00E95797"/>
    <w:rsid w:val="00E9682F"/>
    <w:rsid w:val="00E96A8D"/>
    <w:rsid w:val="00E972BA"/>
    <w:rsid w:val="00E97FA2"/>
    <w:rsid w:val="00EA06CB"/>
    <w:rsid w:val="00EA0AF3"/>
    <w:rsid w:val="00EA0C68"/>
    <w:rsid w:val="00EA19E2"/>
    <w:rsid w:val="00EA1CFB"/>
    <w:rsid w:val="00EA2169"/>
    <w:rsid w:val="00EA3EBE"/>
    <w:rsid w:val="00EA3FAC"/>
    <w:rsid w:val="00EA4153"/>
    <w:rsid w:val="00EA421A"/>
    <w:rsid w:val="00EA5CD6"/>
    <w:rsid w:val="00EA76FD"/>
    <w:rsid w:val="00EA77CA"/>
    <w:rsid w:val="00EA78FE"/>
    <w:rsid w:val="00EB03D4"/>
    <w:rsid w:val="00EB0555"/>
    <w:rsid w:val="00EB20A0"/>
    <w:rsid w:val="00EB2CE9"/>
    <w:rsid w:val="00EB30B6"/>
    <w:rsid w:val="00EB4FA4"/>
    <w:rsid w:val="00EB5146"/>
    <w:rsid w:val="00EB522B"/>
    <w:rsid w:val="00EB55E9"/>
    <w:rsid w:val="00EB5641"/>
    <w:rsid w:val="00EB5CA9"/>
    <w:rsid w:val="00EB5ED4"/>
    <w:rsid w:val="00EB6537"/>
    <w:rsid w:val="00EB70E1"/>
    <w:rsid w:val="00EB7EB5"/>
    <w:rsid w:val="00EC0860"/>
    <w:rsid w:val="00EC0EC1"/>
    <w:rsid w:val="00EC424C"/>
    <w:rsid w:val="00EC454B"/>
    <w:rsid w:val="00EC4941"/>
    <w:rsid w:val="00EC6153"/>
    <w:rsid w:val="00EC7F92"/>
    <w:rsid w:val="00ED00A8"/>
    <w:rsid w:val="00ED0A79"/>
    <w:rsid w:val="00ED2989"/>
    <w:rsid w:val="00ED2B0B"/>
    <w:rsid w:val="00ED2CA5"/>
    <w:rsid w:val="00ED336F"/>
    <w:rsid w:val="00ED3A94"/>
    <w:rsid w:val="00ED40F0"/>
    <w:rsid w:val="00ED4AC0"/>
    <w:rsid w:val="00ED54D6"/>
    <w:rsid w:val="00ED5726"/>
    <w:rsid w:val="00ED7C3C"/>
    <w:rsid w:val="00EE0113"/>
    <w:rsid w:val="00EE0298"/>
    <w:rsid w:val="00EE0384"/>
    <w:rsid w:val="00EE043A"/>
    <w:rsid w:val="00EE0473"/>
    <w:rsid w:val="00EE1057"/>
    <w:rsid w:val="00EE10AA"/>
    <w:rsid w:val="00EE1637"/>
    <w:rsid w:val="00EE3547"/>
    <w:rsid w:val="00EE3B7A"/>
    <w:rsid w:val="00EE3E78"/>
    <w:rsid w:val="00EE4534"/>
    <w:rsid w:val="00EE495A"/>
    <w:rsid w:val="00EE5E02"/>
    <w:rsid w:val="00EE617D"/>
    <w:rsid w:val="00EE61BF"/>
    <w:rsid w:val="00EE6538"/>
    <w:rsid w:val="00EE6748"/>
    <w:rsid w:val="00EE6C6B"/>
    <w:rsid w:val="00EF0E75"/>
    <w:rsid w:val="00EF1D92"/>
    <w:rsid w:val="00EF1F5A"/>
    <w:rsid w:val="00EF3486"/>
    <w:rsid w:val="00EF3CF0"/>
    <w:rsid w:val="00EF4685"/>
    <w:rsid w:val="00EF5397"/>
    <w:rsid w:val="00EF6BE3"/>
    <w:rsid w:val="00F00D0E"/>
    <w:rsid w:val="00F00D3C"/>
    <w:rsid w:val="00F020EA"/>
    <w:rsid w:val="00F02A72"/>
    <w:rsid w:val="00F04811"/>
    <w:rsid w:val="00F0488C"/>
    <w:rsid w:val="00F0496E"/>
    <w:rsid w:val="00F04D10"/>
    <w:rsid w:val="00F053EA"/>
    <w:rsid w:val="00F0625B"/>
    <w:rsid w:val="00F068A8"/>
    <w:rsid w:val="00F06944"/>
    <w:rsid w:val="00F06C6F"/>
    <w:rsid w:val="00F0732D"/>
    <w:rsid w:val="00F101FF"/>
    <w:rsid w:val="00F104DF"/>
    <w:rsid w:val="00F10A33"/>
    <w:rsid w:val="00F10B64"/>
    <w:rsid w:val="00F1186C"/>
    <w:rsid w:val="00F11AD5"/>
    <w:rsid w:val="00F126D0"/>
    <w:rsid w:val="00F12A83"/>
    <w:rsid w:val="00F14ACD"/>
    <w:rsid w:val="00F15309"/>
    <w:rsid w:val="00F15BEF"/>
    <w:rsid w:val="00F160EC"/>
    <w:rsid w:val="00F172BE"/>
    <w:rsid w:val="00F1776C"/>
    <w:rsid w:val="00F2037E"/>
    <w:rsid w:val="00F20D17"/>
    <w:rsid w:val="00F2103E"/>
    <w:rsid w:val="00F214FC"/>
    <w:rsid w:val="00F21C31"/>
    <w:rsid w:val="00F23825"/>
    <w:rsid w:val="00F2389A"/>
    <w:rsid w:val="00F23F6C"/>
    <w:rsid w:val="00F23FFF"/>
    <w:rsid w:val="00F2441D"/>
    <w:rsid w:val="00F2490D"/>
    <w:rsid w:val="00F24FAA"/>
    <w:rsid w:val="00F25226"/>
    <w:rsid w:val="00F25860"/>
    <w:rsid w:val="00F26197"/>
    <w:rsid w:val="00F273D4"/>
    <w:rsid w:val="00F307DD"/>
    <w:rsid w:val="00F30C2E"/>
    <w:rsid w:val="00F30CB4"/>
    <w:rsid w:val="00F30EBF"/>
    <w:rsid w:val="00F318FC"/>
    <w:rsid w:val="00F31D53"/>
    <w:rsid w:val="00F31F76"/>
    <w:rsid w:val="00F325A3"/>
    <w:rsid w:val="00F3364D"/>
    <w:rsid w:val="00F339D0"/>
    <w:rsid w:val="00F353AE"/>
    <w:rsid w:val="00F35ACD"/>
    <w:rsid w:val="00F365BF"/>
    <w:rsid w:val="00F36BF8"/>
    <w:rsid w:val="00F375BA"/>
    <w:rsid w:val="00F37760"/>
    <w:rsid w:val="00F403D1"/>
    <w:rsid w:val="00F43921"/>
    <w:rsid w:val="00F44E1B"/>
    <w:rsid w:val="00F4524F"/>
    <w:rsid w:val="00F45530"/>
    <w:rsid w:val="00F4591F"/>
    <w:rsid w:val="00F47321"/>
    <w:rsid w:val="00F4736B"/>
    <w:rsid w:val="00F47804"/>
    <w:rsid w:val="00F47997"/>
    <w:rsid w:val="00F47D05"/>
    <w:rsid w:val="00F50030"/>
    <w:rsid w:val="00F502F5"/>
    <w:rsid w:val="00F50B9D"/>
    <w:rsid w:val="00F51FC9"/>
    <w:rsid w:val="00F529EE"/>
    <w:rsid w:val="00F52AE1"/>
    <w:rsid w:val="00F53243"/>
    <w:rsid w:val="00F541ED"/>
    <w:rsid w:val="00F54B31"/>
    <w:rsid w:val="00F54FD3"/>
    <w:rsid w:val="00F554F9"/>
    <w:rsid w:val="00F55605"/>
    <w:rsid w:val="00F56375"/>
    <w:rsid w:val="00F57CD7"/>
    <w:rsid w:val="00F6080A"/>
    <w:rsid w:val="00F61BFE"/>
    <w:rsid w:val="00F62F02"/>
    <w:rsid w:val="00F6339F"/>
    <w:rsid w:val="00F63DDE"/>
    <w:rsid w:val="00F63FB7"/>
    <w:rsid w:val="00F64726"/>
    <w:rsid w:val="00F64F44"/>
    <w:rsid w:val="00F6561A"/>
    <w:rsid w:val="00F66243"/>
    <w:rsid w:val="00F67BDA"/>
    <w:rsid w:val="00F70309"/>
    <w:rsid w:val="00F7078A"/>
    <w:rsid w:val="00F70E45"/>
    <w:rsid w:val="00F727D5"/>
    <w:rsid w:val="00F72F44"/>
    <w:rsid w:val="00F73A0C"/>
    <w:rsid w:val="00F7593B"/>
    <w:rsid w:val="00F759DC"/>
    <w:rsid w:val="00F76563"/>
    <w:rsid w:val="00F7717C"/>
    <w:rsid w:val="00F771A5"/>
    <w:rsid w:val="00F80D1E"/>
    <w:rsid w:val="00F817A4"/>
    <w:rsid w:val="00F81C3A"/>
    <w:rsid w:val="00F83573"/>
    <w:rsid w:val="00F835E1"/>
    <w:rsid w:val="00F835FC"/>
    <w:rsid w:val="00F8373A"/>
    <w:rsid w:val="00F83E21"/>
    <w:rsid w:val="00F83FA4"/>
    <w:rsid w:val="00F8410C"/>
    <w:rsid w:val="00F84E18"/>
    <w:rsid w:val="00F852E5"/>
    <w:rsid w:val="00F853A5"/>
    <w:rsid w:val="00F90350"/>
    <w:rsid w:val="00F91EAF"/>
    <w:rsid w:val="00F9310A"/>
    <w:rsid w:val="00F94681"/>
    <w:rsid w:val="00F95117"/>
    <w:rsid w:val="00F97ED2"/>
    <w:rsid w:val="00FA05D7"/>
    <w:rsid w:val="00FA16BD"/>
    <w:rsid w:val="00FA1992"/>
    <w:rsid w:val="00FA1C6C"/>
    <w:rsid w:val="00FA2447"/>
    <w:rsid w:val="00FA2A4A"/>
    <w:rsid w:val="00FA2BDE"/>
    <w:rsid w:val="00FA2C2A"/>
    <w:rsid w:val="00FA309A"/>
    <w:rsid w:val="00FA6B3F"/>
    <w:rsid w:val="00FA7644"/>
    <w:rsid w:val="00FB0A9A"/>
    <w:rsid w:val="00FB16AD"/>
    <w:rsid w:val="00FB1F21"/>
    <w:rsid w:val="00FB332E"/>
    <w:rsid w:val="00FB3763"/>
    <w:rsid w:val="00FB483B"/>
    <w:rsid w:val="00FB56F1"/>
    <w:rsid w:val="00FB5FD4"/>
    <w:rsid w:val="00FB6398"/>
    <w:rsid w:val="00FB67F3"/>
    <w:rsid w:val="00FB6AF4"/>
    <w:rsid w:val="00FC0D8A"/>
    <w:rsid w:val="00FC0E5F"/>
    <w:rsid w:val="00FC135D"/>
    <w:rsid w:val="00FC26FB"/>
    <w:rsid w:val="00FC2CF4"/>
    <w:rsid w:val="00FC3C84"/>
    <w:rsid w:val="00FC4660"/>
    <w:rsid w:val="00FC56DE"/>
    <w:rsid w:val="00FC5E01"/>
    <w:rsid w:val="00FC6140"/>
    <w:rsid w:val="00FC6DB5"/>
    <w:rsid w:val="00FD1261"/>
    <w:rsid w:val="00FD1627"/>
    <w:rsid w:val="00FD1BBD"/>
    <w:rsid w:val="00FD38B2"/>
    <w:rsid w:val="00FD43A0"/>
    <w:rsid w:val="00FD473D"/>
    <w:rsid w:val="00FD55BA"/>
    <w:rsid w:val="00FD61C8"/>
    <w:rsid w:val="00FD63CE"/>
    <w:rsid w:val="00FD7D49"/>
    <w:rsid w:val="00FE1251"/>
    <w:rsid w:val="00FE16E6"/>
    <w:rsid w:val="00FE2F78"/>
    <w:rsid w:val="00FE3510"/>
    <w:rsid w:val="00FE371D"/>
    <w:rsid w:val="00FE375F"/>
    <w:rsid w:val="00FE3D8B"/>
    <w:rsid w:val="00FE4FCB"/>
    <w:rsid w:val="00FE688F"/>
    <w:rsid w:val="00FE705E"/>
    <w:rsid w:val="00FF02EB"/>
    <w:rsid w:val="00FF288B"/>
    <w:rsid w:val="00FF28E0"/>
    <w:rsid w:val="00FF2FB4"/>
    <w:rsid w:val="00FF30B3"/>
    <w:rsid w:val="00FF3DF3"/>
    <w:rsid w:val="00FF4027"/>
    <w:rsid w:val="00FF45A2"/>
    <w:rsid w:val="00FF55B1"/>
    <w:rsid w:val="00FF65DF"/>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5B22A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7D4281"/>
    <w:pPr>
      <w:jc w:val="both"/>
    </w:pPr>
    <w:rPr>
      <w:rFonts w:ascii="Arial" w:eastAsia="Times New Roman" w:hAnsi="Arial"/>
      <w:szCs w:val="24"/>
    </w:rPr>
  </w:style>
  <w:style w:type="character" w:customStyle="1" w:styleId="ssfpaarticletext">
    <w:name w:val="ssfpaarticletext"/>
    <w:basedOn w:val="Standardnpsmoodstavce"/>
    <w:rsid w:val="00EE0473"/>
  </w:style>
  <w:style w:type="paragraph" w:customStyle="1" w:styleId="Default">
    <w:name w:val="Default"/>
    <w:rsid w:val="00424D9B"/>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uiPriority w:val="99"/>
    <w:semiHidden/>
    <w:unhideWhenUsed/>
    <w:locked/>
    <w:rsid w:val="005A61D1"/>
    <w:rPr>
      <w:sz w:val="16"/>
      <w:szCs w:val="16"/>
    </w:rPr>
  </w:style>
  <w:style w:type="paragraph" w:styleId="Textkomente">
    <w:name w:val="annotation text"/>
    <w:basedOn w:val="Normln"/>
    <w:link w:val="TextkomenteChar"/>
    <w:uiPriority w:val="99"/>
    <w:semiHidden/>
    <w:unhideWhenUsed/>
    <w:locked/>
    <w:rsid w:val="005A61D1"/>
    <w:pPr>
      <w:spacing w:line="240" w:lineRule="auto"/>
    </w:pPr>
    <w:rPr>
      <w:szCs w:val="20"/>
    </w:rPr>
  </w:style>
  <w:style w:type="character" w:customStyle="1" w:styleId="TextkomenteChar">
    <w:name w:val="Text komentáře Char"/>
    <w:basedOn w:val="Standardnpsmoodstavce"/>
    <w:link w:val="Textkomente"/>
    <w:uiPriority w:val="99"/>
    <w:semiHidden/>
    <w:rsid w:val="005A61D1"/>
    <w:rPr>
      <w:rFonts w:ascii="Arial" w:hAnsi="Arial"/>
    </w:rPr>
  </w:style>
  <w:style w:type="character" w:customStyle="1" w:styleId="tabulka">
    <w:name w:val="tabulka"/>
    <w:basedOn w:val="Standardnpsmoodstavce"/>
    <w:rsid w:val="001C3961"/>
  </w:style>
</w:styles>
</file>

<file path=word/webSettings.xml><?xml version="1.0" encoding="utf-8"?>
<w:webSettings xmlns:r="http://schemas.openxmlformats.org/officeDocument/2006/relationships" xmlns:w="http://schemas.openxmlformats.org/wordprocessingml/2006/main">
  <w:divs>
    <w:div w:id="858011097">
      <w:bodyDiv w:val="1"/>
      <w:marLeft w:val="50"/>
      <w:marRight w:val="50"/>
      <w:marTop w:val="50"/>
      <w:marBottom w:val="13"/>
      <w:divBdr>
        <w:top w:val="none" w:sz="0" w:space="0" w:color="auto"/>
        <w:left w:val="none" w:sz="0" w:space="0" w:color="auto"/>
        <w:bottom w:val="none" w:sz="0" w:space="0" w:color="auto"/>
        <w:right w:val="none" w:sz="0" w:space="0" w:color="auto"/>
      </w:divBdr>
      <w:divsChild>
        <w:div w:id="727414442">
          <w:marLeft w:val="0"/>
          <w:marRight w:val="0"/>
          <w:marTop w:val="0"/>
          <w:marBottom w:val="0"/>
          <w:divBdr>
            <w:top w:val="none" w:sz="0" w:space="0" w:color="auto"/>
            <w:left w:val="none" w:sz="0" w:space="0" w:color="auto"/>
            <w:bottom w:val="none" w:sz="0" w:space="0" w:color="auto"/>
            <w:right w:val="none" w:sz="0" w:space="0" w:color="auto"/>
          </w:divBdr>
        </w:div>
        <w:div w:id="1946301921">
          <w:marLeft w:val="0"/>
          <w:marRight w:val="0"/>
          <w:marTop w:val="0"/>
          <w:marBottom w:val="0"/>
          <w:divBdr>
            <w:top w:val="none" w:sz="0" w:space="0" w:color="auto"/>
            <w:left w:val="none" w:sz="0" w:space="0" w:color="auto"/>
            <w:bottom w:val="none" w:sz="0" w:space="0" w:color="auto"/>
            <w:right w:val="none" w:sz="0" w:space="0" w:color="auto"/>
          </w:divBdr>
        </w:div>
        <w:div w:id="1820540680">
          <w:marLeft w:val="0"/>
          <w:marRight w:val="0"/>
          <w:marTop w:val="0"/>
          <w:marBottom w:val="0"/>
          <w:divBdr>
            <w:top w:val="none" w:sz="0" w:space="0" w:color="auto"/>
            <w:left w:val="none" w:sz="0" w:space="0" w:color="auto"/>
            <w:bottom w:val="none" w:sz="0" w:space="0" w:color="auto"/>
            <w:right w:val="none" w:sz="0" w:space="0" w:color="auto"/>
          </w:divBdr>
          <w:divsChild>
            <w:div w:id="2134322281">
              <w:marLeft w:val="0"/>
              <w:marRight w:val="0"/>
              <w:marTop w:val="0"/>
              <w:marBottom w:val="0"/>
              <w:divBdr>
                <w:top w:val="none" w:sz="0" w:space="0" w:color="auto"/>
                <w:left w:val="none" w:sz="0" w:space="0" w:color="auto"/>
                <w:bottom w:val="none" w:sz="0" w:space="0" w:color="auto"/>
                <w:right w:val="none" w:sz="0" w:space="0" w:color="auto"/>
              </w:divBdr>
            </w:div>
            <w:div w:id="523054529">
              <w:marLeft w:val="0"/>
              <w:marRight w:val="0"/>
              <w:marTop w:val="0"/>
              <w:marBottom w:val="0"/>
              <w:divBdr>
                <w:top w:val="none" w:sz="0" w:space="0" w:color="auto"/>
                <w:left w:val="none" w:sz="0" w:space="0" w:color="auto"/>
                <w:bottom w:val="none" w:sz="0" w:space="0" w:color="auto"/>
                <w:right w:val="none" w:sz="0" w:space="0" w:color="auto"/>
              </w:divBdr>
              <w:divsChild>
                <w:div w:id="1558934058">
                  <w:marLeft w:val="0"/>
                  <w:marRight w:val="0"/>
                  <w:marTop w:val="0"/>
                  <w:marBottom w:val="0"/>
                  <w:divBdr>
                    <w:top w:val="none" w:sz="0" w:space="0" w:color="auto"/>
                    <w:left w:val="none" w:sz="0" w:space="0" w:color="auto"/>
                    <w:bottom w:val="none" w:sz="0" w:space="0" w:color="auto"/>
                    <w:right w:val="none" w:sz="0" w:space="0" w:color="auto"/>
                  </w:divBdr>
                </w:div>
                <w:div w:id="1850876401">
                  <w:marLeft w:val="0"/>
                  <w:marRight w:val="0"/>
                  <w:marTop w:val="0"/>
                  <w:marBottom w:val="0"/>
                  <w:divBdr>
                    <w:top w:val="none" w:sz="0" w:space="0" w:color="auto"/>
                    <w:left w:val="none" w:sz="0" w:space="0" w:color="auto"/>
                    <w:bottom w:val="none" w:sz="0" w:space="0" w:color="auto"/>
                    <w:right w:val="none" w:sz="0" w:space="0" w:color="auto"/>
                  </w:divBdr>
                </w:div>
                <w:div w:id="797725160">
                  <w:marLeft w:val="0"/>
                  <w:marRight w:val="0"/>
                  <w:marTop w:val="0"/>
                  <w:marBottom w:val="0"/>
                  <w:divBdr>
                    <w:top w:val="none" w:sz="0" w:space="0" w:color="auto"/>
                    <w:left w:val="none" w:sz="0" w:space="0" w:color="auto"/>
                    <w:bottom w:val="none" w:sz="0" w:space="0" w:color="auto"/>
                    <w:right w:val="none" w:sz="0" w:space="0" w:color="auto"/>
                  </w:divBdr>
                </w:div>
                <w:div w:id="14808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8847">
          <w:marLeft w:val="0"/>
          <w:marRight w:val="0"/>
          <w:marTop w:val="0"/>
          <w:marBottom w:val="0"/>
          <w:divBdr>
            <w:top w:val="none" w:sz="0" w:space="0" w:color="auto"/>
            <w:left w:val="none" w:sz="0" w:space="0" w:color="auto"/>
            <w:bottom w:val="none" w:sz="0" w:space="0" w:color="auto"/>
            <w:right w:val="none" w:sz="0" w:space="0" w:color="auto"/>
          </w:divBdr>
        </w:div>
      </w:divsChild>
    </w:div>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 w:id="1644196240">
      <w:bodyDiv w:val="1"/>
      <w:marLeft w:val="40"/>
      <w:marRight w:val="40"/>
      <w:marTop w:val="40"/>
      <w:marBottom w:val="10"/>
      <w:divBdr>
        <w:top w:val="none" w:sz="0" w:space="0" w:color="auto"/>
        <w:left w:val="none" w:sz="0" w:space="0" w:color="auto"/>
        <w:bottom w:val="none" w:sz="0" w:space="0" w:color="auto"/>
        <w:right w:val="none" w:sz="0" w:space="0" w:color="auto"/>
      </w:divBdr>
      <w:divsChild>
        <w:div w:id="808862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chart" Target="charts/chart9.xml"/><Relationship Id="rId34" Type="http://schemas.openxmlformats.org/officeDocument/2006/relationships/chart" Target="charts/chart22.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header" Target="header3.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4.xml"/><Relationship Id="rId10" Type="http://schemas.openxmlformats.org/officeDocument/2006/relationships/header" Target="header1.xml"/><Relationship Id="rId19" Type="http://schemas.openxmlformats.org/officeDocument/2006/relationships/chart" Target="charts/chart7.xml"/><Relationship Id="rId31" Type="http://schemas.openxmlformats.org/officeDocument/2006/relationships/chart" Target="charts/chart19.xml"/><Relationship Id="rId4" Type="http://schemas.openxmlformats.org/officeDocument/2006/relationships/styles" Target="styles.xml"/><Relationship Id="rId9" Type="http://schemas.openxmlformats.org/officeDocument/2006/relationships/hyperlink" Target="mailto:jiri.kamenicky@czso.cz" TargetMode="Externa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okumenty\Desktop\Anal&#253;za\2017Q2\Makroanal&#253;za%20graf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Dokumenty\Desktop\Anal&#253;za\2017Q2\Makroanal&#253;za%20graf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Dokumenty\Desktop\Anal&#253;za\2017Q2\Makroanal&#253;za%20graf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Dokumenty\Desktop\Anal&#253;za\2017Q2\Makroanal&#253;za%20grafy.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Dokumenty\Desktop\Anal&#253;za\2017Q2\Makroanal&#253;za%20grafy.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Dokumenty\Desktop\Anal&#253;za\2017Q2\Makroanal&#253;za%20grafy.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JKAM%20CSU\PUBLIKACE\PUBLIKACE\2017\QMakro\1.pololet&#237;\Trh%20pr&#225;ce\Grafy-trh%20pr&#225;ce-2q-2017.xlsx"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JKAM%20CSU\PUBLIKACE\PUBLIKACE\2017\QMakro\1.pololet&#237;\Trh%20pr&#225;ce\Grafy-trh%20pr&#225;ce-2q-2017.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JKAM%20CSU\PUBLIKACE\PUBLIKACE\2017\QMakro\1.pololet&#237;\Trh%20pr&#225;ce\Grafy-trh%20pr&#225;ce-2q-2017.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Dokumenty\Desktop\Anal&#253;za\2017Q2\Makroanal&#253;za%20grafy.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Dokumenty\Desktop\Anal&#253;za\2017Q2\Makroanal&#253;za%20graf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kumenty\Desktop\Anal&#253;za\2017Q2\Makroanal&#253;za%20grafy.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JKAM%20CSU\PUBLIKACE\PUBLIKACE\2017\QMakro\1.pololet&#237;\Rozpo&#269;et\Grafy-st&#225;tn&#237;%20rozpo&#269;et-1.pol-2016.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JKAM%20CSU\PUBLIKACE\PUBLIKACE\2017\QMakro\1.pololet&#237;\Rozpo&#269;et\Grafy-st&#225;tn&#237;%20rozpo&#269;et-1.pol-2016.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JKAM%20CSU\PUBLIKACE\PUBLIKACE\2017\QMakro\1.pololet&#237;-aktual\Rozpo&#269;et\Grafy-st&#225;tn&#237;%20rozpo&#269;et-1.pol-2016.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JKAM%20CSU\PUBLIKACE\PUBLIKACE\2017\QMakro\1.pololet&#237;\Grafy-st&#225;tn&#237;%20rozpo&#269;et-1.pol-2016.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JKAM%20CSU\PUBLIKACE\PUBLIKACE\2017\QMakro\1.pololet&#237;-aktual\Rozpo&#269;et\Grafy-st&#225;tn&#237;%20rozpo&#269;et-1.pol-20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okumenty\Desktop\Anal&#253;za\2017Q2\Makroanal&#253;za%20graf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okumenty\Desktop\Anal&#253;za\2017Q2\Makroanal&#253;za%20graf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JKAM%20CSU\PUBLIKACE\PUBLIKACE\2017\QMakro\1.pololet&#237;-aktual\Odv&#283;tv&#237;\Odv&#283;tv&#237;%20grafy-2q-201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JKAM%20CSU\PUBLIKACE\PUBLIKACE\2017\QMakro\1.pololet&#237;-aktual\Odv&#283;tv&#237;\Odv&#283;tv&#237;%20grafy-2q-2017.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JKAM%20CSU\PUBLIKACE\PUBLIKACE\2017\QMakro\1.pololet&#237;-aktual\Odv&#283;tv&#237;\Odv&#283;tv&#237;%20grafy-2q-201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JKAM%20CSU\PUBLIKACE\PUBLIKACE\2017\QMakro\1.pololet&#237;\Odv&#283;tv&#237;\Odv&#283;tv&#237;%20grafy-2q-201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Dokumenty\Desktop\Anal&#253;za\2017Q2\Makroanal&#253;za%20graf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2240163796014418E-2"/>
          <c:y val="2.3046636085627001E-2"/>
          <c:w val="0.93617042384329663"/>
          <c:h val="0.74192840256670933"/>
        </c:manualLayout>
      </c:layout>
      <c:barChart>
        <c:barDir val="col"/>
        <c:grouping val="clustered"/>
        <c:ser>
          <c:idx val="0"/>
          <c:order val="0"/>
          <c:tx>
            <c:strRef>
              <c:f>'souhrnná výkonnost 1'!$C$4</c:f>
              <c:strCache>
                <c:ptCount val="1"/>
                <c:pt idx="0">
                  <c:v>ČR meziroční změna</c:v>
                </c:pt>
              </c:strCache>
            </c:strRef>
          </c:tx>
          <c:spPr>
            <a:solidFill>
              <a:schemeClr val="bg1">
                <a:lumMod val="65000"/>
              </a:schemeClr>
            </a:solidFill>
            <a:ln>
              <a:noFill/>
            </a:ln>
          </c:spPr>
          <c:cat>
            <c:multiLvlStrRef>
              <c:f>'souhrnná výkonnost 1'!$A$9:$B$26</c:f>
              <c:multiLvlStrCache>
                <c:ptCount val="1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lvl>
                <c:lvl>
                  <c:pt idx="0">
                    <c:v>2013</c:v>
                  </c:pt>
                  <c:pt idx="4">
                    <c:v>2014</c:v>
                  </c:pt>
                  <c:pt idx="8">
                    <c:v>2015</c:v>
                  </c:pt>
                  <c:pt idx="12">
                    <c:v>2016</c:v>
                  </c:pt>
                  <c:pt idx="16">
                    <c:v>2017</c:v>
                  </c:pt>
                </c:lvl>
              </c:multiLvlStrCache>
            </c:multiLvlStrRef>
          </c:cat>
          <c:val>
            <c:numRef>
              <c:f>'souhrnná výkonnost 1'!$C$9:$C$26</c:f>
              <c:numCache>
                <c:formatCode>0.0</c:formatCode>
                <c:ptCount val="18"/>
                <c:pt idx="0">
                  <c:v>-1.7511683134985248</c:v>
                </c:pt>
                <c:pt idx="1">
                  <c:v>-1.1225511599608355</c:v>
                </c:pt>
                <c:pt idx="2">
                  <c:v>-0.3518733567189401</c:v>
                </c:pt>
                <c:pt idx="3">
                  <c:v>1.3064560933108851</c:v>
                </c:pt>
                <c:pt idx="4">
                  <c:v>1.6429317745401164</c:v>
                </c:pt>
                <c:pt idx="5">
                  <c:v>2.379951450221256</c:v>
                </c:pt>
                <c:pt idx="6">
                  <c:v>3.4229941989101462</c:v>
                </c:pt>
                <c:pt idx="7">
                  <c:v>3.3996850847558298</c:v>
                </c:pt>
                <c:pt idx="8">
                  <c:v>5.1924491451289043</c:v>
                </c:pt>
                <c:pt idx="9">
                  <c:v>5.7975987955825738</c:v>
                </c:pt>
                <c:pt idx="10">
                  <c:v>5.6880052521314033</c:v>
                </c:pt>
                <c:pt idx="11">
                  <c:v>4.8807255143514396</c:v>
                </c:pt>
                <c:pt idx="12">
                  <c:v>3.5408169174491202</c:v>
                </c:pt>
                <c:pt idx="13">
                  <c:v>2.8477395147454136</c:v>
                </c:pt>
                <c:pt idx="14">
                  <c:v>1.843939906776342</c:v>
                </c:pt>
                <c:pt idx="15">
                  <c:v>1.7654418234806428</c:v>
                </c:pt>
                <c:pt idx="16" formatCode="General">
                  <c:v>2.9918698816459965</c:v>
                </c:pt>
                <c:pt idx="17" formatCode="General">
                  <c:v>4.679972870303132</c:v>
                </c:pt>
              </c:numCache>
            </c:numRef>
          </c:val>
        </c:ser>
        <c:ser>
          <c:idx val="1"/>
          <c:order val="1"/>
          <c:tx>
            <c:strRef>
              <c:f>'souhrnná výkonnost 1'!$D$4</c:f>
              <c:strCache>
                <c:ptCount val="1"/>
                <c:pt idx="0">
                  <c:v>EU28 meziroční změna</c:v>
                </c:pt>
              </c:strCache>
            </c:strRef>
          </c:tx>
          <c:spPr>
            <a:solidFill>
              <a:schemeClr val="bg1">
                <a:lumMod val="50000"/>
              </a:schemeClr>
            </a:solidFill>
            <a:ln>
              <a:noFill/>
            </a:ln>
          </c:spPr>
          <c:cat>
            <c:multiLvlStrRef>
              <c:f>'souhrnná výkonnost 1'!$A$9:$B$25</c:f>
              <c:multiLvlStrCache>
                <c:ptCount val="1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lvl>
                <c:lvl>
                  <c:pt idx="0">
                    <c:v>2013</c:v>
                  </c:pt>
                  <c:pt idx="4">
                    <c:v>2014</c:v>
                  </c:pt>
                  <c:pt idx="8">
                    <c:v>2015</c:v>
                  </c:pt>
                  <c:pt idx="12">
                    <c:v>2016</c:v>
                  </c:pt>
                  <c:pt idx="16">
                    <c:v>2017</c:v>
                  </c:pt>
                </c:lvl>
              </c:multiLvlStrCache>
            </c:multiLvlStrRef>
          </c:cat>
          <c:val>
            <c:numRef>
              <c:f>'souhrnná výkonnost 1'!$D$9:$D$26</c:f>
              <c:numCache>
                <c:formatCode>0.0</c:formatCode>
                <c:ptCount val="18"/>
                <c:pt idx="0">
                  <c:v>-0.59113300492610266</c:v>
                </c:pt>
                <c:pt idx="1">
                  <c:v>9.8716683119455639E-2</c:v>
                </c:pt>
                <c:pt idx="2">
                  <c:v>0.49358341559723595</c:v>
                </c:pt>
                <c:pt idx="3">
                  <c:v>1.1892963330029618</c:v>
                </c:pt>
                <c:pt idx="4">
                  <c:v>1.6848364717542008</c:v>
                </c:pt>
                <c:pt idx="5">
                  <c:v>1.4792899408284024</c:v>
                </c:pt>
                <c:pt idx="6">
                  <c:v>1.5717092337917571</c:v>
                </c:pt>
                <c:pt idx="7">
                  <c:v>1.8609206660137179</c:v>
                </c:pt>
                <c:pt idx="8" formatCode="#,##0.0">
                  <c:v>2.1</c:v>
                </c:pt>
                <c:pt idx="9" formatCode="#,##0.0">
                  <c:v>2.2000000000000002</c:v>
                </c:pt>
                <c:pt idx="10" formatCode="#,##0.0">
                  <c:v>2.1</c:v>
                </c:pt>
                <c:pt idx="11" formatCode="#,##0.0">
                  <c:v>2.1</c:v>
                </c:pt>
                <c:pt idx="12" formatCode="#,##0.0">
                  <c:v>1.8</c:v>
                </c:pt>
                <c:pt idx="13" formatCode="#,##0.0">
                  <c:v>1.9000000000000001</c:v>
                </c:pt>
                <c:pt idx="14" formatCode="#,##0.0">
                  <c:v>1.9000000000000001</c:v>
                </c:pt>
                <c:pt idx="15" formatCode="#,##0.0">
                  <c:v>2</c:v>
                </c:pt>
                <c:pt idx="16" formatCode="#,##0.0">
                  <c:v>2.1</c:v>
                </c:pt>
                <c:pt idx="17" formatCode="#,##0.0">
                  <c:v>2.4</c:v>
                </c:pt>
              </c:numCache>
            </c:numRef>
          </c:val>
        </c:ser>
        <c:gapWidth val="100"/>
        <c:axId val="175082112"/>
        <c:axId val="179401088"/>
      </c:barChart>
      <c:lineChart>
        <c:grouping val="standard"/>
        <c:ser>
          <c:idx val="2"/>
          <c:order val="2"/>
          <c:tx>
            <c:strRef>
              <c:f>'souhrnná výkonnost 1'!$E$4</c:f>
              <c:strCache>
                <c:ptCount val="1"/>
                <c:pt idx="0">
                  <c:v>ČR mezičtvrtletní změna</c:v>
                </c:pt>
              </c:strCache>
            </c:strRef>
          </c:tx>
          <c:spPr>
            <a:ln w="19050">
              <a:noFill/>
            </a:ln>
          </c:spPr>
          <c:marker>
            <c:symbol val="dash"/>
            <c:size val="10"/>
            <c:spPr>
              <a:solidFill>
                <a:schemeClr val="accent1"/>
              </a:solidFill>
              <a:ln>
                <a:noFill/>
              </a:ln>
            </c:spPr>
          </c:marker>
          <c:val>
            <c:numRef>
              <c:f>'souhrnná výkonnost 1'!$E$9:$E$26</c:f>
              <c:numCache>
                <c:formatCode>0.0</c:formatCode>
                <c:ptCount val="18"/>
                <c:pt idx="0">
                  <c:v>-0.45693637688056304</c:v>
                </c:pt>
                <c:pt idx="1">
                  <c:v>0.19806063963225995</c:v>
                </c:pt>
                <c:pt idx="2">
                  <c:v>0.25106366477383801</c:v>
                </c:pt>
                <c:pt idx="3">
                  <c:v>1.3159486871259671</c:v>
                </c:pt>
                <c:pt idx="4">
                  <c:v>-0.1263175650510249</c:v>
                </c:pt>
                <c:pt idx="5">
                  <c:v>0.92460345837255897</c:v>
                </c:pt>
                <c:pt idx="6">
                  <c:v>1.2724173919704358</c:v>
                </c:pt>
                <c:pt idx="7">
                  <c:v>1.2931144515490869</c:v>
                </c:pt>
                <c:pt idx="8">
                  <c:v>1.6053119684405319</c:v>
                </c:pt>
                <c:pt idx="9">
                  <c:v>1.5052011058400863</c:v>
                </c:pt>
                <c:pt idx="10">
                  <c:v>1.1675113903011718</c:v>
                </c:pt>
                <c:pt idx="11">
                  <c:v>0.5194043348874684</c:v>
                </c:pt>
                <c:pt idx="12">
                  <c:v>0.30724856994861238</c:v>
                </c:pt>
                <c:pt idx="13">
                  <c:v>0.82574962730441848</c:v>
                </c:pt>
                <c:pt idx="14">
                  <c:v>0.18011090146271161</c:v>
                </c:pt>
                <c:pt idx="15">
                  <c:v>0.44192716166011792</c:v>
                </c:pt>
                <c:pt idx="16" formatCode="General">
                  <c:v>1.5161031858106071</c:v>
                </c:pt>
                <c:pt idx="17" formatCode="General">
                  <c:v>2.4783485118090169</c:v>
                </c:pt>
              </c:numCache>
            </c:numRef>
          </c:val>
        </c:ser>
        <c:ser>
          <c:idx val="3"/>
          <c:order val="3"/>
          <c:tx>
            <c:strRef>
              <c:f>'souhrnná výkonnost 1'!$F$4</c:f>
              <c:strCache>
                <c:ptCount val="1"/>
                <c:pt idx="0">
                  <c:v>EU28 mezičtvrtletní změna</c:v>
                </c:pt>
              </c:strCache>
            </c:strRef>
          </c:tx>
          <c:spPr>
            <a:ln w="19050">
              <a:noFill/>
            </a:ln>
          </c:spPr>
          <c:marker>
            <c:symbol val="dash"/>
            <c:size val="10"/>
            <c:spPr>
              <a:solidFill>
                <a:schemeClr val="accent2"/>
              </a:solidFill>
              <a:ln>
                <a:noFill/>
              </a:ln>
            </c:spPr>
          </c:marker>
          <c:val>
            <c:numRef>
              <c:f>'souhrnná výkonnost 1'!$F$9:$F$26</c:f>
              <c:numCache>
                <c:formatCode>0.0</c:formatCode>
                <c:ptCount val="18"/>
                <c:pt idx="0">
                  <c:v>0</c:v>
                </c:pt>
                <c:pt idx="1">
                  <c:v>0.49554013875123876</c:v>
                </c:pt>
                <c:pt idx="2">
                  <c:v>0.39447731755423232</c:v>
                </c:pt>
                <c:pt idx="3">
                  <c:v>0.29469548133595014</c:v>
                </c:pt>
                <c:pt idx="4">
                  <c:v>0.4897159647404507</c:v>
                </c:pt>
                <c:pt idx="5">
                  <c:v>0.29239766081872459</c:v>
                </c:pt>
                <c:pt idx="6">
                  <c:v>0.48590864917395538</c:v>
                </c:pt>
                <c:pt idx="7">
                  <c:v>0.58027079303674489</c:v>
                </c:pt>
                <c:pt idx="8" formatCode="#,##0.0">
                  <c:v>0.70000000000000007</c:v>
                </c:pt>
                <c:pt idx="9" formatCode="#,##0.0">
                  <c:v>0.4</c:v>
                </c:pt>
                <c:pt idx="10" formatCode="#,##0.0">
                  <c:v>0.5</c:v>
                </c:pt>
                <c:pt idx="11" formatCode="#,##0.0">
                  <c:v>0.5</c:v>
                </c:pt>
                <c:pt idx="12" formatCode="#,##0.0">
                  <c:v>0.4</c:v>
                </c:pt>
                <c:pt idx="13" formatCode="#,##0.0">
                  <c:v>0.4</c:v>
                </c:pt>
                <c:pt idx="14" formatCode="#,##0.0">
                  <c:v>0.5</c:v>
                </c:pt>
                <c:pt idx="15" formatCode="#,##0.0">
                  <c:v>0.70000000000000007</c:v>
                </c:pt>
                <c:pt idx="16" formatCode="#,##0.0">
                  <c:v>0.5</c:v>
                </c:pt>
                <c:pt idx="17" formatCode="#,##0.0">
                  <c:v>0.70000000000000007</c:v>
                </c:pt>
              </c:numCache>
            </c:numRef>
          </c:val>
        </c:ser>
        <c:marker val="1"/>
        <c:axId val="175082112"/>
        <c:axId val="179401088"/>
      </c:lineChart>
      <c:catAx>
        <c:axId val="175082112"/>
        <c:scaling>
          <c:orientation val="minMax"/>
        </c:scaling>
        <c:axPos val="b"/>
        <c:tickLblPos val="low"/>
        <c:spPr>
          <a:ln>
            <a:solidFill>
              <a:schemeClr val="tx1"/>
            </a:solidFill>
          </a:ln>
        </c:spPr>
        <c:txPr>
          <a:bodyPr rot="0" vert="horz"/>
          <a:lstStyle/>
          <a:p>
            <a:pPr>
              <a:defRPr/>
            </a:pPr>
            <a:endParaRPr lang="cs-CZ"/>
          </a:p>
        </c:txPr>
        <c:crossAx val="179401088"/>
        <c:crosses val="autoZero"/>
        <c:auto val="1"/>
        <c:lblAlgn val="ctr"/>
        <c:lblOffset val="100"/>
      </c:catAx>
      <c:valAx>
        <c:axId val="179401088"/>
        <c:scaling>
          <c:orientation val="minMax"/>
          <c:max val="6"/>
        </c:scaling>
        <c:axPos val="l"/>
        <c:majorGridlines>
          <c:spPr>
            <a:ln w="6350">
              <a:solidFill>
                <a:schemeClr val="bg1">
                  <a:lumMod val="75000"/>
                </a:schemeClr>
              </a:solidFill>
            </a:ln>
          </c:spPr>
        </c:majorGridlines>
        <c:numFmt formatCode="0" sourceLinked="0"/>
        <c:tickLblPos val="nextTo"/>
        <c:spPr>
          <a:ln>
            <a:solidFill>
              <a:schemeClr val="tx1"/>
            </a:solidFill>
          </a:ln>
        </c:spPr>
        <c:crossAx val="175082112"/>
        <c:crosses val="autoZero"/>
        <c:crossBetween val="between"/>
      </c:valAx>
      <c:spPr>
        <a:ln>
          <a:solidFill>
            <a:schemeClr val="tx1"/>
          </a:solidFill>
        </a:ln>
      </c:spPr>
    </c:plotArea>
    <c:legend>
      <c:legendPos val="b"/>
      <c:layout>
        <c:manualLayout>
          <c:xMode val="edge"/>
          <c:yMode val="edge"/>
          <c:x val="3.9667131036811895E-2"/>
          <c:y val="0.8943725512571804"/>
          <c:w val="0.93714918946301962"/>
          <c:h val="9.0301755758791014E-2"/>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5.8656266097578916E-2"/>
          <c:y val="2.3304908251716772E-2"/>
          <c:w val="0.92389825103638379"/>
          <c:h val="0.58623184734886868"/>
        </c:manualLayout>
      </c:layout>
      <c:barChart>
        <c:barDir val="col"/>
        <c:grouping val="clustered"/>
        <c:ser>
          <c:idx val="1"/>
          <c:order val="0"/>
          <c:tx>
            <c:strRef>
              <c:f>'Vnější vztahy 2'!$A$7</c:f>
              <c:strCache>
                <c:ptCount val="1"/>
                <c:pt idx="0">
                  <c:v>2016 Q1-Q2</c:v>
                </c:pt>
              </c:strCache>
            </c:strRef>
          </c:tx>
          <c:spPr>
            <a:solidFill>
              <a:schemeClr val="bg1">
                <a:lumMod val="65000"/>
              </a:schemeClr>
            </a:solidFill>
          </c:spPr>
          <c:val>
            <c:numRef>
              <c:f>'Vnější vztahy 2'!$B$7:$N$7</c:f>
              <c:numCache>
                <c:formatCode>General</c:formatCode>
                <c:ptCount val="13"/>
                <c:pt idx="0">
                  <c:v>-35.726000000000013</c:v>
                </c:pt>
                <c:pt idx="1">
                  <c:v>-17.251000000000001</c:v>
                </c:pt>
                <c:pt idx="2">
                  <c:v>-11.456000000000001</c:v>
                </c:pt>
                <c:pt idx="3">
                  <c:v>-13.351000000000003</c:v>
                </c:pt>
                <c:pt idx="4">
                  <c:v>-64.046000000000006</c:v>
                </c:pt>
                <c:pt idx="5">
                  <c:v>-22.257000000000001</c:v>
                </c:pt>
                <c:pt idx="6">
                  <c:v>12.089</c:v>
                </c:pt>
                <c:pt idx="7">
                  <c:v>-48.585000000000001</c:v>
                </c:pt>
                <c:pt idx="8">
                  <c:v>32.408000000000001</c:v>
                </c:pt>
                <c:pt idx="9">
                  <c:v>-20.904</c:v>
                </c:pt>
                <c:pt idx="10">
                  <c:v>21.832000000000001</c:v>
                </c:pt>
                <c:pt idx="11">
                  <c:v>32.300000000000011</c:v>
                </c:pt>
                <c:pt idx="12">
                  <c:v>230.48200000000003</c:v>
                </c:pt>
              </c:numCache>
            </c:numRef>
          </c:val>
        </c:ser>
        <c:ser>
          <c:idx val="0"/>
          <c:order val="1"/>
          <c:tx>
            <c:strRef>
              <c:f>'Vnější vztahy 2'!$A$6</c:f>
              <c:strCache>
                <c:ptCount val="1"/>
                <c:pt idx="0">
                  <c:v>2017 Q1-Q2</c:v>
                </c:pt>
              </c:strCache>
            </c:strRef>
          </c:tx>
          <c:spPr>
            <a:solidFill>
              <a:schemeClr val="tx1">
                <a:lumMod val="50000"/>
                <a:lumOff val="50000"/>
              </a:schemeClr>
            </a:solidFill>
            <a:ln>
              <a:noFill/>
            </a:ln>
          </c:spPr>
          <c:cat>
            <c:strRef>
              <c:f>'Vnější vztahy 2'!$B$5:$N$5</c:f>
              <c:strCache>
                <c:ptCount val="13"/>
                <c:pt idx="0">
                  <c:v>Ropa a zemní plyn</c:v>
                </c:pt>
                <c:pt idx="1">
                  <c:v>Potrav. výrobky</c:v>
                </c:pt>
                <c:pt idx="2">
                  <c:v>Oděvy</c:v>
                </c:pt>
                <c:pt idx="3">
                  <c:v>Koks, raf. ropné prod.</c:v>
                </c:pt>
                <c:pt idx="4">
                  <c:v>Chem. látky a přípr.</c:v>
                </c:pt>
                <c:pt idx="5">
                  <c:v>Farmac. výrobky</c:v>
                </c:pt>
                <c:pt idx="6">
                  <c:v>Ostat. nekov. minerály</c:v>
                </c:pt>
                <c:pt idx="7">
                  <c:v>Základní kovy</c:v>
                </c:pt>
                <c:pt idx="8">
                  <c:v>Kovodělné výrobky</c:v>
                </c:pt>
                <c:pt idx="9">
                  <c:v>Počítače,                                             elektron. přístr.</c:v>
                </c:pt>
                <c:pt idx="10">
                  <c:v>Elektrická zařízení</c:v>
                </c:pt>
                <c:pt idx="11">
                  <c:v>Stroje a zařízení j.n.</c:v>
                </c:pt>
                <c:pt idx="12">
                  <c:v>Motorová vozidla</c:v>
                </c:pt>
              </c:strCache>
            </c:strRef>
          </c:cat>
          <c:val>
            <c:numRef>
              <c:f>'Vnější vztahy 2'!$B$6:$N$6</c:f>
              <c:numCache>
                <c:formatCode>General</c:formatCode>
                <c:ptCount val="13"/>
                <c:pt idx="0">
                  <c:v>-62.225000000000009</c:v>
                </c:pt>
                <c:pt idx="1">
                  <c:v>-18.152999999999999</c:v>
                </c:pt>
                <c:pt idx="2">
                  <c:v>-13.701000000000001</c:v>
                </c:pt>
                <c:pt idx="3">
                  <c:v>-4.7069999999999999</c:v>
                </c:pt>
                <c:pt idx="4">
                  <c:v>-57.502000000000002</c:v>
                </c:pt>
                <c:pt idx="5">
                  <c:v>-24.281999999999996</c:v>
                </c:pt>
                <c:pt idx="6">
                  <c:v>12.185</c:v>
                </c:pt>
                <c:pt idx="7">
                  <c:v>-62.403000000000006</c:v>
                </c:pt>
                <c:pt idx="8">
                  <c:v>30.224</c:v>
                </c:pt>
                <c:pt idx="9">
                  <c:v>-18.510000000000005</c:v>
                </c:pt>
                <c:pt idx="10">
                  <c:v>20.870999999999999</c:v>
                </c:pt>
                <c:pt idx="11">
                  <c:v>42.933</c:v>
                </c:pt>
                <c:pt idx="12">
                  <c:v>243.61099999999999</c:v>
                </c:pt>
              </c:numCache>
            </c:numRef>
          </c:val>
        </c:ser>
        <c:gapWidth val="97"/>
        <c:axId val="182855168"/>
        <c:axId val="182856704"/>
      </c:barChart>
      <c:catAx>
        <c:axId val="182855168"/>
        <c:scaling>
          <c:orientation val="minMax"/>
        </c:scaling>
        <c:axPos val="b"/>
        <c:tickLblPos val="low"/>
        <c:spPr>
          <a:ln>
            <a:solidFill>
              <a:schemeClr val="tx1"/>
            </a:solidFill>
          </a:ln>
        </c:spPr>
        <c:txPr>
          <a:bodyPr rot="-5400000" vert="horz"/>
          <a:lstStyle/>
          <a:p>
            <a:pPr>
              <a:defRPr/>
            </a:pPr>
            <a:endParaRPr lang="cs-CZ"/>
          </a:p>
        </c:txPr>
        <c:crossAx val="182856704"/>
        <c:crosses val="autoZero"/>
        <c:auto val="1"/>
        <c:lblAlgn val="ctr"/>
        <c:lblOffset val="100"/>
      </c:catAx>
      <c:valAx>
        <c:axId val="182856704"/>
        <c:scaling>
          <c:orientation val="minMax"/>
          <c:max val="250"/>
          <c:min val="-80"/>
        </c:scaling>
        <c:axPos val="l"/>
        <c:majorGridlines>
          <c:spPr>
            <a:ln w="6350">
              <a:solidFill>
                <a:schemeClr val="bg1">
                  <a:lumMod val="75000"/>
                </a:schemeClr>
              </a:solidFill>
            </a:ln>
          </c:spPr>
        </c:majorGridlines>
        <c:numFmt formatCode="General" sourceLinked="1"/>
        <c:tickLblPos val="nextTo"/>
        <c:crossAx val="182855168"/>
        <c:crosses val="autoZero"/>
        <c:crossBetween val="between"/>
        <c:majorUnit val="40"/>
      </c:valAx>
      <c:spPr>
        <a:ln>
          <a:solidFill>
            <a:schemeClr val="tx1"/>
          </a:solidFill>
        </a:ln>
      </c:spPr>
    </c:plotArea>
    <c:legend>
      <c:legendPos val="b"/>
      <c:layout>
        <c:manualLayout>
          <c:xMode val="edge"/>
          <c:yMode val="edge"/>
          <c:x val="5.5873075264417107E-2"/>
          <c:y val="0.93271781816746591"/>
          <c:w val="0.92593890471149387"/>
          <c:h val="5.4750853511732103E-2"/>
        </c:manualLayout>
      </c:layout>
      <c:overlay val="1"/>
      <c:spPr>
        <a:ln w="6350">
          <a:solidFill>
            <a:sysClr val="windowText" lastClr="000000"/>
          </a:solidFill>
        </a:ln>
      </c:spPr>
    </c:legend>
    <c:plotVisOnly val="1"/>
    <c:dispBlanksAs val="gap"/>
  </c:chart>
  <c:spPr>
    <a:ln>
      <a:noFill/>
    </a:ln>
  </c:spPr>
  <c:txPr>
    <a:bodyPr/>
    <a:lstStyle/>
    <a:p>
      <a:pPr>
        <a:defRPr sz="800" baseline="0">
          <a:latin typeface="Arial" panose="020B0604020202020204" pitchFamily="34" charset="0"/>
          <a:cs typeface="Arial" panose="020B0604020202020204" pitchFamily="34" charset="0"/>
        </a:defRPr>
      </a:pPr>
      <a:endParaRPr lang="cs-CZ"/>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5.8568840579710145E-2"/>
          <c:y val="2.1811315924220021E-2"/>
          <c:w val="0.92237743255066085"/>
          <c:h val="0.73318107621299577"/>
        </c:manualLayout>
      </c:layout>
      <c:barChart>
        <c:barDir val="col"/>
        <c:grouping val="clustered"/>
        <c:ser>
          <c:idx val="0"/>
          <c:order val="0"/>
          <c:tx>
            <c:strRef>
              <c:f>'Ceny 2'!$C$5</c:f>
              <c:strCache>
                <c:ptCount val="1"/>
                <c:pt idx="0">
                  <c:v>Celkem</c:v>
                </c:pt>
              </c:strCache>
            </c:strRef>
          </c:tx>
          <c:spPr>
            <a:solidFill>
              <a:schemeClr val="bg1">
                <a:lumMod val="65000"/>
              </a:schemeClr>
            </a:solidFill>
            <a:ln w="19050">
              <a:noFill/>
            </a:ln>
          </c:spPr>
          <c:cat>
            <c:multiLvlStrRef>
              <c:f>'Ceny 2'!$A$10:$B$27</c:f>
              <c:multiLvlStrCache>
                <c:ptCount val="1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lvl>
                <c:lvl>
                  <c:pt idx="0">
                    <c:v>2013</c:v>
                  </c:pt>
                  <c:pt idx="4">
                    <c:v>2014</c:v>
                  </c:pt>
                  <c:pt idx="8">
                    <c:v>2015</c:v>
                  </c:pt>
                  <c:pt idx="12">
                    <c:v>2016</c:v>
                  </c:pt>
                  <c:pt idx="16">
                    <c:v>2017</c:v>
                  </c:pt>
                </c:lvl>
              </c:multiLvlStrCache>
            </c:multiLvlStrRef>
          </c:cat>
          <c:val>
            <c:numRef>
              <c:f>'Ceny 2'!$C$10:$C$27</c:f>
              <c:numCache>
                <c:formatCode>0.0</c:formatCode>
                <c:ptCount val="18"/>
                <c:pt idx="0">
                  <c:v>1.7999999999999969</c:v>
                </c:pt>
                <c:pt idx="1">
                  <c:v>1.5</c:v>
                </c:pt>
                <c:pt idx="2">
                  <c:v>1.2000000000000028</c:v>
                </c:pt>
                <c:pt idx="3">
                  <c:v>1.0999999999999939</c:v>
                </c:pt>
                <c:pt idx="4">
                  <c:v>0.20000000000000284</c:v>
                </c:pt>
                <c:pt idx="5">
                  <c:v>0.20000000000000284</c:v>
                </c:pt>
                <c:pt idx="6">
                  <c:v>0.59999999999999432</c:v>
                </c:pt>
                <c:pt idx="7">
                  <c:v>0.5</c:v>
                </c:pt>
                <c:pt idx="8">
                  <c:v>9.9999999999994343E-2</c:v>
                </c:pt>
                <c:pt idx="9">
                  <c:v>0.70000000000000284</c:v>
                </c:pt>
                <c:pt idx="10">
                  <c:v>0.40000000000000568</c:v>
                </c:pt>
                <c:pt idx="11">
                  <c:v>9.9999999999994343E-2</c:v>
                </c:pt>
                <c:pt idx="12">
                  <c:v>0.5</c:v>
                </c:pt>
                <c:pt idx="13">
                  <c:v>0.20000000000000284</c:v>
                </c:pt>
                <c:pt idx="14">
                  <c:v>0.5</c:v>
                </c:pt>
                <c:pt idx="15">
                  <c:v>1.4000000000000057</c:v>
                </c:pt>
                <c:pt idx="16" formatCode="General">
                  <c:v>2.4000000000000057</c:v>
                </c:pt>
                <c:pt idx="17" formatCode="General">
                  <c:v>2.2000000000000033</c:v>
                </c:pt>
              </c:numCache>
            </c:numRef>
          </c:val>
        </c:ser>
        <c:gapWidth val="95"/>
        <c:axId val="183510912"/>
        <c:axId val="183512448"/>
      </c:barChart>
      <c:lineChart>
        <c:grouping val="standard"/>
        <c:ser>
          <c:idx val="1"/>
          <c:order val="1"/>
          <c:tx>
            <c:strRef>
              <c:f>'Ceny 2'!$D$5</c:f>
              <c:strCache>
                <c:ptCount val="1"/>
                <c:pt idx="0">
                  <c:v>Potraviny</c:v>
                </c:pt>
              </c:strCache>
            </c:strRef>
          </c:tx>
          <c:spPr>
            <a:ln w="19050">
              <a:solidFill>
                <a:srgbClr val="0071BC"/>
              </a:solidFill>
            </a:ln>
          </c:spPr>
          <c:marker>
            <c:symbol val="none"/>
          </c:marker>
          <c:cat>
            <c:multiLvlStrRef>
              <c:f>'Ceny 2'!$A$10:$B$27</c:f>
              <c:multiLvlStrCache>
                <c:ptCount val="1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lvl>
                <c:lvl>
                  <c:pt idx="0">
                    <c:v>2013</c:v>
                  </c:pt>
                  <c:pt idx="4">
                    <c:v>2014</c:v>
                  </c:pt>
                  <c:pt idx="8">
                    <c:v>2015</c:v>
                  </c:pt>
                  <c:pt idx="12">
                    <c:v>2016</c:v>
                  </c:pt>
                  <c:pt idx="16">
                    <c:v>2017</c:v>
                  </c:pt>
                </c:lvl>
              </c:multiLvlStrCache>
            </c:multiLvlStrRef>
          </c:cat>
          <c:val>
            <c:numRef>
              <c:f>'Ceny 2'!$D$10:$D$27</c:f>
              <c:numCache>
                <c:formatCode>0.0</c:formatCode>
                <c:ptCount val="18"/>
                <c:pt idx="0">
                  <c:v>4.9000000000000066</c:v>
                </c:pt>
                <c:pt idx="1">
                  <c:v>5.4000000000000066</c:v>
                </c:pt>
                <c:pt idx="2">
                  <c:v>5.2999999999999972</c:v>
                </c:pt>
                <c:pt idx="3">
                  <c:v>4.0999999999999943</c:v>
                </c:pt>
                <c:pt idx="4">
                  <c:v>3.9000000000000057</c:v>
                </c:pt>
                <c:pt idx="5">
                  <c:v>1.5</c:v>
                </c:pt>
                <c:pt idx="6">
                  <c:v>1.4000000000000057</c:v>
                </c:pt>
                <c:pt idx="7">
                  <c:v>1.2000000000000028</c:v>
                </c:pt>
                <c:pt idx="8">
                  <c:v>-1.5999999999999939</c:v>
                </c:pt>
                <c:pt idx="9">
                  <c:v>-9.9999999999994343E-2</c:v>
                </c:pt>
                <c:pt idx="10">
                  <c:v>-0.90000000000000568</c:v>
                </c:pt>
                <c:pt idx="11">
                  <c:v>-1.5999999999999939</c:v>
                </c:pt>
                <c:pt idx="12">
                  <c:v>-1.7000000000000028</c:v>
                </c:pt>
                <c:pt idx="13">
                  <c:v>-2.4000000000000057</c:v>
                </c:pt>
                <c:pt idx="14">
                  <c:v>-0.79999999999999727</c:v>
                </c:pt>
                <c:pt idx="15">
                  <c:v>1.2000000000000028</c:v>
                </c:pt>
                <c:pt idx="16" formatCode="General">
                  <c:v>4.2000000000000028</c:v>
                </c:pt>
                <c:pt idx="17" formatCode="General">
                  <c:v>4.5</c:v>
                </c:pt>
              </c:numCache>
            </c:numRef>
          </c:val>
        </c:ser>
        <c:ser>
          <c:idx val="2"/>
          <c:order val="2"/>
          <c:tx>
            <c:strRef>
              <c:f>'Ceny 2'!$E$5</c:f>
              <c:strCache>
                <c:ptCount val="1"/>
                <c:pt idx="0">
                  <c:v>Alkoholické nápoje a tabák</c:v>
                </c:pt>
              </c:strCache>
            </c:strRef>
          </c:tx>
          <c:spPr>
            <a:ln w="19050">
              <a:solidFill>
                <a:srgbClr val="BD1B21"/>
              </a:solidFill>
            </a:ln>
          </c:spPr>
          <c:marker>
            <c:symbol val="none"/>
          </c:marker>
          <c:cat>
            <c:multiLvlStrRef>
              <c:f>'Ceny 2'!$A$10:$B$26</c:f>
              <c:multiLvlStrCache>
                <c:ptCount val="1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lvl>
                <c:lvl>
                  <c:pt idx="0">
                    <c:v>2013</c:v>
                  </c:pt>
                  <c:pt idx="4">
                    <c:v>2014</c:v>
                  </c:pt>
                  <c:pt idx="8">
                    <c:v>2015</c:v>
                  </c:pt>
                  <c:pt idx="12">
                    <c:v>2016</c:v>
                  </c:pt>
                  <c:pt idx="16">
                    <c:v>2017</c:v>
                  </c:pt>
                </c:lvl>
              </c:multiLvlStrCache>
            </c:multiLvlStrRef>
          </c:cat>
          <c:val>
            <c:numRef>
              <c:f>'Ceny 2'!$E$10:$E$27</c:f>
              <c:numCache>
                <c:formatCode>0.0</c:formatCode>
                <c:ptCount val="18"/>
                <c:pt idx="0">
                  <c:v>3.5999999999999943</c:v>
                </c:pt>
                <c:pt idx="1">
                  <c:v>4.2000000000000028</c:v>
                </c:pt>
                <c:pt idx="2">
                  <c:v>3.4000000000000057</c:v>
                </c:pt>
                <c:pt idx="3">
                  <c:v>3.2000000000000033</c:v>
                </c:pt>
                <c:pt idx="4">
                  <c:v>4.0999999999999943</c:v>
                </c:pt>
                <c:pt idx="5">
                  <c:v>2.9000000000000057</c:v>
                </c:pt>
                <c:pt idx="6">
                  <c:v>2.7000000000000033</c:v>
                </c:pt>
                <c:pt idx="7">
                  <c:v>1.4000000000000057</c:v>
                </c:pt>
                <c:pt idx="8">
                  <c:v>3.4000000000000057</c:v>
                </c:pt>
                <c:pt idx="9">
                  <c:v>5.4000000000000066</c:v>
                </c:pt>
                <c:pt idx="10">
                  <c:v>5.2000000000000028</c:v>
                </c:pt>
                <c:pt idx="11">
                  <c:v>4.7000000000000028</c:v>
                </c:pt>
                <c:pt idx="12">
                  <c:v>3.5</c:v>
                </c:pt>
                <c:pt idx="13">
                  <c:v>4.4000000000000066</c:v>
                </c:pt>
                <c:pt idx="14">
                  <c:v>4.5</c:v>
                </c:pt>
                <c:pt idx="15">
                  <c:v>5.2000000000000028</c:v>
                </c:pt>
                <c:pt idx="16" formatCode="General">
                  <c:v>3.4000000000000057</c:v>
                </c:pt>
                <c:pt idx="17" formatCode="General">
                  <c:v>0.79999999999999727</c:v>
                </c:pt>
              </c:numCache>
            </c:numRef>
          </c:val>
        </c:ser>
        <c:ser>
          <c:idx val="3"/>
          <c:order val="3"/>
          <c:tx>
            <c:strRef>
              <c:f>'Ceny 2'!$F$5</c:f>
              <c:strCache>
                <c:ptCount val="1"/>
                <c:pt idx="0">
                  <c:v>Bydlení a energie</c:v>
                </c:pt>
              </c:strCache>
            </c:strRef>
          </c:tx>
          <c:spPr>
            <a:ln w="19050">
              <a:solidFill>
                <a:srgbClr val="7DBB2D"/>
              </a:solidFill>
            </a:ln>
          </c:spPr>
          <c:marker>
            <c:symbol val="none"/>
          </c:marker>
          <c:cat>
            <c:multiLvlStrRef>
              <c:f>'Ceny 2'!$A$10:$B$26</c:f>
              <c:multiLvlStrCache>
                <c:ptCount val="1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lvl>
                <c:lvl>
                  <c:pt idx="0">
                    <c:v>2013</c:v>
                  </c:pt>
                  <c:pt idx="4">
                    <c:v>2014</c:v>
                  </c:pt>
                  <c:pt idx="8">
                    <c:v>2015</c:v>
                  </c:pt>
                  <c:pt idx="12">
                    <c:v>2016</c:v>
                  </c:pt>
                  <c:pt idx="16">
                    <c:v>2017</c:v>
                  </c:pt>
                </c:lvl>
              </c:multiLvlStrCache>
            </c:multiLvlStrRef>
          </c:cat>
          <c:val>
            <c:numRef>
              <c:f>'Ceny 2'!$F$10:$F$27</c:f>
              <c:numCache>
                <c:formatCode>0.0</c:formatCode>
                <c:ptCount val="18"/>
                <c:pt idx="0">
                  <c:v>2.5999999999999943</c:v>
                </c:pt>
                <c:pt idx="1">
                  <c:v>2</c:v>
                </c:pt>
                <c:pt idx="2">
                  <c:v>1.2000000000000028</c:v>
                </c:pt>
                <c:pt idx="3">
                  <c:v>1.2000000000000028</c:v>
                </c:pt>
                <c:pt idx="4">
                  <c:v>-2.4000000000000057</c:v>
                </c:pt>
                <c:pt idx="5">
                  <c:v>-1.7000000000000028</c:v>
                </c:pt>
                <c:pt idx="6">
                  <c:v>-0.70000000000000284</c:v>
                </c:pt>
                <c:pt idx="7">
                  <c:v>-0.59999999999999432</c:v>
                </c:pt>
                <c:pt idx="8">
                  <c:v>1.0999999999999939</c:v>
                </c:pt>
                <c:pt idx="9">
                  <c:v>1.2000000000000028</c:v>
                </c:pt>
                <c:pt idx="10">
                  <c:v>0.79999999999999727</c:v>
                </c:pt>
                <c:pt idx="11">
                  <c:v>0.90000000000000568</c:v>
                </c:pt>
                <c:pt idx="12">
                  <c:v>0.90000000000000568</c:v>
                </c:pt>
                <c:pt idx="13">
                  <c:v>0.5</c:v>
                </c:pt>
                <c:pt idx="14">
                  <c:v>0.40000000000000568</c:v>
                </c:pt>
                <c:pt idx="15">
                  <c:v>0.59999999999999432</c:v>
                </c:pt>
                <c:pt idx="16" formatCode="General">
                  <c:v>0.79999999999999727</c:v>
                </c:pt>
                <c:pt idx="17" formatCode="General">
                  <c:v>1.5</c:v>
                </c:pt>
              </c:numCache>
            </c:numRef>
          </c:val>
        </c:ser>
        <c:ser>
          <c:idx val="4"/>
          <c:order val="4"/>
          <c:tx>
            <c:strRef>
              <c:f>'Ceny 2'!$G$5</c:f>
              <c:strCache>
                <c:ptCount val="1"/>
                <c:pt idx="0">
                  <c:v>Doprava</c:v>
                </c:pt>
              </c:strCache>
            </c:strRef>
          </c:tx>
          <c:spPr>
            <a:ln w="19050">
              <a:solidFill>
                <a:srgbClr val="FFC000"/>
              </a:solidFill>
            </a:ln>
          </c:spPr>
          <c:marker>
            <c:symbol val="none"/>
          </c:marker>
          <c:val>
            <c:numRef>
              <c:f>'Ceny 2'!$G$10:$G$27</c:f>
              <c:numCache>
                <c:formatCode>General</c:formatCode>
                <c:ptCount val="18"/>
                <c:pt idx="0">
                  <c:v>-0.79999999999999727</c:v>
                </c:pt>
                <c:pt idx="1">
                  <c:v>-1.2000000000000028</c:v>
                </c:pt>
                <c:pt idx="2">
                  <c:v>-0.40000000000000568</c:v>
                </c:pt>
                <c:pt idx="3">
                  <c:v>-0.20000000000000284</c:v>
                </c:pt>
                <c:pt idx="4">
                  <c:v>9.9999999999994343E-2</c:v>
                </c:pt>
                <c:pt idx="5">
                  <c:v>0.29999999999999727</c:v>
                </c:pt>
                <c:pt idx="6">
                  <c:v>0.5</c:v>
                </c:pt>
                <c:pt idx="7">
                  <c:v>0</c:v>
                </c:pt>
                <c:pt idx="8">
                  <c:v>-4.9000000000000066</c:v>
                </c:pt>
                <c:pt idx="9">
                  <c:v>-3.2999999999999972</c:v>
                </c:pt>
                <c:pt idx="10">
                  <c:v>-3.7999999999999972</c:v>
                </c:pt>
                <c:pt idx="11">
                  <c:v>-4.7000000000000028</c:v>
                </c:pt>
                <c:pt idx="12">
                  <c:v>-2.7000000000000033</c:v>
                </c:pt>
                <c:pt idx="13">
                  <c:v>-2.9000000000000057</c:v>
                </c:pt>
                <c:pt idx="14">
                  <c:v>-2.2999999999999972</c:v>
                </c:pt>
                <c:pt idx="15">
                  <c:v>1.0999999999999939</c:v>
                </c:pt>
                <c:pt idx="16">
                  <c:v>6</c:v>
                </c:pt>
                <c:pt idx="17">
                  <c:v>3.9000000000000057</c:v>
                </c:pt>
              </c:numCache>
            </c:numRef>
          </c:val>
        </c:ser>
        <c:marker val="1"/>
        <c:axId val="183510912"/>
        <c:axId val="183512448"/>
      </c:lineChart>
      <c:catAx>
        <c:axId val="183510912"/>
        <c:scaling>
          <c:orientation val="minMax"/>
        </c:scaling>
        <c:axPos val="b"/>
        <c:tickLblPos val="low"/>
        <c:spPr>
          <a:ln>
            <a:solidFill>
              <a:schemeClr val="tx1"/>
            </a:solidFill>
          </a:ln>
        </c:spPr>
        <c:txPr>
          <a:bodyPr rot="0" vert="horz"/>
          <a:lstStyle/>
          <a:p>
            <a:pPr>
              <a:defRPr/>
            </a:pPr>
            <a:endParaRPr lang="cs-CZ"/>
          </a:p>
        </c:txPr>
        <c:crossAx val="183512448"/>
        <c:crosses val="autoZero"/>
        <c:auto val="1"/>
        <c:lblAlgn val="ctr"/>
        <c:lblOffset val="100"/>
      </c:catAx>
      <c:valAx>
        <c:axId val="183512448"/>
        <c:scaling>
          <c:orientation val="minMax"/>
        </c:scaling>
        <c:axPos val="l"/>
        <c:majorGridlines>
          <c:spPr>
            <a:ln w="6350">
              <a:solidFill>
                <a:schemeClr val="bg1">
                  <a:lumMod val="75000"/>
                </a:schemeClr>
              </a:solidFill>
            </a:ln>
          </c:spPr>
        </c:majorGridlines>
        <c:numFmt formatCode="0" sourceLinked="0"/>
        <c:tickLblPos val="nextTo"/>
        <c:spPr>
          <a:ln>
            <a:solidFill>
              <a:schemeClr val="tx1"/>
            </a:solidFill>
          </a:ln>
        </c:spPr>
        <c:crossAx val="183510912"/>
        <c:crosses val="autoZero"/>
        <c:crossBetween val="between"/>
        <c:majorUnit val="1"/>
      </c:valAx>
      <c:spPr>
        <a:ln>
          <a:solidFill>
            <a:schemeClr val="tx1"/>
          </a:solidFill>
        </a:ln>
      </c:spPr>
    </c:plotArea>
    <c:legend>
      <c:legendPos val="b"/>
      <c:layout>
        <c:manualLayout>
          <c:xMode val="edge"/>
          <c:yMode val="edge"/>
          <c:x val="5.6562767491901832E-2"/>
          <c:y val="0.8725582573454993"/>
          <c:w val="0.9216215270388568"/>
          <c:h val="0.1055099628503884"/>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4.9258203189717562E-2"/>
          <c:y val="2.9569886214146503E-2"/>
          <c:w val="0.92637856314472322"/>
          <c:h val="0.73556653157716956"/>
        </c:manualLayout>
      </c:layout>
      <c:barChart>
        <c:barDir val="col"/>
        <c:grouping val="clustered"/>
        <c:ser>
          <c:idx val="0"/>
          <c:order val="0"/>
          <c:tx>
            <c:strRef>
              <c:f>'Ceny 1'!$C$5</c:f>
              <c:strCache>
                <c:ptCount val="1"/>
                <c:pt idx="0">
                  <c:v>Realizované ceny starších bytů, ČR</c:v>
                </c:pt>
              </c:strCache>
            </c:strRef>
          </c:tx>
          <c:spPr>
            <a:solidFill>
              <a:schemeClr val="bg1">
                <a:lumMod val="65000"/>
              </a:schemeClr>
            </a:solidFill>
            <a:ln w="19050">
              <a:noFill/>
            </a:ln>
          </c:spPr>
          <c:cat>
            <c:multiLvlStrRef>
              <c:f>'Ceny 1'!$A$10:$B$27</c:f>
              <c:multiLvlStrCache>
                <c:ptCount val="1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lvl>
                <c:lvl>
                  <c:pt idx="0">
                    <c:v>2013</c:v>
                  </c:pt>
                  <c:pt idx="4">
                    <c:v>2014</c:v>
                  </c:pt>
                  <c:pt idx="8">
                    <c:v>2015</c:v>
                  </c:pt>
                  <c:pt idx="12">
                    <c:v>2016</c:v>
                  </c:pt>
                  <c:pt idx="16">
                    <c:v>2017</c:v>
                  </c:pt>
                </c:lvl>
              </c:multiLvlStrCache>
            </c:multiLvlStrRef>
          </c:cat>
          <c:val>
            <c:numRef>
              <c:f>'Ceny 1'!$C$10:$C$27</c:f>
              <c:numCache>
                <c:formatCode>General</c:formatCode>
                <c:ptCount val="18"/>
                <c:pt idx="0">
                  <c:v>-5.0999999999999943</c:v>
                </c:pt>
                <c:pt idx="1">
                  <c:v>-3.5999999999999943</c:v>
                </c:pt>
                <c:pt idx="2">
                  <c:v>-2.5</c:v>
                </c:pt>
                <c:pt idx="3">
                  <c:v>-1.7000000000000028</c:v>
                </c:pt>
                <c:pt idx="4">
                  <c:v>1.2000000000000028</c:v>
                </c:pt>
                <c:pt idx="5">
                  <c:v>2.5</c:v>
                </c:pt>
                <c:pt idx="6">
                  <c:v>4.5</c:v>
                </c:pt>
                <c:pt idx="7">
                  <c:v>5.7000000000000028</c:v>
                </c:pt>
                <c:pt idx="8">
                  <c:v>4.2999999999999972</c:v>
                </c:pt>
                <c:pt idx="9">
                  <c:v>4.9000000000000066</c:v>
                </c:pt>
                <c:pt idx="10">
                  <c:v>6</c:v>
                </c:pt>
                <c:pt idx="11">
                  <c:v>6.7999999999999972</c:v>
                </c:pt>
                <c:pt idx="12">
                  <c:v>8.9000000000000057</c:v>
                </c:pt>
                <c:pt idx="13">
                  <c:v>10.299999999999999</c:v>
                </c:pt>
                <c:pt idx="14">
                  <c:v>12.299999999999999</c:v>
                </c:pt>
                <c:pt idx="15">
                  <c:v>14.599999999999996</c:v>
                </c:pt>
                <c:pt idx="16">
                  <c:v>17.200000000000003</c:v>
                </c:pt>
                <c:pt idx="17">
                  <c:v>18.700000000000003</c:v>
                </c:pt>
              </c:numCache>
            </c:numRef>
          </c:val>
        </c:ser>
        <c:ser>
          <c:idx val="1"/>
          <c:order val="1"/>
          <c:tx>
            <c:strRef>
              <c:f>'Ceny 1'!$D$5</c:f>
              <c:strCache>
                <c:ptCount val="1"/>
                <c:pt idx="0">
                  <c:v>Realizované ceny starších bytů, Praha</c:v>
                </c:pt>
              </c:strCache>
            </c:strRef>
          </c:tx>
          <c:spPr>
            <a:solidFill>
              <a:prstClr val="black">
                <a:lumMod val="50000"/>
                <a:lumOff val="50000"/>
              </a:prstClr>
            </a:solidFill>
            <a:ln w="19050">
              <a:noFill/>
            </a:ln>
          </c:spPr>
          <c:cat>
            <c:multiLvlStrRef>
              <c:f>'Ceny 1'!$A$10:$B$27</c:f>
              <c:multiLvlStrCache>
                <c:ptCount val="1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lvl>
                <c:lvl>
                  <c:pt idx="0">
                    <c:v>2013</c:v>
                  </c:pt>
                  <c:pt idx="4">
                    <c:v>2014</c:v>
                  </c:pt>
                  <c:pt idx="8">
                    <c:v>2015</c:v>
                  </c:pt>
                  <c:pt idx="12">
                    <c:v>2016</c:v>
                  </c:pt>
                  <c:pt idx="16">
                    <c:v>2017</c:v>
                  </c:pt>
                </c:lvl>
              </c:multiLvlStrCache>
            </c:multiLvlStrRef>
          </c:cat>
          <c:val>
            <c:numRef>
              <c:f>'Ceny 1'!$D$10:$D$27</c:f>
              <c:numCache>
                <c:formatCode>General</c:formatCode>
                <c:ptCount val="18"/>
                <c:pt idx="0">
                  <c:v>0</c:v>
                </c:pt>
                <c:pt idx="1">
                  <c:v>0.70000000000000284</c:v>
                </c:pt>
                <c:pt idx="2">
                  <c:v>2.0999999999999943</c:v>
                </c:pt>
                <c:pt idx="3">
                  <c:v>0.5</c:v>
                </c:pt>
                <c:pt idx="4">
                  <c:v>2</c:v>
                </c:pt>
                <c:pt idx="5">
                  <c:v>2.0999999999999943</c:v>
                </c:pt>
                <c:pt idx="6">
                  <c:v>3.2000000000000033</c:v>
                </c:pt>
                <c:pt idx="7">
                  <c:v>5.2000000000000028</c:v>
                </c:pt>
                <c:pt idx="8">
                  <c:v>5</c:v>
                </c:pt>
                <c:pt idx="9">
                  <c:v>5.9000000000000066</c:v>
                </c:pt>
                <c:pt idx="10">
                  <c:v>5.5999999999999943</c:v>
                </c:pt>
                <c:pt idx="11">
                  <c:v>4.5999999999999943</c:v>
                </c:pt>
                <c:pt idx="12">
                  <c:v>5.7999999999999972</c:v>
                </c:pt>
                <c:pt idx="13">
                  <c:v>7.5</c:v>
                </c:pt>
                <c:pt idx="14">
                  <c:v>9.4000000000000057</c:v>
                </c:pt>
                <c:pt idx="15">
                  <c:v>13.900000000000006</c:v>
                </c:pt>
                <c:pt idx="16">
                  <c:v>16.200000000000003</c:v>
                </c:pt>
                <c:pt idx="17">
                  <c:v>18</c:v>
                </c:pt>
              </c:numCache>
            </c:numRef>
          </c:val>
        </c:ser>
        <c:gapWidth val="95"/>
        <c:axId val="183563776"/>
        <c:axId val="183565312"/>
      </c:barChart>
      <c:lineChart>
        <c:grouping val="standard"/>
        <c:ser>
          <c:idx val="2"/>
          <c:order val="2"/>
          <c:tx>
            <c:strRef>
              <c:f>'Ceny 1'!$E$5</c:f>
              <c:strCache>
                <c:ptCount val="1"/>
                <c:pt idx="0">
                  <c:v>Nabídkové ceny bytů, ČR</c:v>
                </c:pt>
              </c:strCache>
            </c:strRef>
          </c:tx>
          <c:spPr>
            <a:ln w="19050">
              <a:solidFill>
                <a:schemeClr val="accent2"/>
              </a:solidFill>
            </a:ln>
          </c:spPr>
          <c:marker>
            <c:symbol val="none"/>
          </c:marker>
          <c:cat>
            <c:multiLvlStrRef>
              <c:f>'Ceny 1'!$A$10:$B$27</c:f>
              <c:multiLvlStrCache>
                <c:ptCount val="1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lvl>
                <c:lvl>
                  <c:pt idx="0">
                    <c:v>2013</c:v>
                  </c:pt>
                  <c:pt idx="4">
                    <c:v>2014</c:v>
                  </c:pt>
                  <c:pt idx="8">
                    <c:v>2015</c:v>
                  </c:pt>
                  <c:pt idx="12">
                    <c:v>2016</c:v>
                  </c:pt>
                  <c:pt idx="16">
                    <c:v>2017</c:v>
                  </c:pt>
                </c:lvl>
              </c:multiLvlStrCache>
            </c:multiLvlStrRef>
          </c:cat>
          <c:val>
            <c:numRef>
              <c:f>'Ceny 1'!$E$10:$E$27</c:f>
              <c:numCache>
                <c:formatCode>0.0</c:formatCode>
                <c:ptCount val="18"/>
                <c:pt idx="0">
                  <c:v>1.5806111696522656</c:v>
                </c:pt>
                <c:pt idx="1">
                  <c:v>-0.20661157024793683</c:v>
                </c:pt>
                <c:pt idx="2">
                  <c:v>1.4583333333333393</c:v>
                </c:pt>
                <c:pt idx="3">
                  <c:v>1.9668737060041468</c:v>
                </c:pt>
                <c:pt idx="4">
                  <c:v>3.0082987551867135</c:v>
                </c:pt>
                <c:pt idx="5">
                  <c:v>4.1407867494824009</c:v>
                </c:pt>
                <c:pt idx="6">
                  <c:v>4.62012320328542</c:v>
                </c:pt>
                <c:pt idx="7">
                  <c:v>2.7411167512690393</c:v>
                </c:pt>
                <c:pt idx="8">
                  <c:v>3.6253776435045406</c:v>
                </c:pt>
                <c:pt idx="9">
                  <c:v>4.9701789264413518</c:v>
                </c:pt>
                <c:pt idx="10">
                  <c:v>6.0843964671246216</c:v>
                </c:pt>
                <c:pt idx="11">
                  <c:v>9.5849802371541557</c:v>
                </c:pt>
                <c:pt idx="12">
                  <c:v>10.204081632653057</c:v>
                </c:pt>
                <c:pt idx="13">
                  <c:v>10.321969696969704</c:v>
                </c:pt>
                <c:pt idx="14">
                  <c:v>9.8982423681776162</c:v>
                </c:pt>
                <c:pt idx="15">
                  <c:v>9.9188458070333638</c:v>
                </c:pt>
                <c:pt idx="16">
                  <c:v>9.5238095238095202</c:v>
                </c:pt>
                <c:pt idx="17" formatCode="General">
                  <c:v>9.5278969957081507</c:v>
                </c:pt>
              </c:numCache>
            </c:numRef>
          </c:val>
        </c:ser>
        <c:ser>
          <c:idx val="3"/>
          <c:order val="3"/>
          <c:tx>
            <c:strRef>
              <c:f>'Ceny 1'!$F$5</c:f>
              <c:strCache>
                <c:ptCount val="1"/>
                <c:pt idx="0">
                  <c:v>Nabídkové ceny bytů, Praha</c:v>
                </c:pt>
              </c:strCache>
            </c:strRef>
          </c:tx>
          <c:spPr>
            <a:ln>
              <a:solidFill>
                <a:schemeClr val="accent1"/>
              </a:solidFill>
            </a:ln>
          </c:spPr>
          <c:marker>
            <c:symbol val="none"/>
          </c:marker>
          <c:cat>
            <c:multiLvlStrRef>
              <c:f>'Ceny 1'!$A$10:$B$27</c:f>
              <c:multiLvlStrCache>
                <c:ptCount val="1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lvl>
                <c:lvl>
                  <c:pt idx="0">
                    <c:v>2013</c:v>
                  </c:pt>
                  <c:pt idx="4">
                    <c:v>2014</c:v>
                  </c:pt>
                  <c:pt idx="8">
                    <c:v>2015</c:v>
                  </c:pt>
                  <c:pt idx="12">
                    <c:v>2016</c:v>
                  </c:pt>
                  <c:pt idx="16">
                    <c:v>2017</c:v>
                  </c:pt>
                </c:lvl>
              </c:multiLvlStrCache>
            </c:multiLvlStrRef>
          </c:cat>
          <c:val>
            <c:numRef>
              <c:f>'Ceny 1'!$F$10:$F$27</c:f>
              <c:numCache>
                <c:formatCode>0.0</c:formatCode>
                <c:ptCount val="18"/>
                <c:pt idx="0">
                  <c:v>6.1522419186652666</c:v>
                </c:pt>
                <c:pt idx="1">
                  <c:v>1.8924302788844536</c:v>
                </c:pt>
                <c:pt idx="2">
                  <c:v>2.68123138033764</c:v>
                </c:pt>
                <c:pt idx="3">
                  <c:v>3.4482758620689653</c:v>
                </c:pt>
                <c:pt idx="4">
                  <c:v>3.8310412573673935</c:v>
                </c:pt>
                <c:pt idx="5">
                  <c:v>5.2785923753665758</c:v>
                </c:pt>
                <c:pt idx="6">
                  <c:v>6.6731141199226212</c:v>
                </c:pt>
                <c:pt idx="7">
                  <c:v>5.1428571428571486</c:v>
                </c:pt>
                <c:pt idx="8">
                  <c:v>5.771050141911064</c:v>
                </c:pt>
                <c:pt idx="9">
                  <c:v>6.4995357474466102</c:v>
                </c:pt>
                <c:pt idx="10">
                  <c:v>6.7089755213055344</c:v>
                </c:pt>
                <c:pt idx="11">
                  <c:v>8.7862318840579601</c:v>
                </c:pt>
                <c:pt idx="12">
                  <c:v>10.196779964221831</c:v>
                </c:pt>
                <c:pt idx="13">
                  <c:v>10.549258936355704</c:v>
                </c:pt>
                <c:pt idx="14">
                  <c:v>9.7706032285471434</c:v>
                </c:pt>
                <c:pt idx="15">
                  <c:v>11.323896752706075</c:v>
                </c:pt>
                <c:pt idx="16">
                  <c:v>13.636363636363633</c:v>
                </c:pt>
                <c:pt idx="17" formatCode="General">
                  <c:v>14.589905362776037</c:v>
                </c:pt>
              </c:numCache>
            </c:numRef>
          </c:val>
        </c:ser>
        <c:marker val="1"/>
        <c:axId val="183563776"/>
        <c:axId val="183565312"/>
      </c:lineChart>
      <c:catAx>
        <c:axId val="183563776"/>
        <c:scaling>
          <c:orientation val="minMax"/>
        </c:scaling>
        <c:axPos val="b"/>
        <c:tickLblPos val="low"/>
        <c:spPr>
          <a:ln>
            <a:solidFill>
              <a:schemeClr val="tx1"/>
            </a:solidFill>
          </a:ln>
        </c:spPr>
        <c:txPr>
          <a:bodyPr rot="0" vert="horz"/>
          <a:lstStyle/>
          <a:p>
            <a:pPr>
              <a:defRPr/>
            </a:pPr>
            <a:endParaRPr lang="cs-CZ"/>
          </a:p>
        </c:txPr>
        <c:crossAx val="183565312"/>
        <c:crosses val="autoZero"/>
        <c:auto val="1"/>
        <c:lblAlgn val="ctr"/>
        <c:lblOffset val="100"/>
      </c:catAx>
      <c:valAx>
        <c:axId val="183565312"/>
        <c:scaling>
          <c:orientation val="minMax"/>
          <c:min val="-6"/>
        </c:scaling>
        <c:axPos val="l"/>
        <c:majorGridlines>
          <c:spPr>
            <a:ln w="6350">
              <a:solidFill>
                <a:schemeClr val="bg1">
                  <a:lumMod val="75000"/>
                </a:schemeClr>
              </a:solidFill>
            </a:ln>
          </c:spPr>
        </c:majorGridlines>
        <c:numFmt formatCode="0" sourceLinked="0"/>
        <c:tickLblPos val="nextTo"/>
        <c:spPr>
          <a:ln>
            <a:solidFill>
              <a:schemeClr val="tx1"/>
            </a:solidFill>
          </a:ln>
        </c:spPr>
        <c:crossAx val="183563776"/>
        <c:crosses val="autoZero"/>
        <c:crossBetween val="between"/>
        <c:majorUnit val="2"/>
      </c:valAx>
      <c:spPr>
        <a:ln>
          <a:solidFill>
            <a:schemeClr val="tx1"/>
          </a:solidFill>
        </a:ln>
      </c:spPr>
    </c:plotArea>
    <c:legend>
      <c:legendPos val="b"/>
      <c:layout>
        <c:manualLayout>
          <c:xMode val="edge"/>
          <c:yMode val="edge"/>
          <c:x val="4.6528021206651497E-2"/>
          <c:y val="0.88817854328492629"/>
          <c:w val="0.9267997314289248"/>
          <c:h val="9.8380614657210319E-2"/>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5.1707738197712412E-2"/>
          <c:y val="2.1811315924220122E-2"/>
          <c:w val="0.89142432050272657"/>
          <c:h val="0.71663233141956562"/>
        </c:manualLayout>
      </c:layout>
      <c:barChart>
        <c:barDir val="col"/>
        <c:grouping val="clustered"/>
        <c:ser>
          <c:idx val="0"/>
          <c:order val="0"/>
          <c:tx>
            <c:strRef>
              <c:f>'Ceny 4'!$C$5</c:f>
              <c:strCache>
                <c:ptCount val="1"/>
                <c:pt idx="0">
                  <c:v>Celkem</c:v>
                </c:pt>
              </c:strCache>
            </c:strRef>
          </c:tx>
          <c:spPr>
            <a:solidFill>
              <a:schemeClr val="bg1">
                <a:lumMod val="65000"/>
              </a:schemeClr>
            </a:solidFill>
            <a:ln w="19050">
              <a:noFill/>
            </a:ln>
          </c:spPr>
          <c:cat>
            <c:multiLvlStrRef>
              <c:f>'Ceny 4'!$A$6:$B$59</c:f>
              <c:multiLvlStrCache>
                <c:ptCount val="54"/>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lvl>
                <c:lvl>
                  <c:pt idx="0">
                    <c:v>2013</c:v>
                  </c:pt>
                  <c:pt idx="12">
                    <c:v>2014</c:v>
                  </c:pt>
                  <c:pt idx="24">
                    <c:v>2015</c:v>
                  </c:pt>
                  <c:pt idx="36">
                    <c:v>2016</c:v>
                  </c:pt>
                  <c:pt idx="48">
                    <c:v>2017</c:v>
                  </c:pt>
                </c:lvl>
              </c:multiLvlStrCache>
            </c:multiLvlStrRef>
          </c:cat>
          <c:val>
            <c:numRef>
              <c:f>'Ceny 4'!$C$6:$C$59</c:f>
              <c:numCache>
                <c:formatCode>0.0</c:formatCode>
                <c:ptCount val="54"/>
                <c:pt idx="0">
                  <c:v>1.4000000000000057</c:v>
                </c:pt>
                <c:pt idx="1">
                  <c:v>1.2999999999999969</c:v>
                </c:pt>
                <c:pt idx="2">
                  <c:v>1</c:v>
                </c:pt>
                <c:pt idx="3">
                  <c:v>0.5</c:v>
                </c:pt>
                <c:pt idx="4">
                  <c:v>0.29999999999999727</c:v>
                </c:pt>
                <c:pt idx="5">
                  <c:v>0.70000000000000284</c:v>
                </c:pt>
                <c:pt idx="6">
                  <c:v>1.0999999999999939</c:v>
                </c:pt>
                <c:pt idx="7">
                  <c:v>0.5</c:v>
                </c:pt>
                <c:pt idx="8">
                  <c:v>0.59999999999999432</c:v>
                </c:pt>
                <c:pt idx="9">
                  <c:v>0</c:v>
                </c:pt>
                <c:pt idx="10">
                  <c:v>0.70000000000000284</c:v>
                </c:pt>
                <c:pt idx="11">
                  <c:v>1.7000000000000028</c:v>
                </c:pt>
                <c:pt idx="12">
                  <c:v>-0.70000000000000284</c:v>
                </c:pt>
                <c:pt idx="13">
                  <c:v>-0.70000000000000284</c:v>
                </c:pt>
                <c:pt idx="14">
                  <c:v>-0.79999999999999727</c:v>
                </c:pt>
                <c:pt idx="15">
                  <c:v>-0.29999999999999727</c:v>
                </c:pt>
                <c:pt idx="16">
                  <c:v>-9.9999999999994343E-2</c:v>
                </c:pt>
                <c:pt idx="17">
                  <c:v>-0.20000000000000284</c:v>
                </c:pt>
                <c:pt idx="18">
                  <c:v>-9.9999999999994343E-2</c:v>
                </c:pt>
                <c:pt idx="19">
                  <c:v>0</c:v>
                </c:pt>
                <c:pt idx="20">
                  <c:v>-0.29999999999999727</c:v>
                </c:pt>
                <c:pt idx="21">
                  <c:v>-0.29999999999999727</c:v>
                </c:pt>
                <c:pt idx="22">
                  <c:v>-1.7000000000000028</c:v>
                </c:pt>
                <c:pt idx="23">
                  <c:v>-3.7000000000000033</c:v>
                </c:pt>
                <c:pt idx="24">
                  <c:v>-3.5</c:v>
                </c:pt>
                <c:pt idx="25">
                  <c:v>-3.5999999999999943</c:v>
                </c:pt>
                <c:pt idx="26">
                  <c:v>-2.9000000000000057</c:v>
                </c:pt>
                <c:pt idx="27">
                  <c:v>-2.5999999999999943</c:v>
                </c:pt>
                <c:pt idx="28">
                  <c:v>-2.0999999999999943</c:v>
                </c:pt>
                <c:pt idx="29">
                  <c:v>-2.2999999999999972</c:v>
                </c:pt>
                <c:pt idx="30">
                  <c:v>-3</c:v>
                </c:pt>
                <c:pt idx="31">
                  <c:v>-3.7000000000000033</c:v>
                </c:pt>
                <c:pt idx="32">
                  <c:v>-4.2000000000000028</c:v>
                </c:pt>
                <c:pt idx="33">
                  <c:v>-3.9000000000000057</c:v>
                </c:pt>
                <c:pt idx="34">
                  <c:v>-3.7000000000000033</c:v>
                </c:pt>
                <c:pt idx="35">
                  <c:v>-2.9000000000000057</c:v>
                </c:pt>
                <c:pt idx="36">
                  <c:v>-3.4000000000000057</c:v>
                </c:pt>
                <c:pt idx="37">
                  <c:v>-4</c:v>
                </c:pt>
                <c:pt idx="38">
                  <c:v>-4.5</c:v>
                </c:pt>
                <c:pt idx="39">
                  <c:v>-4.7000000000000028</c:v>
                </c:pt>
                <c:pt idx="40">
                  <c:v>-4.7999999999999972</c:v>
                </c:pt>
                <c:pt idx="41">
                  <c:v>-4.4000000000000066</c:v>
                </c:pt>
                <c:pt idx="42">
                  <c:v>-4</c:v>
                </c:pt>
                <c:pt idx="43">
                  <c:v>-3.4000000000000057</c:v>
                </c:pt>
                <c:pt idx="44">
                  <c:v>-2.4000000000000057</c:v>
                </c:pt>
                <c:pt idx="45">
                  <c:v>-1.7000000000000028</c:v>
                </c:pt>
                <c:pt idx="46">
                  <c:v>-1.2999999999999969</c:v>
                </c:pt>
                <c:pt idx="47">
                  <c:v>-0.40000000000000568</c:v>
                </c:pt>
                <c:pt idx="48" formatCode="General">
                  <c:v>2.0999999999999943</c:v>
                </c:pt>
                <c:pt idx="49" formatCode="General">
                  <c:v>3.0999999999999943</c:v>
                </c:pt>
                <c:pt idx="50">
                  <c:v>3</c:v>
                </c:pt>
                <c:pt idx="51">
                  <c:v>3.2000000000000033</c:v>
                </c:pt>
                <c:pt idx="52" formatCode="General">
                  <c:v>2.2999999999999972</c:v>
                </c:pt>
                <c:pt idx="53" formatCode="General">
                  <c:v>1.2999999999999969</c:v>
                </c:pt>
              </c:numCache>
            </c:numRef>
          </c:val>
        </c:ser>
        <c:gapWidth val="96"/>
        <c:axId val="183732096"/>
        <c:axId val="183733632"/>
      </c:barChart>
      <c:lineChart>
        <c:grouping val="standard"/>
        <c:ser>
          <c:idx val="1"/>
          <c:order val="1"/>
          <c:tx>
            <c:strRef>
              <c:f>'Ceny 4'!$D$5</c:f>
              <c:strCache>
                <c:ptCount val="1"/>
                <c:pt idx="0">
                  <c:v>Těžba a dobývání</c:v>
                </c:pt>
              </c:strCache>
            </c:strRef>
          </c:tx>
          <c:spPr>
            <a:ln w="19050">
              <a:solidFill>
                <a:srgbClr val="7DBB2D"/>
              </a:solidFill>
            </a:ln>
          </c:spPr>
          <c:marker>
            <c:symbol val="none"/>
          </c:marker>
          <c:cat>
            <c:multiLvlStrRef>
              <c:f>'Ceny 4'!$A$6:$B$59</c:f>
              <c:multiLvlStrCache>
                <c:ptCount val="54"/>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lvl>
                <c:lvl>
                  <c:pt idx="0">
                    <c:v>2013</c:v>
                  </c:pt>
                  <c:pt idx="12">
                    <c:v>2014</c:v>
                  </c:pt>
                  <c:pt idx="24">
                    <c:v>2015</c:v>
                  </c:pt>
                  <c:pt idx="36">
                    <c:v>2016</c:v>
                  </c:pt>
                  <c:pt idx="48">
                    <c:v>2017</c:v>
                  </c:pt>
                </c:lvl>
              </c:multiLvlStrCache>
            </c:multiLvlStrRef>
          </c:cat>
          <c:val>
            <c:numRef>
              <c:f>'Ceny 4'!$D$6:$D$59</c:f>
              <c:numCache>
                <c:formatCode>0.0</c:formatCode>
                <c:ptCount val="54"/>
                <c:pt idx="0">
                  <c:v>-2.7000000000000033</c:v>
                </c:pt>
                <c:pt idx="1">
                  <c:v>-3.0999999999999943</c:v>
                </c:pt>
                <c:pt idx="2">
                  <c:v>-2.4000000000000057</c:v>
                </c:pt>
                <c:pt idx="3">
                  <c:v>0.5</c:v>
                </c:pt>
                <c:pt idx="4">
                  <c:v>0.5</c:v>
                </c:pt>
                <c:pt idx="5">
                  <c:v>0.20000000000000284</c:v>
                </c:pt>
                <c:pt idx="6">
                  <c:v>-1.2999999999999969</c:v>
                </c:pt>
                <c:pt idx="7">
                  <c:v>-1.2000000000000028</c:v>
                </c:pt>
                <c:pt idx="8">
                  <c:v>-3.5999999999999943</c:v>
                </c:pt>
                <c:pt idx="9">
                  <c:v>-3</c:v>
                </c:pt>
                <c:pt idx="10">
                  <c:v>0.20000000000000284</c:v>
                </c:pt>
                <c:pt idx="11">
                  <c:v>0.29999999999999727</c:v>
                </c:pt>
                <c:pt idx="12">
                  <c:v>-3</c:v>
                </c:pt>
                <c:pt idx="13">
                  <c:v>-3.0999999999999943</c:v>
                </c:pt>
                <c:pt idx="14">
                  <c:v>-4</c:v>
                </c:pt>
                <c:pt idx="15">
                  <c:v>-4.0999999999999943</c:v>
                </c:pt>
                <c:pt idx="16">
                  <c:v>-4.5999999999999943</c:v>
                </c:pt>
                <c:pt idx="17">
                  <c:v>-4.7999999999999972</c:v>
                </c:pt>
                <c:pt idx="18">
                  <c:v>-3</c:v>
                </c:pt>
                <c:pt idx="19">
                  <c:v>-3.5999999999999943</c:v>
                </c:pt>
                <c:pt idx="20">
                  <c:v>-1.9000000000000059</c:v>
                </c:pt>
                <c:pt idx="21">
                  <c:v>-2.0999999999999943</c:v>
                </c:pt>
                <c:pt idx="22">
                  <c:v>-2.2999999999999972</c:v>
                </c:pt>
                <c:pt idx="23">
                  <c:v>-2.7999999999999972</c:v>
                </c:pt>
                <c:pt idx="24">
                  <c:v>-0.90000000000000568</c:v>
                </c:pt>
                <c:pt idx="25">
                  <c:v>-1.5</c:v>
                </c:pt>
                <c:pt idx="26">
                  <c:v>-0.90000000000000568</c:v>
                </c:pt>
                <c:pt idx="27">
                  <c:v>-0.90000000000000568</c:v>
                </c:pt>
                <c:pt idx="28">
                  <c:v>0.29999999999999727</c:v>
                </c:pt>
                <c:pt idx="29">
                  <c:v>0.59999999999999432</c:v>
                </c:pt>
                <c:pt idx="30">
                  <c:v>0.40000000000000568</c:v>
                </c:pt>
                <c:pt idx="31">
                  <c:v>-0.29999999999999727</c:v>
                </c:pt>
                <c:pt idx="32">
                  <c:v>-1.7000000000000028</c:v>
                </c:pt>
                <c:pt idx="33">
                  <c:v>-1.4000000000000057</c:v>
                </c:pt>
                <c:pt idx="34">
                  <c:v>-0.59999999999999432</c:v>
                </c:pt>
                <c:pt idx="35">
                  <c:v>-0.5</c:v>
                </c:pt>
                <c:pt idx="36">
                  <c:v>-6.5999999999999943</c:v>
                </c:pt>
                <c:pt idx="37">
                  <c:v>-6.0999999999999943</c:v>
                </c:pt>
                <c:pt idx="38">
                  <c:v>-6.5</c:v>
                </c:pt>
                <c:pt idx="39">
                  <c:v>-7</c:v>
                </c:pt>
                <c:pt idx="40">
                  <c:v>-7.0999999999999943</c:v>
                </c:pt>
                <c:pt idx="41">
                  <c:v>-7.2999999999999972</c:v>
                </c:pt>
                <c:pt idx="42">
                  <c:v>-6.5999999999999943</c:v>
                </c:pt>
                <c:pt idx="43">
                  <c:v>-6</c:v>
                </c:pt>
                <c:pt idx="44">
                  <c:v>-4.9000000000000066</c:v>
                </c:pt>
                <c:pt idx="45">
                  <c:v>-5.2000000000000028</c:v>
                </c:pt>
                <c:pt idx="46">
                  <c:v>-5.2999999999999972</c:v>
                </c:pt>
                <c:pt idx="47">
                  <c:v>-5.0999999999999943</c:v>
                </c:pt>
                <c:pt idx="48" formatCode="General">
                  <c:v>2.2999999999999972</c:v>
                </c:pt>
                <c:pt idx="49" formatCode="General">
                  <c:v>5.7999999999999972</c:v>
                </c:pt>
                <c:pt idx="50">
                  <c:v>6.2000000000000028</c:v>
                </c:pt>
                <c:pt idx="51">
                  <c:v>6.4000000000000066</c:v>
                </c:pt>
                <c:pt idx="52" formatCode="General">
                  <c:v>4.2999999999999972</c:v>
                </c:pt>
                <c:pt idx="53" formatCode="General">
                  <c:v>4.0999999999999943</c:v>
                </c:pt>
              </c:numCache>
            </c:numRef>
          </c:val>
        </c:ser>
        <c:ser>
          <c:idx val="2"/>
          <c:order val="2"/>
          <c:tx>
            <c:strRef>
              <c:f>'Ceny 4'!$E$5</c:f>
              <c:strCache>
                <c:ptCount val="1"/>
                <c:pt idx="0">
                  <c:v>Zpracovatelský průmysl</c:v>
                </c:pt>
              </c:strCache>
            </c:strRef>
          </c:tx>
          <c:spPr>
            <a:ln w="19050">
              <a:solidFill>
                <a:srgbClr val="BD1B21"/>
              </a:solidFill>
            </a:ln>
          </c:spPr>
          <c:marker>
            <c:symbol val="none"/>
          </c:marker>
          <c:cat>
            <c:multiLvlStrRef>
              <c:f>'Ceny 4'!$A$6:$B$59</c:f>
              <c:multiLvlStrCache>
                <c:ptCount val="54"/>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lvl>
                <c:lvl>
                  <c:pt idx="0">
                    <c:v>2013</c:v>
                  </c:pt>
                  <c:pt idx="12">
                    <c:v>2014</c:v>
                  </c:pt>
                  <c:pt idx="24">
                    <c:v>2015</c:v>
                  </c:pt>
                  <c:pt idx="36">
                    <c:v>2016</c:v>
                  </c:pt>
                  <c:pt idx="48">
                    <c:v>2017</c:v>
                  </c:pt>
                </c:lvl>
              </c:multiLvlStrCache>
            </c:multiLvlStrRef>
          </c:cat>
          <c:val>
            <c:numRef>
              <c:f>'Ceny 4'!$E$6:$E$59</c:f>
              <c:numCache>
                <c:formatCode>0.0</c:formatCode>
                <c:ptCount val="54"/>
                <c:pt idx="0">
                  <c:v>1</c:v>
                </c:pt>
                <c:pt idx="1">
                  <c:v>0.90000000000000568</c:v>
                </c:pt>
                <c:pt idx="2">
                  <c:v>0.5</c:v>
                </c:pt>
                <c:pt idx="3">
                  <c:v>-0.29999999999999727</c:v>
                </c:pt>
                <c:pt idx="4">
                  <c:v>-0.40000000000000568</c:v>
                </c:pt>
                <c:pt idx="5">
                  <c:v>0</c:v>
                </c:pt>
                <c:pt idx="6">
                  <c:v>0.59999999999999432</c:v>
                </c:pt>
                <c:pt idx="7">
                  <c:v>-0.29999999999999727</c:v>
                </c:pt>
                <c:pt idx="8">
                  <c:v>0</c:v>
                </c:pt>
                <c:pt idx="9">
                  <c:v>-0.79999999999999727</c:v>
                </c:pt>
                <c:pt idx="10">
                  <c:v>-0.20000000000000284</c:v>
                </c:pt>
                <c:pt idx="11">
                  <c:v>1.2999999999999969</c:v>
                </c:pt>
                <c:pt idx="12">
                  <c:v>1.0999999999999939</c:v>
                </c:pt>
                <c:pt idx="13">
                  <c:v>1.2000000000000028</c:v>
                </c:pt>
                <c:pt idx="14">
                  <c:v>1</c:v>
                </c:pt>
                <c:pt idx="15">
                  <c:v>1.5999999999999939</c:v>
                </c:pt>
                <c:pt idx="16">
                  <c:v>1.9000000000000059</c:v>
                </c:pt>
                <c:pt idx="17">
                  <c:v>1.9000000000000059</c:v>
                </c:pt>
                <c:pt idx="18">
                  <c:v>1.7999999999999969</c:v>
                </c:pt>
                <c:pt idx="19">
                  <c:v>2.0999999999999943</c:v>
                </c:pt>
                <c:pt idx="20">
                  <c:v>1.5</c:v>
                </c:pt>
                <c:pt idx="21">
                  <c:v>1.5</c:v>
                </c:pt>
                <c:pt idx="22">
                  <c:v>-9.9999999999994343E-2</c:v>
                </c:pt>
                <c:pt idx="23">
                  <c:v>-2.7999999999999972</c:v>
                </c:pt>
                <c:pt idx="24">
                  <c:v>-4.2999999999999972</c:v>
                </c:pt>
                <c:pt idx="25">
                  <c:v>-4.4000000000000066</c:v>
                </c:pt>
                <c:pt idx="26">
                  <c:v>-3.5</c:v>
                </c:pt>
                <c:pt idx="27">
                  <c:v>-3.0999999999999943</c:v>
                </c:pt>
                <c:pt idx="28">
                  <c:v>-2.7000000000000033</c:v>
                </c:pt>
                <c:pt idx="29">
                  <c:v>-2.7999999999999972</c:v>
                </c:pt>
                <c:pt idx="30">
                  <c:v>-3.5999999999999943</c:v>
                </c:pt>
                <c:pt idx="31">
                  <c:v>-4.7000000000000028</c:v>
                </c:pt>
                <c:pt idx="32">
                  <c:v>-5.2000000000000028</c:v>
                </c:pt>
                <c:pt idx="33">
                  <c:v>-4.9000000000000066</c:v>
                </c:pt>
                <c:pt idx="34">
                  <c:v>-4.5999999999999943</c:v>
                </c:pt>
                <c:pt idx="35">
                  <c:v>-3.5</c:v>
                </c:pt>
                <c:pt idx="36">
                  <c:v>-3.2999999999999972</c:v>
                </c:pt>
                <c:pt idx="37">
                  <c:v>-4.0999999999999943</c:v>
                </c:pt>
                <c:pt idx="38">
                  <c:v>-4.5999999999999943</c:v>
                </c:pt>
                <c:pt idx="39">
                  <c:v>-4.9000000000000066</c:v>
                </c:pt>
                <c:pt idx="40">
                  <c:v>-5</c:v>
                </c:pt>
                <c:pt idx="41">
                  <c:v>-4.5</c:v>
                </c:pt>
                <c:pt idx="42">
                  <c:v>-4</c:v>
                </c:pt>
                <c:pt idx="43">
                  <c:v>-3.2000000000000033</c:v>
                </c:pt>
                <c:pt idx="44">
                  <c:v>-2</c:v>
                </c:pt>
                <c:pt idx="45">
                  <c:v>-1.0999999999999939</c:v>
                </c:pt>
                <c:pt idx="46">
                  <c:v>-0.59999999999999432</c:v>
                </c:pt>
                <c:pt idx="47">
                  <c:v>0.59999999999999432</c:v>
                </c:pt>
                <c:pt idx="48" formatCode="General">
                  <c:v>2.5999999999999943</c:v>
                </c:pt>
                <c:pt idx="49" formatCode="General">
                  <c:v>4</c:v>
                </c:pt>
                <c:pt idx="50">
                  <c:v>3.7999999999999972</c:v>
                </c:pt>
                <c:pt idx="51">
                  <c:v>4</c:v>
                </c:pt>
                <c:pt idx="52" formatCode="General">
                  <c:v>2.7999999999999972</c:v>
                </c:pt>
                <c:pt idx="53" formatCode="General">
                  <c:v>1.5</c:v>
                </c:pt>
              </c:numCache>
            </c:numRef>
          </c:val>
        </c:ser>
        <c:ser>
          <c:idx val="3"/>
          <c:order val="3"/>
          <c:tx>
            <c:strRef>
              <c:f>'Ceny 4'!$F$5</c:f>
              <c:strCache>
                <c:ptCount val="1"/>
                <c:pt idx="0">
                  <c:v>Elektřina, plyn, pára a klim. vzduch</c:v>
                </c:pt>
              </c:strCache>
            </c:strRef>
          </c:tx>
          <c:spPr>
            <a:ln w="19050">
              <a:solidFill>
                <a:srgbClr val="F8A124"/>
              </a:solidFill>
            </a:ln>
          </c:spPr>
          <c:marker>
            <c:symbol val="none"/>
          </c:marker>
          <c:cat>
            <c:multiLvlStrRef>
              <c:f>'Ceny 4'!$A$6:$B$59</c:f>
              <c:multiLvlStrCache>
                <c:ptCount val="54"/>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lvl>
                <c:lvl>
                  <c:pt idx="0">
                    <c:v>2013</c:v>
                  </c:pt>
                  <c:pt idx="12">
                    <c:v>2014</c:v>
                  </c:pt>
                  <c:pt idx="24">
                    <c:v>2015</c:v>
                  </c:pt>
                  <c:pt idx="36">
                    <c:v>2016</c:v>
                  </c:pt>
                  <c:pt idx="48">
                    <c:v>2017</c:v>
                  </c:pt>
                </c:lvl>
              </c:multiLvlStrCache>
            </c:multiLvlStrRef>
          </c:cat>
          <c:val>
            <c:numRef>
              <c:f>'Ceny 4'!$F$6:$F$59</c:f>
              <c:numCache>
                <c:formatCode>0.0</c:formatCode>
                <c:ptCount val="54"/>
                <c:pt idx="0">
                  <c:v>3.7000000000000033</c:v>
                </c:pt>
                <c:pt idx="1">
                  <c:v>3.7000000000000033</c:v>
                </c:pt>
                <c:pt idx="2">
                  <c:v>3.7000000000000033</c:v>
                </c:pt>
                <c:pt idx="3">
                  <c:v>3.5</c:v>
                </c:pt>
                <c:pt idx="4">
                  <c:v>3.5</c:v>
                </c:pt>
                <c:pt idx="5">
                  <c:v>3.5999999999999943</c:v>
                </c:pt>
                <c:pt idx="6">
                  <c:v>3.5999999999999943</c:v>
                </c:pt>
                <c:pt idx="7">
                  <c:v>3.5999999999999943</c:v>
                </c:pt>
                <c:pt idx="8">
                  <c:v>3.5999999999999943</c:v>
                </c:pt>
                <c:pt idx="9">
                  <c:v>3.7999999999999972</c:v>
                </c:pt>
                <c:pt idx="10">
                  <c:v>3.7999999999999972</c:v>
                </c:pt>
                <c:pt idx="11">
                  <c:v>3.5</c:v>
                </c:pt>
                <c:pt idx="12">
                  <c:v>-8.7999999999999989</c:v>
                </c:pt>
                <c:pt idx="13">
                  <c:v>-8.7999999999999989</c:v>
                </c:pt>
                <c:pt idx="14">
                  <c:v>-8.7999999999999989</c:v>
                </c:pt>
                <c:pt idx="15">
                  <c:v>-8.5999999999999961</c:v>
                </c:pt>
                <c:pt idx="16">
                  <c:v>-8.5999999999999961</c:v>
                </c:pt>
                <c:pt idx="17">
                  <c:v>-8.7000000000000011</c:v>
                </c:pt>
                <c:pt idx="18">
                  <c:v>-8.7000000000000011</c:v>
                </c:pt>
                <c:pt idx="19">
                  <c:v>-8.5999999999999961</c:v>
                </c:pt>
                <c:pt idx="20">
                  <c:v>-8.5999999999999961</c:v>
                </c:pt>
                <c:pt idx="21">
                  <c:v>-8.9000000000000057</c:v>
                </c:pt>
                <c:pt idx="22">
                  <c:v>-8.9000000000000057</c:v>
                </c:pt>
                <c:pt idx="23">
                  <c:v>-8.5999999999999961</c:v>
                </c:pt>
                <c:pt idx="24">
                  <c:v>-0.79999999999999727</c:v>
                </c:pt>
                <c:pt idx="25">
                  <c:v>-0.79999999999999727</c:v>
                </c:pt>
                <c:pt idx="26">
                  <c:v>-0.79999999999999727</c:v>
                </c:pt>
                <c:pt idx="27">
                  <c:v>-0.70000000000000284</c:v>
                </c:pt>
                <c:pt idx="28">
                  <c:v>-0.70000000000000284</c:v>
                </c:pt>
                <c:pt idx="29">
                  <c:v>-0.70000000000000284</c:v>
                </c:pt>
                <c:pt idx="30">
                  <c:v>-0.70000000000000284</c:v>
                </c:pt>
                <c:pt idx="31">
                  <c:v>-0.79999999999999727</c:v>
                </c:pt>
                <c:pt idx="32">
                  <c:v>-0.79999999999999727</c:v>
                </c:pt>
                <c:pt idx="33">
                  <c:v>-0.90000000000000568</c:v>
                </c:pt>
                <c:pt idx="34">
                  <c:v>-0.90000000000000568</c:v>
                </c:pt>
                <c:pt idx="35">
                  <c:v>-0.90000000000000568</c:v>
                </c:pt>
                <c:pt idx="36">
                  <c:v>-4</c:v>
                </c:pt>
                <c:pt idx="37">
                  <c:v>-4.0999999999999943</c:v>
                </c:pt>
                <c:pt idx="38">
                  <c:v>-4.0999999999999943</c:v>
                </c:pt>
                <c:pt idx="39">
                  <c:v>-4</c:v>
                </c:pt>
                <c:pt idx="40">
                  <c:v>-4</c:v>
                </c:pt>
                <c:pt idx="41">
                  <c:v>-4.0999999999999943</c:v>
                </c:pt>
                <c:pt idx="42">
                  <c:v>-4</c:v>
                </c:pt>
                <c:pt idx="43">
                  <c:v>-4</c:v>
                </c:pt>
                <c:pt idx="44">
                  <c:v>-4.0999999999999943</c:v>
                </c:pt>
                <c:pt idx="45">
                  <c:v>-4.0999999999999943</c:v>
                </c:pt>
                <c:pt idx="46">
                  <c:v>-4.0999999999999943</c:v>
                </c:pt>
                <c:pt idx="47">
                  <c:v>-4.0999999999999943</c:v>
                </c:pt>
                <c:pt idx="48" formatCode="General">
                  <c:v>-1.0999999999999939</c:v>
                </c:pt>
                <c:pt idx="49" formatCode="General">
                  <c:v>-1.2000000000000028</c:v>
                </c:pt>
                <c:pt idx="50">
                  <c:v>-1.2000000000000028</c:v>
                </c:pt>
                <c:pt idx="51">
                  <c:v>-1.4000000000000057</c:v>
                </c:pt>
                <c:pt idx="52" formatCode="General">
                  <c:v>-1.2999999999999969</c:v>
                </c:pt>
                <c:pt idx="53" formatCode="General">
                  <c:v>-1.0999999999999939</c:v>
                </c:pt>
              </c:numCache>
            </c:numRef>
          </c:val>
        </c:ser>
        <c:ser>
          <c:idx val="4"/>
          <c:order val="4"/>
          <c:tx>
            <c:strRef>
              <c:f>'Ceny 4'!$G$5</c:f>
              <c:strCache>
                <c:ptCount val="1"/>
                <c:pt idx="0">
                  <c:v>Zás. vodou; odpadní vody</c:v>
                </c:pt>
              </c:strCache>
            </c:strRef>
          </c:tx>
          <c:spPr>
            <a:ln w="19050">
              <a:solidFill>
                <a:schemeClr val="accent1"/>
              </a:solidFill>
            </a:ln>
          </c:spPr>
          <c:marker>
            <c:symbol val="none"/>
          </c:marker>
          <c:cat>
            <c:multiLvlStrRef>
              <c:f>'Ceny 4'!$A$6:$B$59</c:f>
              <c:multiLvlStrCache>
                <c:ptCount val="54"/>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lvl>
                <c:lvl>
                  <c:pt idx="0">
                    <c:v>2013</c:v>
                  </c:pt>
                  <c:pt idx="12">
                    <c:v>2014</c:v>
                  </c:pt>
                  <c:pt idx="24">
                    <c:v>2015</c:v>
                  </c:pt>
                  <c:pt idx="36">
                    <c:v>2016</c:v>
                  </c:pt>
                  <c:pt idx="48">
                    <c:v>2017</c:v>
                  </c:pt>
                </c:lvl>
              </c:multiLvlStrCache>
            </c:multiLvlStrRef>
          </c:cat>
          <c:val>
            <c:numRef>
              <c:f>'Ceny 4'!$G$6:$G$59</c:f>
              <c:numCache>
                <c:formatCode>General</c:formatCode>
                <c:ptCount val="54"/>
                <c:pt idx="0">
                  <c:v>5.9000000000000066</c:v>
                </c:pt>
                <c:pt idx="1">
                  <c:v>5.7999999999999972</c:v>
                </c:pt>
                <c:pt idx="2">
                  <c:v>5.7000000000000028</c:v>
                </c:pt>
                <c:pt idx="3">
                  <c:v>5.7000000000000028</c:v>
                </c:pt>
                <c:pt idx="4">
                  <c:v>5.7000000000000028</c:v>
                </c:pt>
                <c:pt idx="5">
                  <c:v>5.7000000000000028</c:v>
                </c:pt>
                <c:pt idx="6">
                  <c:v>5.7000000000000028</c:v>
                </c:pt>
                <c:pt idx="7">
                  <c:v>5.7000000000000028</c:v>
                </c:pt>
                <c:pt idx="8">
                  <c:v>5.7000000000000028</c:v>
                </c:pt>
                <c:pt idx="9">
                  <c:v>5.7000000000000028</c:v>
                </c:pt>
                <c:pt idx="10">
                  <c:v>5.7000000000000028</c:v>
                </c:pt>
                <c:pt idx="11">
                  <c:v>5.7000000000000028</c:v>
                </c:pt>
                <c:pt idx="12">
                  <c:v>3.4000000000000057</c:v>
                </c:pt>
                <c:pt idx="13">
                  <c:v>3.4000000000000057</c:v>
                </c:pt>
                <c:pt idx="14">
                  <c:v>3.4000000000000057</c:v>
                </c:pt>
                <c:pt idx="15">
                  <c:v>3.4000000000000057</c:v>
                </c:pt>
                <c:pt idx="16">
                  <c:v>3.4000000000000057</c:v>
                </c:pt>
                <c:pt idx="17">
                  <c:v>3.4000000000000057</c:v>
                </c:pt>
                <c:pt idx="18">
                  <c:v>3.4000000000000057</c:v>
                </c:pt>
                <c:pt idx="19">
                  <c:v>3.4000000000000057</c:v>
                </c:pt>
                <c:pt idx="20">
                  <c:v>3.4000000000000057</c:v>
                </c:pt>
                <c:pt idx="21">
                  <c:v>3.4000000000000057</c:v>
                </c:pt>
                <c:pt idx="22">
                  <c:v>3.4000000000000057</c:v>
                </c:pt>
                <c:pt idx="23">
                  <c:v>3.4000000000000057</c:v>
                </c:pt>
                <c:pt idx="24">
                  <c:v>3.4000000000000057</c:v>
                </c:pt>
                <c:pt idx="25">
                  <c:v>3.4000000000000057</c:v>
                </c:pt>
                <c:pt idx="26">
                  <c:v>3.4000000000000057</c:v>
                </c:pt>
                <c:pt idx="27">
                  <c:v>3.4000000000000057</c:v>
                </c:pt>
                <c:pt idx="28">
                  <c:v>3.4000000000000057</c:v>
                </c:pt>
                <c:pt idx="29">
                  <c:v>3.4000000000000057</c:v>
                </c:pt>
                <c:pt idx="30">
                  <c:v>3.4000000000000057</c:v>
                </c:pt>
                <c:pt idx="31">
                  <c:v>3.4000000000000057</c:v>
                </c:pt>
                <c:pt idx="32">
                  <c:v>3.4000000000000057</c:v>
                </c:pt>
                <c:pt idx="33">
                  <c:v>3.4000000000000057</c:v>
                </c:pt>
                <c:pt idx="34">
                  <c:v>3.4000000000000057</c:v>
                </c:pt>
                <c:pt idx="35">
                  <c:v>3.4000000000000057</c:v>
                </c:pt>
                <c:pt idx="36">
                  <c:v>0.5</c:v>
                </c:pt>
                <c:pt idx="37">
                  <c:v>0.5</c:v>
                </c:pt>
                <c:pt idx="38">
                  <c:v>0.5</c:v>
                </c:pt>
                <c:pt idx="39">
                  <c:v>1.5999999999999939</c:v>
                </c:pt>
                <c:pt idx="40">
                  <c:v>1.5999999999999939</c:v>
                </c:pt>
                <c:pt idx="41">
                  <c:v>1.5999999999999939</c:v>
                </c:pt>
                <c:pt idx="42">
                  <c:v>1.5999999999999939</c:v>
                </c:pt>
                <c:pt idx="43">
                  <c:v>1.5999999999999939</c:v>
                </c:pt>
                <c:pt idx="44">
                  <c:v>1.5999999999999939</c:v>
                </c:pt>
                <c:pt idx="45">
                  <c:v>1.5999999999999939</c:v>
                </c:pt>
                <c:pt idx="46">
                  <c:v>1.5999999999999939</c:v>
                </c:pt>
                <c:pt idx="47">
                  <c:v>1.5999999999999939</c:v>
                </c:pt>
                <c:pt idx="48">
                  <c:v>2.0999999999999943</c:v>
                </c:pt>
                <c:pt idx="49">
                  <c:v>2.0999999999999943</c:v>
                </c:pt>
                <c:pt idx="50" formatCode="0.0">
                  <c:v>2.0999999999999943</c:v>
                </c:pt>
                <c:pt idx="51" formatCode="0.0">
                  <c:v>1</c:v>
                </c:pt>
                <c:pt idx="52">
                  <c:v>1</c:v>
                </c:pt>
                <c:pt idx="53">
                  <c:v>1</c:v>
                </c:pt>
              </c:numCache>
            </c:numRef>
          </c:val>
        </c:ser>
        <c:marker val="1"/>
        <c:axId val="183732096"/>
        <c:axId val="183733632"/>
      </c:lineChart>
      <c:catAx>
        <c:axId val="183732096"/>
        <c:scaling>
          <c:orientation val="minMax"/>
        </c:scaling>
        <c:axPos val="b"/>
        <c:tickLblPos val="low"/>
        <c:spPr>
          <a:ln>
            <a:solidFill>
              <a:schemeClr val="tx1"/>
            </a:solidFill>
          </a:ln>
        </c:spPr>
        <c:crossAx val="183733632"/>
        <c:crosses val="autoZero"/>
        <c:auto val="1"/>
        <c:lblAlgn val="ctr"/>
        <c:lblOffset val="100"/>
      </c:catAx>
      <c:valAx>
        <c:axId val="183733632"/>
        <c:scaling>
          <c:orientation val="minMax"/>
        </c:scaling>
        <c:axPos val="l"/>
        <c:majorGridlines>
          <c:spPr>
            <a:ln w="6350">
              <a:solidFill>
                <a:schemeClr val="bg1">
                  <a:lumMod val="75000"/>
                </a:schemeClr>
              </a:solidFill>
            </a:ln>
          </c:spPr>
        </c:majorGridlines>
        <c:numFmt formatCode="0" sourceLinked="0"/>
        <c:tickLblPos val="nextTo"/>
        <c:spPr>
          <a:ln>
            <a:solidFill>
              <a:schemeClr val="tx1"/>
            </a:solidFill>
          </a:ln>
        </c:spPr>
        <c:crossAx val="183732096"/>
        <c:crosses val="autoZero"/>
        <c:crossBetween val="between"/>
      </c:valAx>
      <c:spPr>
        <a:ln>
          <a:solidFill>
            <a:schemeClr val="tx1"/>
          </a:solidFill>
        </a:ln>
      </c:spPr>
    </c:plotArea>
    <c:legend>
      <c:legendPos val="b"/>
      <c:layout>
        <c:manualLayout>
          <c:xMode val="edge"/>
          <c:yMode val="edge"/>
          <c:x val="5.0596282132642292E-2"/>
          <c:y val="0.86223931272106069"/>
          <c:w val="0.89560705842620769"/>
          <c:h val="0.12109402425765155"/>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5.4942586963863574E-2"/>
          <c:y val="2.8593943487560766E-2"/>
          <c:w val="0.92629263762242564"/>
          <c:h val="0.75790048407069865"/>
        </c:manualLayout>
      </c:layout>
      <c:barChart>
        <c:barDir val="col"/>
        <c:grouping val="clustered"/>
        <c:ser>
          <c:idx val="3"/>
          <c:order val="3"/>
          <c:tx>
            <c:strRef>
              <c:f>'Ceny 3'!$H$5</c:f>
              <c:strCache>
                <c:ptCount val="1"/>
                <c:pt idx="0">
                  <c:v>Směnné relace</c:v>
                </c:pt>
              </c:strCache>
            </c:strRef>
          </c:tx>
          <c:spPr>
            <a:solidFill>
              <a:schemeClr val="bg1">
                <a:lumMod val="65000"/>
              </a:schemeClr>
            </a:solidFill>
          </c:spPr>
          <c:val>
            <c:numRef>
              <c:f>'Ceny 3'!$H$10:$H$27</c:f>
              <c:numCache>
                <c:formatCode>0.0</c:formatCode>
                <c:ptCount val="18"/>
                <c:pt idx="0">
                  <c:v>0.72086874091795028</c:v>
                </c:pt>
                <c:pt idx="1">
                  <c:v>0.66492115250875394</c:v>
                </c:pt>
                <c:pt idx="2">
                  <c:v>1.3267678006503587</c:v>
                </c:pt>
                <c:pt idx="3">
                  <c:v>1.2283581212725783</c:v>
                </c:pt>
                <c:pt idx="4">
                  <c:v>1.7793365680396958</c:v>
                </c:pt>
                <c:pt idx="5">
                  <c:v>2.1121774956172454</c:v>
                </c:pt>
                <c:pt idx="6">
                  <c:v>1.6039707571559485</c:v>
                </c:pt>
                <c:pt idx="7">
                  <c:v>0.65769164867339247</c:v>
                </c:pt>
                <c:pt idx="8">
                  <c:v>0.6687514491261769</c:v>
                </c:pt>
                <c:pt idx="9">
                  <c:v>-5.2195141937815499E-2</c:v>
                </c:pt>
                <c:pt idx="10">
                  <c:v>0.25811822159073472</c:v>
                </c:pt>
                <c:pt idx="11">
                  <c:v>0.70048196058132817</c:v>
                </c:pt>
                <c:pt idx="12">
                  <c:v>1.503445792050641</c:v>
                </c:pt>
                <c:pt idx="13">
                  <c:v>1.5316445359934219</c:v>
                </c:pt>
                <c:pt idx="14">
                  <c:v>1.1309975684205684</c:v>
                </c:pt>
                <c:pt idx="15">
                  <c:v>6.2910265216473263E-2</c:v>
                </c:pt>
                <c:pt idx="16">
                  <c:v>-1.8857390401630312</c:v>
                </c:pt>
                <c:pt idx="17">
                  <c:v>-1.654350174854827</c:v>
                </c:pt>
              </c:numCache>
            </c:numRef>
          </c:val>
        </c:ser>
        <c:gapWidth val="95"/>
        <c:axId val="183805440"/>
        <c:axId val="183806976"/>
      </c:barChart>
      <c:lineChart>
        <c:grouping val="standard"/>
        <c:ser>
          <c:idx val="1"/>
          <c:order val="0"/>
          <c:tx>
            <c:strRef>
              <c:f>'Ceny 3'!$E$5</c:f>
              <c:strCache>
                <c:ptCount val="1"/>
                <c:pt idx="0">
                  <c:v>HDP</c:v>
                </c:pt>
              </c:strCache>
            </c:strRef>
          </c:tx>
          <c:spPr>
            <a:ln w="19050">
              <a:solidFill>
                <a:sysClr val="windowText" lastClr="000000"/>
              </a:solidFill>
            </a:ln>
          </c:spPr>
          <c:marker>
            <c:symbol val="none"/>
          </c:marker>
          <c:cat>
            <c:multiLvlStrRef>
              <c:f>'Ceny 3'!$A$10:$B$26</c:f>
              <c:multiLvlStrCache>
                <c:ptCount val="1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lvl>
                <c:lvl>
                  <c:pt idx="0">
                    <c:v>2013</c:v>
                  </c:pt>
                  <c:pt idx="4">
                    <c:v>2014</c:v>
                  </c:pt>
                  <c:pt idx="8">
                    <c:v>2015</c:v>
                  </c:pt>
                  <c:pt idx="12">
                    <c:v>2016</c:v>
                  </c:pt>
                  <c:pt idx="16">
                    <c:v>2017</c:v>
                  </c:pt>
                </c:lvl>
              </c:multiLvlStrCache>
            </c:multiLvlStrRef>
          </c:cat>
          <c:val>
            <c:numRef>
              <c:f>'Ceny 3'!$E$10:$E$27</c:f>
              <c:numCache>
                <c:formatCode>#,##0.0</c:formatCode>
                <c:ptCount val="18"/>
                <c:pt idx="0">
                  <c:v>1.2999708970934873</c:v>
                </c:pt>
                <c:pt idx="1">
                  <c:v>1.1220533709485923</c:v>
                </c:pt>
                <c:pt idx="2">
                  <c:v>1.3013982471865544</c:v>
                </c:pt>
                <c:pt idx="3">
                  <c:v>1.9705982643273219</c:v>
                </c:pt>
                <c:pt idx="4">
                  <c:v>2.3138763904869246</c:v>
                </c:pt>
                <c:pt idx="5">
                  <c:v>2.7748292282439451</c:v>
                </c:pt>
                <c:pt idx="6">
                  <c:v>2.7588595129771818</c:v>
                </c:pt>
                <c:pt idx="7">
                  <c:v>2.0601986396608538</c:v>
                </c:pt>
                <c:pt idx="8">
                  <c:v>1.536933767478416</c:v>
                </c:pt>
                <c:pt idx="9">
                  <c:v>1.344899624212232</c:v>
                </c:pt>
                <c:pt idx="10">
                  <c:v>1.0394166136579341</c:v>
                </c:pt>
                <c:pt idx="11">
                  <c:v>0.76946574896925302</c:v>
                </c:pt>
                <c:pt idx="12">
                  <c:v>1.4770885012742809</c:v>
                </c:pt>
                <c:pt idx="13">
                  <c:v>1.0859617317946542</c:v>
                </c:pt>
                <c:pt idx="14">
                  <c:v>1.2927847129702457</c:v>
                </c:pt>
                <c:pt idx="15">
                  <c:v>1.1135418002644426</c:v>
                </c:pt>
                <c:pt idx="16" formatCode="General">
                  <c:v>0.5372198824184552</c:v>
                </c:pt>
                <c:pt idx="17" formatCode="General">
                  <c:v>0.9988124786041368</c:v>
                </c:pt>
              </c:numCache>
            </c:numRef>
          </c:val>
        </c:ser>
        <c:ser>
          <c:idx val="0"/>
          <c:order val="1"/>
          <c:tx>
            <c:strRef>
              <c:f>'Ceny 3'!$C$5</c:f>
              <c:strCache>
                <c:ptCount val="1"/>
                <c:pt idx="0">
                  <c:v>Výdaje na konečnou spotřebu</c:v>
                </c:pt>
              </c:strCache>
            </c:strRef>
          </c:tx>
          <c:spPr>
            <a:ln w="19050">
              <a:solidFill>
                <a:srgbClr val="0071BC"/>
              </a:solidFill>
            </a:ln>
          </c:spPr>
          <c:marker>
            <c:symbol val="none"/>
          </c:marker>
          <c:cat>
            <c:multiLvlStrRef>
              <c:f>'Ceny 3'!$A$10:$B$27</c:f>
              <c:multiLvlStrCache>
                <c:ptCount val="1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lvl>
                <c:lvl>
                  <c:pt idx="0">
                    <c:v>2013</c:v>
                  </c:pt>
                  <c:pt idx="4">
                    <c:v>2014</c:v>
                  </c:pt>
                  <c:pt idx="8">
                    <c:v>2015</c:v>
                  </c:pt>
                  <c:pt idx="12">
                    <c:v>2016</c:v>
                  </c:pt>
                  <c:pt idx="16">
                    <c:v>2017</c:v>
                  </c:pt>
                </c:lvl>
              </c:multiLvlStrCache>
            </c:multiLvlStrRef>
          </c:cat>
          <c:val>
            <c:numRef>
              <c:f>'Ceny 3'!$C$10:$C$27</c:f>
              <c:numCache>
                <c:formatCode>0.0</c:formatCode>
                <c:ptCount val="18"/>
                <c:pt idx="0">
                  <c:v>0.70393081077897091</c:v>
                </c:pt>
                <c:pt idx="1">
                  <c:v>0.6460903683416036</c:v>
                </c:pt>
                <c:pt idx="2">
                  <c:v>0.50780223221076437</c:v>
                </c:pt>
                <c:pt idx="3">
                  <c:v>0.76412283599242414</c:v>
                </c:pt>
                <c:pt idx="4">
                  <c:v>0.58981800757618441</c:v>
                </c:pt>
                <c:pt idx="5">
                  <c:v>0.73002869006748494</c:v>
                </c:pt>
                <c:pt idx="6">
                  <c:v>0.96272343511776637</c:v>
                </c:pt>
                <c:pt idx="7">
                  <c:v>1.371359354161328</c:v>
                </c:pt>
                <c:pt idx="8">
                  <c:v>0.68976772600146319</c:v>
                </c:pt>
                <c:pt idx="9">
                  <c:v>0.98805285803847209</c:v>
                </c:pt>
                <c:pt idx="10">
                  <c:v>0.80963604805681655</c:v>
                </c:pt>
                <c:pt idx="11">
                  <c:v>0.11766427409598637</c:v>
                </c:pt>
                <c:pt idx="12">
                  <c:v>0.59228639059519139</c:v>
                </c:pt>
                <c:pt idx="13">
                  <c:v>0.57477319622762479</c:v>
                </c:pt>
                <c:pt idx="14">
                  <c:v>0.95921467327970344</c:v>
                </c:pt>
                <c:pt idx="15">
                  <c:v>1.4791806391940838</c:v>
                </c:pt>
                <c:pt idx="16" formatCode="General">
                  <c:v>2.415009364889158</c:v>
                </c:pt>
                <c:pt idx="17" formatCode="General">
                  <c:v>2.7033943161740988</c:v>
                </c:pt>
              </c:numCache>
            </c:numRef>
          </c:val>
        </c:ser>
        <c:ser>
          <c:idx val="2"/>
          <c:order val="2"/>
          <c:tx>
            <c:strRef>
              <c:f>'Ceny 3'!$D$5</c:f>
              <c:strCache>
                <c:ptCount val="1"/>
                <c:pt idx="0">
                  <c:v>Tvorba hrubého kapitálu</c:v>
                </c:pt>
              </c:strCache>
            </c:strRef>
          </c:tx>
          <c:spPr>
            <a:ln w="19050">
              <a:solidFill>
                <a:srgbClr val="BD1B21"/>
              </a:solidFill>
            </a:ln>
          </c:spPr>
          <c:marker>
            <c:symbol val="none"/>
          </c:marker>
          <c:cat>
            <c:multiLvlStrRef>
              <c:f>'Ceny 3'!$A$10:$B$27</c:f>
              <c:multiLvlStrCache>
                <c:ptCount val="1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lvl>
                <c:lvl>
                  <c:pt idx="0">
                    <c:v>2013</c:v>
                  </c:pt>
                  <c:pt idx="4">
                    <c:v>2014</c:v>
                  </c:pt>
                  <c:pt idx="8">
                    <c:v>2015</c:v>
                  </c:pt>
                  <c:pt idx="12">
                    <c:v>2016</c:v>
                  </c:pt>
                  <c:pt idx="16">
                    <c:v>2017</c:v>
                  </c:pt>
                </c:lvl>
              </c:multiLvlStrCache>
            </c:multiLvlStrRef>
          </c:cat>
          <c:val>
            <c:numRef>
              <c:f>'Ceny 3'!$D$10:$D$27</c:f>
              <c:numCache>
                <c:formatCode>0.0</c:formatCode>
                <c:ptCount val="18"/>
                <c:pt idx="0">
                  <c:v>0.93237675467136671</c:v>
                </c:pt>
                <c:pt idx="1">
                  <c:v>0.55587160422214765</c:v>
                </c:pt>
                <c:pt idx="2">
                  <c:v>-0.14502990088750781</c:v>
                </c:pt>
                <c:pt idx="3">
                  <c:v>1.3523234836422091</c:v>
                </c:pt>
                <c:pt idx="4">
                  <c:v>1.1262607990310585</c:v>
                </c:pt>
                <c:pt idx="5">
                  <c:v>1.6967817745947544</c:v>
                </c:pt>
                <c:pt idx="6">
                  <c:v>2.2944262174508627</c:v>
                </c:pt>
                <c:pt idx="7">
                  <c:v>1.7668000014469527</c:v>
                </c:pt>
                <c:pt idx="8">
                  <c:v>2.1227689478053269</c:v>
                </c:pt>
                <c:pt idx="9">
                  <c:v>2.5283893947638485</c:v>
                </c:pt>
                <c:pt idx="10">
                  <c:v>1.5895921078529938</c:v>
                </c:pt>
                <c:pt idx="11">
                  <c:v>1.3230345075879766</c:v>
                </c:pt>
                <c:pt idx="12">
                  <c:v>0.68131620837630169</c:v>
                </c:pt>
                <c:pt idx="13">
                  <c:v>-0.47030660907466892</c:v>
                </c:pt>
                <c:pt idx="14">
                  <c:v>-3.1665506301493451E-2</c:v>
                </c:pt>
                <c:pt idx="15">
                  <c:v>0.48648204884011648</c:v>
                </c:pt>
                <c:pt idx="16" formatCode="General">
                  <c:v>0.9925979551207148</c:v>
                </c:pt>
                <c:pt idx="17" formatCode="General">
                  <c:v>1.6498395161239898</c:v>
                </c:pt>
              </c:numCache>
            </c:numRef>
          </c:val>
        </c:ser>
        <c:marker val="1"/>
        <c:axId val="183805440"/>
        <c:axId val="183806976"/>
      </c:lineChart>
      <c:catAx>
        <c:axId val="183805440"/>
        <c:scaling>
          <c:orientation val="minMax"/>
        </c:scaling>
        <c:axPos val="b"/>
        <c:tickLblPos val="low"/>
        <c:spPr>
          <a:ln>
            <a:solidFill>
              <a:schemeClr val="tx1"/>
            </a:solidFill>
          </a:ln>
        </c:spPr>
        <c:txPr>
          <a:bodyPr rot="0" vert="horz"/>
          <a:lstStyle/>
          <a:p>
            <a:pPr>
              <a:defRPr/>
            </a:pPr>
            <a:endParaRPr lang="cs-CZ"/>
          </a:p>
        </c:txPr>
        <c:crossAx val="183806976"/>
        <c:crossesAt val="0"/>
        <c:auto val="1"/>
        <c:lblAlgn val="ctr"/>
        <c:lblOffset val="100"/>
      </c:catAx>
      <c:valAx>
        <c:axId val="183806976"/>
        <c:scaling>
          <c:orientation val="minMax"/>
        </c:scaling>
        <c:axPos val="l"/>
        <c:majorGridlines>
          <c:spPr>
            <a:ln w="6350">
              <a:solidFill>
                <a:schemeClr val="bg1">
                  <a:lumMod val="75000"/>
                </a:schemeClr>
              </a:solidFill>
            </a:ln>
          </c:spPr>
        </c:majorGridlines>
        <c:numFmt formatCode="0" sourceLinked="0"/>
        <c:tickLblPos val="nextTo"/>
        <c:spPr>
          <a:ln>
            <a:solidFill>
              <a:schemeClr val="tx1"/>
            </a:solidFill>
          </a:ln>
        </c:spPr>
        <c:crossAx val="183805440"/>
        <c:crosses val="autoZero"/>
        <c:crossBetween val="between"/>
      </c:valAx>
      <c:spPr>
        <a:ln>
          <a:solidFill>
            <a:schemeClr val="tx1"/>
          </a:solidFill>
        </a:ln>
      </c:spPr>
    </c:plotArea>
    <c:legend>
      <c:legendPos val="b"/>
      <c:layout>
        <c:manualLayout>
          <c:xMode val="edge"/>
          <c:yMode val="edge"/>
          <c:x val="5.1257598784194246E-2"/>
          <c:y val="0.9105279747832935"/>
          <c:w val="0.92611385511651467"/>
          <c:h val="7.2151581672858289E-2"/>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3306663279993532E-2"/>
          <c:y val="1.6549886621315294E-2"/>
          <c:w val="0.92698007507126057"/>
          <c:h val="0.74952806122449256"/>
        </c:manualLayout>
      </c:layout>
      <c:barChart>
        <c:barDir val="col"/>
        <c:grouping val="clustered"/>
        <c:ser>
          <c:idx val="0"/>
          <c:order val="0"/>
          <c:tx>
            <c:strRef>
              <c:f>'Trh práce 1'!$C$7</c:f>
              <c:strCache>
                <c:ptCount val="1"/>
                <c:pt idx="0">
                  <c:v>Zaměstnanost celkem</c:v>
                </c:pt>
              </c:strCache>
            </c:strRef>
          </c:tx>
          <c:spPr>
            <a:solidFill>
              <a:schemeClr val="bg1">
                <a:lumMod val="50000"/>
              </a:schemeClr>
            </a:solidFill>
          </c:spPr>
          <c:cat>
            <c:multiLvlStrRef>
              <c:f>'Trh práce 1'!$A$8:$B$37</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'Trh práce 1'!$C$8:$C$37</c:f>
              <c:numCache>
                <c:formatCode>#,##0.0</c:formatCode>
                <c:ptCount val="30"/>
                <c:pt idx="0" formatCode="0.0">
                  <c:v>-2.7493629357650775</c:v>
                </c:pt>
                <c:pt idx="1">
                  <c:v>-1.231355670101081</c:v>
                </c:pt>
                <c:pt idx="2">
                  <c:v>-0.18766026442571621</c:v>
                </c:pt>
                <c:pt idx="3">
                  <c:v>6.7316120287756839E-2</c:v>
                </c:pt>
                <c:pt idx="4" formatCode="0.0">
                  <c:v>0.10338579028356776</c:v>
                </c:pt>
                <c:pt idx="5">
                  <c:v>2.018958815014571E-3</c:v>
                </c:pt>
                <c:pt idx="6">
                  <c:v>-0.44357673893365868</c:v>
                </c:pt>
                <c:pt idx="7">
                  <c:v>-0.74967660526091662</c:v>
                </c:pt>
                <c:pt idx="8" formatCode="0.0">
                  <c:v>-6.4487376943205568E-2</c:v>
                </c:pt>
                <c:pt idx="9">
                  <c:v>0.15991018585724392</c:v>
                </c:pt>
                <c:pt idx="10">
                  <c:v>0.67126249823633088</c:v>
                </c:pt>
                <c:pt idx="11">
                  <c:v>0.91419179797142669</c:v>
                </c:pt>
                <c:pt idx="12" formatCode="0.0">
                  <c:v>0.44342336418017692</c:v>
                </c:pt>
                <c:pt idx="13">
                  <c:v>0.67770819458962961</c:v>
                </c:pt>
                <c:pt idx="14">
                  <c:v>0.12895197144355516</c:v>
                </c:pt>
                <c:pt idx="15">
                  <c:v>4.0322580645167333E-2</c:v>
                </c:pt>
                <c:pt idx="16" formatCode="0.0">
                  <c:v>0.57697146908899022</c:v>
                </c:pt>
                <c:pt idx="17">
                  <c:v>8.0399106188068226E-2</c:v>
                </c:pt>
                <c:pt idx="18">
                  <c:v>0.61322218939174711</c:v>
                </c:pt>
                <c:pt idx="19">
                  <c:v>0.93792373035558119</c:v>
                </c:pt>
                <c:pt idx="20" formatCode="0.0">
                  <c:v>1.2656993874037665</c:v>
                </c:pt>
                <c:pt idx="21">
                  <c:v>1.7613382287180177</c:v>
                </c:pt>
                <c:pt idx="22">
                  <c:v>1.3482013235820041</c:v>
                </c:pt>
                <c:pt idx="23">
                  <c:v>1.3363413079349578</c:v>
                </c:pt>
                <c:pt idx="24" formatCode="0.0">
                  <c:v>1.25558572910262</c:v>
                </c:pt>
                <c:pt idx="25">
                  <c:v>1.1507983544329499</c:v>
                </c:pt>
                <c:pt idx="26">
                  <c:v>1.2387481612437392</c:v>
                </c:pt>
                <c:pt idx="27">
                  <c:v>1.4978787727267502</c:v>
                </c:pt>
                <c:pt idx="28" formatCode="0.0">
                  <c:v>1.4614799115755517</c:v>
                </c:pt>
                <c:pt idx="29">
                  <c:v>1.3044868387106021</c:v>
                </c:pt>
              </c:numCache>
            </c:numRef>
          </c:val>
        </c:ser>
        <c:ser>
          <c:idx val="1"/>
          <c:order val="1"/>
          <c:tx>
            <c:strRef>
              <c:f>'Trh práce 1'!$D$7</c:f>
              <c:strCache>
                <c:ptCount val="1"/>
                <c:pt idx="0">
                  <c:v>z toho zaměstnanci</c:v>
                </c:pt>
              </c:strCache>
            </c:strRef>
          </c:tx>
          <c:spPr>
            <a:solidFill>
              <a:srgbClr val="B4B4B4"/>
            </a:solidFill>
          </c:spPr>
          <c:cat>
            <c:multiLvlStrRef>
              <c:f>'Trh práce 1'!$A$8:$B$37</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'Trh práce 1'!$D$8:$D$37</c:f>
              <c:numCache>
                <c:formatCode>#,##0.0</c:formatCode>
                <c:ptCount val="30"/>
                <c:pt idx="0" formatCode="0.0">
                  <c:v>-3.7183457539311604</c:v>
                </c:pt>
                <c:pt idx="1">
                  <c:v>-2.2037535918506852</c:v>
                </c:pt>
                <c:pt idx="2">
                  <c:v>-0.95031718324349868</c:v>
                </c:pt>
                <c:pt idx="3">
                  <c:v>-0.89602372013739251</c:v>
                </c:pt>
                <c:pt idx="4" formatCode="0.0">
                  <c:v>-0.12541420529301206</c:v>
                </c:pt>
                <c:pt idx="5">
                  <c:v>-0.18074186061507191</c:v>
                </c:pt>
                <c:pt idx="6">
                  <c:v>-0.68532067485385584</c:v>
                </c:pt>
                <c:pt idx="7">
                  <c:v>-1.0055124180924473</c:v>
                </c:pt>
                <c:pt idx="8" formatCode="0.0">
                  <c:v>-0.30649126299194163</c:v>
                </c:pt>
                <c:pt idx="9">
                  <c:v>8.2306292576589724E-2</c:v>
                </c:pt>
                <c:pt idx="10">
                  <c:v>1.1363397269730238</c:v>
                </c:pt>
                <c:pt idx="11">
                  <c:v>1.4752985788288413</c:v>
                </c:pt>
                <c:pt idx="12" formatCode="0.0">
                  <c:v>1.3546733566221858</c:v>
                </c:pt>
                <c:pt idx="13">
                  <c:v>1.6154432368700355</c:v>
                </c:pt>
                <c:pt idx="14">
                  <c:v>0.36949059992726263</c:v>
                </c:pt>
                <c:pt idx="15">
                  <c:v>0.47903550287971086</c:v>
                </c:pt>
                <c:pt idx="16" formatCode="0.0">
                  <c:v>0.66378516215239591</c:v>
                </c:pt>
                <c:pt idx="17">
                  <c:v>0.18975134112584238</c:v>
                </c:pt>
                <c:pt idx="18">
                  <c:v>1.2672516726795198</c:v>
                </c:pt>
                <c:pt idx="19">
                  <c:v>1.4210854345550401</c:v>
                </c:pt>
                <c:pt idx="20" formatCode="0.0">
                  <c:v>1.7902796675032424</c:v>
                </c:pt>
                <c:pt idx="21">
                  <c:v>2.2018522696376976</c:v>
                </c:pt>
                <c:pt idx="22">
                  <c:v>1.7829147341944758</c:v>
                </c:pt>
                <c:pt idx="23">
                  <c:v>2.023636901433207</c:v>
                </c:pt>
                <c:pt idx="24" formatCode="0.0">
                  <c:v>1.7634904453369258</c:v>
                </c:pt>
                <c:pt idx="25">
                  <c:v>1.2273587505034556</c:v>
                </c:pt>
                <c:pt idx="26">
                  <c:v>1.1016541871874312</c:v>
                </c:pt>
                <c:pt idx="27">
                  <c:v>0.89889101162970386</c:v>
                </c:pt>
                <c:pt idx="28" formatCode="0.0">
                  <c:v>0.87734573109716563</c:v>
                </c:pt>
                <c:pt idx="29">
                  <c:v>1.2321816539755162</c:v>
                </c:pt>
              </c:numCache>
            </c:numRef>
          </c:val>
        </c:ser>
        <c:gapWidth val="68"/>
        <c:axId val="183892608"/>
        <c:axId val="185016704"/>
      </c:barChart>
      <c:lineChart>
        <c:grouping val="standard"/>
        <c:ser>
          <c:idx val="2"/>
          <c:order val="2"/>
          <c:tx>
            <c:strRef>
              <c:f>'Trh práce 1'!$E$7</c:f>
              <c:strCache>
                <c:ptCount val="1"/>
                <c:pt idx="0">
                  <c:v>Zpracovatelský průmysl</c:v>
                </c:pt>
              </c:strCache>
            </c:strRef>
          </c:tx>
          <c:spPr>
            <a:ln w="19050">
              <a:solidFill>
                <a:srgbClr val="0071BC"/>
              </a:solidFill>
            </a:ln>
          </c:spPr>
          <c:marker>
            <c:symbol val="none"/>
          </c:marker>
          <c:cat>
            <c:multiLvlStrRef>
              <c:f>'Trh práce 1'!$A$8:$B$37</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'Trh práce 1'!$E$8:$E$37</c:f>
              <c:numCache>
                <c:formatCode>#,##0.0</c:formatCode>
                <c:ptCount val="30"/>
                <c:pt idx="0" formatCode="0.0">
                  <c:v>-7.1328240218293359</c:v>
                </c:pt>
                <c:pt idx="1">
                  <c:v>-3.348341658565384</c:v>
                </c:pt>
                <c:pt idx="2">
                  <c:v>-1.2053324012494886</c:v>
                </c:pt>
                <c:pt idx="3">
                  <c:v>-0.57131663484785911</c:v>
                </c:pt>
                <c:pt idx="4" formatCode="0.0">
                  <c:v>3.9594013882738386</c:v>
                </c:pt>
                <c:pt idx="5">
                  <c:v>4.29177691707892</c:v>
                </c:pt>
                <c:pt idx="6">
                  <c:v>3.8641041434753802</c:v>
                </c:pt>
                <c:pt idx="7">
                  <c:v>2.3282676220815119</c:v>
                </c:pt>
                <c:pt idx="8" formatCode="0.0">
                  <c:v>0.60345793922903113</c:v>
                </c:pt>
                <c:pt idx="9">
                  <c:v>0.50872672006472897</c:v>
                </c:pt>
                <c:pt idx="10">
                  <c:v>1.2032645570921605</c:v>
                </c:pt>
                <c:pt idx="11">
                  <c:v>1.6438966600367309</c:v>
                </c:pt>
                <c:pt idx="12" formatCode="0.0">
                  <c:v>-0.17866048437355175</c:v>
                </c:pt>
                <c:pt idx="13">
                  <c:v>0.16028267064615417</c:v>
                </c:pt>
                <c:pt idx="14">
                  <c:v>-0.40170171733359439</c:v>
                </c:pt>
                <c:pt idx="15">
                  <c:v>-0.21424103300076158</c:v>
                </c:pt>
                <c:pt idx="16" formatCode="0.0">
                  <c:v>0.79613495033972015</c:v>
                </c:pt>
                <c:pt idx="17">
                  <c:v>0.76079016253729281</c:v>
                </c:pt>
                <c:pt idx="18">
                  <c:v>1.537859661648028</c:v>
                </c:pt>
                <c:pt idx="19">
                  <c:v>2.0804183493204675</c:v>
                </c:pt>
                <c:pt idx="20" formatCode="0.0">
                  <c:v>3.4953504286037127</c:v>
                </c:pt>
                <c:pt idx="21">
                  <c:v>3.6840014560195882</c:v>
                </c:pt>
                <c:pt idx="22">
                  <c:v>3.1112916815337428</c:v>
                </c:pt>
                <c:pt idx="23">
                  <c:v>3.7794080596979152</c:v>
                </c:pt>
                <c:pt idx="24" formatCode="0.0">
                  <c:v>2.431344478594383</c:v>
                </c:pt>
                <c:pt idx="25">
                  <c:v>1.5761795854152467</c:v>
                </c:pt>
                <c:pt idx="26">
                  <c:v>1.831630983970058</c:v>
                </c:pt>
                <c:pt idx="27">
                  <c:v>1.3319586258319731</c:v>
                </c:pt>
                <c:pt idx="28" formatCode="0.0">
                  <c:v>1.0374019421035999E-2</c:v>
                </c:pt>
                <c:pt idx="29">
                  <c:v>0.44909578511092735</c:v>
                </c:pt>
              </c:numCache>
            </c:numRef>
          </c:val>
        </c:ser>
        <c:ser>
          <c:idx val="3"/>
          <c:order val="3"/>
          <c:tx>
            <c:strRef>
              <c:f>'Trh práce 1'!$F$7</c:f>
              <c:strCache>
                <c:ptCount val="1"/>
                <c:pt idx="0">
                  <c:v>Stavebnictví</c:v>
                </c:pt>
              </c:strCache>
            </c:strRef>
          </c:tx>
          <c:spPr>
            <a:ln w="19050">
              <a:solidFill>
                <a:srgbClr val="BD1B21"/>
              </a:solidFill>
            </a:ln>
          </c:spPr>
          <c:marker>
            <c:symbol val="none"/>
          </c:marker>
          <c:cat>
            <c:multiLvlStrRef>
              <c:f>'Trh práce 1'!$A$8:$B$37</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'Trh práce 1'!$F$8:$F$37</c:f>
              <c:numCache>
                <c:formatCode>#,##0.0</c:formatCode>
                <c:ptCount val="30"/>
                <c:pt idx="0" formatCode="0.0">
                  <c:v>0.9697374305381633</c:v>
                </c:pt>
                <c:pt idx="1">
                  <c:v>1.5766212487064553</c:v>
                </c:pt>
                <c:pt idx="2">
                  <c:v>2.0505826231116777</c:v>
                </c:pt>
                <c:pt idx="3">
                  <c:v>2.0975017349063103</c:v>
                </c:pt>
                <c:pt idx="4" formatCode="0.0">
                  <c:v>-5.0057748344370765</c:v>
                </c:pt>
                <c:pt idx="5">
                  <c:v>-4.9400088718526733</c:v>
                </c:pt>
                <c:pt idx="6">
                  <c:v>-5.3825592625853345</c:v>
                </c:pt>
                <c:pt idx="7">
                  <c:v>-5.2114309503984755</c:v>
                </c:pt>
                <c:pt idx="8" formatCode="0.0">
                  <c:v>-1.0125955373515865</c:v>
                </c:pt>
                <c:pt idx="9">
                  <c:v>-0.65129343258655981</c:v>
                </c:pt>
                <c:pt idx="10">
                  <c:v>-1.6486726674023942</c:v>
                </c:pt>
                <c:pt idx="11">
                  <c:v>-1.8238369370116339</c:v>
                </c:pt>
                <c:pt idx="12" formatCode="0.0">
                  <c:v>-2.4231770393157888</c:v>
                </c:pt>
                <c:pt idx="13">
                  <c:v>-3.6906605297992376</c:v>
                </c:pt>
                <c:pt idx="14">
                  <c:v>-2.201849061585321</c:v>
                </c:pt>
                <c:pt idx="15">
                  <c:v>-1.0882912822572837</c:v>
                </c:pt>
                <c:pt idx="16" formatCode="0.0">
                  <c:v>-5.0648669747761375</c:v>
                </c:pt>
                <c:pt idx="17">
                  <c:v>-3.6538098049419152</c:v>
                </c:pt>
                <c:pt idx="18">
                  <c:v>-4.2712784278679123</c:v>
                </c:pt>
                <c:pt idx="19">
                  <c:v>-5.242875274027905</c:v>
                </c:pt>
                <c:pt idx="20" formatCode="0.0">
                  <c:v>-0.17200523557662087</c:v>
                </c:pt>
                <c:pt idx="21">
                  <c:v>-9.2520605210694745E-2</c:v>
                </c:pt>
                <c:pt idx="22">
                  <c:v>-0.60778302632186865</c:v>
                </c:pt>
                <c:pt idx="23">
                  <c:v>-0.98361054964323058</c:v>
                </c:pt>
                <c:pt idx="24" formatCode="0.0">
                  <c:v>-0.86955038298722598</c:v>
                </c:pt>
                <c:pt idx="25">
                  <c:v>-1.2632757897594864</c:v>
                </c:pt>
                <c:pt idx="26">
                  <c:v>0.19494607796374913</c:v>
                </c:pt>
                <c:pt idx="27">
                  <c:v>0.47566227486591217</c:v>
                </c:pt>
                <c:pt idx="28" formatCode="0.0">
                  <c:v>0.87939049904241562</c:v>
                </c:pt>
                <c:pt idx="29">
                  <c:v>0.62240969535069923</c:v>
                </c:pt>
              </c:numCache>
            </c:numRef>
          </c:val>
        </c:ser>
        <c:ser>
          <c:idx val="4"/>
          <c:order val="4"/>
          <c:tx>
            <c:strRef>
              <c:f>'Trh práce 1'!$G$7</c:f>
              <c:strCache>
                <c:ptCount val="1"/>
                <c:pt idx="0">
                  <c:v>Obchod, doprava, ubytování a pohost.</c:v>
                </c:pt>
              </c:strCache>
            </c:strRef>
          </c:tx>
          <c:spPr>
            <a:ln w="19050">
              <a:solidFill>
                <a:srgbClr val="7DBB2D"/>
              </a:solidFill>
            </a:ln>
          </c:spPr>
          <c:marker>
            <c:symbol val="none"/>
          </c:marker>
          <c:cat>
            <c:multiLvlStrRef>
              <c:f>'Trh práce 1'!$A$8:$B$37</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'Trh práce 1'!$G$8:$G$37</c:f>
              <c:numCache>
                <c:formatCode>#,##0.0</c:formatCode>
                <c:ptCount val="30"/>
                <c:pt idx="0" formatCode="0.0">
                  <c:v>-1.4811264631436956</c:v>
                </c:pt>
                <c:pt idx="1">
                  <c:v>-0.55415302001367195</c:v>
                </c:pt>
                <c:pt idx="2">
                  <c:v>0.60230497012719364</c:v>
                </c:pt>
                <c:pt idx="3">
                  <c:v>1.1873384060302081</c:v>
                </c:pt>
                <c:pt idx="4" formatCode="0.0">
                  <c:v>-0.26525714239460285</c:v>
                </c:pt>
                <c:pt idx="5">
                  <c:v>-0.33716708681508673</c:v>
                </c:pt>
                <c:pt idx="6">
                  <c:v>-0.36196666950499629</c:v>
                </c:pt>
                <c:pt idx="7">
                  <c:v>-0.6159301049051038</c:v>
                </c:pt>
                <c:pt idx="8" formatCode="0.0">
                  <c:v>-0.54434279555370324</c:v>
                </c:pt>
                <c:pt idx="9">
                  <c:v>-0.40514396083042931</c:v>
                </c:pt>
                <c:pt idx="10">
                  <c:v>-0.37311748202134282</c:v>
                </c:pt>
                <c:pt idx="11">
                  <c:v>-0.76815794371515267</c:v>
                </c:pt>
                <c:pt idx="12" formatCode="0.0">
                  <c:v>0.77369328581768571</c:v>
                </c:pt>
                <c:pt idx="13">
                  <c:v>0.60429784295405464</c:v>
                </c:pt>
                <c:pt idx="14">
                  <c:v>7.7201205439365581E-2</c:v>
                </c:pt>
                <c:pt idx="15">
                  <c:v>0.17659710770475101</c:v>
                </c:pt>
                <c:pt idx="16" formatCode="0.0">
                  <c:v>-0.27532549141551532</c:v>
                </c:pt>
                <c:pt idx="17">
                  <c:v>-1.0247212280180378</c:v>
                </c:pt>
                <c:pt idx="18">
                  <c:v>-0.43357812735003326</c:v>
                </c:pt>
                <c:pt idx="19">
                  <c:v>0.64735384894699166</c:v>
                </c:pt>
                <c:pt idx="20" formatCode="0.0">
                  <c:v>0.50702313110330977</c:v>
                </c:pt>
                <c:pt idx="21">
                  <c:v>1.5961990830606112</c:v>
                </c:pt>
                <c:pt idx="22">
                  <c:v>0.93704012916178669</c:v>
                </c:pt>
                <c:pt idx="23">
                  <c:v>0.3342784827251829</c:v>
                </c:pt>
                <c:pt idx="24" formatCode="0.0">
                  <c:v>1.0009323399146552</c:v>
                </c:pt>
                <c:pt idx="25">
                  <c:v>1.7066855557750675</c:v>
                </c:pt>
                <c:pt idx="26">
                  <c:v>0.78520382793907162</c:v>
                </c:pt>
                <c:pt idx="27">
                  <c:v>1.1320860722512589</c:v>
                </c:pt>
                <c:pt idx="28" formatCode="0.0">
                  <c:v>2.2366384430481379</c:v>
                </c:pt>
                <c:pt idx="29">
                  <c:v>1.5495734803732972</c:v>
                </c:pt>
              </c:numCache>
            </c:numRef>
          </c:val>
        </c:ser>
        <c:ser>
          <c:idx val="5"/>
          <c:order val="5"/>
          <c:tx>
            <c:strRef>
              <c:f>'Trh práce 1'!$H$7</c:f>
              <c:strCache>
                <c:ptCount val="1"/>
                <c:pt idx="0">
                  <c:v>Veř.spr.,obrana,vzděl.,zdrav.,soc.péče</c:v>
                </c:pt>
              </c:strCache>
            </c:strRef>
          </c:tx>
          <c:spPr>
            <a:ln w="19050">
              <a:solidFill>
                <a:srgbClr val="F8A124"/>
              </a:solidFill>
            </a:ln>
          </c:spPr>
          <c:marker>
            <c:symbol val="none"/>
          </c:marker>
          <c:cat>
            <c:multiLvlStrRef>
              <c:f>'Trh práce 1'!$A$8:$B$37</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'Trh práce 1'!$H$8:$H$37</c:f>
              <c:numCache>
                <c:formatCode>#,##0.0</c:formatCode>
                <c:ptCount val="30"/>
                <c:pt idx="0" formatCode="0.0">
                  <c:v>-1.855806077102784E-2</c:v>
                </c:pt>
                <c:pt idx="1">
                  <c:v>-0.2268975752819245</c:v>
                </c:pt>
                <c:pt idx="2">
                  <c:v>-0.29433275456824531</c:v>
                </c:pt>
                <c:pt idx="3">
                  <c:v>-0.22704563055180044</c:v>
                </c:pt>
                <c:pt idx="4" formatCode="0.0">
                  <c:v>-0.47110868534822847</c:v>
                </c:pt>
                <c:pt idx="5">
                  <c:v>-0.76334858695398311</c:v>
                </c:pt>
                <c:pt idx="6">
                  <c:v>-1.0474282405825996</c:v>
                </c:pt>
                <c:pt idx="7">
                  <c:v>-0.76086919786541785</c:v>
                </c:pt>
                <c:pt idx="8" formatCode="0.0">
                  <c:v>-2.5354254663728639</c:v>
                </c:pt>
                <c:pt idx="9">
                  <c:v>-1.902141619073888</c:v>
                </c:pt>
                <c:pt idx="10">
                  <c:v>-0.31903720704937688</c:v>
                </c:pt>
                <c:pt idx="11">
                  <c:v>0.36291810220055415</c:v>
                </c:pt>
                <c:pt idx="12" formatCode="0.0">
                  <c:v>0.82471995854189384</c:v>
                </c:pt>
                <c:pt idx="13">
                  <c:v>2.1008576235233787</c:v>
                </c:pt>
                <c:pt idx="14">
                  <c:v>1.1395620003701339</c:v>
                </c:pt>
                <c:pt idx="15">
                  <c:v>0.93291347702553662</c:v>
                </c:pt>
                <c:pt idx="16" formatCode="0.0">
                  <c:v>1.5775454229154633</c:v>
                </c:pt>
                <c:pt idx="17">
                  <c:v>0.97071946520878982</c:v>
                </c:pt>
                <c:pt idx="18">
                  <c:v>2.0062549533348104</c:v>
                </c:pt>
                <c:pt idx="19">
                  <c:v>1.909431171276182</c:v>
                </c:pt>
                <c:pt idx="20" formatCode="0.0">
                  <c:v>1.5186815850960897</c:v>
                </c:pt>
                <c:pt idx="21">
                  <c:v>1.3439686041484278</c:v>
                </c:pt>
                <c:pt idx="22">
                  <c:v>0.58259948981276133</c:v>
                </c:pt>
                <c:pt idx="23">
                  <c:v>0.49868099701011354</c:v>
                </c:pt>
                <c:pt idx="24" formatCode="0.0">
                  <c:v>0.63503922301082372</c:v>
                </c:pt>
                <c:pt idx="25">
                  <c:v>0.46250463543849207</c:v>
                </c:pt>
                <c:pt idx="26">
                  <c:v>0.92616906278036026</c:v>
                </c:pt>
                <c:pt idx="27">
                  <c:v>1.4567791547310804</c:v>
                </c:pt>
                <c:pt idx="28" formatCode="0.0">
                  <c:v>0.68284686073320722</c:v>
                </c:pt>
                <c:pt idx="29">
                  <c:v>0.93457943925233167</c:v>
                </c:pt>
              </c:numCache>
            </c:numRef>
          </c:val>
        </c:ser>
        <c:marker val="1"/>
        <c:axId val="183892608"/>
        <c:axId val="185016704"/>
      </c:lineChart>
      <c:catAx>
        <c:axId val="183892608"/>
        <c:scaling>
          <c:orientation val="minMax"/>
        </c:scaling>
        <c:axPos val="b"/>
        <c:tickLblPos val="low"/>
        <c:spPr>
          <a:ln>
            <a:solidFill>
              <a:schemeClr val="tx1"/>
            </a:solidFill>
          </a:ln>
        </c:spPr>
        <c:crossAx val="185016704"/>
        <c:crosses val="autoZero"/>
        <c:auto val="1"/>
        <c:lblAlgn val="ctr"/>
        <c:lblOffset val="10"/>
      </c:catAx>
      <c:valAx>
        <c:axId val="185016704"/>
        <c:scaling>
          <c:orientation val="minMax"/>
          <c:max val="5"/>
          <c:min val="-7"/>
        </c:scaling>
        <c:axPos val="l"/>
        <c:majorGridlines>
          <c:spPr>
            <a:ln w="6350">
              <a:solidFill>
                <a:schemeClr val="bg1">
                  <a:lumMod val="75000"/>
                </a:schemeClr>
              </a:solidFill>
            </a:ln>
          </c:spPr>
        </c:majorGridlines>
        <c:numFmt formatCode="0" sourceLinked="0"/>
        <c:tickLblPos val="nextTo"/>
        <c:spPr>
          <a:ln>
            <a:solidFill>
              <a:schemeClr val="tx1"/>
            </a:solidFill>
          </a:ln>
        </c:spPr>
        <c:crossAx val="183892608"/>
        <c:crosses val="autoZero"/>
        <c:crossBetween val="between"/>
        <c:majorUnit val="1"/>
      </c:valAx>
      <c:spPr>
        <a:ln>
          <a:solidFill>
            <a:schemeClr val="tx1"/>
          </a:solidFill>
        </a:ln>
      </c:spPr>
    </c:plotArea>
    <c:legend>
      <c:legendPos val="b"/>
      <c:layout>
        <c:manualLayout>
          <c:xMode val="edge"/>
          <c:yMode val="edge"/>
          <c:x val="5.5392487973751785E-2"/>
          <c:y val="0.87056150793650788"/>
          <c:w val="0.92505743233709192"/>
          <c:h val="0.1186221655328803"/>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3364838092894683E-2"/>
          <c:y val="1.643251153889452E-2"/>
          <c:w val="0.8844876162264117"/>
          <c:h val="0.75762726757370191"/>
        </c:manualLayout>
      </c:layout>
      <c:barChart>
        <c:barDir val="col"/>
        <c:grouping val="clustered"/>
        <c:ser>
          <c:idx val="0"/>
          <c:order val="0"/>
          <c:tx>
            <c:strRef>
              <c:f>'Trh práce-2'!$A$32</c:f>
              <c:strCache>
                <c:ptCount val="1"/>
                <c:pt idx="0">
                  <c:v>Míra nezaměstn. mužů (pravá osa)</c:v>
                </c:pt>
              </c:strCache>
            </c:strRef>
          </c:tx>
          <c:spPr>
            <a:solidFill>
              <a:srgbClr val="BCBCBC"/>
            </a:solidFill>
          </c:spPr>
          <c:cat>
            <c:multiLvlStrRef>
              <c:f>'Trh práce-2'!$B$30:$AE$31</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'Trh práce-2'!$B$32:$AE$32</c:f>
              <c:numCache>
                <c:formatCode>#,##0.0</c:formatCode>
                <c:ptCount val="30"/>
                <c:pt idx="0">
                  <c:v>7.2</c:v>
                </c:pt>
                <c:pt idx="1">
                  <c:v>6.4</c:v>
                </c:pt>
                <c:pt idx="2">
                  <c:v>6.1</c:v>
                </c:pt>
                <c:pt idx="3">
                  <c:v>6</c:v>
                </c:pt>
                <c:pt idx="4">
                  <c:v>6</c:v>
                </c:pt>
                <c:pt idx="5">
                  <c:v>5.9</c:v>
                </c:pt>
                <c:pt idx="6">
                  <c:v>5.7</c:v>
                </c:pt>
                <c:pt idx="7">
                  <c:v>5.6</c:v>
                </c:pt>
                <c:pt idx="8">
                  <c:v>6</c:v>
                </c:pt>
                <c:pt idx="9">
                  <c:v>5.9</c:v>
                </c:pt>
                <c:pt idx="10">
                  <c:v>6</c:v>
                </c:pt>
                <c:pt idx="11">
                  <c:v>6.2</c:v>
                </c:pt>
                <c:pt idx="12">
                  <c:v>6.3</c:v>
                </c:pt>
                <c:pt idx="13">
                  <c:v>5.9</c:v>
                </c:pt>
                <c:pt idx="14">
                  <c:v>5.8</c:v>
                </c:pt>
                <c:pt idx="15">
                  <c:v>5.7</c:v>
                </c:pt>
                <c:pt idx="16">
                  <c:v>5.5</c:v>
                </c:pt>
                <c:pt idx="17">
                  <c:v>5.0999999999999996</c:v>
                </c:pt>
                <c:pt idx="18">
                  <c:v>4.9000000000000004</c:v>
                </c:pt>
                <c:pt idx="19">
                  <c:v>5</c:v>
                </c:pt>
                <c:pt idx="20">
                  <c:v>5</c:v>
                </c:pt>
                <c:pt idx="21">
                  <c:v>4.3</c:v>
                </c:pt>
                <c:pt idx="22">
                  <c:v>4</c:v>
                </c:pt>
                <c:pt idx="23">
                  <c:v>3.8</c:v>
                </c:pt>
                <c:pt idx="24">
                  <c:v>3.5</c:v>
                </c:pt>
                <c:pt idx="25">
                  <c:v>3.5</c:v>
                </c:pt>
                <c:pt idx="26">
                  <c:v>3.4</c:v>
                </c:pt>
                <c:pt idx="27">
                  <c:v>3.1</c:v>
                </c:pt>
                <c:pt idx="28">
                  <c:v>2.5</c:v>
                </c:pt>
                <c:pt idx="29">
                  <c:v>2.4</c:v>
                </c:pt>
              </c:numCache>
            </c:numRef>
          </c:val>
        </c:ser>
        <c:ser>
          <c:idx val="1"/>
          <c:order val="1"/>
          <c:tx>
            <c:strRef>
              <c:f>'Trh práce-2'!$A$33</c:f>
              <c:strCache>
                <c:ptCount val="1"/>
                <c:pt idx="0">
                  <c:v>Míra nezaměstn. žen (pravá osa)</c:v>
                </c:pt>
              </c:strCache>
            </c:strRef>
          </c:tx>
          <c:spPr>
            <a:solidFill>
              <a:srgbClr val="DBDBDB"/>
            </a:solidFill>
          </c:spPr>
          <c:cat>
            <c:multiLvlStrRef>
              <c:f>'Trh práce-2'!$B$30:$AE$31</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'Trh práce-2'!$B$33:$AE$33</c:f>
              <c:numCache>
                <c:formatCode>#,##0.0</c:formatCode>
                <c:ptCount val="30"/>
                <c:pt idx="0">
                  <c:v>8.7000000000000011</c:v>
                </c:pt>
                <c:pt idx="1">
                  <c:v>8.5</c:v>
                </c:pt>
                <c:pt idx="2">
                  <c:v>8.4</c:v>
                </c:pt>
                <c:pt idx="3">
                  <c:v>8.2000000000000011</c:v>
                </c:pt>
                <c:pt idx="4">
                  <c:v>8.1</c:v>
                </c:pt>
                <c:pt idx="5">
                  <c:v>8.1</c:v>
                </c:pt>
                <c:pt idx="6">
                  <c:v>7.7</c:v>
                </c:pt>
                <c:pt idx="7">
                  <c:v>7.6</c:v>
                </c:pt>
                <c:pt idx="8">
                  <c:v>8</c:v>
                </c:pt>
                <c:pt idx="9">
                  <c:v>8.2000000000000011</c:v>
                </c:pt>
                <c:pt idx="10">
                  <c:v>8.2000000000000011</c:v>
                </c:pt>
                <c:pt idx="11">
                  <c:v>8.5</c:v>
                </c:pt>
                <c:pt idx="12">
                  <c:v>8.4</c:v>
                </c:pt>
                <c:pt idx="13">
                  <c:v>8.3000000000000007</c:v>
                </c:pt>
                <c:pt idx="14">
                  <c:v>8.3000000000000007</c:v>
                </c:pt>
                <c:pt idx="15">
                  <c:v>8.1</c:v>
                </c:pt>
                <c:pt idx="16">
                  <c:v>7.9</c:v>
                </c:pt>
                <c:pt idx="17">
                  <c:v>7.6</c:v>
                </c:pt>
                <c:pt idx="18">
                  <c:v>7.2</c:v>
                </c:pt>
                <c:pt idx="19">
                  <c:v>6.9</c:v>
                </c:pt>
                <c:pt idx="20">
                  <c:v>6.8</c:v>
                </c:pt>
                <c:pt idx="21">
                  <c:v>6.2</c:v>
                </c:pt>
                <c:pt idx="22">
                  <c:v>5.8</c:v>
                </c:pt>
                <c:pt idx="23">
                  <c:v>5.5</c:v>
                </c:pt>
                <c:pt idx="24">
                  <c:v>5</c:v>
                </c:pt>
                <c:pt idx="25">
                  <c:v>4.7</c:v>
                </c:pt>
                <c:pt idx="26">
                  <c:v>4.7</c:v>
                </c:pt>
                <c:pt idx="27">
                  <c:v>4.3</c:v>
                </c:pt>
                <c:pt idx="28">
                  <c:v>4.3</c:v>
                </c:pt>
                <c:pt idx="29">
                  <c:v>3.8</c:v>
                </c:pt>
              </c:numCache>
            </c:numRef>
          </c:val>
        </c:ser>
        <c:gapWidth val="68"/>
        <c:axId val="185099776"/>
        <c:axId val="185098240"/>
      </c:barChart>
      <c:lineChart>
        <c:grouping val="standard"/>
        <c:ser>
          <c:idx val="2"/>
          <c:order val="2"/>
          <c:tx>
            <c:strRef>
              <c:f>'Trh práce-2'!$A$34</c:f>
              <c:strCache>
                <c:ptCount val="1"/>
                <c:pt idx="0">
                  <c:v>Nezaměstnaní s max. základ. vzděl.</c:v>
                </c:pt>
              </c:strCache>
            </c:strRef>
          </c:tx>
          <c:spPr>
            <a:ln w="19050">
              <a:solidFill>
                <a:srgbClr val="0071BC"/>
              </a:solidFill>
              <a:prstDash val="solid"/>
            </a:ln>
          </c:spPr>
          <c:marker>
            <c:symbol val="none"/>
          </c:marker>
          <c:cat>
            <c:multiLvlStrRef>
              <c:f>'Trh práce-2'!$B$30:$AE$31</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'Trh práce-2'!$B$34:$AE$34</c:f>
              <c:numCache>
                <c:formatCode>0</c:formatCode>
                <c:ptCount val="30"/>
                <c:pt idx="0">
                  <c:v>21.714768670214291</c:v>
                </c:pt>
                <c:pt idx="1">
                  <c:v>-1.21634331078873</c:v>
                </c:pt>
                <c:pt idx="2">
                  <c:v>-16.17582875054989</c:v>
                </c:pt>
                <c:pt idx="3">
                  <c:v>-17.326849096450193</c:v>
                </c:pt>
                <c:pt idx="4">
                  <c:v>-20.685159269353587</c:v>
                </c:pt>
                <c:pt idx="5">
                  <c:v>-13.109667018498929</c:v>
                </c:pt>
                <c:pt idx="6">
                  <c:v>-3.4347558981075395</c:v>
                </c:pt>
                <c:pt idx="7">
                  <c:v>-1.2914192636035153</c:v>
                </c:pt>
                <c:pt idx="8">
                  <c:v>15.116142329292568</c:v>
                </c:pt>
                <c:pt idx="9">
                  <c:v>20.564252208332118</c:v>
                </c:pt>
                <c:pt idx="10">
                  <c:v>17.30009637559132</c:v>
                </c:pt>
                <c:pt idx="11">
                  <c:v>21.054278842458295</c:v>
                </c:pt>
                <c:pt idx="12">
                  <c:v>1.5586037838760241</c:v>
                </c:pt>
                <c:pt idx="13">
                  <c:v>-14.506006075302327</c:v>
                </c:pt>
                <c:pt idx="14">
                  <c:v>-19.243419598176896</c:v>
                </c:pt>
                <c:pt idx="15">
                  <c:v>-25.150929504907829</c:v>
                </c:pt>
                <c:pt idx="16">
                  <c:v>-25.77535118359669</c:v>
                </c:pt>
                <c:pt idx="17">
                  <c:v>-22.260631131502887</c:v>
                </c:pt>
                <c:pt idx="18">
                  <c:v>-14.590196785136953</c:v>
                </c:pt>
                <c:pt idx="19">
                  <c:v>-9.444471544328108</c:v>
                </c:pt>
                <c:pt idx="20">
                  <c:v>-1.188370832677478</c:v>
                </c:pt>
                <c:pt idx="21">
                  <c:v>2.1795435785889632</c:v>
                </c:pt>
                <c:pt idx="22">
                  <c:v>-0.63856381013110364</c:v>
                </c:pt>
                <c:pt idx="23">
                  <c:v>4.3365931482174886</c:v>
                </c:pt>
                <c:pt idx="24">
                  <c:v>-7.7096667806765025</c:v>
                </c:pt>
                <c:pt idx="25">
                  <c:v>-3.4192888313452325</c:v>
                </c:pt>
                <c:pt idx="26">
                  <c:v>-5.222415065678998</c:v>
                </c:pt>
                <c:pt idx="27">
                  <c:v>-15.506068308866634</c:v>
                </c:pt>
                <c:pt idx="28">
                  <c:v>-27.918696562118029</c:v>
                </c:pt>
                <c:pt idx="29">
                  <c:v>-33.149695304122517</c:v>
                </c:pt>
              </c:numCache>
            </c:numRef>
          </c:val>
        </c:ser>
        <c:ser>
          <c:idx val="3"/>
          <c:order val="3"/>
          <c:tx>
            <c:strRef>
              <c:f>'Trh práce-2'!$A$35</c:f>
              <c:strCache>
                <c:ptCount val="1"/>
                <c:pt idx="0">
                  <c:v>Nezaměstn. se střed.vzděl.bez mat.</c:v>
                </c:pt>
              </c:strCache>
            </c:strRef>
          </c:tx>
          <c:spPr>
            <a:ln w="19050">
              <a:solidFill>
                <a:srgbClr val="BD1B21"/>
              </a:solidFill>
              <a:prstDash val="solid"/>
            </a:ln>
          </c:spPr>
          <c:marker>
            <c:symbol val="none"/>
          </c:marker>
          <c:cat>
            <c:multiLvlStrRef>
              <c:f>'Trh práce-2'!$B$30:$AE$31</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'Trh práce-2'!$B$35:$AE$35</c:f>
              <c:numCache>
                <c:formatCode>0</c:formatCode>
                <c:ptCount val="30"/>
                <c:pt idx="0">
                  <c:v>49.784188022706395</c:v>
                </c:pt>
                <c:pt idx="1">
                  <c:v>13.867544627418576</c:v>
                </c:pt>
                <c:pt idx="2">
                  <c:v>-3.4814801600927581</c:v>
                </c:pt>
                <c:pt idx="3">
                  <c:v>-3.5322380372063265</c:v>
                </c:pt>
                <c:pt idx="4">
                  <c:v>-11.579352488945252</c:v>
                </c:pt>
                <c:pt idx="5">
                  <c:v>-8.4345228185388521</c:v>
                </c:pt>
                <c:pt idx="6">
                  <c:v>-7.4278516415523796</c:v>
                </c:pt>
                <c:pt idx="7">
                  <c:v>-11.39844334476407</c:v>
                </c:pt>
                <c:pt idx="8">
                  <c:v>-6.9967808393978146</c:v>
                </c:pt>
                <c:pt idx="9">
                  <c:v>-4.6316506832057804</c:v>
                </c:pt>
                <c:pt idx="10">
                  <c:v>1.5130013110978631</c:v>
                </c:pt>
                <c:pt idx="11">
                  <c:v>15.444727754266269</c:v>
                </c:pt>
                <c:pt idx="12">
                  <c:v>11.295553399301244</c:v>
                </c:pt>
                <c:pt idx="13">
                  <c:v>11.135950773644549</c:v>
                </c:pt>
                <c:pt idx="14">
                  <c:v>2.1227982768583051</c:v>
                </c:pt>
                <c:pt idx="15">
                  <c:v>-8.1974891991531127</c:v>
                </c:pt>
                <c:pt idx="16">
                  <c:v>-9.6245134843654352</c:v>
                </c:pt>
                <c:pt idx="17">
                  <c:v>-16.231929719850786</c:v>
                </c:pt>
                <c:pt idx="18">
                  <c:v>-19.827481877336286</c:v>
                </c:pt>
                <c:pt idx="19">
                  <c:v>-16.693209567708788</c:v>
                </c:pt>
                <c:pt idx="20">
                  <c:v>-16.45477875321901</c:v>
                </c:pt>
                <c:pt idx="21">
                  <c:v>-22.216756280012163</c:v>
                </c:pt>
                <c:pt idx="22">
                  <c:v>-16.999907523882399</c:v>
                </c:pt>
                <c:pt idx="23">
                  <c:v>-31.514681784053003</c:v>
                </c:pt>
                <c:pt idx="24">
                  <c:v>-32.064032560839479</c:v>
                </c:pt>
                <c:pt idx="25">
                  <c:v>-26.106419495499964</c:v>
                </c:pt>
                <c:pt idx="26">
                  <c:v>-25.857804572569627</c:v>
                </c:pt>
                <c:pt idx="27">
                  <c:v>-16.010888695992442</c:v>
                </c:pt>
                <c:pt idx="28">
                  <c:v>-18.906457523972289</c:v>
                </c:pt>
                <c:pt idx="29">
                  <c:v>-22.835039924764516</c:v>
                </c:pt>
              </c:numCache>
            </c:numRef>
          </c:val>
        </c:ser>
        <c:ser>
          <c:idx val="4"/>
          <c:order val="4"/>
          <c:tx>
            <c:strRef>
              <c:f>'Trh práce-2'!$A$36</c:f>
              <c:strCache>
                <c:ptCount val="1"/>
                <c:pt idx="0">
                  <c:v>Nezaměstnaní ve věku 50-64 let</c:v>
                </c:pt>
              </c:strCache>
            </c:strRef>
          </c:tx>
          <c:spPr>
            <a:ln w="19050">
              <a:solidFill>
                <a:srgbClr val="7DBB2D"/>
              </a:solidFill>
              <a:prstDash val="solid"/>
            </a:ln>
          </c:spPr>
          <c:marker>
            <c:symbol val="none"/>
          </c:marker>
          <c:cat>
            <c:multiLvlStrRef>
              <c:f>'Trh práce-2'!$B$30:$AE$31</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'Trh práce-2'!$B$36:$AE$36</c:f>
              <c:numCache>
                <c:formatCode>0</c:formatCode>
                <c:ptCount val="30"/>
                <c:pt idx="0">
                  <c:v>39.438700147710506</c:v>
                </c:pt>
                <c:pt idx="1">
                  <c:v>16.644649933949687</c:v>
                </c:pt>
                <c:pt idx="2">
                  <c:v>3.0878859857481977</c:v>
                </c:pt>
                <c:pt idx="3">
                  <c:v>3.9473684210526585</c:v>
                </c:pt>
                <c:pt idx="4">
                  <c:v>-3.8135593220339103</c:v>
                </c:pt>
                <c:pt idx="5">
                  <c:v>-9.0600226500566237</c:v>
                </c:pt>
                <c:pt idx="6">
                  <c:v>-10.944700460829495</c:v>
                </c:pt>
                <c:pt idx="7">
                  <c:v>-13.463751438435002</c:v>
                </c:pt>
                <c:pt idx="8" formatCode="#,##0">
                  <c:v>-9.2511013215858604</c:v>
                </c:pt>
                <c:pt idx="9" formatCode="#,##0">
                  <c:v>-2.3661270236612637</c:v>
                </c:pt>
                <c:pt idx="10" formatCode="#,##0">
                  <c:v>-3.622250970245779</c:v>
                </c:pt>
                <c:pt idx="11" formatCode="#,##0">
                  <c:v>16.622340425531856</c:v>
                </c:pt>
                <c:pt idx="12" formatCode="#,##0">
                  <c:v>7.7669902912621334</c:v>
                </c:pt>
                <c:pt idx="13" formatCode="#,##0">
                  <c:v>1.6581632653061291</c:v>
                </c:pt>
                <c:pt idx="14" formatCode="#,##0">
                  <c:v>3.0872483221476443</c:v>
                </c:pt>
                <c:pt idx="15" formatCode="#,##0">
                  <c:v>-11.516533637400286</c:v>
                </c:pt>
                <c:pt idx="16" formatCode="#,##0">
                  <c:v>-8.3333333333333286</c:v>
                </c:pt>
                <c:pt idx="17" formatCode="#,##0">
                  <c:v>-15.056461731493101</c:v>
                </c:pt>
                <c:pt idx="18" formatCode="#,##0">
                  <c:v>-11.328125</c:v>
                </c:pt>
                <c:pt idx="19" formatCode="#,##0">
                  <c:v>-18.170103092783492</c:v>
                </c:pt>
                <c:pt idx="20" formatCode="#,##0">
                  <c:v>-11.425061425061418</c:v>
                </c:pt>
                <c:pt idx="21" formatCode="#,##0">
                  <c:v>-9.0103397341211178</c:v>
                </c:pt>
                <c:pt idx="22" formatCode="#,##0">
                  <c:v>-16.299559471365551</c:v>
                </c:pt>
                <c:pt idx="23" formatCode="#,##0">
                  <c:v>-12.125984251968553</c:v>
                </c:pt>
                <c:pt idx="24" formatCode="#,##0">
                  <c:v>-10.818307905686538</c:v>
                </c:pt>
                <c:pt idx="25" formatCode="#,##0">
                  <c:v>-12.337662337662369</c:v>
                </c:pt>
                <c:pt idx="26" formatCode="#,##0">
                  <c:v>-16.49122807017535</c:v>
                </c:pt>
                <c:pt idx="27" formatCode="#,##0">
                  <c:v>-16.308243727598565</c:v>
                </c:pt>
                <c:pt idx="28" formatCode="#,##0">
                  <c:v>-26.283048211508529</c:v>
                </c:pt>
              </c:numCache>
            </c:numRef>
          </c:val>
        </c:ser>
        <c:ser>
          <c:idx val="5"/>
          <c:order val="5"/>
          <c:tx>
            <c:strRef>
              <c:f>'Trh práce-2'!$A$37</c:f>
              <c:strCache>
                <c:ptCount val="1"/>
                <c:pt idx="0">
                  <c:v>Dlouhodobě nezaměstnaní</c:v>
                </c:pt>
              </c:strCache>
            </c:strRef>
          </c:tx>
          <c:spPr>
            <a:ln w="19050">
              <a:solidFill>
                <a:srgbClr val="F8A124"/>
              </a:solidFill>
              <a:prstDash val="solid"/>
            </a:ln>
          </c:spPr>
          <c:marker>
            <c:symbol val="none"/>
          </c:marker>
          <c:cat>
            <c:multiLvlStrRef>
              <c:f>'Trh práce-2'!$B$30:$AE$31</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'Trh práce-2'!$B$37:$AE$37</c:f>
              <c:numCache>
                <c:formatCode>0</c:formatCode>
                <c:ptCount val="30"/>
                <c:pt idx="0">
                  <c:v>44.412607449856594</c:v>
                </c:pt>
                <c:pt idx="1">
                  <c:v>60</c:v>
                </c:pt>
                <c:pt idx="2">
                  <c:v>47.702205882352963</c:v>
                </c:pt>
                <c:pt idx="3">
                  <c:v>40.757042253521149</c:v>
                </c:pt>
                <c:pt idx="4">
                  <c:v>-1.4550264550264635</c:v>
                </c:pt>
                <c:pt idx="5">
                  <c:v>-11.639871382636617</c:v>
                </c:pt>
                <c:pt idx="6">
                  <c:v>-14.18792781580585</c:v>
                </c:pt>
                <c:pt idx="7">
                  <c:v>-10.318949343339597</c:v>
                </c:pt>
                <c:pt idx="8">
                  <c:v>6.3758389261745085</c:v>
                </c:pt>
                <c:pt idx="9">
                  <c:v>12.590975254730694</c:v>
                </c:pt>
                <c:pt idx="10">
                  <c:v>15.155910079767999</c:v>
                </c:pt>
                <c:pt idx="11">
                  <c:v>12.482566248256681</c:v>
                </c:pt>
                <c:pt idx="12">
                  <c:v>6.6876971608832889</c:v>
                </c:pt>
                <c:pt idx="13">
                  <c:v>2.2624434389140187</c:v>
                </c:pt>
                <c:pt idx="14">
                  <c:v>1.4483627204030121</c:v>
                </c:pt>
                <c:pt idx="15">
                  <c:v>-7.1915685058896734</c:v>
                </c:pt>
                <c:pt idx="16">
                  <c:v>-13.18746303962152</c:v>
                </c:pt>
                <c:pt idx="17">
                  <c:v>-13.211125158027798</c:v>
                </c:pt>
                <c:pt idx="18">
                  <c:v>-14.959652389820034</c:v>
                </c:pt>
                <c:pt idx="19">
                  <c:v>-5.8116232464929851</c:v>
                </c:pt>
                <c:pt idx="20">
                  <c:v>-1.8392370572207284</c:v>
                </c:pt>
                <c:pt idx="21">
                  <c:v>-11.070648215586353</c:v>
                </c:pt>
                <c:pt idx="22">
                  <c:v>-9.1240875912408779</c:v>
                </c:pt>
                <c:pt idx="23">
                  <c:v>-18.581560283687889</c:v>
                </c:pt>
                <c:pt idx="24">
                  <c:v>-26.578764746703669</c:v>
                </c:pt>
                <c:pt idx="25">
                  <c:v>-25.389025389025324</c:v>
                </c:pt>
                <c:pt idx="26">
                  <c:v>-33.092369477911646</c:v>
                </c:pt>
                <c:pt idx="27">
                  <c:v>-35.017421602787245</c:v>
                </c:pt>
                <c:pt idx="28">
                  <c:v>-35.727788279773165</c:v>
                </c:pt>
                <c:pt idx="29">
                  <c:v>-35.016465422612249</c:v>
                </c:pt>
              </c:numCache>
            </c:numRef>
          </c:val>
        </c:ser>
        <c:marker val="1"/>
        <c:axId val="185074432"/>
        <c:axId val="185075968"/>
      </c:lineChart>
      <c:catAx>
        <c:axId val="185074432"/>
        <c:scaling>
          <c:orientation val="minMax"/>
        </c:scaling>
        <c:axPos val="b"/>
        <c:tickLblPos val="low"/>
        <c:spPr>
          <a:ln>
            <a:solidFill>
              <a:schemeClr val="tx1"/>
            </a:solidFill>
          </a:ln>
        </c:spPr>
        <c:crossAx val="185075968"/>
        <c:crossesAt val="-40"/>
        <c:auto val="1"/>
        <c:lblAlgn val="ctr"/>
        <c:lblOffset val="0"/>
      </c:catAx>
      <c:valAx>
        <c:axId val="185075968"/>
        <c:scaling>
          <c:orientation val="minMax"/>
          <c:max val="60"/>
          <c:min val="-40"/>
        </c:scaling>
        <c:axPos val="l"/>
        <c:majorGridlines>
          <c:spPr>
            <a:ln w="6350">
              <a:solidFill>
                <a:schemeClr val="bg1">
                  <a:lumMod val="75000"/>
                </a:schemeClr>
              </a:solidFill>
            </a:ln>
          </c:spPr>
        </c:majorGridlines>
        <c:numFmt formatCode="0" sourceLinked="0"/>
        <c:tickLblPos val="nextTo"/>
        <c:spPr>
          <a:ln>
            <a:solidFill>
              <a:schemeClr val="tx1"/>
            </a:solidFill>
          </a:ln>
        </c:spPr>
        <c:crossAx val="185074432"/>
        <c:crosses val="autoZero"/>
        <c:crossBetween val="between"/>
        <c:majorUnit val="10"/>
      </c:valAx>
      <c:valAx>
        <c:axId val="185098240"/>
        <c:scaling>
          <c:orientation val="minMax"/>
        </c:scaling>
        <c:axPos val="r"/>
        <c:numFmt formatCode="#,##0" sourceLinked="0"/>
        <c:tickLblPos val="nextTo"/>
        <c:crossAx val="185099776"/>
        <c:crosses val="max"/>
        <c:crossBetween val="between"/>
      </c:valAx>
      <c:catAx>
        <c:axId val="185099776"/>
        <c:scaling>
          <c:orientation val="minMax"/>
        </c:scaling>
        <c:delete val="1"/>
        <c:axPos val="b"/>
        <c:tickLblPos val="none"/>
        <c:crossAx val="185098240"/>
        <c:crosses val="autoZero"/>
        <c:auto val="1"/>
        <c:lblAlgn val="ctr"/>
        <c:lblOffset val="100"/>
      </c:catAx>
      <c:spPr>
        <a:ln>
          <a:solidFill>
            <a:schemeClr val="tx1"/>
          </a:solidFill>
        </a:ln>
      </c:spPr>
    </c:plotArea>
    <c:legend>
      <c:legendPos val="b"/>
      <c:layout>
        <c:manualLayout>
          <c:xMode val="edge"/>
          <c:yMode val="edge"/>
          <c:x val="4.9958329787081639E-2"/>
          <c:y val="0.86998849777404264"/>
          <c:w val="0.88690640708897361"/>
          <c:h val="0.11214023187848669"/>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4.0091348527306885E-2"/>
          <c:y val="2.4094443232317627E-2"/>
          <c:w val="0.9410098771483133"/>
          <c:h val="0.77475149161320189"/>
        </c:manualLayout>
      </c:layout>
      <c:barChart>
        <c:barDir val="col"/>
        <c:grouping val="clustered"/>
        <c:ser>
          <c:idx val="2"/>
          <c:order val="2"/>
          <c:tx>
            <c:strRef>
              <c:f>'Trh práce 3'!$E$8</c:f>
              <c:strCache>
                <c:ptCount val="1"/>
                <c:pt idx="0">
                  <c:v>Průměrná mzda (reálně)</c:v>
                </c:pt>
              </c:strCache>
            </c:strRef>
          </c:tx>
          <c:spPr>
            <a:solidFill>
              <a:srgbClr val="A6A6A6"/>
            </a:solidFill>
            <a:ln w="19050">
              <a:noFill/>
            </a:ln>
          </c:spPr>
          <c:cat>
            <c:multiLvlStrRef>
              <c:f>'Trh práce 3'!$A$9:$B$38</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'Trh práce 3'!$E$9:$E$38</c:f>
              <c:numCache>
                <c:formatCode>#,##0.0</c:formatCode>
                <c:ptCount val="30"/>
                <c:pt idx="0">
                  <c:v>2.0999999999999943</c:v>
                </c:pt>
                <c:pt idx="1">
                  <c:v>1.9000000000000061</c:v>
                </c:pt>
                <c:pt idx="2">
                  <c:v>0.29999999999999893</c:v>
                </c:pt>
                <c:pt idx="3">
                  <c:v>-1.4000000000000057</c:v>
                </c:pt>
                <c:pt idx="4">
                  <c:v>1.0999999999999892</c:v>
                </c:pt>
                <c:pt idx="5">
                  <c:v>0.7999999999999976</c:v>
                </c:pt>
                <c:pt idx="6">
                  <c:v>0.29999999999999893</c:v>
                </c:pt>
                <c:pt idx="7">
                  <c:v>0</c:v>
                </c:pt>
                <c:pt idx="8">
                  <c:v>-0.5</c:v>
                </c:pt>
                <c:pt idx="9">
                  <c:v>-1.2999999999999912</c:v>
                </c:pt>
                <c:pt idx="10">
                  <c:v>-1.7999999999999912</c:v>
                </c:pt>
                <c:pt idx="11">
                  <c:v>0.40000000000000568</c:v>
                </c:pt>
                <c:pt idx="12">
                  <c:v>-2.4000000000000057</c:v>
                </c:pt>
                <c:pt idx="13">
                  <c:v>-0.5</c:v>
                </c:pt>
                <c:pt idx="14">
                  <c:v>0</c:v>
                </c:pt>
                <c:pt idx="15">
                  <c:v>-3.0999999999999943</c:v>
                </c:pt>
                <c:pt idx="16">
                  <c:v>3.7000000000000042</c:v>
                </c:pt>
                <c:pt idx="17">
                  <c:v>2.5999999999999943</c:v>
                </c:pt>
                <c:pt idx="18">
                  <c:v>1.5999999999999892</c:v>
                </c:pt>
                <c:pt idx="19">
                  <c:v>2.2999999999999972</c:v>
                </c:pt>
                <c:pt idx="20">
                  <c:v>2.2000000000000042</c:v>
                </c:pt>
                <c:pt idx="21">
                  <c:v>2.5999999999999943</c:v>
                </c:pt>
                <c:pt idx="22">
                  <c:v>3.0999999999999943</c:v>
                </c:pt>
                <c:pt idx="23">
                  <c:v>3.5999999999999943</c:v>
                </c:pt>
                <c:pt idx="24">
                  <c:v>3.2999999999999972</c:v>
                </c:pt>
                <c:pt idx="25">
                  <c:v>3.0999999999999943</c:v>
                </c:pt>
                <c:pt idx="26">
                  <c:v>3.5</c:v>
                </c:pt>
                <c:pt idx="27">
                  <c:v>2.2999999999999972</c:v>
                </c:pt>
                <c:pt idx="28">
                  <c:v>2.9000000000000057</c:v>
                </c:pt>
                <c:pt idx="29">
                  <c:v>5.2999999999999972</c:v>
                </c:pt>
              </c:numCache>
            </c:numRef>
          </c:val>
        </c:ser>
        <c:gapWidth val="78"/>
        <c:axId val="185158272"/>
        <c:axId val="185172352"/>
      </c:barChart>
      <c:lineChart>
        <c:grouping val="standard"/>
        <c:ser>
          <c:idx val="0"/>
          <c:order val="0"/>
          <c:tx>
            <c:strRef>
              <c:f>'Trh práce 3'!$C$8</c:f>
              <c:strCache>
                <c:ptCount val="1"/>
                <c:pt idx="0">
                  <c:v>Průměrná mzda (nominálně)</c:v>
                </c:pt>
              </c:strCache>
            </c:strRef>
          </c:tx>
          <c:spPr>
            <a:ln w="19050">
              <a:solidFill>
                <a:srgbClr val="0071BC"/>
              </a:solidFill>
            </a:ln>
          </c:spPr>
          <c:marker>
            <c:symbol val="none"/>
          </c:marker>
          <c:cat>
            <c:multiLvlStrRef>
              <c:f>'Trh práce 3'!$A$9:$B$38</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'Trh práce 3'!$C$9:$C$38</c:f>
              <c:numCache>
                <c:formatCode>0.0</c:formatCode>
                <c:ptCount val="30"/>
                <c:pt idx="0">
                  <c:v>2.7999999999999972</c:v>
                </c:pt>
                <c:pt idx="1">
                  <c:v>3.0999999999999943</c:v>
                </c:pt>
                <c:pt idx="2">
                  <c:v>2.2000000000000042</c:v>
                </c:pt>
                <c:pt idx="3">
                  <c:v>0.70000000000000284</c:v>
                </c:pt>
                <c:pt idx="4">
                  <c:v>2.7999999999999972</c:v>
                </c:pt>
                <c:pt idx="5">
                  <c:v>2.5999999999999943</c:v>
                </c:pt>
                <c:pt idx="6">
                  <c:v>2.0999999999999943</c:v>
                </c:pt>
                <c:pt idx="7">
                  <c:v>2.4000000000000057</c:v>
                </c:pt>
                <c:pt idx="8">
                  <c:v>3.2000000000000042</c:v>
                </c:pt>
                <c:pt idx="9">
                  <c:v>2.0999999999999943</c:v>
                </c:pt>
                <c:pt idx="10">
                  <c:v>1.4000000000000057</c:v>
                </c:pt>
                <c:pt idx="11">
                  <c:v>3.2000000000000042</c:v>
                </c:pt>
                <c:pt idx="12">
                  <c:v>-0.59999999999999432</c:v>
                </c:pt>
                <c:pt idx="13">
                  <c:v>1</c:v>
                </c:pt>
                <c:pt idx="14">
                  <c:v>1.2000000000000028</c:v>
                </c:pt>
                <c:pt idx="15">
                  <c:v>-2</c:v>
                </c:pt>
                <c:pt idx="16">
                  <c:v>3.9000000000000057</c:v>
                </c:pt>
                <c:pt idx="17">
                  <c:v>2.7999999999999972</c:v>
                </c:pt>
                <c:pt idx="18">
                  <c:v>2.2000000000000042</c:v>
                </c:pt>
                <c:pt idx="19">
                  <c:v>2.7999999999999972</c:v>
                </c:pt>
                <c:pt idx="20">
                  <c:v>2.2999999999999972</c:v>
                </c:pt>
                <c:pt idx="21">
                  <c:v>3.2999999999999972</c:v>
                </c:pt>
                <c:pt idx="22">
                  <c:v>3.5</c:v>
                </c:pt>
                <c:pt idx="23">
                  <c:v>3.7000000000000042</c:v>
                </c:pt>
                <c:pt idx="24">
                  <c:v>3.7999999999999972</c:v>
                </c:pt>
                <c:pt idx="25">
                  <c:v>3.2999999999999972</c:v>
                </c:pt>
                <c:pt idx="26">
                  <c:v>4</c:v>
                </c:pt>
                <c:pt idx="27">
                  <c:v>3.7000000000000042</c:v>
                </c:pt>
                <c:pt idx="28">
                  <c:v>5.4000000000000083</c:v>
                </c:pt>
                <c:pt idx="29">
                  <c:v>7.5999999999999943</c:v>
                </c:pt>
              </c:numCache>
            </c:numRef>
          </c:val>
        </c:ser>
        <c:ser>
          <c:idx val="1"/>
          <c:order val="1"/>
          <c:tx>
            <c:strRef>
              <c:f>'Trh práce 3'!$D$8</c:f>
              <c:strCache>
                <c:ptCount val="1"/>
                <c:pt idx="0">
                  <c:v>Mediánová mzda (nominálně)</c:v>
                </c:pt>
              </c:strCache>
            </c:strRef>
          </c:tx>
          <c:spPr>
            <a:ln w="19050">
              <a:solidFill>
                <a:srgbClr val="BD1B21"/>
              </a:solidFill>
              <a:prstDash val="solid"/>
            </a:ln>
          </c:spPr>
          <c:marker>
            <c:symbol val="none"/>
          </c:marker>
          <c:cat>
            <c:multiLvlStrRef>
              <c:f>'Trh práce 3'!$A$9:$B$38</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'Trh práce 3'!$D$9:$D$38</c:f>
              <c:numCache>
                <c:formatCode>0.0</c:formatCode>
                <c:ptCount val="30"/>
                <c:pt idx="0">
                  <c:v>3.2000000000000042</c:v>
                </c:pt>
                <c:pt idx="1">
                  <c:v>2.5999999999999943</c:v>
                </c:pt>
                <c:pt idx="2">
                  <c:v>2.7999999999999972</c:v>
                </c:pt>
                <c:pt idx="3">
                  <c:v>1.7999999999999912</c:v>
                </c:pt>
                <c:pt idx="4">
                  <c:v>2.7999999999999972</c:v>
                </c:pt>
                <c:pt idx="5">
                  <c:v>2.2000000000000042</c:v>
                </c:pt>
                <c:pt idx="6">
                  <c:v>1.7000000000000028</c:v>
                </c:pt>
                <c:pt idx="7">
                  <c:v>2.2000000000000042</c:v>
                </c:pt>
                <c:pt idx="8">
                  <c:v>1.4000000000000057</c:v>
                </c:pt>
                <c:pt idx="9">
                  <c:v>1.2999999999999912</c:v>
                </c:pt>
                <c:pt idx="10">
                  <c:v>-0.40000000000000568</c:v>
                </c:pt>
                <c:pt idx="11">
                  <c:v>-0.59999999999999432</c:v>
                </c:pt>
                <c:pt idx="12">
                  <c:v>0.59999999999999432</c:v>
                </c:pt>
                <c:pt idx="13">
                  <c:v>1.4000000000000057</c:v>
                </c:pt>
                <c:pt idx="14">
                  <c:v>2.2999999999999972</c:v>
                </c:pt>
                <c:pt idx="15">
                  <c:v>1.2000000000000028</c:v>
                </c:pt>
                <c:pt idx="16">
                  <c:v>4.7000000000000028</c:v>
                </c:pt>
                <c:pt idx="17">
                  <c:v>3.2999999999999972</c:v>
                </c:pt>
                <c:pt idx="18">
                  <c:v>2.5999999999999943</c:v>
                </c:pt>
                <c:pt idx="19">
                  <c:v>2.2999999999999972</c:v>
                </c:pt>
                <c:pt idx="20">
                  <c:v>0.70000000000000284</c:v>
                </c:pt>
                <c:pt idx="21">
                  <c:v>2.2999999999999972</c:v>
                </c:pt>
                <c:pt idx="22">
                  <c:v>3.7999999999999972</c:v>
                </c:pt>
                <c:pt idx="23">
                  <c:v>4.7000000000000028</c:v>
                </c:pt>
                <c:pt idx="24">
                  <c:v>5.7999999999999972</c:v>
                </c:pt>
                <c:pt idx="25">
                  <c:v>3.7999999999999972</c:v>
                </c:pt>
                <c:pt idx="26">
                  <c:v>4.5999999999999943</c:v>
                </c:pt>
                <c:pt idx="27">
                  <c:v>5.5999999999999943</c:v>
                </c:pt>
                <c:pt idx="28">
                  <c:v>5.2000000000000028</c:v>
                </c:pt>
                <c:pt idx="29">
                  <c:v>8.2000000000000011</c:v>
                </c:pt>
              </c:numCache>
            </c:numRef>
          </c:val>
        </c:ser>
        <c:marker val="1"/>
        <c:axId val="185158272"/>
        <c:axId val="185172352"/>
      </c:lineChart>
      <c:catAx>
        <c:axId val="185158272"/>
        <c:scaling>
          <c:orientation val="minMax"/>
        </c:scaling>
        <c:axPos val="b"/>
        <c:numFmt formatCode="General" sourceLinked="1"/>
        <c:tickLblPos val="low"/>
        <c:spPr>
          <a:ln>
            <a:solidFill>
              <a:schemeClr val="tx1"/>
            </a:solidFill>
          </a:ln>
        </c:spPr>
        <c:txPr>
          <a:bodyPr rot="0" vert="horz"/>
          <a:lstStyle/>
          <a:p>
            <a:pPr>
              <a:defRPr/>
            </a:pPr>
            <a:endParaRPr lang="cs-CZ"/>
          </a:p>
        </c:txPr>
        <c:crossAx val="185172352"/>
        <c:crosses val="autoZero"/>
        <c:auto val="1"/>
        <c:lblAlgn val="ctr"/>
        <c:lblOffset val="0"/>
        <c:tickMarkSkip val="4"/>
      </c:catAx>
      <c:valAx>
        <c:axId val="185172352"/>
        <c:scaling>
          <c:orientation val="minMax"/>
          <c:max val="9"/>
          <c:min val="-4"/>
        </c:scaling>
        <c:axPos val="l"/>
        <c:majorGridlines>
          <c:spPr>
            <a:ln>
              <a:solidFill>
                <a:schemeClr val="bg1">
                  <a:lumMod val="75000"/>
                </a:schemeClr>
              </a:solidFill>
            </a:ln>
          </c:spPr>
        </c:majorGridlines>
        <c:numFmt formatCode="0" sourceLinked="0"/>
        <c:tickLblPos val="nextTo"/>
        <c:spPr>
          <a:ln>
            <a:solidFill>
              <a:schemeClr val="tx1"/>
            </a:solidFill>
          </a:ln>
        </c:spPr>
        <c:crossAx val="185158272"/>
        <c:crosses val="autoZero"/>
        <c:crossBetween val="between"/>
        <c:majorUnit val="1"/>
      </c:valAx>
      <c:spPr>
        <a:ln>
          <a:solidFill>
            <a:schemeClr val="tx1"/>
          </a:solidFill>
        </a:ln>
      </c:spPr>
    </c:plotArea>
    <c:legend>
      <c:legendPos val="b"/>
      <c:layout>
        <c:manualLayout>
          <c:xMode val="edge"/>
          <c:yMode val="edge"/>
          <c:x val="3.6639920249480401E-2"/>
          <c:y val="0.90458000219214907"/>
          <c:w val="0.94428176235089389"/>
          <c:h val="8.4934011564721731E-2"/>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4.4557159743329959E-2"/>
          <c:y val="2.1711264016309892E-2"/>
          <c:w val="0.93757303275920301"/>
          <c:h val="0.73130361364404628"/>
        </c:manualLayout>
      </c:layout>
      <c:barChart>
        <c:barDir val="col"/>
        <c:grouping val="clustered"/>
        <c:ser>
          <c:idx val="0"/>
          <c:order val="0"/>
          <c:tx>
            <c:strRef>
              <c:f>'Měnové podmínky 1'!$C$5</c:f>
              <c:strCache>
                <c:ptCount val="1"/>
                <c:pt idx="0">
                  <c:v>2T repo sazba</c:v>
                </c:pt>
              </c:strCache>
            </c:strRef>
          </c:tx>
          <c:spPr>
            <a:solidFill>
              <a:schemeClr val="bg1">
                <a:lumMod val="65000"/>
              </a:schemeClr>
            </a:solidFill>
          </c:spPr>
          <c:cat>
            <c:multiLvlStrRef>
              <c:f>'Měnové podmínky 1'!$A$18:$B$71</c:f>
              <c:multiLvlStrCache>
                <c:ptCount val="54"/>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lvl>
                <c:lvl>
                  <c:pt idx="0">
                    <c:v>2013</c:v>
                  </c:pt>
                  <c:pt idx="12">
                    <c:v>2014</c:v>
                  </c:pt>
                  <c:pt idx="24">
                    <c:v>2015</c:v>
                  </c:pt>
                  <c:pt idx="36">
                    <c:v>2016</c:v>
                  </c:pt>
                  <c:pt idx="48">
                    <c:v>2017</c:v>
                  </c:pt>
                </c:lvl>
              </c:multiLvlStrCache>
            </c:multiLvlStrRef>
          </c:cat>
          <c:val>
            <c:numRef>
              <c:f>'Měnové podmínky 1'!$C$18:$C$71</c:f>
              <c:numCache>
                <c:formatCode>0.00</c:formatCode>
                <c:ptCount val="54"/>
                <c:pt idx="0">
                  <c:v>0.05</c:v>
                </c:pt>
                <c:pt idx="1">
                  <c:v>0.05</c:v>
                </c:pt>
                <c:pt idx="2">
                  <c:v>0.05</c:v>
                </c:pt>
                <c:pt idx="3">
                  <c:v>0.05</c:v>
                </c:pt>
                <c:pt idx="4">
                  <c:v>0.05</c:v>
                </c:pt>
                <c:pt idx="5">
                  <c:v>0.05</c:v>
                </c:pt>
                <c:pt idx="6">
                  <c:v>0.05</c:v>
                </c:pt>
                <c:pt idx="7">
                  <c:v>0.05</c:v>
                </c:pt>
                <c:pt idx="8">
                  <c:v>0.05</c:v>
                </c:pt>
                <c:pt idx="9">
                  <c:v>0.05</c:v>
                </c:pt>
                <c:pt idx="10">
                  <c:v>0.05</c:v>
                </c:pt>
                <c:pt idx="11">
                  <c:v>0.05</c:v>
                </c:pt>
                <c:pt idx="12">
                  <c:v>0.05</c:v>
                </c:pt>
                <c:pt idx="13">
                  <c:v>0.05</c:v>
                </c:pt>
                <c:pt idx="14">
                  <c:v>0.05</c:v>
                </c:pt>
                <c:pt idx="15">
                  <c:v>0.05</c:v>
                </c:pt>
                <c:pt idx="16">
                  <c:v>0.05</c:v>
                </c:pt>
                <c:pt idx="17">
                  <c:v>0.05</c:v>
                </c:pt>
                <c:pt idx="18">
                  <c:v>0.05</c:v>
                </c:pt>
                <c:pt idx="19">
                  <c:v>0.05</c:v>
                </c:pt>
                <c:pt idx="20">
                  <c:v>0.05</c:v>
                </c:pt>
                <c:pt idx="21">
                  <c:v>0.05</c:v>
                </c:pt>
                <c:pt idx="22">
                  <c:v>0.05</c:v>
                </c:pt>
                <c:pt idx="23">
                  <c:v>0.05</c:v>
                </c:pt>
                <c:pt idx="24">
                  <c:v>0.05</c:v>
                </c:pt>
                <c:pt idx="25">
                  <c:v>0.05</c:v>
                </c:pt>
                <c:pt idx="26">
                  <c:v>0.05</c:v>
                </c:pt>
                <c:pt idx="27">
                  <c:v>0.05</c:v>
                </c:pt>
                <c:pt idx="28">
                  <c:v>0.05</c:v>
                </c:pt>
                <c:pt idx="29">
                  <c:v>0.05</c:v>
                </c:pt>
                <c:pt idx="30">
                  <c:v>0.05</c:v>
                </c:pt>
                <c:pt idx="31">
                  <c:v>0.05</c:v>
                </c:pt>
                <c:pt idx="32">
                  <c:v>0.05</c:v>
                </c:pt>
                <c:pt idx="33">
                  <c:v>0.05</c:v>
                </c:pt>
                <c:pt idx="34">
                  <c:v>0.05</c:v>
                </c:pt>
                <c:pt idx="35">
                  <c:v>0.05</c:v>
                </c:pt>
                <c:pt idx="36">
                  <c:v>0.05</c:v>
                </c:pt>
                <c:pt idx="37">
                  <c:v>0.05</c:v>
                </c:pt>
                <c:pt idx="38">
                  <c:v>0.05</c:v>
                </c:pt>
                <c:pt idx="39">
                  <c:v>0.05</c:v>
                </c:pt>
                <c:pt idx="40">
                  <c:v>0.05</c:v>
                </c:pt>
                <c:pt idx="41">
                  <c:v>0.05</c:v>
                </c:pt>
                <c:pt idx="42">
                  <c:v>0.05</c:v>
                </c:pt>
                <c:pt idx="43">
                  <c:v>0.05</c:v>
                </c:pt>
                <c:pt idx="44">
                  <c:v>0.05</c:v>
                </c:pt>
                <c:pt idx="45">
                  <c:v>0.05</c:v>
                </c:pt>
                <c:pt idx="46">
                  <c:v>0.05</c:v>
                </c:pt>
                <c:pt idx="47">
                  <c:v>0.05</c:v>
                </c:pt>
                <c:pt idx="48" formatCode="General">
                  <c:v>0.05</c:v>
                </c:pt>
                <c:pt idx="49" formatCode="General">
                  <c:v>0.05</c:v>
                </c:pt>
                <c:pt idx="50" formatCode="General">
                  <c:v>0.05</c:v>
                </c:pt>
                <c:pt idx="51" formatCode="General">
                  <c:v>0.05</c:v>
                </c:pt>
                <c:pt idx="52" formatCode="General">
                  <c:v>0.05</c:v>
                </c:pt>
                <c:pt idx="53" formatCode="General">
                  <c:v>0.05</c:v>
                </c:pt>
              </c:numCache>
            </c:numRef>
          </c:val>
        </c:ser>
        <c:gapWidth val="31"/>
        <c:axId val="206065664"/>
        <c:axId val="206067200"/>
      </c:barChart>
      <c:lineChart>
        <c:grouping val="standard"/>
        <c:ser>
          <c:idx val="3"/>
          <c:order val="1"/>
          <c:tx>
            <c:strRef>
              <c:f>'Měnové podmínky 1'!$F$5</c:f>
              <c:strCache>
                <c:ptCount val="1"/>
                <c:pt idx="0">
                  <c:v>Průměrný výnos státních dluhopisů (2Y)</c:v>
                </c:pt>
              </c:strCache>
            </c:strRef>
          </c:tx>
          <c:spPr>
            <a:ln w="19050">
              <a:solidFill>
                <a:srgbClr val="7DBB2D"/>
              </a:solidFill>
            </a:ln>
          </c:spPr>
          <c:marker>
            <c:symbol val="none"/>
          </c:marker>
          <c:cat>
            <c:multiLvlStrRef>
              <c:f>'Měnové podmínky 1'!$A$18:$B$71</c:f>
              <c:multiLvlStrCache>
                <c:ptCount val="54"/>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lvl>
                <c:lvl>
                  <c:pt idx="0">
                    <c:v>2013</c:v>
                  </c:pt>
                  <c:pt idx="12">
                    <c:v>2014</c:v>
                  </c:pt>
                  <c:pt idx="24">
                    <c:v>2015</c:v>
                  </c:pt>
                  <c:pt idx="36">
                    <c:v>2016</c:v>
                  </c:pt>
                  <c:pt idx="48">
                    <c:v>2017</c:v>
                  </c:pt>
                </c:lvl>
              </c:multiLvlStrCache>
            </c:multiLvlStrRef>
          </c:cat>
          <c:val>
            <c:numRef>
              <c:f>'Měnové podmínky 1'!$F$18:$F$71</c:f>
              <c:numCache>
                <c:formatCode>0.00</c:formatCode>
                <c:ptCount val="54"/>
                <c:pt idx="0">
                  <c:v>0.30000000000000004</c:v>
                </c:pt>
                <c:pt idx="1">
                  <c:v>0.36000000000000004</c:v>
                </c:pt>
                <c:pt idx="2">
                  <c:v>0.31000000000000005</c:v>
                </c:pt>
                <c:pt idx="3">
                  <c:v>0.30000000000000004</c:v>
                </c:pt>
                <c:pt idx="4">
                  <c:v>0.29000000000000004</c:v>
                </c:pt>
                <c:pt idx="5">
                  <c:v>0.43000000000000005</c:v>
                </c:pt>
                <c:pt idx="6">
                  <c:v>0.41000000000000003</c:v>
                </c:pt>
                <c:pt idx="7">
                  <c:v>0.4</c:v>
                </c:pt>
                <c:pt idx="8">
                  <c:v>0.37000000000000005</c:v>
                </c:pt>
                <c:pt idx="9">
                  <c:v>0.33000000000000007</c:v>
                </c:pt>
                <c:pt idx="10">
                  <c:v>0.2</c:v>
                </c:pt>
                <c:pt idx="11">
                  <c:v>0.19</c:v>
                </c:pt>
                <c:pt idx="12">
                  <c:v>0.23</c:v>
                </c:pt>
                <c:pt idx="13">
                  <c:v>0.28000000000000008</c:v>
                </c:pt>
                <c:pt idx="14">
                  <c:v>0.26</c:v>
                </c:pt>
                <c:pt idx="15">
                  <c:v>0.23</c:v>
                </c:pt>
                <c:pt idx="16">
                  <c:v>0.21000000000000002</c:v>
                </c:pt>
                <c:pt idx="17">
                  <c:v>0.24000000000000002</c:v>
                </c:pt>
                <c:pt idx="18">
                  <c:v>0.23</c:v>
                </c:pt>
                <c:pt idx="19">
                  <c:v>0.18000000000000002</c:v>
                </c:pt>
                <c:pt idx="20">
                  <c:v>0.14000000000000001</c:v>
                </c:pt>
                <c:pt idx="21">
                  <c:v>0.1</c:v>
                </c:pt>
                <c:pt idx="22">
                  <c:v>0.12000000000000001</c:v>
                </c:pt>
                <c:pt idx="23">
                  <c:v>0.13</c:v>
                </c:pt>
                <c:pt idx="24">
                  <c:v>9.0000000000000011E-2</c:v>
                </c:pt>
                <c:pt idx="25">
                  <c:v>6.0000000000000005E-2</c:v>
                </c:pt>
                <c:pt idx="26">
                  <c:v>4.0000000000000008E-2</c:v>
                </c:pt>
                <c:pt idx="27">
                  <c:v>-3.0000000000000002E-2</c:v>
                </c:pt>
                <c:pt idx="28">
                  <c:v>4.0000000000000008E-2</c:v>
                </c:pt>
                <c:pt idx="29">
                  <c:v>0.11</c:v>
                </c:pt>
                <c:pt idx="30">
                  <c:v>2.0000000000000004E-2</c:v>
                </c:pt>
                <c:pt idx="31">
                  <c:v>-7.0000000000000021E-2</c:v>
                </c:pt>
                <c:pt idx="32">
                  <c:v>-0.30000000000000004</c:v>
                </c:pt>
                <c:pt idx="33">
                  <c:v>-0.28000000000000008</c:v>
                </c:pt>
                <c:pt idx="34">
                  <c:v>-0.33000000000000007</c:v>
                </c:pt>
                <c:pt idx="35">
                  <c:v>-0.38000000000000006</c:v>
                </c:pt>
                <c:pt idx="36" formatCode="General">
                  <c:v>-0.21000000000000002</c:v>
                </c:pt>
                <c:pt idx="37" formatCode="General">
                  <c:v>-0.18000000000000002</c:v>
                </c:pt>
                <c:pt idx="38" formatCode="General">
                  <c:v>-0.17</c:v>
                </c:pt>
                <c:pt idx="39" formatCode="General">
                  <c:v>-8.0000000000000016E-2</c:v>
                </c:pt>
                <c:pt idx="40" formatCode="General">
                  <c:v>-4.0000000000000008E-2</c:v>
                </c:pt>
                <c:pt idx="41" formatCode="General">
                  <c:v>-0.05</c:v>
                </c:pt>
                <c:pt idx="42" formatCode="General">
                  <c:v>-0.13</c:v>
                </c:pt>
                <c:pt idx="43" formatCode="General">
                  <c:v>-0.22</c:v>
                </c:pt>
                <c:pt idx="44" formatCode="General">
                  <c:v>-0.5</c:v>
                </c:pt>
                <c:pt idx="45" formatCode="General">
                  <c:v>-0.7400000000000001</c:v>
                </c:pt>
                <c:pt idx="46" formatCode="General">
                  <c:v>-0.73000000000000009</c:v>
                </c:pt>
                <c:pt idx="47" formatCode="General">
                  <c:v>-0.81</c:v>
                </c:pt>
                <c:pt idx="48" formatCode="General">
                  <c:v>-0.88</c:v>
                </c:pt>
                <c:pt idx="49" formatCode="General">
                  <c:v>-0.53</c:v>
                </c:pt>
                <c:pt idx="50" formatCode="General">
                  <c:v>-0.44</c:v>
                </c:pt>
                <c:pt idx="51" formatCode="General">
                  <c:v>-0.23</c:v>
                </c:pt>
                <c:pt idx="52" formatCode="General">
                  <c:v>-0.24000000000000002</c:v>
                </c:pt>
                <c:pt idx="53" formatCode="General">
                  <c:v>-0.25</c:v>
                </c:pt>
              </c:numCache>
            </c:numRef>
          </c:val>
        </c:ser>
        <c:ser>
          <c:idx val="1"/>
          <c:order val="2"/>
          <c:tx>
            <c:strRef>
              <c:f>'Měnové podmínky 1'!$D$5</c:f>
              <c:strCache>
                <c:ptCount val="1"/>
                <c:pt idx="0">
                  <c:v>PRIBOR (3M)</c:v>
                </c:pt>
              </c:strCache>
            </c:strRef>
          </c:tx>
          <c:spPr>
            <a:ln w="19050">
              <a:solidFill>
                <a:srgbClr val="0071BC"/>
              </a:solidFill>
            </a:ln>
          </c:spPr>
          <c:marker>
            <c:symbol val="none"/>
          </c:marker>
          <c:cat>
            <c:multiLvlStrRef>
              <c:f>'Měnové podmínky 1'!$A$18:$B$71</c:f>
              <c:multiLvlStrCache>
                <c:ptCount val="54"/>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lvl>
                <c:lvl>
                  <c:pt idx="0">
                    <c:v>2013</c:v>
                  </c:pt>
                  <c:pt idx="12">
                    <c:v>2014</c:v>
                  </c:pt>
                  <c:pt idx="24">
                    <c:v>2015</c:v>
                  </c:pt>
                  <c:pt idx="36">
                    <c:v>2016</c:v>
                  </c:pt>
                  <c:pt idx="48">
                    <c:v>2017</c:v>
                  </c:pt>
                </c:lvl>
              </c:multiLvlStrCache>
            </c:multiLvlStrRef>
          </c:cat>
          <c:val>
            <c:numRef>
              <c:f>'Měnové podmínky 1'!$D$18:$D$71</c:f>
              <c:numCache>
                <c:formatCode>0.00</c:formatCode>
                <c:ptCount val="54"/>
                <c:pt idx="0">
                  <c:v>0.5</c:v>
                </c:pt>
                <c:pt idx="1">
                  <c:v>0.5</c:v>
                </c:pt>
                <c:pt idx="2">
                  <c:v>0.49000000000000005</c:v>
                </c:pt>
                <c:pt idx="3">
                  <c:v>0.47000000000000003</c:v>
                </c:pt>
                <c:pt idx="4">
                  <c:v>0.46</c:v>
                </c:pt>
                <c:pt idx="5">
                  <c:v>0.46</c:v>
                </c:pt>
                <c:pt idx="6">
                  <c:v>0.46</c:v>
                </c:pt>
                <c:pt idx="7">
                  <c:v>0.46</c:v>
                </c:pt>
                <c:pt idx="8">
                  <c:v>0.45</c:v>
                </c:pt>
                <c:pt idx="9">
                  <c:v>0.45</c:v>
                </c:pt>
                <c:pt idx="10">
                  <c:v>0.4</c:v>
                </c:pt>
                <c:pt idx="11">
                  <c:v>0.38000000000000006</c:v>
                </c:pt>
                <c:pt idx="12">
                  <c:v>0.37000000000000005</c:v>
                </c:pt>
                <c:pt idx="13">
                  <c:v>0.37000000000000005</c:v>
                </c:pt>
                <c:pt idx="14">
                  <c:v>0.37000000000000005</c:v>
                </c:pt>
                <c:pt idx="15">
                  <c:v>0.37000000000000005</c:v>
                </c:pt>
                <c:pt idx="16">
                  <c:v>0.37000000000000005</c:v>
                </c:pt>
                <c:pt idx="17">
                  <c:v>0.35000000000000003</c:v>
                </c:pt>
                <c:pt idx="18">
                  <c:v>0.35000000000000003</c:v>
                </c:pt>
                <c:pt idx="19">
                  <c:v>0.35000000000000003</c:v>
                </c:pt>
                <c:pt idx="20">
                  <c:v>0.35000000000000003</c:v>
                </c:pt>
                <c:pt idx="21">
                  <c:v>0.35000000000000003</c:v>
                </c:pt>
                <c:pt idx="22">
                  <c:v>0.34</c:v>
                </c:pt>
                <c:pt idx="23">
                  <c:v>0.34</c:v>
                </c:pt>
                <c:pt idx="24">
                  <c:v>0.33000000000000007</c:v>
                </c:pt>
                <c:pt idx="25">
                  <c:v>0.33000000000000007</c:v>
                </c:pt>
                <c:pt idx="26">
                  <c:v>0.32000000000000006</c:v>
                </c:pt>
                <c:pt idx="27">
                  <c:v>0.31000000000000005</c:v>
                </c:pt>
                <c:pt idx="28">
                  <c:v>0.31000000000000005</c:v>
                </c:pt>
                <c:pt idx="29">
                  <c:v>0.31000000000000005</c:v>
                </c:pt>
                <c:pt idx="30">
                  <c:v>0.31000000000000005</c:v>
                </c:pt>
                <c:pt idx="31">
                  <c:v>0.31000000000000005</c:v>
                </c:pt>
                <c:pt idx="32">
                  <c:v>0.30000000000000004</c:v>
                </c:pt>
                <c:pt idx="33">
                  <c:v>0.29000000000000004</c:v>
                </c:pt>
                <c:pt idx="34">
                  <c:v>0.29000000000000004</c:v>
                </c:pt>
                <c:pt idx="35">
                  <c:v>0.29000000000000004</c:v>
                </c:pt>
                <c:pt idx="36">
                  <c:v>0.29000000000000004</c:v>
                </c:pt>
                <c:pt idx="37">
                  <c:v>0.28000000000000008</c:v>
                </c:pt>
                <c:pt idx="38">
                  <c:v>0.29000000000000004</c:v>
                </c:pt>
                <c:pt idx="39">
                  <c:v>0.29000000000000004</c:v>
                </c:pt>
                <c:pt idx="40">
                  <c:v>0.29000000000000004</c:v>
                </c:pt>
                <c:pt idx="41">
                  <c:v>0.29000000000000004</c:v>
                </c:pt>
                <c:pt idx="42">
                  <c:v>0.29000000000000004</c:v>
                </c:pt>
                <c:pt idx="43">
                  <c:v>0.29000000000000004</c:v>
                </c:pt>
                <c:pt idx="44">
                  <c:v>0.29000000000000004</c:v>
                </c:pt>
                <c:pt idx="45">
                  <c:v>0.29000000000000004</c:v>
                </c:pt>
                <c:pt idx="46">
                  <c:v>0.29000000000000004</c:v>
                </c:pt>
                <c:pt idx="47">
                  <c:v>0.29000000000000004</c:v>
                </c:pt>
                <c:pt idx="48" formatCode="General">
                  <c:v>0.28000000000000008</c:v>
                </c:pt>
                <c:pt idx="49" formatCode="General">
                  <c:v>0.28000000000000008</c:v>
                </c:pt>
                <c:pt idx="50" formatCode="General">
                  <c:v>0.28000000000000008</c:v>
                </c:pt>
                <c:pt idx="51" formatCode="General">
                  <c:v>0.29000000000000004</c:v>
                </c:pt>
                <c:pt idx="52" formatCode="General">
                  <c:v>0.30000000000000004</c:v>
                </c:pt>
                <c:pt idx="53" formatCode="General">
                  <c:v>0.30000000000000004</c:v>
                </c:pt>
              </c:numCache>
            </c:numRef>
          </c:val>
        </c:ser>
        <c:ser>
          <c:idx val="4"/>
          <c:order val="3"/>
          <c:tx>
            <c:strRef>
              <c:f>'Měnové podmínky 1'!$G$5</c:f>
              <c:strCache>
                <c:ptCount val="1"/>
                <c:pt idx="0">
                  <c:v>Průměrný výnos státních dluhopisů (5Y)</c:v>
                </c:pt>
              </c:strCache>
            </c:strRef>
          </c:tx>
          <c:spPr>
            <a:ln w="19050">
              <a:solidFill>
                <a:srgbClr val="F8A124"/>
              </a:solidFill>
            </a:ln>
          </c:spPr>
          <c:marker>
            <c:symbol val="none"/>
          </c:marker>
          <c:cat>
            <c:multiLvlStrRef>
              <c:f>'Měnové podmínky 1'!$A$18:$B$71</c:f>
              <c:multiLvlStrCache>
                <c:ptCount val="54"/>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lvl>
                <c:lvl>
                  <c:pt idx="0">
                    <c:v>2013</c:v>
                  </c:pt>
                  <c:pt idx="12">
                    <c:v>2014</c:v>
                  </c:pt>
                  <c:pt idx="24">
                    <c:v>2015</c:v>
                  </c:pt>
                  <c:pt idx="36">
                    <c:v>2016</c:v>
                  </c:pt>
                  <c:pt idx="48">
                    <c:v>2017</c:v>
                  </c:pt>
                </c:lvl>
              </c:multiLvlStrCache>
            </c:multiLvlStrRef>
          </c:cat>
          <c:val>
            <c:numRef>
              <c:f>'Měnové podmínky 1'!$G$18:$G$71</c:f>
              <c:numCache>
                <c:formatCode>0.00</c:formatCode>
                <c:ptCount val="54"/>
                <c:pt idx="0">
                  <c:v>0.98</c:v>
                </c:pt>
                <c:pt idx="1">
                  <c:v>0.99</c:v>
                </c:pt>
                <c:pt idx="2">
                  <c:v>1.08</c:v>
                </c:pt>
                <c:pt idx="3">
                  <c:v>0.98</c:v>
                </c:pt>
                <c:pt idx="4">
                  <c:v>0.9</c:v>
                </c:pt>
                <c:pt idx="5">
                  <c:v>1.23</c:v>
                </c:pt>
                <c:pt idx="6">
                  <c:v>1.3900000000000001</c:v>
                </c:pt>
                <c:pt idx="7">
                  <c:v>1.3900000000000001</c:v>
                </c:pt>
                <c:pt idx="8">
                  <c:v>1.23</c:v>
                </c:pt>
                <c:pt idx="9">
                  <c:v>1.25</c:v>
                </c:pt>
                <c:pt idx="10">
                  <c:v>1.03</c:v>
                </c:pt>
                <c:pt idx="11">
                  <c:v>0.97000000000000008</c:v>
                </c:pt>
                <c:pt idx="12">
                  <c:v>1.0900000000000001</c:v>
                </c:pt>
                <c:pt idx="13">
                  <c:v>1.2</c:v>
                </c:pt>
                <c:pt idx="14">
                  <c:v>1.1399999999999997</c:v>
                </c:pt>
                <c:pt idx="15">
                  <c:v>0.99</c:v>
                </c:pt>
                <c:pt idx="16">
                  <c:v>0.8</c:v>
                </c:pt>
                <c:pt idx="17">
                  <c:v>0.68</c:v>
                </c:pt>
                <c:pt idx="18">
                  <c:v>0.65000000000000013</c:v>
                </c:pt>
                <c:pt idx="19">
                  <c:v>0.62000000000000011</c:v>
                </c:pt>
                <c:pt idx="20">
                  <c:v>0.51</c:v>
                </c:pt>
                <c:pt idx="21">
                  <c:v>0.37000000000000005</c:v>
                </c:pt>
                <c:pt idx="22">
                  <c:v>0.24000000000000002</c:v>
                </c:pt>
                <c:pt idx="23">
                  <c:v>0.22</c:v>
                </c:pt>
                <c:pt idx="24">
                  <c:v>0.13</c:v>
                </c:pt>
                <c:pt idx="25">
                  <c:v>0.17</c:v>
                </c:pt>
                <c:pt idx="26">
                  <c:v>0.14000000000000001</c:v>
                </c:pt>
                <c:pt idx="27">
                  <c:v>0.05</c:v>
                </c:pt>
                <c:pt idx="28">
                  <c:v>0.22</c:v>
                </c:pt>
                <c:pt idx="29">
                  <c:v>0.43000000000000005</c:v>
                </c:pt>
                <c:pt idx="30">
                  <c:v>0.35000000000000003</c:v>
                </c:pt>
                <c:pt idx="31">
                  <c:v>0.2</c:v>
                </c:pt>
                <c:pt idx="32">
                  <c:v>6.0000000000000005E-2</c:v>
                </c:pt>
                <c:pt idx="33">
                  <c:v>-0.05</c:v>
                </c:pt>
                <c:pt idx="34">
                  <c:v>-0.05</c:v>
                </c:pt>
                <c:pt idx="35">
                  <c:v>-0.11</c:v>
                </c:pt>
                <c:pt idx="36" formatCode="General">
                  <c:v>4.0000000000000008E-2</c:v>
                </c:pt>
                <c:pt idx="37" formatCode="General">
                  <c:v>-8.0000000000000016E-2</c:v>
                </c:pt>
                <c:pt idx="38" formatCode="General">
                  <c:v>-0.1</c:v>
                </c:pt>
                <c:pt idx="39" formatCode="General">
                  <c:v>4.0000000000000008E-2</c:v>
                </c:pt>
                <c:pt idx="40" formatCode="General">
                  <c:v>7.0000000000000021E-2</c:v>
                </c:pt>
                <c:pt idx="41" formatCode="General">
                  <c:v>0.05</c:v>
                </c:pt>
                <c:pt idx="42" formatCode="General">
                  <c:v>-2.0000000000000004E-2</c:v>
                </c:pt>
                <c:pt idx="43" formatCode="General">
                  <c:v>-9.0000000000000011E-2</c:v>
                </c:pt>
                <c:pt idx="44" formatCode="General">
                  <c:v>-0.19</c:v>
                </c:pt>
                <c:pt idx="45" formatCode="General">
                  <c:v>-0.17</c:v>
                </c:pt>
                <c:pt idx="46" formatCode="General">
                  <c:v>-0.17</c:v>
                </c:pt>
                <c:pt idx="47" formatCode="General">
                  <c:v>-0.21000000000000002</c:v>
                </c:pt>
                <c:pt idx="48" formatCode="General">
                  <c:v>-0.22</c:v>
                </c:pt>
                <c:pt idx="49" formatCode="General">
                  <c:v>9.0000000000000011E-2</c:v>
                </c:pt>
                <c:pt idx="50" formatCode="General">
                  <c:v>0.1</c:v>
                </c:pt>
                <c:pt idx="51" formatCode="General">
                  <c:v>0.16</c:v>
                </c:pt>
                <c:pt idx="52" formatCode="General">
                  <c:v>4.0000000000000008E-2</c:v>
                </c:pt>
                <c:pt idx="53" formatCode="General">
                  <c:v>-3.0000000000000002E-2</c:v>
                </c:pt>
              </c:numCache>
            </c:numRef>
          </c:val>
        </c:ser>
        <c:ser>
          <c:idx val="2"/>
          <c:order val="4"/>
          <c:tx>
            <c:strRef>
              <c:f>'Měnové podmínky 1'!$E$5</c:f>
              <c:strCache>
                <c:ptCount val="1"/>
                <c:pt idx="0">
                  <c:v>PRIBOR (1Y)</c:v>
                </c:pt>
              </c:strCache>
            </c:strRef>
          </c:tx>
          <c:spPr>
            <a:ln w="19050">
              <a:solidFill>
                <a:srgbClr val="BD1B21"/>
              </a:solidFill>
            </a:ln>
          </c:spPr>
          <c:marker>
            <c:symbol val="none"/>
          </c:marker>
          <c:cat>
            <c:multiLvlStrRef>
              <c:f>'Měnové podmínky 1'!$A$18:$B$71</c:f>
              <c:multiLvlStrCache>
                <c:ptCount val="54"/>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lvl>
                <c:lvl>
                  <c:pt idx="0">
                    <c:v>2013</c:v>
                  </c:pt>
                  <c:pt idx="12">
                    <c:v>2014</c:v>
                  </c:pt>
                  <c:pt idx="24">
                    <c:v>2015</c:v>
                  </c:pt>
                  <c:pt idx="36">
                    <c:v>2016</c:v>
                  </c:pt>
                  <c:pt idx="48">
                    <c:v>2017</c:v>
                  </c:pt>
                </c:lvl>
              </c:multiLvlStrCache>
            </c:multiLvlStrRef>
          </c:cat>
          <c:val>
            <c:numRef>
              <c:f>'Měnové podmínky 1'!$E$18:$E$71</c:f>
              <c:numCache>
                <c:formatCode>0.00</c:formatCode>
                <c:ptCount val="54"/>
                <c:pt idx="0">
                  <c:v>0.8600000000000001</c:v>
                </c:pt>
                <c:pt idx="1">
                  <c:v>0.83000000000000007</c:v>
                </c:pt>
                <c:pt idx="2">
                  <c:v>0.78</c:v>
                </c:pt>
                <c:pt idx="3">
                  <c:v>0.76000000000000012</c:v>
                </c:pt>
                <c:pt idx="4">
                  <c:v>0.76000000000000012</c:v>
                </c:pt>
                <c:pt idx="5">
                  <c:v>0.76000000000000012</c:v>
                </c:pt>
                <c:pt idx="6">
                  <c:v>0.75000000000000011</c:v>
                </c:pt>
                <c:pt idx="7">
                  <c:v>0.75000000000000011</c:v>
                </c:pt>
                <c:pt idx="8">
                  <c:v>0.7400000000000001</c:v>
                </c:pt>
                <c:pt idx="9">
                  <c:v>0.73000000000000009</c:v>
                </c:pt>
                <c:pt idx="10">
                  <c:v>0.65000000000000013</c:v>
                </c:pt>
                <c:pt idx="11">
                  <c:v>0.6100000000000001</c:v>
                </c:pt>
                <c:pt idx="12">
                  <c:v>0.58000000000000007</c:v>
                </c:pt>
                <c:pt idx="13">
                  <c:v>0.55000000000000004</c:v>
                </c:pt>
                <c:pt idx="14">
                  <c:v>0.55000000000000004</c:v>
                </c:pt>
                <c:pt idx="15">
                  <c:v>0.55000000000000004</c:v>
                </c:pt>
                <c:pt idx="16">
                  <c:v>0.54</c:v>
                </c:pt>
                <c:pt idx="17">
                  <c:v>0.53</c:v>
                </c:pt>
                <c:pt idx="18">
                  <c:v>0.52</c:v>
                </c:pt>
                <c:pt idx="19">
                  <c:v>0.52</c:v>
                </c:pt>
                <c:pt idx="20">
                  <c:v>0.52</c:v>
                </c:pt>
                <c:pt idx="21">
                  <c:v>0.52</c:v>
                </c:pt>
                <c:pt idx="22">
                  <c:v>0.51</c:v>
                </c:pt>
                <c:pt idx="23">
                  <c:v>0.51</c:v>
                </c:pt>
                <c:pt idx="24">
                  <c:v>0.51</c:v>
                </c:pt>
                <c:pt idx="25">
                  <c:v>0.51</c:v>
                </c:pt>
                <c:pt idx="26">
                  <c:v>0.49000000000000005</c:v>
                </c:pt>
                <c:pt idx="27">
                  <c:v>0.48000000000000004</c:v>
                </c:pt>
                <c:pt idx="28">
                  <c:v>0.48000000000000004</c:v>
                </c:pt>
                <c:pt idx="29">
                  <c:v>0.48000000000000004</c:v>
                </c:pt>
                <c:pt idx="30">
                  <c:v>0.48000000000000004</c:v>
                </c:pt>
                <c:pt idx="31">
                  <c:v>0.48000000000000004</c:v>
                </c:pt>
                <c:pt idx="32">
                  <c:v>0.47000000000000003</c:v>
                </c:pt>
                <c:pt idx="33">
                  <c:v>0.46</c:v>
                </c:pt>
                <c:pt idx="34">
                  <c:v>0.46</c:v>
                </c:pt>
                <c:pt idx="35">
                  <c:v>0.46</c:v>
                </c:pt>
                <c:pt idx="36">
                  <c:v>0.45</c:v>
                </c:pt>
                <c:pt idx="37">
                  <c:v>0.45</c:v>
                </c:pt>
                <c:pt idx="38">
                  <c:v>0.45</c:v>
                </c:pt>
                <c:pt idx="39">
                  <c:v>0.45</c:v>
                </c:pt>
                <c:pt idx="40">
                  <c:v>0.45</c:v>
                </c:pt>
                <c:pt idx="41">
                  <c:v>0.45</c:v>
                </c:pt>
                <c:pt idx="42">
                  <c:v>0.45</c:v>
                </c:pt>
                <c:pt idx="43">
                  <c:v>0.45</c:v>
                </c:pt>
                <c:pt idx="44">
                  <c:v>0.45</c:v>
                </c:pt>
                <c:pt idx="45">
                  <c:v>0.45</c:v>
                </c:pt>
                <c:pt idx="46">
                  <c:v>0.45</c:v>
                </c:pt>
                <c:pt idx="47">
                  <c:v>0.45</c:v>
                </c:pt>
                <c:pt idx="48" formatCode="General">
                  <c:v>0.44</c:v>
                </c:pt>
                <c:pt idx="49" formatCode="General">
                  <c:v>0.44</c:v>
                </c:pt>
                <c:pt idx="50" formatCode="General">
                  <c:v>0.44</c:v>
                </c:pt>
                <c:pt idx="51" formatCode="General">
                  <c:v>0.45</c:v>
                </c:pt>
                <c:pt idx="52" formatCode="General">
                  <c:v>0.46</c:v>
                </c:pt>
                <c:pt idx="53" formatCode="General">
                  <c:v>0.46</c:v>
                </c:pt>
              </c:numCache>
            </c:numRef>
          </c:val>
        </c:ser>
        <c:ser>
          <c:idx val="5"/>
          <c:order val="5"/>
          <c:tx>
            <c:strRef>
              <c:f>'Měnové podmínky 1'!$H$5</c:f>
              <c:strCache>
                <c:ptCount val="1"/>
                <c:pt idx="0">
                  <c:v>Průměrný výnos státních dluhopisů (10Y)</c:v>
                </c:pt>
              </c:strCache>
            </c:strRef>
          </c:tx>
          <c:spPr>
            <a:ln w="19050">
              <a:solidFill>
                <a:srgbClr val="48AEE7"/>
              </a:solidFill>
            </a:ln>
          </c:spPr>
          <c:marker>
            <c:symbol val="none"/>
          </c:marker>
          <c:cat>
            <c:multiLvlStrRef>
              <c:f>'Měnové podmínky 1'!$A$18:$B$71</c:f>
              <c:multiLvlStrCache>
                <c:ptCount val="54"/>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lvl>
                <c:lvl>
                  <c:pt idx="0">
                    <c:v>2013</c:v>
                  </c:pt>
                  <c:pt idx="12">
                    <c:v>2014</c:v>
                  </c:pt>
                  <c:pt idx="24">
                    <c:v>2015</c:v>
                  </c:pt>
                  <c:pt idx="36">
                    <c:v>2016</c:v>
                  </c:pt>
                  <c:pt idx="48">
                    <c:v>2017</c:v>
                  </c:pt>
                </c:lvl>
              </c:multiLvlStrCache>
            </c:multiLvlStrRef>
          </c:cat>
          <c:val>
            <c:numRef>
              <c:f>'Měnové podmínky 1'!$H$18:$H$71</c:f>
              <c:numCache>
                <c:formatCode>0.00</c:formatCode>
                <c:ptCount val="54"/>
                <c:pt idx="0">
                  <c:v>1.9600000000000002</c:v>
                </c:pt>
                <c:pt idx="1">
                  <c:v>2.0099999999999998</c:v>
                </c:pt>
                <c:pt idx="2">
                  <c:v>1.9800000000000002</c:v>
                </c:pt>
                <c:pt idx="3">
                  <c:v>1.82</c:v>
                </c:pt>
                <c:pt idx="4">
                  <c:v>1.6700000000000002</c:v>
                </c:pt>
                <c:pt idx="5">
                  <c:v>2.14</c:v>
                </c:pt>
                <c:pt idx="6">
                  <c:v>2.23</c:v>
                </c:pt>
                <c:pt idx="7">
                  <c:v>2.4</c:v>
                </c:pt>
                <c:pt idx="8">
                  <c:v>2.42</c:v>
                </c:pt>
                <c:pt idx="9">
                  <c:v>2.3299999999999996</c:v>
                </c:pt>
                <c:pt idx="10">
                  <c:v>2.1800000000000002</c:v>
                </c:pt>
                <c:pt idx="11">
                  <c:v>2.2000000000000002</c:v>
                </c:pt>
                <c:pt idx="12">
                  <c:v>2.4299999999999997</c:v>
                </c:pt>
                <c:pt idx="13">
                  <c:v>2.2799999999999998</c:v>
                </c:pt>
                <c:pt idx="14">
                  <c:v>2.2000000000000002</c:v>
                </c:pt>
                <c:pt idx="15">
                  <c:v>2</c:v>
                </c:pt>
                <c:pt idx="16">
                  <c:v>1.73</c:v>
                </c:pt>
                <c:pt idx="17">
                  <c:v>1.55</c:v>
                </c:pt>
                <c:pt idx="18">
                  <c:v>1.49</c:v>
                </c:pt>
                <c:pt idx="19">
                  <c:v>1.3800000000000001</c:v>
                </c:pt>
                <c:pt idx="20">
                  <c:v>1.21</c:v>
                </c:pt>
                <c:pt idx="21">
                  <c:v>1.1000000000000001</c:v>
                </c:pt>
                <c:pt idx="22">
                  <c:v>0.87000000000000011</c:v>
                </c:pt>
                <c:pt idx="23">
                  <c:v>0.67000000000000015</c:v>
                </c:pt>
                <c:pt idx="24">
                  <c:v>0.35000000000000003</c:v>
                </c:pt>
                <c:pt idx="25">
                  <c:v>0.4</c:v>
                </c:pt>
                <c:pt idx="26">
                  <c:v>0.35000000000000003</c:v>
                </c:pt>
                <c:pt idx="27">
                  <c:v>0.26</c:v>
                </c:pt>
                <c:pt idx="28">
                  <c:v>0.60000000000000009</c:v>
                </c:pt>
                <c:pt idx="29">
                  <c:v>1.01</c:v>
                </c:pt>
                <c:pt idx="30">
                  <c:v>0.97000000000000008</c:v>
                </c:pt>
                <c:pt idx="31">
                  <c:v>0.7400000000000001</c:v>
                </c:pt>
                <c:pt idx="32">
                  <c:v>0.68</c:v>
                </c:pt>
                <c:pt idx="33">
                  <c:v>0.56000000000000005</c:v>
                </c:pt>
                <c:pt idx="34">
                  <c:v>0.49000000000000005</c:v>
                </c:pt>
                <c:pt idx="35">
                  <c:v>0.49000000000000005</c:v>
                </c:pt>
                <c:pt idx="36" formatCode="General">
                  <c:v>0.62000000000000011</c:v>
                </c:pt>
                <c:pt idx="37" formatCode="General">
                  <c:v>0.46</c:v>
                </c:pt>
                <c:pt idx="38" formatCode="General">
                  <c:v>0.35000000000000003</c:v>
                </c:pt>
                <c:pt idx="39" formatCode="General">
                  <c:v>0.43000000000000005</c:v>
                </c:pt>
                <c:pt idx="40" formatCode="General">
                  <c:v>0.46</c:v>
                </c:pt>
                <c:pt idx="41" formatCode="General">
                  <c:v>0.45</c:v>
                </c:pt>
                <c:pt idx="42" formatCode="General">
                  <c:v>0.37000000000000005</c:v>
                </c:pt>
                <c:pt idx="43" formatCode="General">
                  <c:v>0.29000000000000004</c:v>
                </c:pt>
                <c:pt idx="44" formatCode="General">
                  <c:v>0.25</c:v>
                </c:pt>
                <c:pt idx="45" formatCode="General">
                  <c:v>0.37000000000000005</c:v>
                </c:pt>
                <c:pt idx="46" formatCode="General">
                  <c:v>0.55000000000000004</c:v>
                </c:pt>
                <c:pt idx="47" formatCode="General">
                  <c:v>0.53</c:v>
                </c:pt>
                <c:pt idx="48" formatCode="General">
                  <c:v>0.47000000000000003</c:v>
                </c:pt>
                <c:pt idx="49" formatCode="General">
                  <c:v>0.63000000000000012</c:v>
                </c:pt>
                <c:pt idx="50" formatCode="General">
                  <c:v>0.87000000000000011</c:v>
                </c:pt>
                <c:pt idx="51" formatCode="General">
                  <c:v>0.96000000000000008</c:v>
                </c:pt>
                <c:pt idx="52" formatCode="General">
                  <c:v>0.7400000000000001</c:v>
                </c:pt>
                <c:pt idx="53" formatCode="General">
                  <c:v>0.77000000000000013</c:v>
                </c:pt>
              </c:numCache>
            </c:numRef>
          </c:val>
        </c:ser>
        <c:marker val="1"/>
        <c:axId val="206065664"/>
        <c:axId val="206067200"/>
      </c:lineChart>
      <c:catAx>
        <c:axId val="206065664"/>
        <c:scaling>
          <c:orientation val="minMax"/>
        </c:scaling>
        <c:axPos val="b"/>
        <c:tickLblPos val="low"/>
        <c:spPr>
          <a:ln>
            <a:solidFill>
              <a:schemeClr val="tx1"/>
            </a:solidFill>
          </a:ln>
        </c:spPr>
        <c:crossAx val="206067200"/>
        <c:crosses val="autoZero"/>
        <c:auto val="1"/>
        <c:lblAlgn val="ctr"/>
        <c:lblOffset val="100"/>
      </c:catAx>
      <c:valAx>
        <c:axId val="206067200"/>
        <c:scaling>
          <c:orientation val="minMax"/>
          <c:min val="-1"/>
        </c:scaling>
        <c:axPos val="l"/>
        <c:majorGridlines>
          <c:spPr>
            <a:ln w="6350">
              <a:solidFill>
                <a:schemeClr val="bg1">
                  <a:lumMod val="75000"/>
                </a:schemeClr>
              </a:solidFill>
            </a:ln>
          </c:spPr>
        </c:majorGridlines>
        <c:numFmt formatCode="0" sourceLinked="0"/>
        <c:tickLblPos val="nextTo"/>
        <c:spPr>
          <a:ln>
            <a:solidFill>
              <a:schemeClr val="tx1"/>
            </a:solidFill>
          </a:ln>
        </c:spPr>
        <c:crossAx val="206065664"/>
        <c:crosses val="autoZero"/>
        <c:crossBetween val="between"/>
        <c:majorUnit val="1"/>
      </c:valAx>
      <c:spPr>
        <a:ln>
          <a:solidFill>
            <a:schemeClr val="tx1"/>
          </a:solidFill>
        </a:ln>
      </c:spPr>
    </c:plotArea>
    <c:legend>
      <c:legendPos val="b"/>
      <c:layout>
        <c:manualLayout>
          <c:xMode val="edge"/>
          <c:yMode val="edge"/>
          <c:x val="4.2139690982776534E-2"/>
          <c:y val="0.87558269120103249"/>
          <c:w val="0.93886651469098281"/>
          <c:h val="0.11015705924459968"/>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4.6324299223235492E-2"/>
          <c:y val="2.8593943487560614E-2"/>
          <c:w val="0.94514902060114925"/>
          <c:h val="0.69645164921760649"/>
        </c:manualLayout>
      </c:layout>
      <c:lineChart>
        <c:grouping val="standard"/>
        <c:ser>
          <c:idx val="5"/>
          <c:order val="0"/>
          <c:tx>
            <c:strRef>
              <c:f>List1!$G$112</c:f>
              <c:strCache>
                <c:ptCount val="1"/>
                <c:pt idx="0">
                  <c:v>Úvěry poskytnuté domácnostem, celkem</c:v>
                </c:pt>
              </c:strCache>
            </c:strRef>
          </c:tx>
          <c:spPr>
            <a:ln>
              <a:solidFill>
                <a:schemeClr val="accent2"/>
              </a:solidFill>
            </a:ln>
          </c:spPr>
          <c:marker>
            <c:symbol val="none"/>
          </c:marker>
          <c:cat>
            <c:numRef>
              <c:f>List1!$A$113:$A$166</c:f>
              <c:numCache>
                <c:formatCode>d/m/yyyy</c:formatCode>
                <c:ptCount val="54"/>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numCache>
            </c:numRef>
          </c:cat>
          <c:val>
            <c:numRef>
              <c:f>List1!$G$113:$G$166</c:f>
              <c:numCache>
                <c:formatCode>General</c:formatCode>
                <c:ptCount val="54"/>
                <c:pt idx="0">
                  <c:v>3.0877531589829319</c:v>
                </c:pt>
                <c:pt idx="1">
                  <c:v>2.9278034685920469</c:v>
                </c:pt>
                <c:pt idx="2">
                  <c:v>2.9903796480566434</c:v>
                </c:pt>
                <c:pt idx="3">
                  <c:v>3.0491710862186769</c:v>
                </c:pt>
                <c:pt idx="4">
                  <c:v>3.2681836889522216</c:v>
                </c:pt>
                <c:pt idx="5">
                  <c:v>3.2598708501961191</c:v>
                </c:pt>
                <c:pt idx="6">
                  <c:v>3.344199810319167</c:v>
                </c:pt>
                <c:pt idx="7">
                  <c:v>3.3966244329424842</c:v>
                </c:pt>
                <c:pt idx="8">
                  <c:v>3.6482378321744378</c:v>
                </c:pt>
                <c:pt idx="9">
                  <c:v>3.7730480658831653</c:v>
                </c:pt>
                <c:pt idx="10">
                  <c:v>4.1470926324128712</c:v>
                </c:pt>
                <c:pt idx="11">
                  <c:v>4.2553330267144327</c:v>
                </c:pt>
                <c:pt idx="12">
                  <c:v>4.385947087867895</c:v>
                </c:pt>
                <c:pt idx="13">
                  <c:v>4.523376320619855</c:v>
                </c:pt>
                <c:pt idx="14">
                  <c:v>4.5787788541473873</c:v>
                </c:pt>
                <c:pt idx="15">
                  <c:v>4.6195922264676428</c:v>
                </c:pt>
                <c:pt idx="16">
                  <c:v>4.4666038944024722</c:v>
                </c:pt>
                <c:pt idx="17">
                  <c:v>4.5705616558670474</c:v>
                </c:pt>
                <c:pt idx="18">
                  <c:v>4.639428729321792</c:v>
                </c:pt>
                <c:pt idx="19">
                  <c:v>4.579290955920702</c:v>
                </c:pt>
                <c:pt idx="20">
                  <c:v>4.6786005512983788</c:v>
                </c:pt>
                <c:pt idx="21">
                  <c:v>4.5573555013271028</c:v>
                </c:pt>
                <c:pt idx="22">
                  <c:v>4.201757946353287</c:v>
                </c:pt>
                <c:pt idx="23">
                  <c:v>4.0257950102231943</c:v>
                </c:pt>
                <c:pt idx="24">
                  <c:v>4.2393015171592854</c:v>
                </c:pt>
                <c:pt idx="25">
                  <c:v>4.2894597932710461</c:v>
                </c:pt>
                <c:pt idx="26">
                  <c:v>4.4648739564675655</c:v>
                </c:pt>
                <c:pt idx="27">
                  <c:v>4.6448907312726915</c:v>
                </c:pt>
                <c:pt idx="28">
                  <c:v>4.8200618655221277</c:v>
                </c:pt>
                <c:pt idx="29">
                  <c:v>6.6747817845361119</c:v>
                </c:pt>
                <c:pt idx="30">
                  <c:v>6.8504415341803977</c:v>
                </c:pt>
                <c:pt idx="31">
                  <c:v>6.9640912326651288</c:v>
                </c:pt>
                <c:pt idx="32">
                  <c:v>7.0196065423020144</c:v>
                </c:pt>
                <c:pt idx="33">
                  <c:v>7.1686339200419296</c:v>
                </c:pt>
                <c:pt idx="34">
                  <c:v>7.341832287265504</c:v>
                </c:pt>
                <c:pt idx="35">
                  <c:v>7.5776913826795278</c:v>
                </c:pt>
                <c:pt idx="36">
                  <c:v>7.0678121703309476</c:v>
                </c:pt>
                <c:pt idx="37">
                  <c:v>7.4950875729483881</c:v>
                </c:pt>
                <c:pt idx="38">
                  <c:v>7.3168827874998454</c:v>
                </c:pt>
                <c:pt idx="39">
                  <c:v>7.5495713120857744</c:v>
                </c:pt>
                <c:pt idx="40">
                  <c:v>7.7297908124461685</c:v>
                </c:pt>
                <c:pt idx="41">
                  <c:v>6.2057314743048826</c:v>
                </c:pt>
                <c:pt idx="42">
                  <c:v>6.1984185695713343</c:v>
                </c:pt>
                <c:pt idx="43">
                  <c:v>6.5369772527276995</c:v>
                </c:pt>
                <c:pt idx="44">
                  <c:v>6.7135942644571305</c:v>
                </c:pt>
                <c:pt idx="45">
                  <c:v>7.0064612623712357</c:v>
                </c:pt>
                <c:pt idx="46">
                  <c:v>7.3214465009951715</c:v>
                </c:pt>
                <c:pt idx="47">
                  <c:v>7.0472108710942409</c:v>
                </c:pt>
                <c:pt idx="48">
                  <c:v>7.8299596627664121</c:v>
                </c:pt>
                <c:pt idx="49">
                  <c:v>7.7234451145493033</c:v>
                </c:pt>
                <c:pt idx="50">
                  <c:v>8.151635168774563</c:v>
                </c:pt>
                <c:pt idx="51">
                  <c:v>8.1117916123093003</c:v>
                </c:pt>
                <c:pt idx="52">
                  <c:v>8.2506757293459945</c:v>
                </c:pt>
                <c:pt idx="53">
                  <c:v>8.2739760406758798</c:v>
                </c:pt>
              </c:numCache>
            </c:numRef>
          </c:val>
        </c:ser>
        <c:ser>
          <c:idx val="3"/>
          <c:order val="1"/>
          <c:tx>
            <c:strRef>
              <c:f>List1!$E$112</c:f>
              <c:strCache>
                <c:ptCount val="1"/>
                <c:pt idx="0">
                  <c:v>Hypoteční úvěry</c:v>
                </c:pt>
              </c:strCache>
            </c:strRef>
          </c:tx>
          <c:spPr>
            <a:ln>
              <a:solidFill>
                <a:schemeClr val="tx2"/>
              </a:solidFill>
            </a:ln>
          </c:spPr>
          <c:marker>
            <c:symbol val="none"/>
          </c:marker>
          <c:cat>
            <c:numRef>
              <c:f>List1!$A$113:$A$166</c:f>
              <c:numCache>
                <c:formatCode>d/m/yyyy</c:formatCode>
                <c:ptCount val="54"/>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numCache>
            </c:numRef>
          </c:cat>
          <c:val>
            <c:numRef>
              <c:f>List1!$E$113:$E$166</c:f>
              <c:numCache>
                <c:formatCode>General</c:formatCode>
                <c:ptCount val="54"/>
                <c:pt idx="0">
                  <c:v>6.2659736689504086</c:v>
                </c:pt>
                <c:pt idx="1">
                  <c:v>6.2647145285310204</c:v>
                </c:pt>
                <c:pt idx="2">
                  <c:v>6.2873648583460255</c:v>
                </c:pt>
                <c:pt idx="3">
                  <c:v>6.3598141546146127</c:v>
                </c:pt>
                <c:pt idx="4">
                  <c:v>6.3147119881366391</c:v>
                </c:pt>
                <c:pt idx="5">
                  <c:v>6.0275332348596775</c:v>
                </c:pt>
                <c:pt idx="6">
                  <c:v>6.3073525993761006</c:v>
                </c:pt>
                <c:pt idx="7">
                  <c:v>6.1541788048702797</c:v>
                </c:pt>
                <c:pt idx="8">
                  <c:v>6.4269032318838288</c:v>
                </c:pt>
                <c:pt idx="9">
                  <c:v>6.5725403255923567</c:v>
                </c:pt>
                <c:pt idx="10">
                  <c:v>6.5902633224374227</c:v>
                </c:pt>
                <c:pt idx="11">
                  <c:v>6.5837930483635425</c:v>
                </c:pt>
                <c:pt idx="12">
                  <c:v>6.6657491153861663</c:v>
                </c:pt>
                <c:pt idx="13">
                  <c:v>6.6271385083303356</c:v>
                </c:pt>
                <c:pt idx="14">
                  <c:v>6.6523157014405454</c:v>
                </c:pt>
                <c:pt idx="15">
                  <c:v>6.8469262908674535</c:v>
                </c:pt>
                <c:pt idx="16">
                  <c:v>6.9247409315900263</c:v>
                </c:pt>
                <c:pt idx="17">
                  <c:v>7.0418709000086928</c:v>
                </c:pt>
                <c:pt idx="18">
                  <c:v>7.0931229496983326</c:v>
                </c:pt>
                <c:pt idx="19">
                  <c:v>6.9754005631693854</c:v>
                </c:pt>
                <c:pt idx="20">
                  <c:v>7.0577653257563249</c:v>
                </c:pt>
                <c:pt idx="21">
                  <c:v>6.9749589172601389</c:v>
                </c:pt>
                <c:pt idx="22">
                  <c:v>6.8848210515174113</c:v>
                </c:pt>
                <c:pt idx="23">
                  <c:v>6.7341586671434834</c:v>
                </c:pt>
                <c:pt idx="24">
                  <c:v>6.7538184794027556</c:v>
                </c:pt>
                <c:pt idx="25">
                  <c:v>6.8192119643676969</c:v>
                </c:pt>
                <c:pt idx="26">
                  <c:v>6.9316137078820619</c:v>
                </c:pt>
                <c:pt idx="27">
                  <c:v>6.9929235168259716</c:v>
                </c:pt>
                <c:pt idx="28">
                  <c:v>7.2077782386553189</c:v>
                </c:pt>
                <c:pt idx="29">
                  <c:v>7.5191311706305974</c:v>
                </c:pt>
                <c:pt idx="30">
                  <c:v>7.7787091171226272</c:v>
                </c:pt>
                <c:pt idx="31">
                  <c:v>8.0645924907376401</c:v>
                </c:pt>
                <c:pt idx="32">
                  <c:v>8.1119422991750572</c:v>
                </c:pt>
                <c:pt idx="33">
                  <c:v>8.2444676425619683</c:v>
                </c:pt>
                <c:pt idx="34">
                  <c:v>8.5039301453452705</c:v>
                </c:pt>
                <c:pt idx="35">
                  <c:v>8.8021391300397713</c:v>
                </c:pt>
                <c:pt idx="36">
                  <c:v>8.2433204519407592</c:v>
                </c:pt>
                <c:pt idx="37">
                  <c:v>8.5537639741768956</c:v>
                </c:pt>
                <c:pt idx="38">
                  <c:v>8.4512781832215911</c:v>
                </c:pt>
                <c:pt idx="39">
                  <c:v>8.5388339561371289</c:v>
                </c:pt>
                <c:pt idx="40">
                  <c:v>8.5177496194520028</c:v>
                </c:pt>
                <c:pt idx="41">
                  <c:v>8.4668106074260514</c:v>
                </c:pt>
                <c:pt idx="42">
                  <c:v>8.2610326083827061</c:v>
                </c:pt>
                <c:pt idx="43">
                  <c:v>8.4220596847293212</c:v>
                </c:pt>
                <c:pt idx="44">
                  <c:v>8.5729843606207972</c:v>
                </c:pt>
                <c:pt idx="45">
                  <c:v>8.771512910385395</c:v>
                </c:pt>
                <c:pt idx="46">
                  <c:v>9.016669679766661</c:v>
                </c:pt>
                <c:pt idx="47">
                  <c:v>8.8500296876362512</c:v>
                </c:pt>
                <c:pt idx="48">
                  <c:v>9.6135419108468518</c:v>
                </c:pt>
                <c:pt idx="49">
                  <c:v>9.5803089393486474</c:v>
                </c:pt>
                <c:pt idx="50">
                  <c:v>10.048271879958056</c:v>
                </c:pt>
                <c:pt idx="51">
                  <c:v>10.026850666229175</c:v>
                </c:pt>
                <c:pt idx="52">
                  <c:v>10.24573594995821</c:v>
                </c:pt>
                <c:pt idx="53">
                  <c:v>10.300393885099822</c:v>
                </c:pt>
              </c:numCache>
            </c:numRef>
          </c:val>
        </c:ser>
        <c:ser>
          <c:idx val="4"/>
          <c:order val="2"/>
          <c:tx>
            <c:strRef>
              <c:f>List1!$F$112</c:f>
              <c:strCache>
                <c:ptCount val="1"/>
                <c:pt idx="0">
                  <c:v>Spotřebitelské úvěry</c:v>
                </c:pt>
              </c:strCache>
            </c:strRef>
          </c:tx>
          <c:spPr>
            <a:ln>
              <a:solidFill>
                <a:schemeClr val="accent3"/>
              </a:solidFill>
            </a:ln>
          </c:spPr>
          <c:marker>
            <c:symbol val="none"/>
          </c:marker>
          <c:cat>
            <c:numRef>
              <c:f>List1!$A$113:$A$166</c:f>
              <c:numCache>
                <c:formatCode>d/m/yyyy</c:formatCode>
                <c:ptCount val="54"/>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numCache>
            </c:numRef>
          </c:cat>
          <c:val>
            <c:numRef>
              <c:f>List1!$F$113:$F$166</c:f>
              <c:numCache>
                <c:formatCode>General</c:formatCode>
                <c:ptCount val="54"/>
                <c:pt idx="0">
                  <c:v>-1.6990520590717824</c:v>
                </c:pt>
                <c:pt idx="1">
                  <c:v>-1.8432599648818067</c:v>
                </c:pt>
                <c:pt idx="2">
                  <c:v>-1.7366525799200025</c:v>
                </c:pt>
                <c:pt idx="3">
                  <c:v>-1.1546640615192025</c:v>
                </c:pt>
                <c:pt idx="4">
                  <c:v>-0.92880417177445751</c:v>
                </c:pt>
                <c:pt idx="5">
                  <c:v>-1.1105780686565669</c:v>
                </c:pt>
                <c:pt idx="6">
                  <c:v>-0.3647313341313897</c:v>
                </c:pt>
                <c:pt idx="7">
                  <c:v>-0.12333482057492509</c:v>
                </c:pt>
                <c:pt idx="8">
                  <c:v>0.34049795114384956</c:v>
                </c:pt>
                <c:pt idx="9">
                  <c:v>0.62765881476797769</c:v>
                </c:pt>
                <c:pt idx="10">
                  <c:v>1.275342024704478</c:v>
                </c:pt>
                <c:pt idx="11">
                  <c:v>1.6804009179801986</c:v>
                </c:pt>
                <c:pt idx="12">
                  <c:v>1.9649039512889603</c:v>
                </c:pt>
                <c:pt idx="13">
                  <c:v>2.425614321429038</c:v>
                </c:pt>
                <c:pt idx="14">
                  <c:v>2.5340782816284695</c:v>
                </c:pt>
                <c:pt idx="15">
                  <c:v>1.4152701146683297</c:v>
                </c:pt>
                <c:pt idx="16">
                  <c:v>1.1492101063812741</c:v>
                </c:pt>
                <c:pt idx="17">
                  <c:v>1.6804633048833151</c:v>
                </c:pt>
                <c:pt idx="18">
                  <c:v>1.6263793068151648</c:v>
                </c:pt>
                <c:pt idx="19">
                  <c:v>1.5079468909643761</c:v>
                </c:pt>
                <c:pt idx="20">
                  <c:v>1.1772730798033328</c:v>
                </c:pt>
                <c:pt idx="21">
                  <c:v>1.1884334930921678</c:v>
                </c:pt>
                <c:pt idx="22">
                  <c:v>1.3026792855575</c:v>
                </c:pt>
                <c:pt idx="23">
                  <c:v>0.79115539184119787</c:v>
                </c:pt>
                <c:pt idx="24">
                  <c:v>1.175582651077435</c:v>
                </c:pt>
                <c:pt idx="25">
                  <c:v>-0.48835516693426251</c:v>
                </c:pt>
                <c:pt idx="26">
                  <c:v>-0.46004360232359687</c:v>
                </c:pt>
                <c:pt idx="27">
                  <c:v>0.65656559235211553</c:v>
                </c:pt>
                <c:pt idx="28">
                  <c:v>0.83457354160380004</c:v>
                </c:pt>
                <c:pt idx="29">
                  <c:v>6.6907643211475785</c:v>
                </c:pt>
                <c:pt idx="30">
                  <c:v>6.5743966419183604</c:v>
                </c:pt>
                <c:pt idx="31">
                  <c:v>6.5695582908020516</c:v>
                </c:pt>
                <c:pt idx="32">
                  <c:v>6.8487478645179056</c:v>
                </c:pt>
                <c:pt idx="33">
                  <c:v>6.5554225256861871</c:v>
                </c:pt>
                <c:pt idx="34">
                  <c:v>6.0691780821917858</c:v>
                </c:pt>
                <c:pt idx="35">
                  <c:v>6.7782485893365978</c:v>
                </c:pt>
                <c:pt idx="36">
                  <c:v>6.9299575737301105</c:v>
                </c:pt>
                <c:pt idx="37">
                  <c:v>10.610990094731683</c:v>
                </c:pt>
                <c:pt idx="38">
                  <c:v>9.6909346444928026</c:v>
                </c:pt>
                <c:pt idx="39">
                  <c:v>10.26732989676397</c:v>
                </c:pt>
                <c:pt idx="40">
                  <c:v>10.895937352084628</c:v>
                </c:pt>
                <c:pt idx="41">
                  <c:v>5.4234129861022264</c:v>
                </c:pt>
                <c:pt idx="42">
                  <c:v>5.7879621633562879</c:v>
                </c:pt>
                <c:pt idx="43">
                  <c:v>6.3311129976066276</c:v>
                </c:pt>
                <c:pt idx="44">
                  <c:v>6.7165403457560959</c:v>
                </c:pt>
                <c:pt idx="45">
                  <c:v>7.641791290366549</c:v>
                </c:pt>
                <c:pt idx="46">
                  <c:v>8.4129404022727599</c:v>
                </c:pt>
                <c:pt idx="47">
                  <c:v>8.5540802340946485</c:v>
                </c:pt>
                <c:pt idx="48">
                  <c:v>8.537359830463279</c:v>
                </c:pt>
                <c:pt idx="49">
                  <c:v>7.3542506609432783</c:v>
                </c:pt>
                <c:pt idx="50">
                  <c:v>8.1221782554393727</c:v>
                </c:pt>
                <c:pt idx="51">
                  <c:v>8.0579931280216588</c:v>
                </c:pt>
                <c:pt idx="52">
                  <c:v>8.0074345396605224</c:v>
                </c:pt>
                <c:pt idx="53">
                  <c:v>7.8367070380073418</c:v>
                </c:pt>
              </c:numCache>
            </c:numRef>
          </c:val>
        </c:ser>
        <c:marker val="1"/>
        <c:axId val="182257920"/>
        <c:axId val="182272000"/>
      </c:lineChart>
      <c:dateAx>
        <c:axId val="182257920"/>
        <c:scaling>
          <c:orientation val="minMax"/>
        </c:scaling>
        <c:axPos val="b"/>
        <c:numFmt formatCode="d/m/yyyy" sourceLinked="1"/>
        <c:tickLblPos val="low"/>
        <c:crossAx val="182272000"/>
        <c:crosses val="autoZero"/>
        <c:auto val="1"/>
        <c:lblOffset val="100"/>
      </c:dateAx>
      <c:valAx>
        <c:axId val="182272000"/>
        <c:scaling>
          <c:orientation val="minMax"/>
        </c:scaling>
        <c:axPos val="l"/>
        <c:majorGridlines/>
        <c:numFmt formatCode="General" sourceLinked="1"/>
        <c:tickLblPos val="nextTo"/>
        <c:crossAx val="182257920"/>
        <c:crosses val="autoZero"/>
        <c:crossBetween val="between"/>
      </c:valAx>
      <c:spPr>
        <a:ln>
          <a:solidFill>
            <a:sysClr val="windowText" lastClr="000000"/>
          </a:solidFill>
        </a:ln>
      </c:spPr>
    </c:plotArea>
    <c:legend>
      <c:legendPos val="r"/>
      <c:layout>
        <c:manualLayout>
          <c:xMode val="edge"/>
          <c:yMode val="edge"/>
          <c:x val="4.577085444106721E-2"/>
          <c:y val="0.88026258020938741"/>
          <c:w val="0.94618709895305642"/>
          <c:h val="0.11159011595181823"/>
        </c:manualLayout>
      </c:layout>
      <c:overlay val="1"/>
      <c:spPr>
        <a:ln>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6.3724701079031984E-2"/>
          <c:y val="2.6970778117567439E-2"/>
          <c:w val="0.87770649039240989"/>
          <c:h val="0.76009512552065761"/>
        </c:manualLayout>
      </c:layout>
      <c:barChart>
        <c:barDir val="col"/>
        <c:grouping val="clustered"/>
        <c:ser>
          <c:idx val="0"/>
          <c:order val="0"/>
          <c:tx>
            <c:strRef>
              <c:f>'souhrnná výkonnost 2'!$C$5</c:f>
              <c:strCache>
                <c:ptCount val="1"/>
                <c:pt idx="0">
                  <c:v>HDP (pravá osa)</c:v>
                </c:pt>
              </c:strCache>
            </c:strRef>
          </c:tx>
          <c:spPr>
            <a:solidFill>
              <a:schemeClr val="bg1">
                <a:lumMod val="65000"/>
              </a:schemeClr>
            </a:solidFill>
            <a:ln>
              <a:noFill/>
            </a:ln>
          </c:spPr>
          <c:val>
            <c:numRef>
              <c:f>'souhrnná výkonnost 2'!$C$18:$C$71</c:f>
              <c:numCache>
                <c:formatCode>0.0</c:formatCode>
                <c:ptCount val="54"/>
                <c:pt idx="0">
                  <c:v>-1.8</c:v>
                </c:pt>
                <c:pt idx="1">
                  <c:v>-1.8</c:v>
                </c:pt>
                <c:pt idx="2">
                  <c:v>-1.8</c:v>
                </c:pt>
                <c:pt idx="3">
                  <c:v>-1.1000000000000001</c:v>
                </c:pt>
                <c:pt idx="4">
                  <c:v>-1.1000000000000001</c:v>
                </c:pt>
                <c:pt idx="5">
                  <c:v>-1.1000000000000001</c:v>
                </c:pt>
                <c:pt idx="6">
                  <c:v>-0.4</c:v>
                </c:pt>
                <c:pt idx="7">
                  <c:v>-0.4</c:v>
                </c:pt>
                <c:pt idx="8">
                  <c:v>-0.4</c:v>
                </c:pt>
                <c:pt idx="9">
                  <c:v>1.3</c:v>
                </c:pt>
                <c:pt idx="10">
                  <c:v>1.3</c:v>
                </c:pt>
                <c:pt idx="11">
                  <c:v>1.3</c:v>
                </c:pt>
                <c:pt idx="12">
                  <c:v>1.6</c:v>
                </c:pt>
                <c:pt idx="13">
                  <c:v>1.6</c:v>
                </c:pt>
                <c:pt idx="14">
                  <c:v>1.6</c:v>
                </c:pt>
                <c:pt idx="15">
                  <c:v>2.4</c:v>
                </c:pt>
                <c:pt idx="16">
                  <c:v>2.4</c:v>
                </c:pt>
                <c:pt idx="17">
                  <c:v>2.4</c:v>
                </c:pt>
                <c:pt idx="18">
                  <c:v>3.4</c:v>
                </c:pt>
                <c:pt idx="19">
                  <c:v>3.4</c:v>
                </c:pt>
                <c:pt idx="20">
                  <c:v>3.4</c:v>
                </c:pt>
                <c:pt idx="21">
                  <c:v>3.4</c:v>
                </c:pt>
                <c:pt idx="22">
                  <c:v>3.4</c:v>
                </c:pt>
                <c:pt idx="23">
                  <c:v>3.4</c:v>
                </c:pt>
                <c:pt idx="24">
                  <c:v>5.2</c:v>
                </c:pt>
                <c:pt idx="25">
                  <c:v>5.2</c:v>
                </c:pt>
                <c:pt idx="26">
                  <c:v>5.2</c:v>
                </c:pt>
                <c:pt idx="27">
                  <c:v>5.8</c:v>
                </c:pt>
                <c:pt idx="28">
                  <c:v>5.8</c:v>
                </c:pt>
                <c:pt idx="29">
                  <c:v>5.8</c:v>
                </c:pt>
                <c:pt idx="30">
                  <c:v>5.7</c:v>
                </c:pt>
                <c:pt idx="31">
                  <c:v>5.7</c:v>
                </c:pt>
                <c:pt idx="32">
                  <c:v>5.7</c:v>
                </c:pt>
                <c:pt idx="33">
                  <c:v>4.9000000000000004</c:v>
                </c:pt>
                <c:pt idx="34">
                  <c:v>4.9000000000000004</c:v>
                </c:pt>
                <c:pt idx="35">
                  <c:v>4.9000000000000004</c:v>
                </c:pt>
                <c:pt idx="36">
                  <c:v>3.5</c:v>
                </c:pt>
                <c:pt idx="37">
                  <c:v>3.5</c:v>
                </c:pt>
                <c:pt idx="38">
                  <c:v>3.5</c:v>
                </c:pt>
                <c:pt idx="39">
                  <c:v>2.8</c:v>
                </c:pt>
                <c:pt idx="40">
                  <c:v>2.8</c:v>
                </c:pt>
                <c:pt idx="41" formatCode="General">
                  <c:v>2.8</c:v>
                </c:pt>
                <c:pt idx="42" formatCode="General">
                  <c:v>1.8</c:v>
                </c:pt>
                <c:pt idx="43" formatCode="General">
                  <c:v>1.8</c:v>
                </c:pt>
                <c:pt idx="44" formatCode="General">
                  <c:v>1.8</c:v>
                </c:pt>
                <c:pt idx="45" formatCode="General">
                  <c:v>1.8</c:v>
                </c:pt>
                <c:pt idx="46" formatCode="General">
                  <c:v>1.8</c:v>
                </c:pt>
                <c:pt idx="47" formatCode="General">
                  <c:v>1.8</c:v>
                </c:pt>
                <c:pt idx="48" formatCode="General">
                  <c:v>3</c:v>
                </c:pt>
                <c:pt idx="49" formatCode="General">
                  <c:v>3</c:v>
                </c:pt>
                <c:pt idx="50" formatCode="General">
                  <c:v>3</c:v>
                </c:pt>
                <c:pt idx="51" formatCode="General">
                  <c:v>4.7</c:v>
                </c:pt>
                <c:pt idx="52" formatCode="General">
                  <c:v>4.7</c:v>
                </c:pt>
                <c:pt idx="53" formatCode="General">
                  <c:v>4.7</c:v>
                </c:pt>
              </c:numCache>
            </c:numRef>
          </c:val>
        </c:ser>
        <c:gapWidth val="30"/>
        <c:axId val="182072448"/>
        <c:axId val="181883648"/>
      </c:barChart>
      <c:lineChart>
        <c:grouping val="standard"/>
        <c:ser>
          <c:idx val="3"/>
          <c:order val="1"/>
          <c:tx>
            <c:strRef>
              <c:f>'souhrnná výkonnost 2'!$D$5</c:f>
              <c:strCache>
                <c:ptCount val="1"/>
                <c:pt idx="0">
                  <c:v>Důvěra podnikatelů</c:v>
                </c:pt>
              </c:strCache>
            </c:strRef>
          </c:tx>
          <c:spPr>
            <a:ln w="19050">
              <a:solidFill>
                <a:srgbClr val="0071BC"/>
              </a:solidFill>
            </a:ln>
          </c:spPr>
          <c:marker>
            <c:symbol val="none"/>
          </c:marker>
          <c:cat>
            <c:multiLvlStrRef>
              <c:f>'souhrnná výkonnost 2'!$A$18:$B$71</c:f>
              <c:multiLvlStrCache>
                <c:ptCount val="54"/>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lvl>
                <c:lvl>
                  <c:pt idx="0">
                    <c:v>2013</c:v>
                  </c:pt>
                  <c:pt idx="12">
                    <c:v>2014</c:v>
                  </c:pt>
                  <c:pt idx="24">
                    <c:v>2015</c:v>
                  </c:pt>
                  <c:pt idx="36">
                    <c:v>2016</c:v>
                  </c:pt>
                  <c:pt idx="48">
                    <c:v>2017</c:v>
                  </c:pt>
                </c:lvl>
              </c:multiLvlStrCache>
            </c:multiLvlStrRef>
          </c:cat>
          <c:val>
            <c:numRef>
              <c:f>'souhrnná výkonnost 2'!$D$18:$D$71</c:f>
              <c:numCache>
                <c:formatCode>###,###,##0.0</c:formatCode>
                <c:ptCount val="54"/>
                <c:pt idx="0">
                  <c:v>84.6</c:v>
                </c:pt>
                <c:pt idx="1">
                  <c:v>85.2</c:v>
                </c:pt>
                <c:pt idx="2" formatCode="###,###,##0">
                  <c:v>85</c:v>
                </c:pt>
                <c:pt idx="3">
                  <c:v>82.7</c:v>
                </c:pt>
                <c:pt idx="4">
                  <c:v>83.6</c:v>
                </c:pt>
                <c:pt idx="5" formatCode="###,###,##0">
                  <c:v>84</c:v>
                </c:pt>
                <c:pt idx="6" formatCode="###,###,##0">
                  <c:v>84</c:v>
                </c:pt>
                <c:pt idx="7">
                  <c:v>84.8</c:v>
                </c:pt>
                <c:pt idx="8">
                  <c:v>87.5</c:v>
                </c:pt>
                <c:pt idx="9" formatCode="###,###,##0">
                  <c:v>89</c:v>
                </c:pt>
                <c:pt idx="10">
                  <c:v>89.9</c:v>
                </c:pt>
                <c:pt idx="11">
                  <c:v>90.9</c:v>
                </c:pt>
                <c:pt idx="12">
                  <c:v>90.1</c:v>
                </c:pt>
                <c:pt idx="13">
                  <c:v>90.9</c:v>
                </c:pt>
                <c:pt idx="14">
                  <c:v>91.6</c:v>
                </c:pt>
                <c:pt idx="15">
                  <c:v>91.5</c:v>
                </c:pt>
                <c:pt idx="16">
                  <c:v>91.5</c:v>
                </c:pt>
                <c:pt idx="17">
                  <c:v>92.5</c:v>
                </c:pt>
                <c:pt idx="18">
                  <c:v>91.6</c:v>
                </c:pt>
                <c:pt idx="19">
                  <c:v>92.5</c:v>
                </c:pt>
                <c:pt idx="20">
                  <c:v>93.2</c:v>
                </c:pt>
                <c:pt idx="21">
                  <c:v>92.8</c:v>
                </c:pt>
                <c:pt idx="22">
                  <c:v>93.5</c:v>
                </c:pt>
                <c:pt idx="23">
                  <c:v>94.8</c:v>
                </c:pt>
                <c:pt idx="24">
                  <c:v>94.3</c:v>
                </c:pt>
                <c:pt idx="25">
                  <c:v>93.4</c:v>
                </c:pt>
                <c:pt idx="26">
                  <c:v>92.9</c:v>
                </c:pt>
                <c:pt idx="27">
                  <c:v>93.2</c:v>
                </c:pt>
                <c:pt idx="28">
                  <c:v>93.8</c:v>
                </c:pt>
                <c:pt idx="29">
                  <c:v>95.5</c:v>
                </c:pt>
                <c:pt idx="30">
                  <c:v>94.6</c:v>
                </c:pt>
                <c:pt idx="31">
                  <c:v>94.2</c:v>
                </c:pt>
                <c:pt idx="32">
                  <c:v>94.4</c:v>
                </c:pt>
                <c:pt idx="33">
                  <c:v>93.2</c:v>
                </c:pt>
                <c:pt idx="34">
                  <c:v>94.2</c:v>
                </c:pt>
                <c:pt idx="35">
                  <c:v>94.3</c:v>
                </c:pt>
                <c:pt idx="36" formatCode="0.0">
                  <c:v>96</c:v>
                </c:pt>
                <c:pt idx="37" formatCode="0.0">
                  <c:v>95.3</c:v>
                </c:pt>
                <c:pt idx="38" formatCode="0.0">
                  <c:v>95.1</c:v>
                </c:pt>
                <c:pt idx="39" formatCode="0.0">
                  <c:v>93.8</c:v>
                </c:pt>
                <c:pt idx="40" formatCode="0.0">
                  <c:v>94.3</c:v>
                </c:pt>
                <c:pt idx="41" formatCode="0.0">
                  <c:v>93.5</c:v>
                </c:pt>
                <c:pt idx="42" formatCode="0.0">
                  <c:v>94</c:v>
                </c:pt>
                <c:pt idx="43" formatCode="0.0">
                  <c:v>95.3</c:v>
                </c:pt>
                <c:pt idx="44" formatCode="0.0">
                  <c:v>95.2</c:v>
                </c:pt>
                <c:pt idx="45" formatCode="0.0">
                  <c:v>95.2</c:v>
                </c:pt>
                <c:pt idx="46" formatCode="0.0">
                  <c:v>97.5</c:v>
                </c:pt>
                <c:pt idx="47" formatCode="0.0">
                  <c:v>97.1</c:v>
                </c:pt>
                <c:pt idx="48" formatCode="0.0">
                  <c:v>97</c:v>
                </c:pt>
                <c:pt idx="49" formatCode="0.0">
                  <c:v>95.9</c:v>
                </c:pt>
                <c:pt idx="50" formatCode="0.0">
                  <c:v>94.1</c:v>
                </c:pt>
                <c:pt idx="51" formatCode="0.0">
                  <c:v>95.1</c:v>
                </c:pt>
                <c:pt idx="52" formatCode="0.0">
                  <c:v>94.9</c:v>
                </c:pt>
                <c:pt idx="53" formatCode="0.0">
                  <c:v>95.2</c:v>
                </c:pt>
              </c:numCache>
            </c:numRef>
          </c:val>
        </c:ser>
        <c:ser>
          <c:idx val="2"/>
          <c:order val="2"/>
          <c:tx>
            <c:strRef>
              <c:f>'souhrnná výkonnost 2'!$E$5</c:f>
              <c:strCache>
                <c:ptCount val="1"/>
                <c:pt idx="0">
                  <c:v>Důvěra spotřebitelů</c:v>
                </c:pt>
              </c:strCache>
            </c:strRef>
          </c:tx>
          <c:spPr>
            <a:ln w="19050">
              <a:solidFill>
                <a:srgbClr val="BD1B21"/>
              </a:solidFill>
            </a:ln>
          </c:spPr>
          <c:marker>
            <c:symbol val="none"/>
          </c:marker>
          <c:cat>
            <c:multiLvlStrRef>
              <c:f>'souhrnná výkonnost 2'!$A$18:$B$71</c:f>
              <c:multiLvlStrCache>
                <c:ptCount val="54"/>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lvl>
                <c:lvl>
                  <c:pt idx="0">
                    <c:v>2013</c:v>
                  </c:pt>
                  <c:pt idx="12">
                    <c:v>2014</c:v>
                  </c:pt>
                  <c:pt idx="24">
                    <c:v>2015</c:v>
                  </c:pt>
                  <c:pt idx="36">
                    <c:v>2016</c:v>
                  </c:pt>
                  <c:pt idx="48">
                    <c:v>2017</c:v>
                  </c:pt>
                </c:lvl>
              </c:multiLvlStrCache>
            </c:multiLvlStrRef>
          </c:cat>
          <c:val>
            <c:numRef>
              <c:f>'souhrnná výkonnost 2'!$E$18:$E$71</c:f>
              <c:numCache>
                <c:formatCode>###,###,##0.0</c:formatCode>
                <c:ptCount val="54"/>
                <c:pt idx="0">
                  <c:v>73.8</c:v>
                </c:pt>
                <c:pt idx="1">
                  <c:v>79.5</c:v>
                </c:pt>
                <c:pt idx="2" formatCode="###,###,##0">
                  <c:v>81</c:v>
                </c:pt>
                <c:pt idx="3">
                  <c:v>77.900000000000006</c:v>
                </c:pt>
                <c:pt idx="4" formatCode="###,###,##0">
                  <c:v>82</c:v>
                </c:pt>
                <c:pt idx="5">
                  <c:v>82.8</c:v>
                </c:pt>
                <c:pt idx="6">
                  <c:v>81.3</c:v>
                </c:pt>
                <c:pt idx="7">
                  <c:v>84.9</c:v>
                </c:pt>
                <c:pt idx="8">
                  <c:v>87.7</c:v>
                </c:pt>
                <c:pt idx="9">
                  <c:v>88.5</c:v>
                </c:pt>
                <c:pt idx="10">
                  <c:v>92.8</c:v>
                </c:pt>
                <c:pt idx="11">
                  <c:v>92.6</c:v>
                </c:pt>
                <c:pt idx="12">
                  <c:v>96.9</c:v>
                </c:pt>
                <c:pt idx="13">
                  <c:v>93.1</c:v>
                </c:pt>
                <c:pt idx="14">
                  <c:v>96.7</c:v>
                </c:pt>
                <c:pt idx="15">
                  <c:v>98.4</c:v>
                </c:pt>
                <c:pt idx="16">
                  <c:v>98.2</c:v>
                </c:pt>
                <c:pt idx="17">
                  <c:v>99.4</c:v>
                </c:pt>
                <c:pt idx="18">
                  <c:v>99.9</c:v>
                </c:pt>
                <c:pt idx="19">
                  <c:v>97.9</c:v>
                </c:pt>
                <c:pt idx="20">
                  <c:v>96.3</c:v>
                </c:pt>
                <c:pt idx="21">
                  <c:v>100.2</c:v>
                </c:pt>
                <c:pt idx="22">
                  <c:v>103.6</c:v>
                </c:pt>
                <c:pt idx="23">
                  <c:v>105.1</c:v>
                </c:pt>
                <c:pt idx="24">
                  <c:v>106.7</c:v>
                </c:pt>
                <c:pt idx="25">
                  <c:v>105.7</c:v>
                </c:pt>
                <c:pt idx="26">
                  <c:v>105.7</c:v>
                </c:pt>
                <c:pt idx="27">
                  <c:v>104.3</c:v>
                </c:pt>
                <c:pt idx="28">
                  <c:v>103.6</c:v>
                </c:pt>
                <c:pt idx="29">
                  <c:v>104.3</c:v>
                </c:pt>
                <c:pt idx="30">
                  <c:v>103.6</c:v>
                </c:pt>
                <c:pt idx="31">
                  <c:v>103.6</c:v>
                </c:pt>
                <c:pt idx="32">
                  <c:v>103.3</c:v>
                </c:pt>
                <c:pt idx="33">
                  <c:v>104.8</c:v>
                </c:pt>
                <c:pt idx="34">
                  <c:v>105.3</c:v>
                </c:pt>
                <c:pt idx="35">
                  <c:v>107.4</c:v>
                </c:pt>
                <c:pt idx="36" formatCode="0.0">
                  <c:v>110</c:v>
                </c:pt>
                <c:pt idx="37" formatCode="0.0">
                  <c:v>106.2</c:v>
                </c:pt>
                <c:pt idx="38" formatCode="0.0">
                  <c:v>104.8</c:v>
                </c:pt>
                <c:pt idx="39" formatCode="0.0">
                  <c:v>104.3</c:v>
                </c:pt>
                <c:pt idx="40" formatCode="0.0">
                  <c:v>104.3</c:v>
                </c:pt>
                <c:pt idx="41" formatCode="0.0">
                  <c:v>103.8</c:v>
                </c:pt>
                <c:pt idx="42" formatCode="0.0">
                  <c:v>102.3</c:v>
                </c:pt>
                <c:pt idx="43" formatCode="0.0">
                  <c:v>104.3</c:v>
                </c:pt>
                <c:pt idx="44" formatCode="0.0">
                  <c:v>106.4</c:v>
                </c:pt>
                <c:pt idx="45" formatCode="0.0">
                  <c:v>108.9</c:v>
                </c:pt>
                <c:pt idx="46" formatCode="0.0">
                  <c:v>107.9</c:v>
                </c:pt>
                <c:pt idx="47" formatCode="0.0">
                  <c:v>108.7</c:v>
                </c:pt>
                <c:pt idx="48" formatCode="0.0">
                  <c:v>110</c:v>
                </c:pt>
                <c:pt idx="49" formatCode="0.0">
                  <c:v>108.2</c:v>
                </c:pt>
                <c:pt idx="50" formatCode="0.0">
                  <c:v>108.7</c:v>
                </c:pt>
                <c:pt idx="51" formatCode="0.0">
                  <c:v>108.4</c:v>
                </c:pt>
                <c:pt idx="52" formatCode="0.0">
                  <c:v>108.4</c:v>
                </c:pt>
                <c:pt idx="53" formatCode="0.0">
                  <c:v>106.2</c:v>
                </c:pt>
              </c:numCache>
            </c:numRef>
          </c:val>
        </c:ser>
        <c:ser>
          <c:idx val="1"/>
          <c:order val="3"/>
          <c:tx>
            <c:strRef>
              <c:f>'souhrnná výkonnost 2'!$F$5</c:f>
              <c:strCache>
                <c:ptCount val="1"/>
                <c:pt idx="0">
                  <c:v>Souhrnný indikátor</c:v>
                </c:pt>
              </c:strCache>
            </c:strRef>
          </c:tx>
          <c:spPr>
            <a:ln w="19050">
              <a:solidFill>
                <a:schemeClr val="tx1"/>
              </a:solidFill>
            </a:ln>
          </c:spPr>
          <c:marker>
            <c:symbol val="none"/>
          </c:marker>
          <c:cat>
            <c:multiLvlStrRef>
              <c:f>'souhrnná výkonnost 2'!$A$18:$B$71</c:f>
              <c:multiLvlStrCache>
                <c:ptCount val="54"/>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lvl>
                <c:lvl>
                  <c:pt idx="0">
                    <c:v>2013</c:v>
                  </c:pt>
                  <c:pt idx="12">
                    <c:v>2014</c:v>
                  </c:pt>
                  <c:pt idx="24">
                    <c:v>2015</c:v>
                  </c:pt>
                  <c:pt idx="36">
                    <c:v>2016</c:v>
                  </c:pt>
                  <c:pt idx="48">
                    <c:v>2017</c:v>
                  </c:pt>
                </c:lvl>
              </c:multiLvlStrCache>
            </c:multiLvlStrRef>
          </c:cat>
          <c:val>
            <c:numRef>
              <c:f>'souhrnná výkonnost 2'!$F$18:$F$71</c:f>
              <c:numCache>
                <c:formatCode>###,###,##0.0</c:formatCode>
                <c:ptCount val="54"/>
                <c:pt idx="0">
                  <c:v>82.8</c:v>
                </c:pt>
                <c:pt idx="1">
                  <c:v>84.2</c:v>
                </c:pt>
                <c:pt idx="2">
                  <c:v>84.4</c:v>
                </c:pt>
                <c:pt idx="3">
                  <c:v>81.900000000000006</c:v>
                </c:pt>
                <c:pt idx="4">
                  <c:v>83.3</c:v>
                </c:pt>
                <c:pt idx="5">
                  <c:v>83.8</c:v>
                </c:pt>
                <c:pt idx="6">
                  <c:v>83.6</c:v>
                </c:pt>
                <c:pt idx="7">
                  <c:v>84.8</c:v>
                </c:pt>
                <c:pt idx="8">
                  <c:v>87.5</c:v>
                </c:pt>
                <c:pt idx="9">
                  <c:v>88.9</c:v>
                </c:pt>
                <c:pt idx="10">
                  <c:v>90.4</c:v>
                </c:pt>
                <c:pt idx="11">
                  <c:v>91.2</c:v>
                </c:pt>
                <c:pt idx="12">
                  <c:v>91.3</c:v>
                </c:pt>
                <c:pt idx="13">
                  <c:v>91.2</c:v>
                </c:pt>
                <c:pt idx="14">
                  <c:v>92.4</c:v>
                </c:pt>
                <c:pt idx="15">
                  <c:v>92.6</c:v>
                </c:pt>
                <c:pt idx="16">
                  <c:v>92.6</c:v>
                </c:pt>
                <c:pt idx="17">
                  <c:v>93.6</c:v>
                </c:pt>
                <c:pt idx="18" formatCode="###,###,##0">
                  <c:v>93</c:v>
                </c:pt>
                <c:pt idx="19">
                  <c:v>93.4</c:v>
                </c:pt>
                <c:pt idx="20">
                  <c:v>93.7</c:v>
                </c:pt>
                <c:pt idx="21">
                  <c:v>94.1</c:v>
                </c:pt>
                <c:pt idx="22">
                  <c:v>95.2</c:v>
                </c:pt>
                <c:pt idx="23">
                  <c:v>96.5</c:v>
                </c:pt>
                <c:pt idx="24">
                  <c:v>96.4</c:v>
                </c:pt>
                <c:pt idx="25">
                  <c:v>95.5</c:v>
                </c:pt>
                <c:pt idx="26">
                  <c:v>95.1</c:v>
                </c:pt>
                <c:pt idx="27">
                  <c:v>95.1</c:v>
                </c:pt>
                <c:pt idx="28">
                  <c:v>95.5</c:v>
                </c:pt>
                <c:pt idx="29" formatCode="###,###,##0">
                  <c:v>97</c:v>
                </c:pt>
                <c:pt idx="30">
                  <c:v>96.1</c:v>
                </c:pt>
                <c:pt idx="31">
                  <c:v>95.7</c:v>
                </c:pt>
                <c:pt idx="32">
                  <c:v>95.9</c:v>
                </c:pt>
                <c:pt idx="33">
                  <c:v>95.1</c:v>
                </c:pt>
                <c:pt idx="34" formatCode="###,###,##0">
                  <c:v>96</c:v>
                </c:pt>
                <c:pt idx="35">
                  <c:v>96.5</c:v>
                </c:pt>
                <c:pt idx="36" formatCode="0.0">
                  <c:v>98.4</c:v>
                </c:pt>
                <c:pt idx="37" formatCode="0.0">
                  <c:v>97.1</c:v>
                </c:pt>
                <c:pt idx="38" formatCode="0.0">
                  <c:v>96.7</c:v>
                </c:pt>
                <c:pt idx="39" formatCode="0.0">
                  <c:v>95.6</c:v>
                </c:pt>
                <c:pt idx="40" formatCode="0.0">
                  <c:v>96</c:v>
                </c:pt>
                <c:pt idx="41" formatCode="0.0">
                  <c:v>95.3</c:v>
                </c:pt>
                <c:pt idx="42" formatCode="0.0">
                  <c:v>95.4</c:v>
                </c:pt>
                <c:pt idx="43" formatCode="0.0">
                  <c:v>96.8</c:v>
                </c:pt>
                <c:pt idx="44" formatCode="0.0">
                  <c:v>97.1</c:v>
                </c:pt>
                <c:pt idx="45" formatCode="0.0">
                  <c:v>97.5</c:v>
                </c:pt>
                <c:pt idx="46" formatCode="0.0">
                  <c:v>99.3</c:v>
                </c:pt>
                <c:pt idx="47" formatCode="0.0">
                  <c:v>99.1</c:v>
                </c:pt>
                <c:pt idx="48" formatCode="0.0">
                  <c:v>99.2</c:v>
                </c:pt>
                <c:pt idx="49" formatCode="0.0">
                  <c:v>98</c:v>
                </c:pt>
                <c:pt idx="50" formatCode="0.0">
                  <c:v>96.6</c:v>
                </c:pt>
                <c:pt idx="51" formatCode="0.0">
                  <c:v>97.4</c:v>
                </c:pt>
                <c:pt idx="52" formatCode="0.0">
                  <c:v>97.2</c:v>
                </c:pt>
                <c:pt idx="53" formatCode="0.0">
                  <c:v>97.1</c:v>
                </c:pt>
              </c:numCache>
            </c:numRef>
          </c:val>
        </c:ser>
        <c:marker val="1"/>
        <c:axId val="181843072"/>
        <c:axId val="181867264"/>
      </c:lineChart>
      <c:catAx>
        <c:axId val="181843072"/>
        <c:scaling>
          <c:orientation val="minMax"/>
        </c:scaling>
        <c:axPos val="b"/>
        <c:tickLblPos val="low"/>
        <c:spPr>
          <a:ln>
            <a:solidFill>
              <a:schemeClr val="tx1"/>
            </a:solidFill>
          </a:ln>
        </c:spPr>
        <c:crossAx val="181867264"/>
        <c:crossesAt val="100"/>
        <c:auto val="1"/>
        <c:lblAlgn val="ctr"/>
        <c:lblOffset val="100"/>
      </c:catAx>
      <c:valAx>
        <c:axId val="181867264"/>
        <c:scaling>
          <c:orientation val="minMax"/>
          <c:max val="130"/>
          <c:min val="70"/>
        </c:scaling>
        <c:axPos val="l"/>
        <c:majorGridlines>
          <c:spPr>
            <a:ln w="6350">
              <a:solidFill>
                <a:schemeClr val="bg1">
                  <a:lumMod val="75000"/>
                </a:schemeClr>
              </a:solidFill>
            </a:ln>
          </c:spPr>
        </c:majorGridlines>
        <c:numFmt formatCode="#,##0" sourceLinked="0"/>
        <c:tickLblPos val="nextTo"/>
        <c:spPr>
          <a:ln>
            <a:solidFill>
              <a:schemeClr val="tx1"/>
            </a:solidFill>
          </a:ln>
        </c:spPr>
        <c:crossAx val="181843072"/>
        <c:crosses val="autoZero"/>
        <c:crossBetween val="between"/>
        <c:majorUnit val="5"/>
      </c:valAx>
      <c:valAx>
        <c:axId val="181883648"/>
        <c:scaling>
          <c:orientation val="minMax"/>
          <c:min val="-6"/>
        </c:scaling>
        <c:axPos val="r"/>
        <c:numFmt formatCode="0" sourceLinked="0"/>
        <c:tickLblPos val="nextTo"/>
        <c:spPr>
          <a:ln>
            <a:solidFill>
              <a:schemeClr val="tx1"/>
            </a:solidFill>
          </a:ln>
        </c:spPr>
        <c:crossAx val="182072448"/>
        <c:crosses val="max"/>
        <c:crossBetween val="between"/>
        <c:majorUnit val="1"/>
      </c:valAx>
      <c:catAx>
        <c:axId val="182072448"/>
        <c:scaling>
          <c:orientation val="minMax"/>
        </c:scaling>
        <c:delete val="1"/>
        <c:axPos val="b"/>
        <c:tickLblPos val="none"/>
        <c:crossAx val="181883648"/>
        <c:crossesAt val="0"/>
        <c:auto val="1"/>
        <c:lblAlgn val="ctr"/>
        <c:lblOffset val="100"/>
      </c:catAx>
      <c:spPr>
        <a:ln>
          <a:solidFill>
            <a:schemeClr val="tx1"/>
          </a:solidFill>
        </a:ln>
      </c:spPr>
    </c:plotArea>
    <c:legend>
      <c:legendPos val="b"/>
      <c:layout>
        <c:manualLayout>
          <c:xMode val="edge"/>
          <c:yMode val="edge"/>
          <c:x val="6.2295583422442583E-2"/>
          <c:y val="0.9022883597883552"/>
          <c:w val="0.88075331324325201"/>
          <c:h val="8.2645784081954179E-2"/>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5577477727787412E-2"/>
          <c:y val="1.7107238390107429E-2"/>
          <c:w val="0.90191712370542265"/>
          <c:h val="0.80441990809425656"/>
        </c:manualLayout>
      </c:layout>
      <c:barChart>
        <c:barDir val="col"/>
        <c:grouping val="clustered"/>
        <c:ser>
          <c:idx val="2"/>
          <c:order val="4"/>
          <c:tx>
            <c:strRef>
              <c:f>'Státní rozpočet 1'!$A$40</c:f>
              <c:strCache>
                <c:ptCount val="1"/>
                <c:pt idx="0">
                  <c:v>Saldo státního rozpočtu (pravá osa)</c:v>
                </c:pt>
              </c:strCache>
            </c:strRef>
          </c:tx>
          <c:spPr>
            <a:solidFill>
              <a:sysClr val="window" lastClr="FFFFFF">
                <a:lumMod val="75000"/>
              </a:sysClr>
            </a:solidFill>
          </c:spPr>
          <c:cat>
            <c:strRef>
              <c:f>'Státní rozpočet 1'!$B$34:$N$35</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strRef>
          </c:cat>
          <c:val>
            <c:numRef>
              <c:f>'Státní rozpočet 1'!$B$40:$N$40</c:f>
              <c:numCache>
                <c:formatCode>#,##0.0</c:formatCode>
                <c:ptCount val="13"/>
                <c:pt idx="0">
                  <c:v>3.7600000000000002</c:v>
                </c:pt>
                <c:pt idx="1">
                  <c:v>7.64</c:v>
                </c:pt>
                <c:pt idx="2">
                  <c:v>1.2749999999999952</c:v>
                </c:pt>
                <c:pt idx="3">
                  <c:v>-5.6519999999999975</c:v>
                </c:pt>
                <c:pt idx="4">
                  <c:v>-68.259</c:v>
                </c:pt>
                <c:pt idx="5">
                  <c:v>-75.661999999999992</c:v>
                </c:pt>
                <c:pt idx="6">
                  <c:v>-62.855999999999995</c:v>
                </c:pt>
                <c:pt idx="7">
                  <c:v>-71.721999999999994</c:v>
                </c:pt>
                <c:pt idx="8">
                  <c:v>-31.52</c:v>
                </c:pt>
                <c:pt idx="9">
                  <c:v>1.45</c:v>
                </c:pt>
                <c:pt idx="10">
                  <c:v>22.650000000000031</c:v>
                </c:pt>
                <c:pt idx="11">
                  <c:v>40.65</c:v>
                </c:pt>
                <c:pt idx="12">
                  <c:v>4.6199999999999966</c:v>
                </c:pt>
              </c:numCache>
            </c:numRef>
          </c:val>
        </c:ser>
        <c:gapWidth val="43"/>
        <c:axId val="182583680"/>
        <c:axId val="182315648"/>
      </c:barChart>
      <c:lineChart>
        <c:grouping val="standard"/>
        <c:ser>
          <c:idx val="0"/>
          <c:order val="0"/>
          <c:tx>
            <c:strRef>
              <c:f>'Státní rozpočet 1'!$A$36</c:f>
              <c:strCache>
                <c:ptCount val="1"/>
                <c:pt idx="0">
                  <c:v>DPH</c:v>
                </c:pt>
              </c:strCache>
            </c:strRef>
          </c:tx>
          <c:spPr>
            <a:ln w="19050">
              <a:solidFill>
                <a:srgbClr val="BD1B25"/>
              </a:solidFill>
            </a:ln>
          </c:spPr>
          <c:marker>
            <c:symbol val="none"/>
          </c:marker>
          <c:cat>
            <c:strRef>
              <c:f>'Státní rozpočet 1'!$B$34:$N$35</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strRef>
          </c:cat>
          <c:val>
            <c:numRef>
              <c:f>'Státní rozpočet 1'!$B$36:$N$36</c:f>
              <c:numCache>
                <c:formatCode>0.0</c:formatCode>
                <c:ptCount val="13"/>
                <c:pt idx="0">
                  <c:v>20.770252324037173</c:v>
                </c:pt>
                <c:pt idx="1">
                  <c:v>11.996921046844065</c:v>
                </c:pt>
                <c:pt idx="2">
                  <c:v>11.958762886597954</c:v>
                </c:pt>
                <c:pt idx="3">
                  <c:v>4.9022187143734381</c:v>
                </c:pt>
                <c:pt idx="4">
                  <c:v>-1.4629660591874305</c:v>
                </c:pt>
                <c:pt idx="5">
                  <c:v>7.6355306693815033</c:v>
                </c:pt>
                <c:pt idx="6">
                  <c:v>6.9047056041617481</c:v>
                </c:pt>
                <c:pt idx="7">
                  <c:v>-5.419155054191549</c:v>
                </c:pt>
                <c:pt idx="8">
                  <c:v>13.88369192391643</c:v>
                </c:pt>
                <c:pt idx="9">
                  <c:v>6.8861660620165708</c:v>
                </c:pt>
                <c:pt idx="10">
                  <c:v>-4.828690361831562</c:v>
                </c:pt>
                <c:pt idx="11">
                  <c:v>6.0022878675728455</c:v>
                </c:pt>
                <c:pt idx="12">
                  <c:v>14.060813813241975</c:v>
                </c:pt>
              </c:numCache>
            </c:numRef>
          </c:val>
        </c:ser>
        <c:ser>
          <c:idx val="1"/>
          <c:order val="1"/>
          <c:tx>
            <c:strRef>
              <c:f>'Státní rozpočet 1'!$A$37</c:f>
              <c:strCache>
                <c:ptCount val="1"/>
                <c:pt idx="0">
                  <c:v>Spotřební daň</c:v>
                </c:pt>
              </c:strCache>
            </c:strRef>
          </c:tx>
          <c:spPr>
            <a:ln w="19050">
              <a:solidFill>
                <a:srgbClr val="7DBB2D"/>
              </a:solidFill>
              <a:prstDash val="solid"/>
            </a:ln>
          </c:spPr>
          <c:marker>
            <c:symbol val="none"/>
          </c:marker>
          <c:cat>
            <c:strRef>
              <c:f>'Státní rozpočet 1'!$B$34:$N$35</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strRef>
          </c:cat>
          <c:val>
            <c:numRef>
              <c:f>'Státní rozpočet 1'!$B$37:$N$37</c:f>
              <c:numCache>
                <c:formatCode>0.0</c:formatCode>
                <c:ptCount val="13"/>
                <c:pt idx="0">
                  <c:v>35.457324241711518</c:v>
                </c:pt>
                <c:pt idx="1">
                  <c:v>19.128623502864006</c:v>
                </c:pt>
                <c:pt idx="2">
                  <c:v>-13.434358152411439</c:v>
                </c:pt>
                <c:pt idx="3">
                  <c:v>3.3327722605622077</c:v>
                </c:pt>
                <c:pt idx="4">
                  <c:v>-4.593582016615068</c:v>
                </c:pt>
                <c:pt idx="5">
                  <c:v>12.053952535427758</c:v>
                </c:pt>
                <c:pt idx="6">
                  <c:v>6.4604601554167402</c:v>
                </c:pt>
                <c:pt idx="7">
                  <c:v>-2.6334621439816743</c:v>
                </c:pt>
                <c:pt idx="8">
                  <c:v>-3.0721740408643292</c:v>
                </c:pt>
                <c:pt idx="9">
                  <c:v>10.646041856232927</c:v>
                </c:pt>
                <c:pt idx="10">
                  <c:v>-3.8240131578947247</c:v>
                </c:pt>
                <c:pt idx="11">
                  <c:v>7.7668519310246724</c:v>
                </c:pt>
                <c:pt idx="12">
                  <c:v>0.806664903464681</c:v>
                </c:pt>
              </c:numCache>
            </c:numRef>
          </c:val>
        </c:ser>
        <c:ser>
          <c:idx val="3"/>
          <c:order val="2"/>
          <c:tx>
            <c:strRef>
              <c:f>'Státní rozpočet 1'!$A$38</c:f>
              <c:strCache>
                <c:ptCount val="1"/>
                <c:pt idx="0">
                  <c:v>Daně z příjmů FO ze závislé činnosti</c:v>
                </c:pt>
              </c:strCache>
            </c:strRef>
          </c:tx>
          <c:spPr>
            <a:ln w="19050">
              <a:solidFill>
                <a:srgbClr val="0071BC"/>
              </a:solidFill>
              <a:prstDash val="solid"/>
            </a:ln>
          </c:spPr>
          <c:marker>
            <c:symbol val="none"/>
          </c:marker>
          <c:cat>
            <c:strRef>
              <c:f>'Státní rozpočet 1'!$B$34:$N$35</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strRef>
          </c:cat>
          <c:val>
            <c:numRef>
              <c:f>'Státní rozpočet 1'!$B$38:$N$38</c:f>
              <c:numCache>
                <c:formatCode>0.0</c:formatCode>
                <c:ptCount val="13"/>
                <c:pt idx="0">
                  <c:v>7.2278911564625865</c:v>
                </c:pt>
                <c:pt idx="1">
                  <c:v>2.2997620935765468</c:v>
                </c:pt>
                <c:pt idx="2">
                  <c:v>12.20930232558139</c:v>
                </c:pt>
                <c:pt idx="3">
                  <c:v>-5.4749568221070746</c:v>
                </c:pt>
                <c:pt idx="4">
                  <c:v>-6.0661428832450213</c:v>
                </c:pt>
                <c:pt idx="5">
                  <c:v>-0.11670881151526658</c:v>
                </c:pt>
                <c:pt idx="6">
                  <c:v>6.6601752677701755</c:v>
                </c:pt>
                <c:pt idx="7">
                  <c:v>2.2092386342888282</c:v>
                </c:pt>
                <c:pt idx="8">
                  <c:v>5.4841014648088731</c:v>
                </c:pt>
                <c:pt idx="9">
                  <c:v>4.7417442845046978</c:v>
                </c:pt>
                <c:pt idx="10">
                  <c:v>1.0509296685529488</c:v>
                </c:pt>
                <c:pt idx="11">
                  <c:v>10.704000000000008</c:v>
                </c:pt>
                <c:pt idx="12">
                  <c:v>12.559618441971381</c:v>
                </c:pt>
              </c:numCache>
            </c:numRef>
          </c:val>
        </c:ser>
        <c:ser>
          <c:idx val="4"/>
          <c:order val="3"/>
          <c:tx>
            <c:strRef>
              <c:f>'Státní rozpočet 1'!$A$39</c:f>
              <c:strCache>
                <c:ptCount val="1"/>
                <c:pt idx="0">
                  <c:v>Daně z příjmů právnických osob (PO)</c:v>
                </c:pt>
              </c:strCache>
            </c:strRef>
          </c:tx>
          <c:spPr>
            <a:ln w="19050">
              <a:noFill/>
            </a:ln>
          </c:spPr>
          <c:marker>
            <c:symbol val="diamond"/>
            <c:size val="6"/>
            <c:spPr>
              <a:solidFill>
                <a:srgbClr val="984807"/>
              </a:solidFill>
              <a:ln>
                <a:noFill/>
              </a:ln>
            </c:spPr>
          </c:marker>
          <c:cat>
            <c:strRef>
              <c:f>'Státní rozpočet 1'!$B$34:$N$35</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strRef>
          </c:cat>
          <c:val>
            <c:numRef>
              <c:f>'Státní rozpočet 1'!$B$39:$N$39</c:f>
              <c:numCache>
                <c:formatCode>0.0</c:formatCode>
                <c:ptCount val="13"/>
                <c:pt idx="0">
                  <c:v>26.596315507064929</c:v>
                </c:pt>
                <c:pt idx="1">
                  <c:v>5.9197513421870553</c:v>
                </c:pt>
                <c:pt idx="2">
                  <c:v>-1.3872215552887752</c:v>
                </c:pt>
                <c:pt idx="3">
                  <c:v>26.565670228594588</c:v>
                </c:pt>
                <c:pt idx="4">
                  <c:v>-22.293470129314954</c:v>
                </c:pt>
                <c:pt idx="5">
                  <c:v>10.16366387016917</c:v>
                </c:pt>
                <c:pt idx="6">
                  <c:v>-13.50811485642947</c:v>
                </c:pt>
                <c:pt idx="7">
                  <c:v>-1.8042725173210101</c:v>
                </c:pt>
                <c:pt idx="8">
                  <c:v>-2.6458915184477498</c:v>
                </c:pt>
                <c:pt idx="9">
                  <c:v>8.3949871659368949</c:v>
                </c:pt>
                <c:pt idx="10">
                  <c:v>8.3855690207550229</c:v>
                </c:pt>
                <c:pt idx="11">
                  <c:v>11.425266675234539</c:v>
                </c:pt>
                <c:pt idx="12">
                  <c:v>7.5778546712802655</c:v>
                </c:pt>
              </c:numCache>
            </c:numRef>
          </c:val>
        </c:ser>
        <c:marker val="1"/>
        <c:axId val="182303744"/>
        <c:axId val="182314112"/>
      </c:lineChart>
      <c:catAx>
        <c:axId val="182303744"/>
        <c:scaling>
          <c:orientation val="minMax"/>
        </c:scaling>
        <c:axPos val="b"/>
        <c:numFmt formatCode="General" sourceLinked="1"/>
        <c:tickLblPos val="low"/>
        <c:spPr>
          <a:ln>
            <a:solidFill>
              <a:schemeClr val="tx1"/>
            </a:solidFill>
          </a:ln>
        </c:spPr>
        <c:crossAx val="182314112"/>
        <c:crosses val="autoZero"/>
        <c:auto val="1"/>
        <c:lblAlgn val="ctr"/>
        <c:lblOffset val="0"/>
      </c:catAx>
      <c:valAx>
        <c:axId val="182314112"/>
        <c:scaling>
          <c:orientation val="minMax"/>
          <c:max val="35"/>
          <c:min val="-40"/>
        </c:scaling>
        <c:axPos val="l"/>
        <c:majorGridlines>
          <c:spPr>
            <a:ln w="6350">
              <a:solidFill>
                <a:schemeClr val="bg1">
                  <a:lumMod val="75000"/>
                </a:schemeClr>
              </a:solidFill>
            </a:ln>
          </c:spPr>
        </c:majorGridlines>
        <c:numFmt formatCode="0" sourceLinked="0"/>
        <c:tickLblPos val="nextTo"/>
        <c:spPr>
          <a:ln>
            <a:solidFill>
              <a:schemeClr val="tx1"/>
            </a:solidFill>
          </a:ln>
        </c:spPr>
        <c:crossAx val="182303744"/>
        <c:crosses val="autoZero"/>
        <c:crossBetween val="between"/>
        <c:majorUnit val="5"/>
      </c:valAx>
      <c:valAx>
        <c:axId val="182315648"/>
        <c:scaling>
          <c:orientation val="minMax"/>
          <c:max val="70"/>
          <c:min val="-80"/>
        </c:scaling>
        <c:axPos val="r"/>
        <c:numFmt formatCode="#,##0" sourceLinked="0"/>
        <c:tickLblPos val="nextTo"/>
        <c:crossAx val="182583680"/>
        <c:crosses val="max"/>
        <c:crossBetween val="between"/>
        <c:majorUnit val="10"/>
      </c:valAx>
      <c:catAx>
        <c:axId val="182583680"/>
        <c:scaling>
          <c:orientation val="minMax"/>
        </c:scaling>
        <c:delete val="1"/>
        <c:axPos val="b"/>
        <c:tickLblPos val="none"/>
        <c:crossAx val="182315648"/>
        <c:crosses val="autoZero"/>
        <c:auto val="1"/>
        <c:lblAlgn val="ctr"/>
        <c:lblOffset val="100"/>
      </c:catAx>
      <c:spPr>
        <a:ln>
          <a:solidFill>
            <a:schemeClr val="tx1"/>
          </a:solidFill>
        </a:ln>
      </c:spPr>
    </c:plotArea>
    <c:legend>
      <c:legendPos val="b"/>
      <c:layout>
        <c:manualLayout>
          <c:xMode val="edge"/>
          <c:yMode val="edge"/>
          <c:x val="5.1878156565656246E-2"/>
          <c:y val="0.87269019274376791"/>
          <c:w val="0.88910690235690248"/>
          <c:h val="0.12011026077097522"/>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6.5885856591416561E-2"/>
          <c:y val="2.1967687074830006E-2"/>
          <c:w val="0.92164178636877447"/>
          <c:h val="0.79758786848072549"/>
        </c:manualLayout>
      </c:layout>
      <c:barChart>
        <c:barDir val="col"/>
        <c:grouping val="stacked"/>
        <c:ser>
          <c:idx val="0"/>
          <c:order val="0"/>
          <c:tx>
            <c:strRef>
              <c:f>'Státní rozpočet 2'!$A$77</c:f>
              <c:strCache>
                <c:ptCount val="1"/>
                <c:pt idx="0">
                  <c:v>Strukturální fondy</c:v>
                </c:pt>
              </c:strCache>
            </c:strRef>
          </c:tx>
          <c:spPr>
            <a:solidFill>
              <a:srgbClr val="BD1B25"/>
            </a:solidFill>
            <a:ln>
              <a:noFill/>
            </a:ln>
          </c:spPr>
          <c:cat>
            <c:numRef>
              <c:f>'Státní rozpočet 2'!$B$76:$N$76</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2'!$B$77:$N$77</c:f>
              <c:numCache>
                <c:formatCode>#,##0.0</c:formatCode>
                <c:ptCount val="13"/>
                <c:pt idx="0">
                  <c:v>3.2596999999999987</c:v>
                </c:pt>
                <c:pt idx="1">
                  <c:v>0.76380000000000259</c:v>
                </c:pt>
                <c:pt idx="2">
                  <c:v>2.9116999999999913</c:v>
                </c:pt>
                <c:pt idx="3">
                  <c:v>18.781729999999882</c:v>
                </c:pt>
                <c:pt idx="4">
                  <c:v>19.819170000000035</c:v>
                </c:pt>
                <c:pt idx="5">
                  <c:v>15.15996</c:v>
                </c:pt>
                <c:pt idx="6">
                  <c:v>12.547209999999998</c:v>
                </c:pt>
                <c:pt idx="7">
                  <c:v>4.2539899999999955</c:v>
                </c:pt>
                <c:pt idx="8">
                  <c:v>11.90465</c:v>
                </c:pt>
                <c:pt idx="9">
                  <c:v>34.893100000000011</c:v>
                </c:pt>
                <c:pt idx="10">
                  <c:v>96.006079999999983</c:v>
                </c:pt>
                <c:pt idx="11">
                  <c:v>36.659170023613044</c:v>
                </c:pt>
                <c:pt idx="12">
                  <c:v>7.5708382493577426</c:v>
                </c:pt>
              </c:numCache>
            </c:numRef>
          </c:val>
        </c:ser>
        <c:ser>
          <c:idx val="1"/>
          <c:order val="1"/>
          <c:tx>
            <c:strRef>
              <c:f>'Státní rozpočet 2'!$A$78</c:f>
              <c:strCache>
                <c:ptCount val="1"/>
                <c:pt idx="0">
                  <c:v>Fond soudržnosti</c:v>
                </c:pt>
              </c:strCache>
            </c:strRef>
          </c:tx>
          <c:spPr>
            <a:solidFill>
              <a:srgbClr val="F8A124"/>
            </a:solidFill>
            <a:ln>
              <a:noFill/>
            </a:ln>
          </c:spPr>
          <c:cat>
            <c:numRef>
              <c:f>'Státní rozpočet 2'!$B$76:$N$76</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2'!$B$78:$N$78</c:f>
              <c:numCache>
                <c:formatCode>#,##0.0</c:formatCode>
                <c:ptCount val="13"/>
                <c:pt idx="0">
                  <c:v>0.35230000000000106</c:v>
                </c:pt>
                <c:pt idx="1">
                  <c:v>3.6486000000000001</c:v>
                </c:pt>
                <c:pt idx="2">
                  <c:v>0.42590000000000106</c:v>
                </c:pt>
                <c:pt idx="3">
                  <c:v>13.973800000000002</c:v>
                </c:pt>
                <c:pt idx="4">
                  <c:v>11.58196</c:v>
                </c:pt>
                <c:pt idx="5">
                  <c:v>4.0828199999999955</c:v>
                </c:pt>
                <c:pt idx="6">
                  <c:v>0.86347000000000063</c:v>
                </c:pt>
                <c:pt idx="7">
                  <c:v>0.20305000000000001</c:v>
                </c:pt>
                <c:pt idx="8">
                  <c:v>0.47140000000000032</c:v>
                </c:pt>
                <c:pt idx="9">
                  <c:v>17.878209999999989</c:v>
                </c:pt>
                <c:pt idx="10">
                  <c:v>29.547130000000003</c:v>
                </c:pt>
                <c:pt idx="11">
                  <c:v>27.58825387631892</c:v>
                </c:pt>
                <c:pt idx="12">
                  <c:v>6.3277452996307018</c:v>
                </c:pt>
              </c:numCache>
            </c:numRef>
          </c:val>
        </c:ser>
        <c:ser>
          <c:idx val="2"/>
          <c:order val="2"/>
          <c:tx>
            <c:strRef>
              <c:f>'Státní rozpočet 2'!$A$79</c:f>
              <c:strCache>
                <c:ptCount val="1"/>
                <c:pt idx="0">
                  <c:v>Přímé platby v zemědělství*</c:v>
                </c:pt>
              </c:strCache>
            </c:strRef>
          </c:tx>
          <c:spPr>
            <a:solidFill>
              <a:srgbClr val="47AEE7"/>
            </a:solidFill>
            <a:ln>
              <a:noFill/>
            </a:ln>
          </c:spPr>
          <c:cat>
            <c:numRef>
              <c:f>'Státní rozpočet 2'!$B$76:$N$76</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2'!$B$79:$N$79</c:f>
              <c:numCache>
                <c:formatCode>#,##0.0</c:formatCode>
                <c:ptCount val="13"/>
                <c:pt idx="0">
                  <c:v>6.8854999999999995</c:v>
                </c:pt>
                <c:pt idx="1">
                  <c:v>8.5137550000000015</c:v>
                </c:pt>
                <c:pt idx="2">
                  <c:v>10.171150000000001</c:v>
                </c:pt>
                <c:pt idx="3">
                  <c:v>9.5222000000000016</c:v>
                </c:pt>
                <c:pt idx="4">
                  <c:v>13.3177</c:v>
                </c:pt>
                <c:pt idx="5">
                  <c:v>14.18098</c:v>
                </c:pt>
                <c:pt idx="6">
                  <c:v>15.741469999999998</c:v>
                </c:pt>
                <c:pt idx="7">
                  <c:v>18.786939999999909</c:v>
                </c:pt>
                <c:pt idx="8">
                  <c:v>21.01</c:v>
                </c:pt>
                <c:pt idx="9">
                  <c:v>24.161349999999917</c:v>
                </c:pt>
                <c:pt idx="10">
                  <c:v>23.599900000000005</c:v>
                </c:pt>
                <c:pt idx="11">
                  <c:v>18.645387208474506</c:v>
                </c:pt>
                <c:pt idx="12">
                  <c:v>21.912326264663875</c:v>
                </c:pt>
              </c:numCache>
            </c:numRef>
          </c:val>
        </c:ser>
        <c:ser>
          <c:idx val="3"/>
          <c:order val="3"/>
          <c:tx>
            <c:strRef>
              <c:f>'Státní rozpočet 2'!$A$80</c:f>
              <c:strCache>
                <c:ptCount val="1"/>
                <c:pt idx="0">
                  <c:v>Rozvoj venkova a rybářství</c:v>
                </c:pt>
              </c:strCache>
            </c:strRef>
          </c:tx>
          <c:spPr>
            <a:solidFill>
              <a:srgbClr val="0071BC"/>
            </a:solidFill>
            <a:ln>
              <a:noFill/>
            </a:ln>
          </c:spPr>
          <c:cat>
            <c:numRef>
              <c:f>'Státní rozpočet 2'!$B$76:$N$76</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2'!$B$80:$N$80</c:f>
              <c:numCache>
                <c:formatCode>#,##0.0</c:formatCode>
                <c:ptCount val="13"/>
                <c:pt idx="0">
                  <c:v>1.7181999999999957</c:v>
                </c:pt>
                <c:pt idx="1">
                  <c:v>2.2130999999999998</c:v>
                </c:pt>
                <c:pt idx="2">
                  <c:v>3.0166999999999913</c:v>
                </c:pt>
                <c:pt idx="3">
                  <c:v>2.1449900000000084</c:v>
                </c:pt>
                <c:pt idx="4">
                  <c:v>6.0011899999999985</c:v>
                </c:pt>
                <c:pt idx="5">
                  <c:v>7.4794200000000179</c:v>
                </c:pt>
                <c:pt idx="6">
                  <c:v>7.7303300000000004</c:v>
                </c:pt>
                <c:pt idx="7">
                  <c:v>7.6745099999999855</c:v>
                </c:pt>
                <c:pt idx="8">
                  <c:v>6.80227</c:v>
                </c:pt>
                <c:pt idx="9">
                  <c:v>6.2812100000000024</c:v>
                </c:pt>
                <c:pt idx="10">
                  <c:v>1.3738199999999998</c:v>
                </c:pt>
                <c:pt idx="11">
                  <c:v>3.0041342681294609</c:v>
                </c:pt>
                <c:pt idx="12">
                  <c:v>3.6522234276508767</c:v>
                </c:pt>
              </c:numCache>
            </c:numRef>
          </c:val>
        </c:ser>
        <c:ser>
          <c:idx val="4"/>
          <c:order val="4"/>
          <c:tx>
            <c:strRef>
              <c:f>'Státní rozpočet 2'!$A$81</c:f>
              <c:strCache>
                <c:ptCount val="1"/>
                <c:pt idx="0">
                  <c:v>Ostatní příjmy</c:v>
                </c:pt>
              </c:strCache>
            </c:strRef>
          </c:tx>
          <c:spPr>
            <a:solidFill>
              <a:srgbClr val="BFBFBF"/>
            </a:solidFill>
            <a:ln>
              <a:noFill/>
            </a:ln>
          </c:spPr>
          <c:cat>
            <c:numRef>
              <c:f>'Státní rozpočet 2'!$B$76:$N$76</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2'!$B$81:$N$81</c:f>
              <c:numCache>
                <c:formatCode>#,##0.0</c:formatCode>
                <c:ptCount val="13"/>
                <c:pt idx="0">
                  <c:v>5.6441999999999855</c:v>
                </c:pt>
                <c:pt idx="1">
                  <c:v>3.1660999999999997</c:v>
                </c:pt>
                <c:pt idx="2">
                  <c:v>0.51729999999999998</c:v>
                </c:pt>
                <c:pt idx="3">
                  <c:v>0</c:v>
                </c:pt>
                <c:pt idx="4">
                  <c:v>0.58942999999999957</c:v>
                </c:pt>
                <c:pt idx="5">
                  <c:v>0.48283000000000031</c:v>
                </c:pt>
                <c:pt idx="6">
                  <c:v>0</c:v>
                </c:pt>
                <c:pt idx="7">
                  <c:v>0</c:v>
                </c:pt>
                <c:pt idx="8">
                  <c:v>0</c:v>
                </c:pt>
                <c:pt idx="9">
                  <c:v>0</c:v>
                </c:pt>
                <c:pt idx="10">
                  <c:v>0</c:v>
                </c:pt>
                <c:pt idx="11">
                  <c:v>0</c:v>
                </c:pt>
                <c:pt idx="12">
                  <c:v>0</c:v>
                </c:pt>
              </c:numCache>
            </c:numRef>
          </c:val>
        </c:ser>
        <c:gapWidth val="39"/>
        <c:overlap val="100"/>
        <c:axId val="182616064"/>
        <c:axId val="182617600"/>
      </c:barChart>
      <c:lineChart>
        <c:grouping val="standard"/>
        <c:ser>
          <c:idx val="5"/>
          <c:order val="5"/>
          <c:tx>
            <c:strRef>
              <c:f>'Státní rozpočet 2'!$A$82</c:f>
              <c:strCache>
                <c:ptCount val="1"/>
                <c:pt idx="0">
                  <c:v>Čistá pozice vůči rozpočtu EU</c:v>
                </c:pt>
              </c:strCache>
            </c:strRef>
          </c:tx>
          <c:spPr>
            <a:ln w="19050">
              <a:solidFill>
                <a:schemeClr val="tx1">
                  <a:lumMod val="95000"/>
                  <a:lumOff val="5000"/>
                </a:schemeClr>
              </a:solidFill>
            </a:ln>
          </c:spPr>
          <c:marker>
            <c:symbol val="none"/>
          </c:marker>
          <c:cat>
            <c:numRef>
              <c:f>'Státní rozpočet 2'!$B$76:$N$76</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2'!$B$82:$N$82</c:f>
              <c:numCache>
                <c:formatCode>#,##0.0</c:formatCode>
                <c:ptCount val="13"/>
                <c:pt idx="0">
                  <c:v>2.6703000000000001</c:v>
                </c:pt>
                <c:pt idx="1">
                  <c:v>3.1989999999999998</c:v>
                </c:pt>
                <c:pt idx="2">
                  <c:v>2.1196999999999977</c:v>
                </c:pt>
                <c:pt idx="3">
                  <c:v>26.209389999999928</c:v>
                </c:pt>
                <c:pt idx="4">
                  <c:v>29.07404</c:v>
                </c:pt>
                <c:pt idx="5">
                  <c:v>22.706880000000005</c:v>
                </c:pt>
                <c:pt idx="6">
                  <c:v>17.385659999999913</c:v>
                </c:pt>
                <c:pt idx="7">
                  <c:v>6.8634399999999856</c:v>
                </c:pt>
                <c:pt idx="8">
                  <c:v>14.966500000000037</c:v>
                </c:pt>
                <c:pt idx="9">
                  <c:v>56.419000000000004</c:v>
                </c:pt>
                <c:pt idx="10">
                  <c:v>126.82836999999998</c:v>
                </c:pt>
                <c:pt idx="11">
                  <c:v>66.611208234866069</c:v>
                </c:pt>
                <c:pt idx="12">
                  <c:v>16.659537298133266</c:v>
                </c:pt>
              </c:numCache>
            </c:numRef>
          </c:val>
        </c:ser>
        <c:marker val="1"/>
        <c:axId val="182616064"/>
        <c:axId val="182617600"/>
      </c:lineChart>
      <c:catAx>
        <c:axId val="182616064"/>
        <c:scaling>
          <c:orientation val="minMax"/>
        </c:scaling>
        <c:axPos val="b"/>
        <c:numFmt formatCode="General" sourceLinked="1"/>
        <c:tickLblPos val="nextTo"/>
        <c:txPr>
          <a:bodyPr/>
          <a:lstStyle/>
          <a:p>
            <a:pPr>
              <a:defRPr sz="800">
                <a:latin typeface="Arial" pitchFamily="34" charset="0"/>
                <a:cs typeface="Arial" pitchFamily="34" charset="0"/>
              </a:defRPr>
            </a:pPr>
            <a:endParaRPr lang="cs-CZ"/>
          </a:p>
        </c:txPr>
        <c:crossAx val="182617600"/>
        <c:crosses val="autoZero"/>
        <c:auto val="1"/>
        <c:lblAlgn val="ctr"/>
        <c:lblOffset val="20"/>
      </c:catAx>
      <c:valAx>
        <c:axId val="182617600"/>
        <c:scaling>
          <c:orientation val="minMax"/>
          <c:max val="160"/>
          <c:min val="0"/>
        </c:scaling>
        <c:axPos val="l"/>
        <c:majorGridlines>
          <c:spPr>
            <a:ln w="6350">
              <a:solidFill>
                <a:srgbClr val="BFBFBF"/>
              </a:solidFill>
            </a:ln>
          </c:spPr>
        </c:majorGridlines>
        <c:numFmt formatCode="#,##0" sourceLinked="0"/>
        <c:tickLblPos val="nextTo"/>
        <c:txPr>
          <a:bodyPr/>
          <a:lstStyle/>
          <a:p>
            <a:pPr>
              <a:defRPr sz="800">
                <a:latin typeface="Arial" pitchFamily="34" charset="0"/>
                <a:cs typeface="Arial" pitchFamily="34" charset="0"/>
              </a:defRPr>
            </a:pPr>
            <a:endParaRPr lang="cs-CZ"/>
          </a:p>
        </c:txPr>
        <c:crossAx val="182616064"/>
        <c:crosses val="autoZero"/>
        <c:crossBetween val="between"/>
        <c:majorUnit val="10"/>
      </c:valAx>
      <c:spPr>
        <a:ln>
          <a:solidFill>
            <a:schemeClr val="tx1">
              <a:lumMod val="95000"/>
              <a:lumOff val="5000"/>
            </a:schemeClr>
          </a:solidFill>
        </a:ln>
      </c:spPr>
    </c:plotArea>
    <c:legend>
      <c:legendPos val="r"/>
      <c:layout>
        <c:manualLayout>
          <c:xMode val="edge"/>
          <c:yMode val="edge"/>
          <c:x val="6.3517658206840313E-2"/>
          <c:y val="0.86898582766440613"/>
          <c:w val="0.92018571517242886"/>
          <c:h val="0.12237414965986392"/>
        </c:manualLayout>
      </c:layout>
      <c:spPr>
        <a:ln>
          <a:solidFill>
            <a:schemeClr val="tx1">
              <a:lumMod val="95000"/>
              <a:lumOff val="5000"/>
            </a:schemeClr>
          </a:solidFill>
        </a:ln>
      </c:spPr>
      <c:txPr>
        <a:bodyPr/>
        <a:lstStyle/>
        <a:p>
          <a:pPr>
            <a:defRPr sz="800">
              <a:latin typeface="Arial" pitchFamily="34" charset="0"/>
              <a:cs typeface="Arial" pitchFamily="34" charset="0"/>
            </a:defRPr>
          </a:pPr>
          <a:endParaRPr lang="cs-CZ"/>
        </a:p>
      </c:txPr>
    </c:legend>
    <c:plotVisOnly val="1"/>
    <c:dispBlanksAs val="gap"/>
  </c:chart>
  <c:spPr>
    <a:ln>
      <a:noFill/>
    </a:ln>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5.3654503640965086E-2"/>
          <c:y val="2.5575113378684816E-2"/>
          <c:w val="0.88571919735113291"/>
          <c:h val="0.75695549886621361"/>
        </c:manualLayout>
      </c:layout>
      <c:barChart>
        <c:barDir val="col"/>
        <c:grouping val="clustered"/>
        <c:ser>
          <c:idx val="0"/>
          <c:order val="0"/>
          <c:tx>
            <c:strRef>
              <c:f>'Státní rozpočet 3'!$B$31</c:f>
              <c:strCache>
                <c:ptCount val="1"/>
                <c:pt idx="0">
                  <c:v>Běžné výdaje (pravá osa)</c:v>
                </c:pt>
              </c:strCache>
            </c:strRef>
          </c:tx>
          <c:spPr>
            <a:solidFill>
              <a:schemeClr val="bg1">
                <a:lumMod val="75000"/>
              </a:schemeClr>
            </a:solidFill>
            <a:ln>
              <a:noFill/>
            </a:ln>
          </c:spPr>
          <c:cat>
            <c:numRef>
              <c:f>'Státní rozpočet 3'!$A$32:$A$44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20017</c:v>
                </c:pt>
              </c:numCache>
            </c:numRef>
          </c:cat>
          <c:val>
            <c:numRef>
              <c:f>'Státní rozpočet 3'!$B$32:$B$44</c:f>
              <c:numCache>
                <c:formatCode>0.0</c:formatCode>
                <c:ptCount val="13"/>
                <c:pt idx="0">
                  <c:v>402.04</c:v>
                </c:pt>
                <c:pt idx="1">
                  <c:v>437.53299999999973</c:v>
                </c:pt>
                <c:pt idx="2">
                  <c:v>455.274</c:v>
                </c:pt>
                <c:pt idx="3">
                  <c:v>488.7189999999996</c:v>
                </c:pt>
                <c:pt idx="4">
                  <c:v>523.79999999999995</c:v>
                </c:pt>
                <c:pt idx="5">
                  <c:v>527.73400000000004</c:v>
                </c:pt>
                <c:pt idx="6">
                  <c:v>523.22</c:v>
                </c:pt>
                <c:pt idx="7">
                  <c:v>534.42999999999938</c:v>
                </c:pt>
                <c:pt idx="8">
                  <c:v>544.65</c:v>
                </c:pt>
                <c:pt idx="9">
                  <c:v>552.71100000000001</c:v>
                </c:pt>
                <c:pt idx="10">
                  <c:v>564.13</c:v>
                </c:pt>
                <c:pt idx="11">
                  <c:v>575.57000000000005</c:v>
                </c:pt>
                <c:pt idx="12">
                  <c:v>609.57000000000005</c:v>
                </c:pt>
              </c:numCache>
            </c:numRef>
          </c:val>
        </c:ser>
        <c:gapWidth val="70"/>
        <c:axId val="182698368"/>
        <c:axId val="182688384"/>
      </c:barChart>
      <c:lineChart>
        <c:grouping val="standard"/>
        <c:ser>
          <c:idx val="1"/>
          <c:order val="1"/>
          <c:tx>
            <c:strRef>
              <c:f>'Státní rozpočet 3'!$C$31</c:f>
              <c:strCache>
                <c:ptCount val="1"/>
                <c:pt idx="0">
                  <c:v>Platy státních zaměstnanců</c:v>
                </c:pt>
              </c:strCache>
            </c:strRef>
          </c:tx>
          <c:spPr>
            <a:ln w="19050">
              <a:solidFill>
                <a:srgbClr val="0071BC"/>
              </a:solidFill>
            </a:ln>
          </c:spPr>
          <c:marker>
            <c:symbol val="none"/>
          </c:marker>
          <c:cat>
            <c:numRef>
              <c:f>'Státní rozpočet 3'!$A$32:$A$44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20017</c:v>
                </c:pt>
              </c:numCache>
            </c:numRef>
          </c:cat>
          <c:val>
            <c:numRef>
              <c:f>'Státní rozpočet 3'!$C$32:$C$44</c:f>
              <c:numCache>
                <c:formatCode>0.0</c:formatCode>
                <c:ptCount val="13"/>
                <c:pt idx="0">
                  <c:v>34.160000000000011</c:v>
                </c:pt>
                <c:pt idx="1">
                  <c:v>35.65</c:v>
                </c:pt>
                <c:pt idx="2">
                  <c:v>37.92</c:v>
                </c:pt>
                <c:pt idx="3">
                  <c:v>37.730000000000011</c:v>
                </c:pt>
                <c:pt idx="4">
                  <c:v>38.980000000000004</c:v>
                </c:pt>
                <c:pt idx="5">
                  <c:v>39.36</c:v>
                </c:pt>
                <c:pt idx="6">
                  <c:v>35.700000000000003</c:v>
                </c:pt>
                <c:pt idx="7">
                  <c:v>36.300000000000004</c:v>
                </c:pt>
                <c:pt idx="8">
                  <c:v>36.879999999999995</c:v>
                </c:pt>
                <c:pt idx="9">
                  <c:v>38.090000000000003</c:v>
                </c:pt>
                <c:pt idx="10">
                  <c:v>41.879999999999995</c:v>
                </c:pt>
                <c:pt idx="11">
                  <c:v>43.220000000000013</c:v>
                </c:pt>
                <c:pt idx="12">
                  <c:v>46.51</c:v>
                </c:pt>
              </c:numCache>
            </c:numRef>
          </c:val>
        </c:ser>
        <c:ser>
          <c:idx val="2"/>
          <c:order val="2"/>
          <c:tx>
            <c:strRef>
              <c:f>'Státní rozpočet 3'!$D$31</c:f>
              <c:strCache>
                <c:ptCount val="1"/>
                <c:pt idx="0">
                  <c:v>Podpora v nezaměstnanosti</c:v>
                </c:pt>
              </c:strCache>
            </c:strRef>
          </c:tx>
          <c:spPr>
            <a:ln w="19050">
              <a:solidFill>
                <a:srgbClr val="984807"/>
              </a:solidFill>
            </a:ln>
          </c:spPr>
          <c:marker>
            <c:symbol val="none"/>
          </c:marker>
          <c:cat>
            <c:numRef>
              <c:f>'Státní rozpočet 3'!$A$32:$A$44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20017</c:v>
                </c:pt>
              </c:numCache>
            </c:numRef>
          </c:cat>
          <c:val>
            <c:numRef>
              <c:f>'Státní rozpočet 3'!$D$32:$D$44</c:f>
              <c:numCache>
                <c:formatCode>0.0</c:formatCode>
                <c:ptCount val="13"/>
                <c:pt idx="0">
                  <c:v>3.69</c:v>
                </c:pt>
                <c:pt idx="1">
                  <c:v>3.8959999999999977</c:v>
                </c:pt>
                <c:pt idx="2">
                  <c:v>3.7800000000000002</c:v>
                </c:pt>
                <c:pt idx="3">
                  <c:v>3.56</c:v>
                </c:pt>
                <c:pt idx="4">
                  <c:v>7.3049999999999953</c:v>
                </c:pt>
                <c:pt idx="5">
                  <c:v>7.7700000000000014</c:v>
                </c:pt>
                <c:pt idx="6">
                  <c:v>6.2279999999999953</c:v>
                </c:pt>
                <c:pt idx="7">
                  <c:v>4.8410000000000002</c:v>
                </c:pt>
                <c:pt idx="8">
                  <c:v>5.3579999999999952</c:v>
                </c:pt>
                <c:pt idx="9">
                  <c:v>5.2690000000000001</c:v>
                </c:pt>
                <c:pt idx="10">
                  <c:v>4.6099999999999985</c:v>
                </c:pt>
                <c:pt idx="11">
                  <c:v>4.4700000000000024</c:v>
                </c:pt>
                <c:pt idx="12">
                  <c:v>4.3199999999999985</c:v>
                </c:pt>
              </c:numCache>
            </c:numRef>
          </c:val>
        </c:ser>
        <c:ser>
          <c:idx val="3"/>
          <c:order val="3"/>
          <c:tx>
            <c:strRef>
              <c:f>'Státní rozpočet 3'!$E$31</c:f>
              <c:strCache>
                <c:ptCount val="1"/>
                <c:pt idx="0">
                  <c:v>Státní sociální podpora*</c:v>
                </c:pt>
              </c:strCache>
            </c:strRef>
          </c:tx>
          <c:spPr>
            <a:ln w="19050">
              <a:solidFill>
                <a:srgbClr val="7DBB2D"/>
              </a:solidFill>
            </a:ln>
          </c:spPr>
          <c:marker>
            <c:symbol val="none"/>
          </c:marker>
          <c:cat>
            <c:numRef>
              <c:f>'Státní rozpočet 3'!$A$32:$A$44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20017</c:v>
                </c:pt>
              </c:numCache>
            </c:numRef>
          </c:cat>
          <c:val>
            <c:numRef>
              <c:f>'Státní rozpočet 3'!$E$32:$E$44</c:f>
              <c:numCache>
                <c:formatCode>General</c:formatCode>
                <c:ptCount val="13"/>
                <c:pt idx="0">
                  <c:v>16.649999999999999</c:v>
                </c:pt>
                <c:pt idx="1">
                  <c:v>17.04</c:v>
                </c:pt>
                <c:pt idx="2">
                  <c:v>23.830000000000005</c:v>
                </c:pt>
                <c:pt idx="3">
                  <c:v>21.52</c:v>
                </c:pt>
                <c:pt idx="4">
                  <c:v>20.594999999999999</c:v>
                </c:pt>
                <c:pt idx="5">
                  <c:v>20.64</c:v>
                </c:pt>
                <c:pt idx="6">
                  <c:v>18.405999999999977</c:v>
                </c:pt>
                <c:pt idx="7">
                  <c:v>17.881</c:v>
                </c:pt>
                <c:pt idx="8">
                  <c:v>18.681999999999999</c:v>
                </c:pt>
                <c:pt idx="9">
                  <c:v>18.91</c:v>
                </c:pt>
                <c:pt idx="10">
                  <c:v>18.91</c:v>
                </c:pt>
                <c:pt idx="11">
                  <c:v>18.979999999999986</c:v>
                </c:pt>
                <c:pt idx="12">
                  <c:v>18.760000000000002</c:v>
                </c:pt>
              </c:numCache>
            </c:numRef>
          </c:val>
        </c:ser>
        <c:ser>
          <c:idx val="4"/>
          <c:order val="4"/>
          <c:tx>
            <c:strRef>
              <c:f>'Státní rozpočet 3'!$F$31</c:f>
              <c:strCache>
                <c:ptCount val="1"/>
                <c:pt idx="0">
                  <c:v>Dávky nemocenského pojištění</c:v>
                </c:pt>
              </c:strCache>
            </c:strRef>
          </c:tx>
          <c:spPr>
            <a:ln w="19050">
              <a:solidFill>
                <a:srgbClr val="F8A124"/>
              </a:solidFill>
            </a:ln>
          </c:spPr>
          <c:marker>
            <c:symbol val="none"/>
          </c:marker>
          <c:cat>
            <c:numRef>
              <c:f>'Státní rozpočet 3'!$A$32:$A$44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20017</c:v>
                </c:pt>
              </c:numCache>
            </c:numRef>
          </c:cat>
          <c:val>
            <c:numRef>
              <c:f>'Státní rozpočet 3'!$F$32:$F$44</c:f>
              <c:numCache>
                <c:formatCode>0.00</c:formatCode>
                <c:ptCount val="13"/>
                <c:pt idx="0">
                  <c:v>17.497</c:v>
                </c:pt>
                <c:pt idx="1">
                  <c:v>17.936</c:v>
                </c:pt>
                <c:pt idx="2">
                  <c:v>18.398</c:v>
                </c:pt>
                <c:pt idx="3">
                  <c:v>16.734000000000005</c:v>
                </c:pt>
                <c:pt idx="4">
                  <c:v>14.089</c:v>
                </c:pt>
                <c:pt idx="5">
                  <c:v>11.56</c:v>
                </c:pt>
                <c:pt idx="6">
                  <c:v>11.773</c:v>
                </c:pt>
                <c:pt idx="7">
                  <c:v>10.243999999999998</c:v>
                </c:pt>
                <c:pt idx="8">
                  <c:v>10.609</c:v>
                </c:pt>
                <c:pt idx="9">
                  <c:v>11.201000000000001</c:v>
                </c:pt>
                <c:pt idx="10">
                  <c:v>12.43</c:v>
                </c:pt>
                <c:pt idx="11">
                  <c:v>13.57</c:v>
                </c:pt>
                <c:pt idx="12">
                  <c:v>14.75</c:v>
                </c:pt>
              </c:numCache>
            </c:numRef>
          </c:val>
        </c:ser>
        <c:ser>
          <c:idx val="5"/>
          <c:order val="5"/>
          <c:tx>
            <c:strRef>
              <c:f>'Státní rozpočet 3'!$G$31</c:f>
              <c:strCache>
                <c:ptCount val="1"/>
                <c:pt idx="0">
                  <c:v>Dávky sociální péče**</c:v>
                </c:pt>
              </c:strCache>
            </c:strRef>
          </c:tx>
          <c:spPr>
            <a:ln w="19050">
              <a:solidFill>
                <a:srgbClr val="48AEE7"/>
              </a:solidFill>
            </a:ln>
          </c:spPr>
          <c:marker>
            <c:symbol val="none"/>
          </c:marker>
          <c:cat>
            <c:numRef>
              <c:f>'Státní rozpočet 3'!$A$32:$A$44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20017</c:v>
                </c:pt>
              </c:numCache>
            </c:numRef>
          </c:cat>
          <c:val>
            <c:numRef>
              <c:f>'Státní rozpočet 3'!$G$32:$G$44</c:f>
              <c:numCache>
                <c:formatCode>General</c:formatCode>
                <c:ptCount val="13"/>
                <c:pt idx="2" formatCode="0.00">
                  <c:v>11.691000000000001</c:v>
                </c:pt>
                <c:pt idx="3" formatCode="0.00">
                  <c:v>13.246999999999998</c:v>
                </c:pt>
                <c:pt idx="4" formatCode="0.00">
                  <c:v>13.003</c:v>
                </c:pt>
                <c:pt idx="5" formatCode="0.00">
                  <c:v>13.486000000000002</c:v>
                </c:pt>
                <c:pt idx="6" formatCode="0.00">
                  <c:v>12.911000000000001</c:v>
                </c:pt>
                <c:pt idx="7" formatCode="0.00">
                  <c:v>13.282</c:v>
                </c:pt>
                <c:pt idx="8" formatCode="0.00">
                  <c:v>15.668000000000001</c:v>
                </c:pt>
                <c:pt idx="9" formatCode="0.00">
                  <c:v>16.734999999999999</c:v>
                </c:pt>
                <c:pt idx="10" formatCode="0.00">
                  <c:v>16.93</c:v>
                </c:pt>
                <c:pt idx="11" formatCode="0.00">
                  <c:v>16.779999999999987</c:v>
                </c:pt>
                <c:pt idx="12" formatCode="0.00">
                  <c:v>17.489999999999974</c:v>
                </c:pt>
              </c:numCache>
            </c:numRef>
          </c:val>
        </c:ser>
        <c:ser>
          <c:idx val="6"/>
          <c:order val="6"/>
          <c:tx>
            <c:strRef>
              <c:f>'Státní rozpočet 3'!$H$31</c:f>
              <c:strCache>
                <c:ptCount val="1"/>
                <c:pt idx="0">
                  <c:v>Státní dluh (čisté výdaje)***</c:v>
                </c:pt>
              </c:strCache>
            </c:strRef>
          </c:tx>
          <c:spPr>
            <a:ln w="19050">
              <a:solidFill>
                <a:srgbClr val="7030A0"/>
              </a:solidFill>
            </a:ln>
          </c:spPr>
          <c:marker>
            <c:symbol val="none"/>
          </c:marker>
          <c:cat>
            <c:numRef>
              <c:f>'Státní rozpočet 3'!$A$32:$A$44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20017</c:v>
                </c:pt>
              </c:numCache>
            </c:numRef>
          </c:cat>
          <c:val>
            <c:numRef>
              <c:f>'Státní rozpočet 3'!$H$32:$H$44</c:f>
              <c:numCache>
                <c:formatCode>0.0</c:formatCode>
                <c:ptCount val="13"/>
                <c:pt idx="0">
                  <c:v>14.81</c:v>
                </c:pt>
                <c:pt idx="1">
                  <c:v>17.16</c:v>
                </c:pt>
                <c:pt idx="2">
                  <c:v>17.05</c:v>
                </c:pt>
                <c:pt idx="3">
                  <c:v>16.5</c:v>
                </c:pt>
                <c:pt idx="4">
                  <c:v>25.770000000000003</c:v>
                </c:pt>
                <c:pt idx="5">
                  <c:v>21.27</c:v>
                </c:pt>
                <c:pt idx="6">
                  <c:v>25.810000000000016</c:v>
                </c:pt>
                <c:pt idx="7">
                  <c:v>26.419999999999987</c:v>
                </c:pt>
                <c:pt idx="8">
                  <c:v>30.400000000000002</c:v>
                </c:pt>
                <c:pt idx="9">
                  <c:v>26.86</c:v>
                </c:pt>
                <c:pt idx="10">
                  <c:v>23.549999999999986</c:v>
                </c:pt>
                <c:pt idx="11">
                  <c:v>23.759999999999987</c:v>
                </c:pt>
                <c:pt idx="12">
                  <c:v>18.75</c:v>
                </c:pt>
              </c:numCache>
            </c:numRef>
          </c:val>
        </c:ser>
        <c:ser>
          <c:idx val="7"/>
          <c:order val="7"/>
          <c:tx>
            <c:strRef>
              <c:f>'Státní rozpočet 3'!$I$31</c:f>
              <c:strCache>
                <c:ptCount val="1"/>
                <c:pt idx="0">
                  <c:v>Kapitálové výdaje</c:v>
                </c:pt>
              </c:strCache>
            </c:strRef>
          </c:tx>
          <c:spPr>
            <a:ln w="19050">
              <a:solidFill>
                <a:srgbClr val="BD1B21"/>
              </a:solidFill>
            </a:ln>
          </c:spPr>
          <c:marker>
            <c:symbol val="none"/>
          </c:marker>
          <c:cat>
            <c:numRef>
              <c:f>'Státní rozpočet 3'!$A$32:$A$44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20017</c:v>
                </c:pt>
              </c:numCache>
            </c:numRef>
          </c:cat>
          <c:val>
            <c:numRef>
              <c:f>'Státní rozpočet 3'!$I$32:$I$44</c:f>
              <c:numCache>
                <c:formatCode>0.0</c:formatCode>
                <c:ptCount val="13"/>
                <c:pt idx="0">
                  <c:v>20.45</c:v>
                </c:pt>
                <c:pt idx="1">
                  <c:v>23.643000000000001</c:v>
                </c:pt>
                <c:pt idx="2">
                  <c:v>26.771000000000001</c:v>
                </c:pt>
                <c:pt idx="3">
                  <c:v>53.505000000000003</c:v>
                </c:pt>
                <c:pt idx="4">
                  <c:v>51.149000000000001</c:v>
                </c:pt>
                <c:pt idx="5">
                  <c:v>55.873000000000005</c:v>
                </c:pt>
                <c:pt idx="6">
                  <c:v>47.277000000000001</c:v>
                </c:pt>
                <c:pt idx="7">
                  <c:v>41.93</c:v>
                </c:pt>
                <c:pt idx="8">
                  <c:v>36.779000000000003</c:v>
                </c:pt>
                <c:pt idx="9">
                  <c:v>34.894000000000005</c:v>
                </c:pt>
                <c:pt idx="10">
                  <c:v>54.02</c:v>
                </c:pt>
                <c:pt idx="11">
                  <c:v>39.090000000000003</c:v>
                </c:pt>
                <c:pt idx="12">
                  <c:v>20.309999999999999</c:v>
                </c:pt>
              </c:numCache>
            </c:numRef>
          </c:val>
        </c:ser>
        <c:marker val="1"/>
        <c:axId val="182676864"/>
        <c:axId val="182686848"/>
      </c:lineChart>
      <c:catAx>
        <c:axId val="182676864"/>
        <c:scaling>
          <c:orientation val="minMax"/>
        </c:scaling>
        <c:axPos val="b"/>
        <c:numFmt formatCode="General" sourceLinked="1"/>
        <c:tickLblPos val="low"/>
        <c:spPr>
          <a:ln>
            <a:solidFill>
              <a:schemeClr val="bg1">
                <a:lumMod val="50000"/>
              </a:schemeClr>
            </a:solidFill>
          </a:ln>
        </c:spPr>
        <c:crossAx val="182686848"/>
        <c:crosses val="autoZero"/>
        <c:auto val="1"/>
        <c:lblAlgn val="ctr"/>
        <c:lblOffset val="20"/>
      </c:catAx>
      <c:valAx>
        <c:axId val="182686848"/>
        <c:scaling>
          <c:orientation val="minMax"/>
          <c:max val="60"/>
          <c:min val="0"/>
        </c:scaling>
        <c:axPos val="l"/>
        <c:majorGridlines>
          <c:spPr>
            <a:ln w="6350">
              <a:solidFill>
                <a:schemeClr val="bg1">
                  <a:lumMod val="75000"/>
                </a:schemeClr>
              </a:solidFill>
            </a:ln>
          </c:spPr>
        </c:majorGridlines>
        <c:numFmt formatCode="0" sourceLinked="0"/>
        <c:tickLblPos val="nextTo"/>
        <c:spPr>
          <a:ln>
            <a:solidFill>
              <a:schemeClr val="tx1"/>
            </a:solidFill>
          </a:ln>
        </c:spPr>
        <c:crossAx val="182676864"/>
        <c:crosses val="autoZero"/>
        <c:crossBetween val="between"/>
        <c:majorUnit val="5"/>
      </c:valAx>
      <c:valAx>
        <c:axId val="182688384"/>
        <c:scaling>
          <c:orientation val="minMax"/>
          <c:max val="700"/>
          <c:min val="0"/>
        </c:scaling>
        <c:axPos val="r"/>
        <c:numFmt formatCode="0" sourceLinked="0"/>
        <c:tickLblPos val="nextTo"/>
        <c:spPr>
          <a:ln>
            <a:solidFill>
              <a:schemeClr val="tx1"/>
            </a:solidFill>
          </a:ln>
        </c:spPr>
        <c:crossAx val="182698368"/>
        <c:crosses val="max"/>
        <c:crossBetween val="between"/>
        <c:majorUnit val="100"/>
      </c:valAx>
      <c:catAx>
        <c:axId val="182698368"/>
        <c:scaling>
          <c:orientation val="minMax"/>
        </c:scaling>
        <c:delete val="1"/>
        <c:axPos val="b"/>
        <c:numFmt formatCode="General" sourceLinked="1"/>
        <c:tickLblPos val="none"/>
        <c:crossAx val="182688384"/>
        <c:crosses val="autoZero"/>
        <c:auto val="1"/>
        <c:lblAlgn val="ctr"/>
        <c:lblOffset val="100"/>
      </c:catAx>
      <c:spPr>
        <a:ln>
          <a:solidFill>
            <a:schemeClr val="tx1"/>
          </a:solidFill>
        </a:ln>
      </c:spPr>
    </c:plotArea>
    <c:legend>
      <c:legendPos val="b"/>
      <c:layout>
        <c:manualLayout>
          <c:xMode val="edge"/>
          <c:yMode val="edge"/>
          <c:x val="5.3073638025823169E-2"/>
          <c:y val="0.83424149659864211"/>
          <c:w val="0.88356227363294648"/>
          <c:h val="0.15682001133786849"/>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6.1857900718404552E-2"/>
          <c:y val="1.544165056508486E-2"/>
          <c:w val="0.86855180193698733"/>
          <c:h val="0.79972056504783351"/>
        </c:manualLayout>
      </c:layout>
      <c:barChart>
        <c:barDir val="col"/>
        <c:grouping val="clustered"/>
        <c:ser>
          <c:idx val="4"/>
          <c:order val="4"/>
          <c:tx>
            <c:strRef>
              <c:f>'Státní rozpočet 4'!$F$22</c:f>
              <c:strCache>
                <c:ptCount val="1"/>
                <c:pt idx="0">
                  <c:v>Saldo příjmů a výdajů (pravá osa)</c:v>
                </c:pt>
              </c:strCache>
            </c:strRef>
          </c:tx>
          <c:spPr>
            <a:solidFill>
              <a:schemeClr val="bg1">
                <a:lumMod val="65000"/>
              </a:schemeClr>
            </a:solidFill>
            <a:ln>
              <a:noFill/>
            </a:ln>
          </c:spPr>
          <c:cat>
            <c:numRef>
              <c:f>'Státní rozpočet 4'!$A$23:$A$35</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4'!$F$23:$F$35</c:f>
              <c:numCache>
                <c:formatCode>0.0</c:formatCode>
                <c:ptCount val="13"/>
                <c:pt idx="0">
                  <c:v>-5.289999999999992</c:v>
                </c:pt>
                <c:pt idx="1">
                  <c:v>-8.0400000000000187</c:v>
                </c:pt>
                <c:pt idx="2">
                  <c:v>0.159999999999998</c:v>
                </c:pt>
                <c:pt idx="3">
                  <c:v>6.0900000000000025</c:v>
                </c:pt>
                <c:pt idx="4">
                  <c:v>-7.4699999999999989</c:v>
                </c:pt>
                <c:pt idx="5">
                  <c:v>-18.659999999999997</c:v>
                </c:pt>
                <c:pt idx="6">
                  <c:v>-24.669999999999987</c:v>
                </c:pt>
                <c:pt idx="7">
                  <c:v>-21.629999999999992</c:v>
                </c:pt>
                <c:pt idx="8">
                  <c:v>-19.550000000000011</c:v>
                </c:pt>
                <c:pt idx="9">
                  <c:v>-15.79</c:v>
                </c:pt>
                <c:pt idx="10">
                  <c:v>-11.490000000000002</c:v>
                </c:pt>
                <c:pt idx="11">
                  <c:v>-8.7700000000000102</c:v>
                </c:pt>
                <c:pt idx="12">
                  <c:v>-6.7800000000000011</c:v>
                </c:pt>
              </c:numCache>
            </c:numRef>
          </c:val>
        </c:ser>
        <c:gapWidth val="43"/>
        <c:axId val="182739712"/>
        <c:axId val="182729728"/>
      </c:barChart>
      <c:lineChart>
        <c:grouping val="standard"/>
        <c:ser>
          <c:idx val="0"/>
          <c:order val="0"/>
          <c:tx>
            <c:strRef>
              <c:f>'Státní rozpočet 4'!$B$22</c:f>
              <c:strCache>
                <c:ptCount val="1"/>
                <c:pt idx="0">
                  <c:v>Počet příjemců důchodů celkem</c:v>
                </c:pt>
              </c:strCache>
            </c:strRef>
          </c:tx>
          <c:spPr>
            <a:ln w="19050">
              <a:solidFill>
                <a:srgbClr val="7DBB2D"/>
              </a:solidFill>
              <a:prstDash val="solid"/>
            </a:ln>
          </c:spPr>
          <c:marker>
            <c:symbol val="none"/>
          </c:marker>
          <c:cat>
            <c:numRef>
              <c:f>'Státní rozpočet 4'!$A$23:$A$35</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4'!$B$23:$B$35</c:f>
              <c:numCache>
                <c:formatCode>0.0</c:formatCode>
                <c:ptCount val="13"/>
                <c:pt idx="0">
                  <c:v>0.97119001180084363</c:v>
                </c:pt>
                <c:pt idx="1">
                  <c:v>1.7113420628585061</c:v>
                </c:pt>
                <c:pt idx="2">
                  <c:v>0.87203655500734056</c:v>
                </c:pt>
                <c:pt idx="3">
                  <c:v>1.3906623570156802</c:v>
                </c:pt>
                <c:pt idx="4">
                  <c:v>1.3478834471453638</c:v>
                </c:pt>
                <c:pt idx="5">
                  <c:v>1.2637169965881578</c:v>
                </c:pt>
                <c:pt idx="6">
                  <c:v>0.81439496394068567</c:v>
                </c:pt>
                <c:pt idx="7">
                  <c:v>1.2304166450441651</c:v>
                </c:pt>
                <c:pt idx="8">
                  <c:v>-0.21063254977326551</c:v>
                </c:pt>
                <c:pt idx="9">
                  <c:v>0.16190735460577343</c:v>
                </c:pt>
                <c:pt idx="10">
                  <c:v>-1.9049971634388076E-2</c:v>
                </c:pt>
                <c:pt idx="11">
                  <c:v>0.70327331099943535</c:v>
                </c:pt>
                <c:pt idx="12">
                  <c:v>0.24419969415261294</c:v>
                </c:pt>
              </c:numCache>
            </c:numRef>
          </c:val>
        </c:ser>
        <c:ser>
          <c:idx val="1"/>
          <c:order val="1"/>
          <c:tx>
            <c:strRef>
              <c:f>'Státní rozpočet 4'!$C$22</c:f>
              <c:strCache>
                <c:ptCount val="1"/>
                <c:pt idx="0">
                  <c:v>z toho starobních trvale krácených</c:v>
                </c:pt>
              </c:strCache>
            </c:strRef>
          </c:tx>
          <c:spPr>
            <a:ln w="19050">
              <a:noFill/>
            </a:ln>
          </c:spPr>
          <c:marker>
            <c:symbol val="diamond"/>
            <c:size val="6"/>
            <c:spPr>
              <a:solidFill>
                <a:srgbClr val="7DBB2D"/>
              </a:solidFill>
              <a:ln>
                <a:noFill/>
              </a:ln>
            </c:spPr>
          </c:marker>
          <c:cat>
            <c:numRef>
              <c:f>'Státní rozpočet 4'!$A$23:$A$35</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4'!$C$23:$C$35</c:f>
              <c:numCache>
                <c:formatCode>0.0</c:formatCode>
                <c:ptCount val="13"/>
                <c:pt idx="0">
                  <c:v>1.8836726276404638</c:v>
                </c:pt>
                <c:pt idx="1">
                  <c:v>7.0013988339436208</c:v>
                </c:pt>
                <c:pt idx="2">
                  <c:v>9.0068878386914868</c:v>
                </c:pt>
                <c:pt idx="3">
                  <c:v>7.4826769799065405</c:v>
                </c:pt>
                <c:pt idx="4">
                  <c:v>8.0882140941880749</c:v>
                </c:pt>
                <c:pt idx="5">
                  <c:v>11.095225012070149</c:v>
                </c:pt>
                <c:pt idx="6">
                  <c:v>7.5647200626191449</c:v>
                </c:pt>
                <c:pt idx="7">
                  <c:v>14.971695923141496</c:v>
                </c:pt>
                <c:pt idx="8">
                  <c:v>3.4652004411102268</c:v>
                </c:pt>
                <c:pt idx="9">
                  <c:v>4.0094799891914734</c:v>
                </c:pt>
                <c:pt idx="10">
                  <c:v>3.9149958775273812</c:v>
                </c:pt>
                <c:pt idx="11">
                  <c:v>3.4372780952083177</c:v>
                </c:pt>
                <c:pt idx="12">
                  <c:v>2.6132260896274886</c:v>
                </c:pt>
              </c:numCache>
            </c:numRef>
          </c:val>
        </c:ser>
        <c:ser>
          <c:idx val="2"/>
          <c:order val="2"/>
          <c:tx>
            <c:strRef>
              <c:f>'Státní rozpočet 4'!$D$22</c:f>
              <c:strCache>
                <c:ptCount val="1"/>
                <c:pt idx="0">
                  <c:v>Příjmy na důchody</c:v>
                </c:pt>
              </c:strCache>
            </c:strRef>
          </c:tx>
          <c:spPr>
            <a:ln w="22225">
              <a:solidFill>
                <a:srgbClr val="0071BC"/>
              </a:solidFill>
            </a:ln>
          </c:spPr>
          <c:marker>
            <c:symbol val="none"/>
          </c:marker>
          <c:cat>
            <c:numRef>
              <c:f>'Státní rozpočet 4'!$A$23:$A$35</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4'!$D$23:$D$35</c:f>
              <c:numCache>
                <c:formatCode>0.0</c:formatCode>
                <c:ptCount val="13"/>
                <c:pt idx="0">
                  <c:v>5.7971014492753445</c:v>
                </c:pt>
                <c:pt idx="1">
                  <c:v>7.1573316041176867</c:v>
                </c:pt>
                <c:pt idx="2">
                  <c:v>10.325264750378224</c:v>
                </c:pt>
                <c:pt idx="3">
                  <c:v>8.1179293794994809</c:v>
                </c:pt>
                <c:pt idx="4">
                  <c:v>1.483924154987627</c:v>
                </c:pt>
                <c:pt idx="5">
                  <c:v>-3.3243766793726053</c:v>
                </c:pt>
                <c:pt idx="6">
                  <c:v>3.7748044728847674</c:v>
                </c:pt>
                <c:pt idx="7">
                  <c:v>3.2949236997819895</c:v>
                </c:pt>
                <c:pt idx="8">
                  <c:v>-0.78991799324650469</c:v>
                </c:pt>
                <c:pt idx="9">
                  <c:v>2.5952713790797977</c:v>
                </c:pt>
                <c:pt idx="10">
                  <c:v>5.4798578199052059</c:v>
                </c:pt>
                <c:pt idx="11">
                  <c:v>5.9196854816062814</c:v>
                </c:pt>
                <c:pt idx="12">
                  <c:v>7.3068561429556098</c:v>
                </c:pt>
              </c:numCache>
            </c:numRef>
          </c:val>
        </c:ser>
        <c:ser>
          <c:idx val="3"/>
          <c:order val="3"/>
          <c:tx>
            <c:strRef>
              <c:f>'Státní rozpočet 4'!$E$22</c:f>
              <c:strCache>
                <c:ptCount val="1"/>
                <c:pt idx="0">
                  <c:v>Výdaje na důchody</c:v>
                </c:pt>
              </c:strCache>
            </c:strRef>
          </c:tx>
          <c:spPr>
            <a:ln w="22225">
              <a:solidFill>
                <a:srgbClr val="BD1B21"/>
              </a:solidFill>
            </a:ln>
          </c:spPr>
          <c:marker>
            <c:symbol val="none"/>
          </c:marker>
          <c:cat>
            <c:numRef>
              <c:f>'Státní rozpočet 4'!$A$23:$A$35</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4'!$E$23:$E$35</c:f>
              <c:numCache>
                <c:formatCode>0.0</c:formatCode>
                <c:ptCount val="13"/>
                <c:pt idx="0">
                  <c:v>6.5772034459907589</c:v>
                </c:pt>
                <c:pt idx="1">
                  <c:v>9.0004663454065028</c:v>
                </c:pt>
                <c:pt idx="2">
                  <c:v>3.8861950941243597</c:v>
                </c:pt>
                <c:pt idx="3">
                  <c:v>4.0565584460154902</c:v>
                </c:pt>
                <c:pt idx="4">
                  <c:v>10.488126649076518</c:v>
                </c:pt>
                <c:pt idx="5">
                  <c:v>3.5044776119403052</c:v>
                </c:pt>
                <c:pt idx="6">
                  <c:v>6.8350925765703305</c:v>
                </c:pt>
                <c:pt idx="7">
                  <c:v>1.2147716229348851</c:v>
                </c:pt>
                <c:pt idx="8">
                  <c:v>-1.8082893262921971</c:v>
                </c:pt>
                <c:pt idx="9">
                  <c:v>0.27705345501955492</c:v>
                </c:pt>
                <c:pt idx="10">
                  <c:v>2.6816187225743602</c:v>
                </c:pt>
                <c:pt idx="11">
                  <c:v>4.1257781998522916</c:v>
                </c:pt>
                <c:pt idx="12">
                  <c:v>5.9738548844750596</c:v>
                </c:pt>
              </c:numCache>
            </c:numRef>
          </c:val>
        </c:ser>
        <c:marker val="1"/>
        <c:axId val="182726656"/>
        <c:axId val="182728192"/>
      </c:lineChart>
      <c:catAx>
        <c:axId val="182726656"/>
        <c:scaling>
          <c:orientation val="minMax"/>
        </c:scaling>
        <c:axPos val="b"/>
        <c:numFmt formatCode="General" sourceLinked="1"/>
        <c:tickLblPos val="low"/>
        <c:spPr>
          <a:ln>
            <a:solidFill>
              <a:schemeClr val="bg1">
                <a:lumMod val="50000"/>
              </a:schemeClr>
            </a:solidFill>
          </a:ln>
        </c:spPr>
        <c:crossAx val="182728192"/>
        <c:crossesAt val="0"/>
        <c:auto val="1"/>
        <c:lblAlgn val="ctr"/>
        <c:lblOffset val="0"/>
      </c:catAx>
      <c:valAx>
        <c:axId val="182728192"/>
        <c:scaling>
          <c:orientation val="minMax"/>
          <c:max val="18"/>
          <c:min val="-15"/>
        </c:scaling>
        <c:axPos val="l"/>
        <c:majorGridlines>
          <c:spPr>
            <a:ln w="6350">
              <a:solidFill>
                <a:schemeClr val="bg1">
                  <a:lumMod val="75000"/>
                </a:schemeClr>
              </a:solidFill>
            </a:ln>
          </c:spPr>
        </c:majorGridlines>
        <c:numFmt formatCode="0" sourceLinked="0"/>
        <c:tickLblPos val="nextTo"/>
        <c:spPr>
          <a:ln>
            <a:solidFill>
              <a:schemeClr val="tx1"/>
            </a:solidFill>
          </a:ln>
        </c:spPr>
        <c:crossAx val="182726656"/>
        <c:crosses val="autoZero"/>
        <c:crossBetween val="between"/>
        <c:majorUnit val="3"/>
      </c:valAx>
      <c:valAx>
        <c:axId val="182729728"/>
        <c:scaling>
          <c:orientation val="minMax"/>
          <c:max val="30"/>
          <c:min val="-25"/>
        </c:scaling>
        <c:axPos val="r"/>
        <c:numFmt formatCode="0" sourceLinked="0"/>
        <c:tickLblPos val="nextTo"/>
        <c:spPr>
          <a:ln>
            <a:solidFill>
              <a:schemeClr val="tx1"/>
            </a:solidFill>
          </a:ln>
        </c:spPr>
        <c:crossAx val="182739712"/>
        <c:crosses val="max"/>
        <c:crossBetween val="between"/>
        <c:majorUnit val="5"/>
      </c:valAx>
      <c:catAx>
        <c:axId val="182739712"/>
        <c:scaling>
          <c:orientation val="minMax"/>
        </c:scaling>
        <c:delete val="1"/>
        <c:axPos val="b"/>
        <c:numFmt formatCode="General" sourceLinked="1"/>
        <c:tickLblPos val="none"/>
        <c:crossAx val="182729728"/>
        <c:crosses val="autoZero"/>
        <c:auto val="1"/>
        <c:lblAlgn val="ctr"/>
        <c:lblOffset val="100"/>
      </c:catAx>
      <c:spPr>
        <a:ln>
          <a:solidFill>
            <a:schemeClr val="tx1"/>
          </a:solidFill>
        </a:ln>
      </c:spPr>
    </c:plotArea>
    <c:legend>
      <c:legendPos val="b"/>
      <c:layout>
        <c:manualLayout>
          <c:xMode val="edge"/>
          <c:yMode val="edge"/>
          <c:x val="6.296233164983224E-2"/>
          <c:y val="0.8723506235827666"/>
          <c:w val="0.86057601724928756"/>
          <c:h val="0.12079648526077159"/>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7.6118939099658112E-2"/>
          <c:y val="1.8967687074829931E-2"/>
          <c:w val="0.87842537233566564"/>
          <c:h val="0.73371428571428576"/>
        </c:manualLayout>
      </c:layout>
      <c:barChart>
        <c:barDir val="col"/>
        <c:grouping val="stacked"/>
        <c:ser>
          <c:idx val="0"/>
          <c:order val="0"/>
          <c:tx>
            <c:strRef>
              <c:f>'Státní rozpočet 5'!$B$31</c:f>
              <c:strCache>
                <c:ptCount val="1"/>
                <c:pt idx="0">
                  <c:v>Státní pokladniční poukázky</c:v>
                </c:pt>
              </c:strCache>
            </c:strRef>
          </c:tx>
          <c:spPr>
            <a:solidFill>
              <a:srgbClr val="BD1B21"/>
            </a:solidFill>
          </c:spPr>
          <c:cat>
            <c:multiLvlStrRef>
              <c:f>'Státní rozpočet 5'!$C$29:$AZ$30</c:f>
              <c:multiLvlStrCache>
                <c:ptCount val="5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pt idx="48">
                    <c:v>1</c:v>
                  </c:pt>
                  <c:pt idx="49">
                    <c:v>2</c:v>
                  </c:pt>
                </c:lvl>
                <c:lvl>
                  <c:pt idx="0">
                    <c:v>2005</c:v>
                  </c:pt>
                  <c:pt idx="4">
                    <c:v>2006</c:v>
                  </c:pt>
                  <c:pt idx="8">
                    <c:v>2007</c:v>
                  </c:pt>
                  <c:pt idx="12">
                    <c:v>2008</c:v>
                  </c:pt>
                  <c:pt idx="16">
                    <c:v>2009</c:v>
                  </c:pt>
                  <c:pt idx="20">
                    <c:v>2010</c:v>
                  </c:pt>
                  <c:pt idx="24">
                    <c:v>2011</c:v>
                  </c:pt>
                  <c:pt idx="28">
                    <c:v>2012</c:v>
                  </c:pt>
                  <c:pt idx="32">
                    <c:v>2013</c:v>
                  </c:pt>
                  <c:pt idx="36">
                    <c:v>2014</c:v>
                  </c:pt>
                  <c:pt idx="40">
                    <c:v>2015</c:v>
                  </c:pt>
                  <c:pt idx="44">
                    <c:v>2016</c:v>
                  </c:pt>
                  <c:pt idx="48">
                    <c:v>2017</c:v>
                  </c:pt>
                </c:lvl>
              </c:multiLvlStrCache>
            </c:multiLvlStrRef>
          </c:cat>
          <c:val>
            <c:numRef>
              <c:f>'Státní rozpočet 5'!$C$31:$AZ$31</c:f>
              <c:numCache>
                <c:formatCode>#,##0</c:formatCode>
                <c:ptCount val="50"/>
                <c:pt idx="0">
                  <c:v>126.545</c:v>
                </c:pt>
                <c:pt idx="1">
                  <c:v>109</c:v>
                </c:pt>
                <c:pt idx="2">
                  <c:v>98.034000000000006</c:v>
                </c:pt>
                <c:pt idx="3">
                  <c:v>94.248999999999995</c:v>
                </c:pt>
                <c:pt idx="4">
                  <c:v>86.825999999999979</c:v>
                </c:pt>
                <c:pt idx="5">
                  <c:v>79.324999999999989</c:v>
                </c:pt>
                <c:pt idx="6">
                  <c:v>71.884</c:v>
                </c:pt>
                <c:pt idx="7">
                  <c:v>89.568000000000012</c:v>
                </c:pt>
                <c:pt idx="8">
                  <c:v>78.144000000000005</c:v>
                </c:pt>
                <c:pt idx="9">
                  <c:v>66.144999999999996</c:v>
                </c:pt>
                <c:pt idx="10">
                  <c:v>54.649000000000001</c:v>
                </c:pt>
                <c:pt idx="11">
                  <c:v>82.167999999999992</c:v>
                </c:pt>
                <c:pt idx="12">
                  <c:v>46.833999999999996</c:v>
                </c:pt>
                <c:pt idx="13">
                  <c:v>32.875</c:v>
                </c:pt>
                <c:pt idx="14">
                  <c:v>45.340999999999994</c:v>
                </c:pt>
                <c:pt idx="15">
                  <c:v>78.748999999999995</c:v>
                </c:pt>
                <c:pt idx="16">
                  <c:v>60.950999999999993</c:v>
                </c:pt>
                <c:pt idx="17">
                  <c:v>79.837000000000003</c:v>
                </c:pt>
                <c:pt idx="18">
                  <c:v>79.491000000000071</c:v>
                </c:pt>
                <c:pt idx="19">
                  <c:v>88.183999999999983</c:v>
                </c:pt>
                <c:pt idx="20">
                  <c:v>87.545000000000002</c:v>
                </c:pt>
                <c:pt idx="21">
                  <c:v>89.194999999999993</c:v>
                </c:pt>
                <c:pt idx="22">
                  <c:v>128.47800000000001</c:v>
                </c:pt>
                <c:pt idx="23">
                  <c:v>113.331</c:v>
                </c:pt>
                <c:pt idx="24">
                  <c:v>137.54399999999998</c:v>
                </c:pt>
                <c:pt idx="25">
                  <c:v>141.077</c:v>
                </c:pt>
                <c:pt idx="26">
                  <c:v>143.268</c:v>
                </c:pt>
                <c:pt idx="27">
                  <c:v>162.60899999999998</c:v>
                </c:pt>
                <c:pt idx="28">
                  <c:v>177.10899999999998</c:v>
                </c:pt>
                <c:pt idx="29">
                  <c:v>163.38200000000018</c:v>
                </c:pt>
                <c:pt idx="30">
                  <c:v>172.06700000000001</c:v>
                </c:pt>
                <c:pt idx="31">
                  <c:v>189.13499999999999</c:v>
                </c:pt>
                <c:pt idx="32">
                  <c:v>185.86600000000001</c:v>
                </c:pt>
                <c:pt idx="33">
                  <c:v>161.66499999999999</c:v>
                </c:pt>
                <c:pt idx="34">
                  <c:v>137.51599999999999</c:v>
                </c:pt>
                <c:pt idx="35">
                  <c:v>120.89100000000002</c:v>
                </c:pt>
                <c:pt idx="36">
                  <c:v>97.57</c:v>
                </c:pt>
                <c:pt idx="37">
                  <c:v>98.149000000000001</c:v>
                </c:pt>
                <c:pt idx="38">
                  <c:v>90.838999999999999</c:v>
                </c:pt>
                <c:pt idx="39">
                  <c:v>107.627</c:v>
                </c:pt>
                <c:pt idx="40">
                  <c:v>81.661000000000001</c:v>
                </c:pt>
                <c:pt idx="41">
                  <c:v>88.458000000000013</c:v>
                </c:pt>
                <c:pt idx="42">
                  <c:v>104.687</c:v>
                </c:pt>
                <c:pt idx="43">
                  <c:v>84.432000000000002</c:v>
                </c:pt>
                <c:pt idx="44">
                  <c:v>79.186999999999998</c:v>
                </c:pt>
                <c:pt idx="45">
                  <c:v>58</c:v>
                </c:pt>
                <c:pt idx="46">
                  <c:v>17.7</c:v>
                </c:pt>
                <c:pt idx="47">
                  <c:v>4.22</c:v>
                </c:pt>
                <c:pt idx="48">
                  <c:v>70.343999999999994</c:v>
                </c:pt>
                <c:pt idx="49">
                  <c:v>147.89800000000014</c:v>
                </c:pt>
              </c:numCache>
            </c:numRef>
          </c:val>
        </c:ser>
        <c:ser>
          <c:idx val="1"/>
          <c:order val="1"/>
          <c:tx>
            <c:strRef>
              <c:f>'Státní rozpočet 5'!$B$32</c:f>
              <c:strCache>
                <c:ptCount val="1"/>
                <c:pt idx="0">
                  <c:v>Spořící státní dluhopisy</c:v>
                </c:pt>
              </c:strCache>
            </c:strRef>
          </c:tx>
          <c:spPr>
            <a:solidFill>
              <a:srgbClr val="E8AFB2"/>
            </a:solidFill>
          </c:spPr>
          <c:cat>
            <c:multiLvlStrRef>
              <c:f>'Státní rozpočet 5'!$C$29:$AZ$30</c:f>
              <c:multiLvlStrCache>
                <c:ptCount val="5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pt idx="48">
                    <c:v>1</c:v>
                  </c:pt>
                  <c:pt idx="49">
                    <c:v>2</c:v>
                  </c:pt>
                </c:lvl>
                <c:lvl>
                  <c:pt idx="0">
                    <c:v>2005</c:v>
                  </c:pt>
                  <c:pt idx="4">
                    <c:v>2006</c:v>
                  </c:pt>
                  <c:pt idx="8">
                    <c:v>2007</c:v>
                  </c:pt>
                  <c:pt idx="12">
                    <c:v>2008</c:v>
                  </c:pt>
                  <c:pt idx="16">
                    <c:v>2009</c:v>
                  </c:pt>
                  <c:pt idx="20">
                    <c:v>2010</c:v>
                  </c:pt>
                  <c:pt idx="24">
                    <c:v>2011</c:v>
                  </c:pt>
                  <c:pt idx="28">
                    <c:v>2012</c:v>
                  </c:pt>
                  <c:pt idx="32">
                    <c:v>2013</c:v>
                  </c:pt>
                  <c:pt idx="36">
                    <c:v>2014</c:v>
                  </c:pt>
                  <c:pt idx="40">
                    <c:v>2015</c:v>
                  </c:pt>
                  <c:pt idx="44">
                    <c:v>2016</c:v>
                  </c:pt>
                  <c:pt idx="48">
                    <c:v>2017</c:v>
                  </c:pt>
                </c:lvl>
              </c:multiLvlStrCache>
            </c:multiLvlStrRef>
          </c:cat>
          <c:val>
            <c:numRef>
              <c:f>'Státní rozpočet 5'!$C$32:$AZ$32</c:f>
              <c:numCache>
                <c:formatCode>#,##0</c:formatCode>
                <c:ptCount val="5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20.428999999999974</c:v>
                </c:pt>
                <c:pt idx="28">
                  <c:v>20.428999999999974</c:v>
                </c:pt>
                <c:pt idx="29">
                  <c:v>35.714000000000006</c:v>
                </c:pt>
                <c:pt idx="30">
                  <c:v>35.708000000000013</c:v>
                </c:pt>
                <c:pt idx="31">
                  <c:v>56.206000000000003</c:v>
                </c:pt>
                <c:pt idx="32">
                  <c:v>56.206000000000003</c:v>
                </c:pt>
                <c:pt idx="33">
                  <c:v>73.781999999999996</c:v>
                </c:pt>
                <c:pt idx="34">
                  <c:v>73.738</c:v>
                </c:pt>
                <c:pt idx="35">
                  <c:v>87.578999999999979</c:v>
                </c:pt>
                <c:pt idx="36">
                  <c:v>87.55</c:v>
                </c:pt>
                <c:pt idx="37">
                  <c:v>80.653999999999982</c:v>
                </c:pt>
                <c:pt idx="38">
                  <c:v>80.60899999999998</c:v>
                </c:pt>
                <c:pt idx="39">
                  <c:v>77.828999999999979</c:v>
                </c:pt>
                <c:pt idx="40">
                  <c:v>77.793000000000006</c:v>
                </c:pt>
                <c:pt idx="41">
                  <c:v>77.828999999999979</c:v>
                </c:pt>
                <c:pt idx="42">
                  <c:v>77.801000000000002</c:v>
                </c:pt>
                <c:pt idx="43">
                  <c:v>66.921999999999997</c:v>
                </c:pt>
                <c:pt idx="44">
                  <c:v>66.911000000000087</c:v>
                </c:pt>
                <c:pt idx="45">
                  <c:v>59.9</c:v>
                </c:pt>
                <c:pt idx="46">
                  <c:v>59.9</c:v>
                </c:pt>
                <c:pt idx="47">
                  <c:v>37.757373000000001</c:v>
                </c:pt>
                <c:pt idx="48">
                  <c:v>37.751000000000005</c:v>
                </c:pt>
                <c:pt idx="49">
                  <c:v>31.02</c:v>
                </c:pt>
              </c:numCache>
            </c:numRef>
          </c:val>
        </c:ser>
        <c:ser>
          <c:idx val="2"/>
          <c:order val="2"/>
          <c:tx>
            <c:strRef>
              <c:f>'Státní rozpočet 5'!$B$33</c:f>
              <c:strCache>
                <c:ptCount val="1"/>
                <c:pt idx="0">
                  <c:v>Dlouho-(středně-)dobé státní dluhopisy</c:v>
                </c:pt>
              </c:strCache>
            </c:strRef>
          </c:tx>
          <c:spPr>
            <a:solidFill>
              <a:srgbClr val="A6CDE8"/>
            </a:solidFill>
          </c:spPr>
          <c:cat>
            <c:multiLvlStrRef>
              <c:f>'Státní rozpočet 5'!$C$29:$AZ$30</c:f>
              <c:multiLvlStrCache>
                <c:ptCount val="5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pt idx="48">
                    <c:v>1</c:v>
                  </c:pt>
                  <c:pt idx="49">
                    <c:v>2</c:v>
                  </c:pt>
                </c:lvl>
                <c:lvl>
                  <c:pt idx="0">
                    <c:v>2005</c:v>
                  </c:pt>
                  <c:pt idx="4">
                    <c:v>2006</c:v>
                  </c:pt>
                  <c:pt idx="8">
                    <c:v>2007</c:v>
                  </c:pt>
                  <c:pt idx="12">
                    <c:v>2008</c:v>
                  </c:pt>
                  <c:pt idx="16">
                    <c:v>2009</c:v>
                  </c:pt>
                  <c:pt idx="20">
                    <c:v>2010</c:v>
                  </c:pt>
                  <c:pt idx="24">
                    <c:v>2011</c:v>
                  </c:pt>
                  <c:pt idx="28">
                    <c:v>2012</c:v>
                  </c:pt>
                  <c:pt idx="32">
                    <c:v>2013</c:v>
                  </c:pt>
                  <c:pt idx="36">
                    <c:v>2014</c:v>
                  </c:pt>
                  <c:pt idx="40">
                    <c:v>2015</c:v>
                  </c:pt>
                  <c:pt idx="44">
                    <c:v>2016</c:v>
                  </c:pt>
                  <c:pt idx="48">
                    <c:v>2017</c:v>
                  </c:pt>
                </c:lvl>
              </c:multiLvlStrCache>
            </c:multiLvlStrRef>
          </c:cat>
          <c:val>
            <c:numRef>
              <c:f>'Státní rozpočet 5'!$C$33:$AZ$33</c:f>
              <c:numCache>
                <c:formatCode>#,##0</c:formatCode>
                <c:ptCount val="50"/>
                <c:pt idx="0">
                  <c:v>391.274</c:v>
                </c:pt>
                <c:pt idx="1">
                  <c:v>428.77099999999973</c:v>
                </c:pt>
                <c:pt idx="2">
                  <c:v>456.56</c:v>
                </c:pt>
                <c:pt idx="3">
                  <c:v>487.50299999999999</c:v>
                </c:pt>
                <c:pt idx="4">
                  <c:v>495.72099999999966</c:v>
                </c:pt>
                <c:pt idx="5">
                  <c:v>532.05399999999997</c:v>
                </c:pt>
                <c:pt idx="6">
                  <c:v>554.81699999999933</c:v>
                </c:pt>
                <c:pt idx="7">
                  <c:v>588.93499999999949</c:v>
                </c:pt>
                <c:pt idx="8">
                  <c:v>612.06099999999947</c:v>
                </c:pt>
                <c:pt idx="9">
                  <c:v>666.81999999999948</c:v>
                </c:pt>
                <c:pt idx="10">
                  <c:v>664.79500000000053</c:v>
                </c:pt>
                <c:pt idx="11">
                  <c:v>692.19400000000053</c:v>
                </c:pt>
                <c:pt idx="12">
                  <c:v>693.11500000000001</c:v>
                </c:pt>
                <c:pt idx="13">
                  <c:v>728.61800000000005</c:v>
                </c:pt>
                <c:pt idx="14">
                  <c:v>700.70399999999995</c:v>
                </c:pt>
                <c:pt idx="15">
                  <c:v>735.55099999999948</c:v>
                </c:pt>
                <c:pt idx="16">
                  <c:v>753.09699999999998</c:v>
                </c:pt>
                <c:pt idx="17">
                  <c:v>830.01</c:v>
                </c:pt>
                <c:pt idx="18">
                  <c:v>861.48699999999997</c:v>
                </c:pt>
                <c:pt idx="19">
                  <c:v>838.56699999999933</c:v>
                </c:pt>
                <c:pt idx="20">
                  <c:v>878.78000000000054</c:v>
                </c:pt>
                <c:pt idx="21">
                  <c:v>903.13300000000004</c:v>
                </c:pt>
                <c:pt idx="22">
                  <c:v>956.30699999999945</c:v>
                </c:pt>
                <c:pt idx="23">
                  <c:v>922.95099999999945</c:v>
                </c:pt>
                <c:pt idx="24">
                  <c:v>962.34499999999946</c:v>
                </c:pt>
                <c:pt idx="25">
                  <c:v>967.24099999999999</c:v>
                </c:pt>
                <c:pt idx="26">
                  <c:v>1003.614</c:v>
                </c:pt>
                <c:pt idx="27">
                  <c:v>999.13199999999949</c:v>
                </c:pt>
                <c:pt idx="28">
                  <c:v>1055.951</c:v>
                </c:pt>
                <c:pt idx="29">
                  <c:v>1063.3779999999999</c:v>
                </c:pt>
                <c:pt idx="30">
                  <c:v>1085.259</c:v>
                </c:pt>
                <c:pt idx="31">
                  <c:v>1042.0029999999999</c:v>
                </c:pt>
                <c:pt idx="32">
                  <c:v>1090.1229999999998</c:v>
                </c:pt>
                <c:pt idx="33">
                  <c:v>1060.3129999999999</c:v>
                </c:pt>
                <c:pt idx="34">
                  <c:v>1059.616</c:v>
                </c:pt>
                <c:pt idx="35">
                  <c:v>1079.675</c:v>
                </c:pt>
                <c:pt idx="36">
                  <c:v>1100.798</c:v>
                </c:pt>
                <c:pt idx="37">
                  <c:v>1150.5329999999999</c:v>
                </c:pt>
                <c:pt idx="38">
                  <c:v>1159.375</c:v>
                </c:pt>
                <c:pt idx="39">
                  <c:v>1175.655</c:v>
                </c:pt>
                <c:pt idx="40">
                  <c:v>1200.799</c:v>
                </c:pt>
                <c:pt idx="41">
                  <c:v>1189.82</c:v>
                </c:pt>
                <c:pt idx="42">
                  <c:v>1177.1919999999998</c:v>
                </c:pt>
                <c:pt idx="43">
                  <c:v>1235.1969999999999</c:v>
                </c:pt>
                <c:pt idx="44">
                  <c:v>1263.7760000000001</c:v>
                </c:pt>
                <c:pt idx="45">
                  <c:v>1288.8</c:v>
                </c:pt>
                <c:pt idx="46">
                  <c:v>1298.0999999999999</c:v>
                </c:pt>
                <c:pt idx="47">
                  <c:v>1301.5999999999999</c:v>
                </c:pt>
                <c:pt idx="48">
                  <c:v>1410.3129999999999</c:v>
                </c:pt>
                <c:pt idx="49">
                  <c:v>1347.2118500000001</c:v>
                </c:pt>
              </c:numCache>
            </c:numRef>
          </c:val>
        </c:ser>
        <c:ser>
          <c:idx val="3"/>
          <c:order val="3"/>
          <c:tx>
            <c:strRef>
              <c:f>'Státní rozpočet 5'!$B$34</c:f>
              <c:strCache>
                <c:ptCount val="1"/>
                <c:pt idx="0">
                  <c:v>Krátkodobé zápůjčky a směnky</c:v>
                </c:pt>
              </c:strCache>
            </c:strRef>
          </c:tx>
          <c:spPr>
            <a:solidFill>
              <a:srgbClr val="0071BC"/>
            </a:solidFill>
          </c:spPr>
          <c:cat>
            <c:multiLvlStrRef>
              <c:f>'Státní rozpočet 5'!$C$29:$AZ$30</c:f>
              <c:multiLvlStrCache>
                <c:ptCount val="5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pt idx="48">
                    <c:v>1</c:v>
                  </c:pt>
                  <c:pt idx="49">
                    <c:v>2</c:v>
                  </c:pt>
                </c:lvl>
                <c:lvl>
                  <c:pt idx="0">
                    <c:v>2005</c:v>
                  </c:pt>
                  <c:pt idx="4">
                    <c:v>2006</c:v>
                  </c:pt>
                  <c:pt idx="8">
                    <c:v>2007</c:v>
                  </c:pt>
                  <c:pt idx="12">
                    <c:v>2008</c:v>
                  </c:pt>
                  <c:pt idx="16">
                    <c:v>2009</c:v>
                  </c:pt>
                  <c:pt idx="20">
                    <c:v>2010</c:v>
                  </c:pt>
                  <c:pt idx="24">
                    <c:v>2011</c:v>
                  </c:pt>
                  <c:pt idx="28">
                    <c:v>2012</c:v>
                  </c:pt>
                  <c:pt idx="32">
                    <c:v>2013</c:v>
                  </c:pt>
                  <c:pt idx="36">
                    <c:v>2014</c:v>
                  </c:pt>
                  <c:pt idx="40">
                    <c:v>2015</c:v>
                  </c:pt>
                  <c:pt idx="44">
                    <c:v>2016</c:v>
                  </c:pt>
                  <c:pt idx="48">
                    <c:v>2017</c:v>
                  </c:pt>
                </c:lvl>
              </c:multiLvlStrCache>
            </c:multiLvlStrRef>
          </c:cat>
          <c:val>
            <c:numRef>
              <c:f>'Státní rozpočet 5'!$C$34:$AZ$34</c:f>
              <c:numCache>
                <c:formatCode>#,##0</c:formatCode>
                <c:ptCount val="50"/>
                <c:pt idx="0">
                  <c:v>0</c:v>
                </c:pt>
                <c:pt idx="1">
                  <c:v>0</c:v>
                </c:pt>
                <c:pt idx="2">
                  <c:v>0</c:v>
                </c:pt>
                <c:pt idx="3">
                  <c:v>0</c:v>
                </c:pt>
                <c:pt idx="4">
                  <c:v>0</c:v>
                </c:pt>
                <c:pt idx="5">
                  <c:v>0</c:v>
                </c:pt>
                <c:pt idx="6">
                  <c:v>0</c:v>
                </c:pt>
                <c:pt idx="7">
                  <c:v>2.4</c:v>
                </c:pt>
                <c:pt idx="8">
                  <c:v>0</c:v>
                </c:pt>
                <c:pt idx="9">
                  <c:v>0</c:v>
                </c:pt>
                <c:pt idx="10">
                  <c:v>0</c:v>
                </c:pt>
                <c:pt idx="11">
                  <c:v>3.9000000000000014E-2</c:v>
                </c:pt>
                <c:pt idx="12">
                  <c:v>1.4E-2</c:v>
                </c:pt>
                <c:pt idx="13">
                  <c:v>0.79500000000000004</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8.1</c:v>
                </c:pt>
                <c:pt idx="30">
                  <c:v>0</c:v>
                </c:pt>
                <c:pt idx="31">
                  <c:v>0</c:v>
                </c:pt>
                <c:pt idx="32">
                  <c:v>0</c:v>
                </c:pt>
                <c:pt idx="33">
                  <c:v>0</c:v>
                </c:pt>
                <c:pt idx="34">
                  <c:v>1.585</c:v>
                </c:pt>
                <c:pt idx="35">
                  <c:v>0</c:v>
                </c:pt>
                <c:pt idx="36">
                  <c:v>3.2600000000000002</c:v>
                </c:pt>
                <c:pt idx="37">
                  <c:v>11.620999999999999</c:v>
                </c:pt>
                <c:pt idx="38">
                  <c:v>12.352000000000009</c:v>
                </c:pt>
                <c:pt idx="39">
                  <c:v>2.5449999999999999</c:v>
                </c:pt>
                <c:pt idx="40">
                  <c:v>4.9930000000000003</c:v>
                </c:pt>
                <c:pt idx="41">
                  <c:v>11.764000000000001</c:v>
                </c:pt>
                <c:pt idx="42">
                  <c:v>10.553000000000004</c:v>
                </c:pt>
                <c:pt idx="43">
                  <c:v>2.8549999999999978</c:v>
                </c:pt>
                <c:pt idx="44">
                  <c:v>1.357</c:v>
                </c:pt>
                <c:pt idx="45">
                  <c:v>0</c:v>
                </c:pt>
                <c:pt idx="46">
                  <c:v>1.5</c:v>
                </c:pt>
                <c:pt idx="47">
                  <c:v>0</c:v>
                </c:pt>
                <c:pt idx="48">
                  <c:v>2.0000000000000022E-3</c:v>
                </c:pt>
              </c:numCache>
            </c:numRef>
          </c:val>
        </c:ser>
        <c:ser>
          <c:idx val="4"/>
          <c:order val="4"/>
          <c:tx>
            <c:strRef>
              <c:f>'Státní rozpočet 5'!$B$35</c:f>
              <c:strCache>
                <c:ptCount val="1"/>
                <c:pt idx="0">
                  <c:v>Zahraniční emise dluhopisů</c:v>
                </c:pt>
              </c:strCache>
            </c:strRef>
          </c:tx>
          <c:spPr>
            <a:solidFill>
              <a:srgbClr val="7DBB2D"/>
            </a:solidFill>
          </c:spPr>
          <c:cat>
            <c:multiLvlStrRef>
              <c:f>'Státní rozpočet 5'!$C$29:$AZ$30</c:f>
              <c:multiLvlStrCache>
                <c:ptCount val="5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pt idx="48">
                    <c:v>1</c:v>
                  </c:pt>
                  <c:pt idx="49">
                    <c:v>2</c:v>
                  </c:pt>
                </c:lvl>
                <c:lvl>
                  <c:pt idx="0">
                    <c:v>2005</c:v>
                  </c:pt>
                  <c:pt idx="4">
                    <c:v>2006</c:v>
                  </c:pt>
                  <c:pt idx="8">
                    <c:v>2007</c:v>
                  </c:pt>
                  <c:pt idx="12">
                    <c:v>2008</c:v>
                  </c:pt>
                  <c:pt idx="16">
                    <c:v>2009</c:v>
                  </c:pt>
                  <c:pt idx="20">
                    <c:v>2010</c:v>
                  </c:pt>
                  <c:pt idx="24">
                    <c:v>2011</c:v>
                  </c:pt>
                  <c:pt idx="28">
                    <c:v>2012</c:v>
                  </c:pt>
                  <c:pt idx="32">
                    <c:v>2013</c:v>
                  </c:pt>
                  <c:pt idx="36">
                    <c:v>2014</c:v>
                  </c:pt>
                  <c:pt idx="40">
                    <c:v>2015</c:v>
                  </c:pt>
                  <c:pt idx="44">
                    <c:v>2016</c:v>
                  </c:pt>
                  <c:pt idx="48">
                    <c:v>2017</c:v>
                  </c:pt>
                </c:lvl>
              </c:multiLvlStrCache>
            </c:multiLvlStrRef>
          </c:cat>
          <c:val>
            <c:numRef>
              <c:f>'Státní rozpočet 5'!$C$35:$AZ$35</c:f>
              <c:numCache>
                <c:formatCode>#,##0</c:formatCode>
                <c:ptCount val="50"/>
                <c:pt idx="0">
                  <c:v>78.884999999999991</c:v>
                </c:pt>
                <c:pt idx="1">
                  <c:v>78.885999999999981</c:v>
                </c:pt>
                <c:pt idx="2">
                  <c:v>78.88</c:v>
                </c:pt>
                <c:pt idx="3">
                  <c:v>78.873999999999981</c:v>
                </c:pt>
                <c:pt idx="4">
                  <c:v>84.891000000000005</c:v>
                </c:pt>
                <c:pt idx="5">
                  <c:v>84.733000000000004</c:v>
                </c:pt>
                <c:pt idx="6">
                  <c:v>84.557999999999993</c:v>
                </c:pt>
                <c:pt idx="7">
                  <c:v>84.111999999999995</c:v>
                </c:pt>
                <c:pt idx="8">
                  <c:v>84.200999999999993</c:v>
                </c:pt>
                <c:pt idx="9">
                  <c:v>84.04</c:v>
                </c:pt>
                <c:pt idx="10">
                  <c:v>83.929000000000002</c:v>
                </c:pt>
                <c:pt idx="11">
                  <c:v>83.685999999999979</c:v>
                </c:pt>
                <c:pt idx="12">
                  <c:v>83.658999999999978</c:v>
                </c:pt>
                <c:pt idx="13">
                  <c:v>131.55800000000013</c:v>
                </c:pt>
                <c:pt idx="14">
                  <c:v>133.07299999999998</c:v>
                </c:pt>
                <c:pt idx="15">
                  <c:v>137.87</c:v>
                </c:pt>
                <c:pt idx="16">
                  <c:v>138.38500000000013</c:v>
                </c:pt>
                <c:pt idx="17">
                  <c:v>175.62700000000001</c:v>
                </c:pt>
                <c:pt idx="18">
                  <c:v>173.05600000000001</c:v>
                </c:pt>
                <c:pt idx="19">
                  <c:v>193.018</c:v>
                </c:pt>
                <c:pt idx="20">
                  <c:v>189.80800000000013</c:v>
                </c:pt>
                <c:pt idx="21">
                  <c:v>192.506</c:v>
                </c:pt>
                <c:pt idx="22">
                  <c:v>237.06300000000002</c:v>
                </c:pt>
                <c:pt idx="23">
                  <c:v>240.29599999999999</c:v>
                </c:pt>
                <c:pt idx="24">
                  <c:v>237.41399999999999</c:v>
                </c:pt>
                <c:pt idx="25">
                  <c:v>237.08600000000001</c:v>
                </c:pt>
                <c:pt idx="26">
                  <c:v>240.11599999999999</c:v>
                </c:pt>
                <c:pt idx="27">
                  <c:v>245.74599999999998</c:v>
                </c:pt>
                <c:pt idx="28">
                  <c:v>288.46499999999969</c:v>
                </c:pt>
                <c:pt idx="29">
                  <c:v>295.37599999999969</c:v>
                </c:pt>
                <c:pt idx="30">
                  <c:v>290.82499999999999</c:v>
                </c:pt>
                <c:pt idx="31">
                  <c:v>310.28599999999966</c:v>
                </c:pt>
                <c:pt idx="32">
                  <c:v>313.73399999999947</c:v>
                </c:pt>
                <c:pt idx="33">
                  <c:v>314.565</c:v>
                </c:pt>
                <c:pt idx="34">
                  <c:v>313.14100000000002</c:v>
                </c:pt>
                <c:pt idx="35">
                  <c:v>323.68200000000002</c:v>
                </c:pt>
                <c:pt idx="36">
                  <c:v>323.94499999999999</c:v>
                </c:pt>
                <c:pt idx="37">
                  <c:v>275.38900000000001</c:v>
                </c:pt>
                <c:pt idx="38">
                  <c:v>275.81900000000002</c:v>
                </c:pt>
                <c:pt idx="39">
                  <c:v>239.57599999999999</c:v>
                </c:pt>
                <c:pt idx="40">
                  <c:v>238.19399999999999</c:v>
                </c:pt>
                <c:pt idx="41">
                  <c:v>235.67399999999998</c:v>
                </c:pt>
                <c:pt idx="42">
                  <c:v>234.67299999999997</c:v>
                </c:pt>
                <c:pt idx="43">
                  <c:v>225.61899999999997</c:v>
                </c:pt>
                <c:pt idx="44">
                  <c:v>225.89400000000001</c:v>
                </c:pt>
                <c:pt idx="45">
                  <c:v>227.3</c:v>
                </c:pt>
                <c:pt idx="46">
                  <c:v>226.5</c:v>
                </c:pt>
                <c:pt idx="47">
                  <c:v>213.524</c:v>
                </c:pt>
                <c:pt idx="48">
                  <c:v>213.786</c:v>
                </c:pt>
                <c:pt idx="49" formatCode="0">
                  <c:v>207.51715000000002</c:v>
                </c:pt>
              </c:numCache>
            </c:numRef>
          </c:val>
        </c:ser>
        <c:ser>
          <c:idx val="5"/>
          <c:order val="5"/>
          <c:tx>
            <c:strRef>
              <c:f>'Státní rozpočet 5'!$B$36</c:f>
              <c:strCache>
                <c:ptCount val="1"/>
                <c:pt idx="0">
                  <c:v>Úvěry od EIB</c:v>
                </c:pt>
              </c:strCache>
            </c:strRef>
          </c:tx>
          <c:spPr>
            <a:solidFill>
              <a:srgbClr val="D2E7B6"/>
            </a:solidFill>
          </c:spPr>
          <c:cat>
            <c:multiLvlStrRef>
              <c:f>'Státní rozpočet 5'!$C$29:$AZ$30</c:f>
              <c:multiLvlStrCache>
                <c:ptCount val="5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pt idx="48">
                    <c:v>1</c:v>
                  </c:pt>
                  <c:pt idx="49">
                    <c:v>2</c:v>
                  </c:pt>
                </c:lvl>
                <c:lvl>
                  <c:pt idx="0">
                    <c:v>2005</c:v>
                  </c:pt>
                  <c:pt idx="4">
                    <c:v>2006</c:v>
                  </c:pt>
                  <c:pt idx="8">
                    <c:v>2007</c:v>
                  </c:pt>
                  <c:pt idx="12">
                    <c:v>2008</c:v>
                  </c:pt>
                  <c:pt idx="16">
                    <c:v>2009</c:v>
                  </c:pt>
                  <c:pt idx="20">
                    <c:v>2010</c:v>
                  </c:pt>
                  <c:pt idx="24">
                    <c:v>2011</c:v>
                  </c:pt>
                  <c:pt idx="28">
                    <c:v>2012</c:v>
                  </c:pt>
                  <c:pt idx="32">
                    <c:v>2013</c:v>
                  </c:pt>
                  <c:pt idx="36">
                    <c:v>2014</c:v>
                  </c:pt>
                  <c:pt idx="40">
                    <c:v>2015</c:v>
                  </c:pt>
                  <c:pt idx="44">
                    <c:v>2016</c:v>
                  </c:pt>
                  <c:pt idx="48">
                    <c:v>2017</c:v>
                  </c:pt>
                </c:lvl>
              </c:multiLvlStrCache>
            </c:multiLvlStrRef>
          </c:cat>
          <c:val>
            <c:numRef>
              <c:f>'Státní rozpočet 5'!$C$36:$AZ$36</c:f>
              <c:numCache>
                <c:formatCode>#,##0</c:formatCode>
                <c:ptCount val="50"/>
                <c:pt idx="0">
                  <c:v>20.655000000000001</c:v>
                </c:pt>
                <c:pt idx="1">
                  <c:v>26.164000000000001</c:v>
                </c:pt>
                <c:pt idx="2">
                  <c:v>28.332000000000001</c:v>
                </c:pt>
                <c:pt idx="3">
                  <c:v>29.731999999999999</c:v>
                </c:pt>
                <c:pt idx="4">
                  <c:v>29.901999999999987</c:v>
                </c:pt>
                <c:pt idx="5">
                  <c:v>32.028000000000013</c:v>
                </c:pt>
                <c:pt idx="6">
                  <c:v>34.298000000000037</c:v>
                </c:pt>
                <c:pt idx="7">
                  <c:v>36.704000000000001</c:v>
                </c:pt>
                <c:pt idx="8">
                  <c:v>36.704000000000001</c:v>
                </c:pt>
                <c:pt idx="9">
                  <c:v>38.434000000000005</c:v>
                </c:pt>
                <c:pt idx="10">
                  <c:v>38.743000000000002</c:v>
                </c:pt>
                <c:pt idx="11">
                  <c:v>38.743000000000002</c:v>
                </c:pt>
                <c:pt idx="12">
                  <c:v>35.907000000000004</c:v>
                </c:pt>
                <c:pt idx="13">
                  <c:v>38.913999999999994</c:v>
                </c:pt>
                <c:pt idx="14">
                  <c:v>45.838000000000001</c:v>
                </c:pt>
                <c:pt idx="15">
                  <c:v>46.811999999999998</c:v>
                </c:pt>
                <c:pt idx="16">
                  <c:v>47.237000000000002</c:v>
                </c:pt>
                <c:pt idx="17">
                  <c:v>51.226000000000013</c:v>
                </c:pt>
                <c:pt idx="18">
                  <c:v>53.134</c:v>
                </c:pt>
                <c:pt idx="19">
                  <c:v>57.911999999999999</c:v>
                </c:pt>
                <c:pt idx="20">
                  <c:v>60.056999999999995</c:v>
                </c:pt>
                <c:pt idx="21">
                  <c:v>60.694000000000003</c:v>
                </c:pt>
                <c:pt idx="22">
                  <c:v>62.394000000000005</c:v>
                </c:pt>
                <c:pt idx="23">
                  <c:v>67.184999999999988</c:v>
                </c:pt>
                <c:pt idx="24">
                  <c:v>66.826999999999998</c:v>
                </c:pt>
                <c:pt idx="25">
                  <c:v>67.218000000000004</c:v>
                </c:pt>
                <c:pt idx="26">
                  <c:v>69.516000000000005</c:v>
                </c:pt>
                <c:pt idx="27">
                  <c:v>71.322999999999979</c:v>
                </c:pt>
                <c:pt idx="28">
                  <c:v>70.965000000000003</c:v>
                </c:pt>
                <c:pt idx="29">
                  <c:v>69.756</c:v>
                </c:pt>
                <c:pt idx="30">
                  <c:v>68.459000000000003</c:v>
                </c:pt>
                <c:pt idx="31">
                  <c:v>70.003</c:v>
                </c:pt>
                <c:pt idx="32">
                  <c:v>69.644999999999996</c:v>
                </c:pt>
                <c:pt idx="33">
                  <c:v>67.778999999999982</c:v>
                </c:pt>
                <c:pt idx="34">
                  <c:v>67.870999999999981</c:v>
                </c:pt>
                <c:pt idx="35">
                  <c:v>71.512</c:v>
                </c:pt>
                <c:pt idx="36">
                  <c:v>70.260999999999996</c:v>
                </c:pt>
                <c:pt idx="37">
                  <c:v>66.956999999999994</c:v>
                </c:pt>
                <c:pt idx="38">
                  <c:v>64.012</c:v>
                </c:pt>
                <c:pt idx="39">
                  <c:v>60.432000000000002</c:v>
                </c:pt>
                <c:pt idx="40">
                  <c:v>59.674000000000007</c:v>
                </c:pt>
                <c:pt idx="41">
                  <c:v>59.491</c:v>
                </c:pt>
                <c:pt idx="42">
                  <c:v>58.134</c:v>
                </c:pt>
                <c:pt idx="43">
                  <c:v>57.950999999999993</c:v>
                </c:pt>
                <c:pt idx="44">
                  <c:v>57.593000000000011</c:v>
                </c:pt>
                <c:pt idx="45">
                  <c:v>57.4</c:v>
                </c:pt>
                <c:pt idx="46">
                  <c:v>56.5</c:v>
                </c:pt>
                <c:pt idx="47">
                  <c:v>56.3</c:v>
                </c:pt>
                <c:pt idx="48">
                  <c:v>55.911999999999999</c:v>
                </c:pt>
                <c:pt idx="49">
                  <c:v>55.2</c:v>
                </c:pt>
              </c:numCache>
            </c:numRef>
          </c:val>
        </c:ser>
        <c:gapWidth val="53"/>
        <c:overlap val="100"/>
        <c:axId val="182777728"/>
        <c:axId val="182779264"/>
      </c:barChart>
      <c:lineChart>
        <c:grouping val="standard"/>
        <c:ser>
          <c:idx val="6"/>
          <c:order val="6"/>
          <c:tx>
            <c:strRef>
              <c:f>'Státní rozpočet 5'!$B$37</c:f>
              <c:strCache>
                <c:ptCount val="1"/>
                <c:pt idx="0">
                  <c:v>% korun. dluhopisů v držbě nerezidentů</c:v>
                </c:pt>
              </c:strCache>
            </c:strRef>
          </c:tx>
          <c:spPr>
            <a:ln w="19050">
              <a:solidFill>
                <a:schemeClr val="tx1"/>
              </a:solidFill>
            </a:ln>
          </c:spPr>
          <c:marker>
            <c:symbol val="none"/>
          </c:marker>
          <c:cat>
            <c:multiLvlStrRef>
              <c:f>'Státní rozpočet 5'!$C$29:$AZ$30</c:f>
              <c:multiLvlStrCache>
                <c:ptCount val="5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pt idx="48">
                    <c:v>1</c:v>
                  </c:pt>
                  <c:pt idx="49">
                    <c:v>2</c:v>
                  </c:pt>
                </c:lvl>
                <c:lvl>
                  <c:pt idx="0">
                    <c:v>2005</c:v>
                  </c:pt>
                  <c:pt idx="4">
                    <c:v>2006</c:v>
                  </c:pt>
                  <c:pt idx="8">
                    <c:v>2007</c:v>
                  </c:pt>
                  <c:pt idx="12">
                    <c:v>2008</c:v>
                  </c:pt>
                  <c:pt idx="16">
                    <c:v>2009</c:v>
                  </c:pt>
                  <c:pt idx="20">
                    <c:v>2010</c:v>
                  </c:pt>
                  <c:pt idx="24">
                    <c:v>2011</c:v>
                  </c:pt>
                  <c:pt idx="28">
                    <c:v>2012</c:v>
                  </c:pt>
                  <c:pt idx="32">
                    <c:v>2013</c:v>
                  </c:pt>
                  <c:pt idx="36">
                    <c:v>2014</c:v>
                  </c:pt>
                  <c:pt idx="40">
                    <c:v>2015</c:v>
                  </c:pt>
                  <c:pt idx="44">
                    <c:v>2016</c:v>
                  </c:pt>
                  <c:pt idx="48">
                    <c:v>2017</c:v>
                  </c:pt>
                </c:lvl>
              </c:multiLvlStrCache>
            </c:multiLvlStrRef>
          </c:cat>
          <c:val>
            <c:numRef>
              <c:f>'Státní rozpočet 5'!$C$37:$AZ$37</c:f>
              <c:numCache>
                <c:formatCode>0.0</c:formatCode>
                <c:ptCount val="50"/>
                <c:pt idx="0">
                  <c:v>10.265992704390317</c:v>
                </c:pt>
                <c:pt idx="1">
                  <c:v>10.923088048331014</c:v>
                </c:pt>
                <c:pt idx="2">
                  <c:v>13.145252386172812</c:v>
                </c:pt>
                <c:pt idx="3">
                  <c:v>13.001503685169766</c:v>
                </c:pt>
                <c:pt idx="4">
                  <c:v>13.304825460196533</c:v>
                </c:pt>
                <c:pt idx="5">
                  <c:v>13.130686728399851</c:v>
                </c:pt>
                <c:pt idx="6">
                  <c:v>12.754669045605075</c:v>
                </c:pt>
                <c:pt idx="7">
                  <c:v>14.023012638423241</c:v>
                </c:pt>
                <c:pt idx="8">
                  <c:v>14.540668674784499</c:v>
                </c:pt>
                <c:pt idx="9">
                  <c:v>16.017485639628543</c:v>
                </c:pt>
                <c:pt idx="10">
                  <c:v>14.915904603224821</c:v>
                </c:pt>
                <c:pt idx="11">
                  <c:v>15.636328283334832</c:v>
                </c:pt>
                <c:pt idx="12">
                  <c:v>18.071642557457089</c:v>
                </c:pt>
                <c:pt idx="13">
                  <c:v>17.908165316315252</c:v>
                </c:pt>
                <c:pt idx="14">
                  <c:v>16.786365018341076</c:v>
                </c:pt>
                <c:pt idx="15">
                  <c:v>11.3672591269615</c:v>
                </c:pt>
                <c:pt idx="16">
                  <c:v>9.6178712100545489</c:v>
                </c:pt>
                <c:pt idx="17">
                  <c:v>9.4410888328706157</c:v>
                </c:pt>
                <c:pt idx="18">
                  <c:v>10.794621127623031</c:v>
                </c:pt>
                <c:pt idx="19">
                  <c:v>10.410776619638694</c:v>
                </c:pt>
                <c:pt idx="20">
                  <c:v>11.225493284964054</c:v>
                </c:pt>
                <c:pt idx="21">
                  <c:v>11.79232663254435</c:v>
                </c:pt>
                <c:pt idx="22">
                  <c:v>12.641224199198591</c:v>
                </c:pt>
                <c:pt idx="23">
                  <c:v>12.83741347982785</c:v>
                </c:pt>
                <c:pt idx="24">
                  <c:v>13.318501834003582</c:v>
                </c:pt>
                <c:pt idx="25">
                  <c:v>14.830507060003551</c:v>
                </c:pt>
                <c:pt idx="26">
                  <c:v>14.66050980041847</c:v>
                </c:pt>
                <c:pt idx="27">
                  <c:v>14.171926415445183</c:v>
                </c:pt>
                <c:pt idx="28">
                  <c:v>12.926745930684419</c:v>
                </c:pt>
                <c:pt idx="29">
                  <c:v>12.792771834252662</c:v>
                </c:pt>
                <c:pt idx="30">
                  <c:v>12.77686883709845</c:v>
                </c:pt>
                <c:pt idx="31">
                  <c:v>12.215676084031044</c:v>
                </c:pt>
                <c:pt idx="32">
                  <c:v>13.255297631418392</c:v>
                </c:pt>
                <c:pt idx="33">
                  <c:v>13.350273439240414</c:v>
                </c:pt>
                <c:pt idx="34">
                  <c:v>13.057915258672836</c:v>
                </c:pt>
                <c:pt idx="35">
                  <c:v>14.997789266625238</c:v>
                </c:pt>
                <c:pt idx="36">
                  <c:v>14.974431008283176</c:v>
                </c:pt>
                <c:pt idx="37">
                  <c:v>14.162303131717232</c:v>
                </c:pt>
                <c:pt idx="38">
                  <c:v>14.499025313524337</c:v>
                </c:pt>
                <c:pt idx="39">
                  <c:v>14.49378333679272</c:v>
                </c:pt>
                <c:pt idx="40">
                  <c:v>17.111328570972969</c:v>
                </c:pt>
                <c:pt idx="41">
                  <c:v>17.385520699212726</c:v>
                </c:pt>
                <c:pt idx="42">
                  <c:v>18.84380942299542</c:v>
                </c:pt>
                <c:pt idx="43">
                  <c:v>21.274294138798233</c:v>
                </c:pt>
                <c:pt idx="44">
                  <c:v>24.684449907953109</c:v>
                </c:pt>
                <c:pt idx="45">
                  <c:v>26.121406197883733</c:v>
                </c:pt>
                <c:pt idx="46">
                  <c:v>28.36</c:v>
                </c:pt>
                <c:pt idx="47">
                  <c:v>31.557426806363623</c:v>
                </c:pt>
                <c:pt idx="48">
                  <c:v>47.262759844202328</c:v>
                </c:pt>
                <c:pt idx="49">
                  <c:v>47.618125585631624</c:v>
                </c:pt>
              </c:numCache>
            </c:numRef>
          </c:val>
        </c:ser>
        <c:marker val="1"/>
        <c:axId val="182798976"/>
        <c:axId val="182797440"/>
      </c:lineChart>
      <c:catAx>
        <c:axId val="182777728"/>
        <c:scaling>
          <c:orientation val="minMax"/>
        </c:scaling>
        <c:axPos val="b"/>
        <c:tickLblPos val="nextTo"/>
        <c:spPr>
          <a:ln>
            <a:solidFill>
              <a:schemeClr val="tx1"/>
            </a:solidFill>
          </a:ln>
        </c:spPr>
        <c:crossAx val="182779264"/>
        <c:crosses val="autoZero"/>
        <c:auto val="1"/>
        <c:lblAlgn val="ctr"/>
        <c:lblOffset val="10"/>
      </c:catAx>
      <c:valAx>
        <c:axId val="182779264"/>
        <c:scaling>
          <c:orientation val="minMax"/>
          <c:max val="1800"/>
        </c:scaling>
        <c:axPos val="l"/>
        <c:majorGridlines>
          <c:spPr>
            <a:ln w="6350">
              <a:solidFill>
                <a:schemeClr val="bg1">
                  <a:lumMod val="75000"/>
                </a:schemeClr>
              </a:solidFill>
            </a:ln>
          </c:spPr>
        </c:majorGridlines>
        <c:numFmt formatCode="#,##0" sourceLinked="1"/>
        <c:tickLblPos val="nextTo"/>
        <c:spPr>
          <a:ln>
            <a:solidFill>
              <a:schemeClr val="tx1"/>
            </a:solidFill>
          </a:ln>
        </c:spPr>
        <c:crossAx val="182777728"/>
        <c:crosses val="autoZero"/>
        <c:crossBetween val="between"/>
      </c:valAx>
      <c:valAx>
        <c:axId val="182797440"/>
        <c:scaling>
          <c:orientation val="minMax"/>
          <c:max val="60"/>
        </c:scaling>
        <c:axPos val="r"/>
        <c:numFmt formatCode="0" sourceLinked="0"/>
        <c:tickLblPos val="nextTo"/>
        <c:spPr>
          <a:ln>
            <a:solidFill>
              <a:schemeClr val="tx1"/>
            </a:solidFill>
          </a:ln>
        </c:spPr>
        <c:crossAx val="182798976"/>
        <c:crosses val="max"/>
        <c:crossBetween val="between"/>
        <c:majorUnit val="5"/>
      </c:valAx>
      <c:catAx>
        <c:axId val="182798976"/>
        <c:scaling>
          <c:orientation val="minMax"/>
        </c:scaling>
        <c:delete val="1"/>
        <c:axPos val="b"/>
        <c:tickLblPos val="none"/>
        <c:crossAx val="182797440"/>
        <c:crosses val="autoZero"/>
        <c:auto val="1"/>
        <c:lblAlgn val="ctr"/>
        <c:lblOffset val="100"/>
      </c:catAx>
      <c:spPr>
        <a:ln w="9525">
          <a:solidFill>
            <a:schemeClr val="tx1"/>
          </a:solidFill>
        </a:ln>
      </c:spPr>
    </c:plotArea>
    <c:legend>
      <c:legendPos val="b"/>
      <c:layout>
        <c:manualLayout>
          <c:xMode val="edge"/>
          <c:yMode val="edge"/>
          <c:x val="7.1917809656383364E-2"/>
          <c:y val="0.85316553287981967"/>
          <c:w val="0.88530576599326438"/>
          <c:h val="0.12993917070585131"/>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4.6948352704928246E-2"/>
          <c:y val="2.8458510079622041E-2"/>
          <c:w val="0.93956464282120356"/>
          <c:h val="0.6497469886299676"/>
        </c:manualLayout>
      </c:layout>
      <c:barChart>
        <c:barDir val="col"/>
        <c:grouping val="stacked"/>
        <c:ser>
          <c:idx val="5"/>
          <c:order val="1"/>
          <c:tx>
            <c:strRef>
              <c:f>'souhrnná výkonnost 3'!$D$5</c:f>
              <c:strCache>
                <c:ptCount val="1"/>
                <c:pt idx="0">
                  <c:v>Výdaje na konečnou spotřebu domácností (vč. nezisk. inst.)</c:v>
                </c:pt>
              </c:strCache>
            </c:strRef>
          </c:tx>
          <c:spPr>
            <a:solidFill>
              <a:srgbClr val="0071BC"/>
            </a:solidFill>
            <a:ln>
              <a:noFill/>
            </a:ln>
          </c:spPr>
          <c:val>
            <c:numRef>
              <c:f>'souhrnná výkonnost 3'!$D$10:$D$27</c:f>
              <c:numCache>
                <c:formatCode>#,##0.0</c:formatCode>
                <c:ptCount val="18"/>
                <c:pt idx="0">
                  <c:v>0.40597446298276679</c:v>
                </c:pt>
                <c:pt idx="1">
                  <c:v>0.39628462481417592</c:v>
                </c:pt>
                <c:pt idx="2">
                  <c:v>0.10072438430113125</c:v>
                </c:pt>
                <c:pt idx="3">
                  <c:v>-0.14406158457489232</c:v>
                </c:pt>
                <c:pt idx="4">
                  <c:v>-0.34191248336467484</c:v>
                </c:pt>
                <c:pt idx="5">
                  <c:v>9.7003151816959683E-3</c:v>
                </c:pt>
                <c:pt idx="6">
                  <c:v>0.64252536968968421</c:v>
                </c:pt>
                <c:pt idx="7">
                  <c:v>1.1251665920999629</c:v>
                </c:pt>
                <c:pt idx="8">
                  <c:v>0.95996723394403682</c:v>
                </c:pt>
                <c:pt idx="9">
                  <c:v>0.88418646707186388</c:v>
                </c:pt>
                <c:pt idx="10">
                  <c:v>0.95576447741813375</c:v>
                </c:pt>
                <c:pt idx="11">
                  <c:v>1.1866830908443908</c:v>
                </c:pt>
                <c:pt idx="12">
                  <c:v>1.122020889517066</c:v>
                </c:pt>
                <c:pt idx="13">
                  <c:v>1.2236602908141609</c:v>
                </c:pt>
                <c:pt idx="14">
                  <c:v>1.3569551772034671</c:v>
                </c:pt>
                <c:pt idx="15">
                  <c:v>1.107348153656025</c:v>
                </c:pt>
                <c:pt idx="16">
                  <c:v>1.246260527529943</c:v>
                </c:pt>
                <c:pt idx="17">
                  <c:v>1.5476506772729344</c:v>
                </c:pt>
              </c:numCache>
            </c:numRef>
          </c:val>
        </c:ser>
        <c:ser>
          <c:idx val="4"/>
          <c:order val="2"/>
          <c:tx>
            <c:strRef>
              <c:f>'souhrnná výkonnost 3'!$E$5</c:f>
              <c:strCache>
                <c:ptCount val="1"/>
                <c:pt idx="0">
                  <c:v>Výdaje na konečnou spotřebu vládních institucí</c:v>
                </c:pt>
              </c:strCache>
            </c:strRef>
          </c:tx>
          <c:spPr>
            <a:solidFill>
              <a:srgbClr val="A6CDE8"/>
            </a:solidFill>
            <a:ln>
              <a:noFill/>
            </a:ln>
          </c:spPr>
          <c:val>
            <c:numRef>
              <c:f>'souhrnná výkonnost 3'!$E$10:$E$27</c:f>
              <c:numCache>
                <c:formatCode>#,##0.0</c:formatCode>
                <c:ptCount val="18"/>
                <c:pt idx="0">
                  <c:v>0.29182349651824047</c:v>
                </c:pt>
                <c:pt idx="1">
                  <c:v>0.3988382743668481</c:v>
                </c:pt>
                <c:pt idx="2">
                  <c:v>0.6183559589491503</c:v>
                </c:pt>
                <c:pt idx="3">
                  <c:v>0.49997414143888286</c:v>
                </c:pt>
                <c:pt idx="4">
                  <c:v>0.24721971722961228</c:v>
                </c:pt>
                <c:pt idx="5">
                  <c:v>0.35050457281023023</c:v>
                </c:pt>
                <c:pt idx="6">
                  <c:v>8.4527068204702197E-2</c:v>
                </c:pt>
                <c:pt idx="7">
                  <c:v>0.28017686102842626</c:v>
                </c:pt>
                <c:pt idx="8">
                  <c:v>0.38356988684026616</c:v>
                </c:pt>
                <c:pt idx="9">
                  <c:v>0.38665907102931507</c:v>
                </c:pt>
                <c:pt idx="10">
                  <c:v>0.60627256929248252</c:v>
                </c:pt>
                <c:pt idx="11">
                  <c:v>0.5639728704360647</c:v>
                </c:pt>
                <c:pt idx="12">
                  <c:v>0.33602278185610279</c:v>
                </c:pt>
                <c:pt idx="13">
                  <c:v>0.41149254163913818</c:v>
                </c:pt>
                <c:pt idx="14">
                  <c:v>0.34012918105702766</c:v>
                </c:pt>
                <c:pt idx="15">
                  <c:v>0.38626077717024043</c:v>
                </c:pt>
                <c:pt idx="16">
                  <c:v>0.45390209197023235</c:v>
                </c:pt>
                <c:pt idx="17">
                  <c:v>0.3455470563895392</c:v>
                </c:pt>
              </c:numCache>
            </c:numRef>
          </c:val>
        </c:ser>
        <c:ser>
          <c:idx val="3"/>
          <c:order val="3"/>
          <c:tx>
            <c:strRef>
              <c:f>'souhrnná výkonnost 3'!$J$5</c:f>
              <c:strCache>
                <c:ptCount val="1"/>
                <c:pt idx="0">
                  <c:v>Tvorba hrubého kapitálu</c:v>
                </c:pt>
              </c:strCache>
            </c:strRef>
          </c:tx>
          <c:spPr>
            <a:solidFill>
              <a:srgbClr val="BD1B21"/>
            </a:solidFill>
            <a:ln>
              <a:noFill/>
            </a:ln>
          </c:spPr>
          <c:val>
            <c:numRef>
              <c:f>'souhrnná výkonnost 3'!$J$10:$J$27</c:f>
              <c:numCache>
                <c:formatCode>#,##0.0</c:formatCode>
                <c:ptCount val="18"/>
                <c:pt idx="0">
                  <c:v>-1.3565537417116726</c:v>
                </c:pt>
                <c:pt idx="1">
                  <c:v>-2.8563879245256754</c:v>
                </c:pt>
                <c:pt idx="2">
                  <c:v>-8.4138539479111193E-2</c:v>
                </c:pt>
                <c:pt idx="3">
                  <c:v>0.37621790098269375</c:v>
                </c:pt>
                <c:pt idx="4">
                  <c:v>-6.4217717901764851E-2</c:v>
                </c:pt>
                <c:pt idx="5">
                  <c:v>1.7432034404711902</c:v>
                </c:pt>
                <c:pt idx="6">
                  <c:v>1.1897955210010216</c:v>
                </c:pt>
                <c:pt idx="7">
                  <c:v>0.47141627966226518</c:v>
                </c:pt>
                <c:pt idx="8">
                  <c:v>2.995551102866798</c:v>
                </c:pt>
                <c:pt idx="9">
                  <c:v>3.9932674109015083</c:v>
                </c:pt>
                <c:pt idx="10">
                  <c:v>2.7507831059265109</c:v>
                </c:pt>
                <c:pt idx="11">
                  <c:v>1.0081209599196153</c:v>
                </c:pt>
                <c:pt idx="12">
                  <c:v>1.0273007963049356</c:v>
                </c:pt>
                <c:pt idx="13">
                  <c:v>-0.96946155529155886</c:v>
                </c:pt>
                <c:pt idx="14">
                  <c:v>-0.51354041218169888</c:v>
                </c:pt>
                <c:pt idx="15">
                  <c:v>-0.21949598559678865</c:v>
                </c:pt>
                <c:pt idx="16">
                  <c:v>-0.94141467984859595</c:v>
                </c:pt>
                <c:pt idx="17">
                  <c:v>0.65000266309612464</c:v>
                </c:pt>
              </c:numCache>
            </c:numRef>
          </c:val>
        </c:ser>
        <c:ser>
          <c:idx val="1"/>
          <c:order val="4"/>
          <c:tx>
            <c:strRef>
              <c:f>'souhrnná výkonnost 3'!$H$5</c:f>
              <c:strCache>
                <c:ptCount val="1"/>
                <c:pt idx="0">
                  <c:v>Bilance zahraničního obchodu</c:v>
                </c:pt>
              </c:strCache>
            </c:strRef>
          </c:tx>
          <c:spPr>
            <a:solidFill>
              <a:srgbClr val="7DBB2D"/>
            </a:solidFill>
            <a:ln>
              <a:noFill/>
            </a:ln>
          </c:spPr>
          <c:val>
            <c:numRef>
              <c:f>'souhrnná výkonnost 3'!$H$10:$H$27</c:f>
              <c:numCache>
                <c:formatCode>#,##0.0</c:formatCode>
                <c:ptCount val="18"/>
                <c:pt idx="0">
                  <c:v>-1.1212539863066791</c:v>
                </c:pt>
                <c:pt idx="1">
                  <c:v>0.92540979141000812</c:v>
                </c:pt>
                <c:pt idx="2">
                  <c:v>-1.0354498395259251</c:v>
                </c:pt>
                <c:pt idx="3">
                  <c:v>0.55721289260917894</c:v>
                </c:pt>
                <c:pt idx="4">
                  <c:v>1.8104123228453368</c:v>
                </c:pt>
                <c:pt idx="5">
                  <c:v>0.25472480422095251</c:v>
                </c:pt>
                <c:pt idx="6">
                  <c:v>1.4702269856408019</c:v>
                </c:pt>
                <c:pt idx="7">
                  <c:v>1.4755441754070089</c:v>
                </c:pt>
                <c:pt idx="8">
                  <c:v>0.87270670480565737</c:v>
                </c:pt>
                <c:pt idx="9">
                  <c:v>0.56954370937031307</c:v>
                </c:pt>
                <c:pt idx="10">
                  <c:v>1.4131260319789174</c:v>
                </c:pt>
                <c:pt idx="11">
                  <c:v>2.1455063702622859</c:v>
                </c:pt>
                <c:pt idx="12">
                  <c:v>1.0557410423051257</c:v>
                </c:pt>
                <c:pt idx="13">
                  <c:v>2.1496812176393916</c:v>
                </c:pt>
                <c:pt idx="14">
                  <c:v>0.65095065525561513</c:v>
                </c:pt>
                <c:pt idx="15">
                  <c:v>0.49407696770869969</c:v>
                </c:pt>
                <c:pt idx="16">
                  <c:v>2.1931455623719573</c:v>
                </c:pt>
                <c:pt idx="17">
                  <c:v>2.1128651890066816</c:v>
                </c:pt>
              </c:numCache>
            </c:numRef>
          </c:val>
        </c:ser>
        <c:gapWidth val="40"/>
        <c:overlap val="100"/>
        <c:axId val="182335744"/>
        <c:axId val="183271808"/>
      </c:barChart>
      <c:lineChart>
        <c:grouping val="standard"/>
        <c:ser>
          <c:idx val="0"/>
          <c:order val="0"/>
          <c:tx>
            <c:strRef>
              <c:f>'souhrnná výkonnost 3'!$C$5</c:f>
              <c:strCache>
                <c:ptCount val="1"/>
                <c:pt idx="0">
                  <c:v>HDP</c:v>
                </c:pt>
              </c:strCache>
            </c:strRef>
          </c:tx>
          <c:spPr>
            <a:ln>
              <a:solidFill>
                <a:prstClr val="black"/>
              </a:solidFill>
            </a:ln>
          </c:spPr>
          <c:marker>
            <c:symbol val="none"/>
          </c:marker>
          <c:cat>
            <c:multiLvlStrRef>
              <c:f>'souhrnná výkonnost 3'!$A$10:$B$27</c:f>
              <c:multiLvlStrCache>
                <c:ptCount val="1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lvl>
                <c:lvl>
                  <c:pt idx="0">
                    <c:v>2013</c:v>
                  </c:pt>
                  <c:pt idx="4">
                    <c:v>2014</c:v>
                  </c:pt>
                  <c:pt idx="8">
                    <c:v>2015</c:v>
                  </c:pt>
                  <c:pt idx="12">
                    <c:v>2016</c:v>
                  </c:pt>
                  <c:pt idx="16">
                    <c:v>2017</c:v>
                  </c:pt>
                </c:lvl>
              </c:multiLvlStrCache>
            </c:multiLvlStrRef>
          </c:cat>
          <c:val>
            <c:numRef>
              <c:f>'souhrnná výkonnost 3'!$C$10:$C$27</c:f>
              <c:numCache>
                <c:formatCode>#,##0.0</c:formatCode>
                <c:ptCount val="18"/>
                <c:pt idx="0">
                  <c:v>-1.7511683134985219</c:v>
                </c:pt>
                <c:pt idx="1">
                  <c:v>-1.122551159960856</c:v>
                </c:pt>
                <c:pt idx="2">
                  <c:v>-0.35187335671896874</c:v>
                </c:pt>
                <c:pt idx="3">
                  <c:v>1.3064560933108733</c:v>
                </c:pt>
                <c:pt idx="4">
                  <c:v>1.6429317745401271</c:v>
                </c:pt>
                <c:pt idx="5">
                  <c:v>2.3799514502212835</c:v>
                </c:pt>
                <c:pt idx="6">
                  <c:v>3.4229941989101702</c:v>
                </c:pt>
                <c:pt idx="7">
                  <c:v>3.3996850847558462</c:v>
                </c:pt>
                <c:pt idx="8">
                  <c:v>5.1924491451289025</c:v>
                </c:pt>
                <c:pt idx="9">
                  <c:v>5.7975987955825747</c:v>
                </c:pt>
                <c:pt idx="10">
                  <c:v>5.6880052521314006</c:v>
                </c:pt>
                <c:pt idx="11">
                  <c:v>4.880725514351437</c:v>
                </c:pt>
                <c:pt idx="12">
                  <c:v>3.5408169174491047</c:v>
                </c:pt>
                <c:pt idx="13">
                  <c:v>2.8477395147454359</c:v>
                </c:pt>
                <c:pt idx="14">
                  <c:v>1.8439399067763358</c:v>
                </c:pt>
                <c:pt idx="15">
                  <c:v>1.765441823480645</c:v>
                </c:pt>
                <c:pt idx="16">
                  <c:v>2.9918698816459828</c:v>
                </c:pt>
                <c:pt idx="17">
                  <c:v>4.6799728703031329</c:v>
                </c:pt>
              </c:numCache>
            </c:numRef>
          </c:val>
        </c:ser>
        <c:marker val="1"/>
        <c:axId val="182335744"/>
        <c:axId val="183271808"/>
      </c:lineChart>
      <c:catAx>
        <c:axId val="182335744"/>
        <c:scaling>
          <c:orientation val="minMax"/>
        </c:scaling>
        <c:axPos val="b"/>
        <c:tickLblPos val="low"/>
        <c:spPr>
          <a:ln>
            <a:solidFill>
              <a:schemeClr val="tx1"/>
            </a:solidFill>
          </a:ln>
        </c:spPr>
        <c:txPr>
          <a:bodyPr rot="0" vert="horz"/>
          <a:lstStyle/>
          <a:p>
            <a:pPr>
              <a:defRPr/>
            </a:pPr>
            <a:endParaRPr lang="cs-CZ"/>
          </a:p>
        </c:txPr>
        <c:crossAx val="183271808"/>
        <c:crosses val="autoZero"/>
        <c:auto val="1"/>
        <c:lblAlgn val="ctr"/>
        <c:lblOffset val="100"/>
      </c:catAx>
      <c:valAx>
        <c:axId val="183271808"/>
        <c:scaling>
          <c:orientation val="minMax"/>
          <c:max val="6"/>
          <c:min val="-4"/>
        </c:scaling>
        <c:axPos val="l"/>
        <c:majorGridlines>
          <c:spPr>
            <a:ln w="6350">
              <a:solidFill>
                <a:schemeClr val="bg1">
                  <a:lumMod val="75000"/>
                </a:schemeClr>
              </a:solidFill>
            </a:ln>
          </c:spPr>
        </c:majorGridlines>
        <c:numFmt formatCode="#,##0" sourceLinked="0"/>
        <c:tickLblPos val="nextTo"/>
        <c:spPr>
          <a:ln>
            <a:solidFill>
              <a:schemeClr val="tx1"/>
            </a:solidFill>
          </a:ln>
        </c:spPr>
        <c:crossAx val="182335744"/>
        <c:crosses val="autoZero"/>
        <c:crossBetween val="between"/>
        <c:majorUnit val="1"/>
      </c:valAx>
      <c:spPr>
        <a:ln>
          <a:solidFill>
            <a:schemeClr val="tx1"/>
          </a:solidFill>
        </a:ln>
      </c:spPr>
    </c:plotArea>
    <c:legend>
      <c:legendPos val="b"/>
      <c:layout>
        <c:manualLayout>
          <c:xMode val="edge"/>
          <c:yMode val="edge"/>
          <c:x val="4.4891184424094004E-2"/>
          <c:y val="0.79301446583361457"/>
          <c:w val="0.94049666651103803"/>
          <c:h val="0.19014325115388939"/>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4.4404035346808736E-2"/>
          <c:y val="3.7154479717354444E-2"/>
          <c:w val="0.93674937195830366"/>
          <c:h val="0.63445260610154264"/>
        </c:manualLayout>
      </c:layout>
      <c:barChart>
        <c:barDir val="col"/>
        <c:grouping val="stacked"/>
        <c:ser>
          <c:idx val="4"/>
          <c:order val="0"/>
          <c:tx>
            <c:strRef>
              <c:f>'souhrnná výkonnost 4'!$C$5</c:f>
              <c:strCache>
                <c:ptCount val="1"/>
                <c:pt idx="0">
                  <c:v>Zemědělství, lesnictví a rybářství</c:v>
                </c:pt>
              </c:strCache>
            </c:strRef>
          </c:tx>
          <c:spPr>
            <a:solidFill>
              <a:srgbClr val="0071BC"/>
            </a:solidFill>
            <a:ln>
              <a:noFill/>
            </a:ln>
          </c:spPr>
          <c:val>
            <c:numRef>
              <c:f>'souhrnná výkonnost 4'!$C$10:$C$27</c:f>
              <c:numCache>
                <c:formatCode>#,##0.0</c:formatCode>
                <c:ptCount val="18"/>
                <c:pt idx="0">
                  <c:v>-4.4699648816173963E-2</c:v>
                </c:pt>
                <c:pt idx="1">
                  <c:v>-0.11466415714155985</c:v>
                </c:pt>
                <c:pt idx="2">
                  <c:v>-8.9941431175314654E-2</c:v>
                </c:pt>
                <c:pt idx="3">
                  <c:v>-6.1245633202245409E-3</c:v>
                </c:pt>
                <c:pt idx="4">
                  <c:v>9.440879833697495E-2</c:v>
                </c:pt>
                <c:pt idx="5">
                  <c:v>0.23066751983404632</c:v>
                </c:pt>
                <c:pt idx="6">
                  <c:v>0.28225200568902681</c:v>
                </c:pt>
                <c:pt idx="7">
                  <c:v>0.25875789622783918</c:v>
                </c:pt>
                <c:pt idx="8">
                  <c:v>0.23202547241325647</c:v>
                </c:pt>
                <c:pt idx="9">
                  <c:v>0.1519285796170429</c:v>
                </c:pt>
                <c:pt idx="10">
                  <c:v>0.12094967534777867</c:v>
                </c:pt>
                <c:pt idx="11">
                  <c:v>0.10040143726492617</c:v>
                </c:pt>
                <c:pt idx="12">
                  <c:v>0.13957559104473763</c:v>
                </c:pt>
                <c:pt idx="13">
                  <c:v>0.21132726920557363</c:v>
                </c:pt>
                <c:pt idx="14">
                  <c:v>0.25387931030712041</c:v>
                </c:pt>
                <c:pt idx="15">
                  <c:v>0.31886734542080314</c:v>
                </c:pt>
                <c:pt idx="16">
                  <c:v>0.2217996449593668</c:v>
                </c:pt>
                <c:pt idx="17">
                  <c:v>0.15695247767469411</c:v>
                </c:pt>
              </c:numCache>
            </c:numRef>
          </c:val>
        </c:ser>
        <c:ser>
          <c:idx val="3"/>
          <c:order val="1"/>
          <c:tx>
            <c:strRef>
              <c:f>'souhrnná výkonnost 4'!$D$5</c:f>
              <c:strCache>
                <c:ptCount val="1"/>
                <c:pt idx="0">
                  <c:v>Zpracovatelský průmysl (CZ-NACE C)</c:v>
                </c:pt>
              </c:strCache>
            </c:strRef>
          </c:tx>
          <c:spPr>
            <a:solidFill>
              <a:srgbClr val="A6CDE8"/>
            </a:solidFill>
            <a:ln>
              <a:noFill/>
            </a:ln>
          </c:spPr>
          <c:val>
            <c:numRef>
              <c:f>'souhrnná výkonnost 4'!$D$10:$D$27</c:f>
              <c:numCache>
                <c:formatCode>#,##0.0</c:formatCode>
                <c:ptCount val="18"/>
                <c:pt idx="0">
                  <c:v>-0.80190174195229758</c:v>
                </c:pt>
                <c:pt idx="1">
                  <c:v>-0.63316913532183228</c:v>
                </c:pt>
                <c:pt idx="2">
                  <c:v>-0.65799971762020026</c:v>
                </c:pt>
                <c:pt idx="3">
                  <c:v>-0.58767125058761094</c:v>
                </c:pt>
                <c:pt idx="4">
                  <c:v>0.42669631687426207</c:v>
                </c:pt>
                <c:pt idx="5">
                  <c:v>1.178814359711714</c:v>
                </c:pt>
                <c:pt idx="6">
                  <c:v>1.9647162979641102</c:v>
                </c:pt>
                <c:pt idx="7">
                  <c:v>2.5539363152168306</c:v>
                </c:pt>
                <c:pt idx="8">
                  <c:v>2.1478703755568067</c:v>
                </c:pt>
                <c:pt idx="9">
                  <c:v>1.6166800300274804</c:v>
                </c:pt>
                <c:pt idx="10">
                  <c:v>1.4270095405518384</c:v>
                </c:pt>
                <c:pt idx="11">
                  <c:v>0.65863363852355716</c:v>
                </c:pt>
                <c:pt idx="12">
                  <c:v>1.1730324306135234</c:v>
                </c:pt>
                <c:pt idx="13">
                  <c:v>1.840953156033329</c:v>
                </c:pt>
                <c:pt idx="14">
                  <c:v>1.8950378832938777</c:v>
                </c:pt>
                <c:pt idx="15">
                  <c:v>2.2496949915383935</c:v>
                </c:pt>
                <c:pt idx="16">
                  <c:v>1.8995846401079766</c:v>
                </c:pt>
                <c:pt idx="17">
                  <c:v>2.1392875048258957</c:v>
                </c:pt>
              </c:numCache>
            </c:numRef>
          </c:val>
        </c:ser>
        <c:ser>
          <c:idx val="2"/>
          <c:order val="2"/>
          <c:tx>
            <c:strRef>
              <c:f>'souhrnná výkonnost 4'!$E$5</c:f>
              <c:strCache>
                <c:ptCount val="1"/>
                <c:pt idx="0">
                  <c:v>Ostatní průmyslová odvětví (CZ-NACE B,D,E)</c:v>
                </c:pt>
              </c:strCache>
            </c:strRef>
          </c:tx>
          <c:spPr>
            <a:solidFill>
              <a:srgbClr val="BD1B21"/>
            </a:solidFill>
            <a:ln>
              <a:noFill/>
            </a:ln>
          </c:spPr>
          <c:val>
            <c:numRef>
              <c:f>'souhrnná výkonnost 4'!$E$10:$E$27</c:f>
              <c:numCache>
                <c:formatCode>0.0</c:formatCode>
                <c:ptCount val="18"/>
                <c:pt idx="0">
                  <c:v>-0.99676396653493293</c:v>
                </c:pt>
                <c:pt idx="1">
                  <c:v>-0.99862189727617723</c:v>
                </c:pt>
                <c:pt idx="2">
                  <c:v>-0.64102712488527125</c:v>
                </c:pt>
                <c:pt idx="3">
                  <c:v>-0.23768312375710335</c:v>
                </c:pt>
                <c:pt idx="4">
                  <c:v>0.34101321981670818</c:v>
                </c:pt>
                <c:pt idx="5">
                  <c:v>0.10905314809036515</c:v>
                </c:pt>
                <c:pt idx="6">
                  <c:v>-0.12299518913780627</c:v>
                </c:pt>
                <c:pt idx="7">
                  <c:v>-0.11606163720933306</c:v>
                </c:pt>
                <c:pt idx="8">
                  <c:v>-0.13641374514700294</c:v>
                </c:pt>
                <c:pt idx="9">
                  <c:v>2.6994603690324363E-2</c:v>
                </c:pt>
                <c:pt idx="10">
                  <c:v>-2.4696121131873472E-2</c:v>
                </c:pt>
                <c:pt idx="11">
                  <c:v>-8.1123422474820531E-2</c:v>
                </c:pt>
                <c:pt idx="12">
                  <c:v>-0.25523928298471665</c:v>
                </c:pt>
                <c:pt idx="13">
                  <c:v>-0.25608606894098301</c:v>
                </c:pt>
                <c:pt idx="14">
                  <c:v>-0.25707511147730044</c:v>
                </c:pt>
                <c:pt idx="15">
                  <c:v>-0.26726875277732276</c:v>
                </c:pt>
                <c:pt idx="16">
                  <c:v>8.3886819619998207E-2</c:v>
                </c:pt>
                <c:pt idx="17">
                  <c:v>-3.2418402893197751E-2</c:v>
                </c:pt>
              </c:numCache>
            </c:numRef>
          </c:val>
        </c:ser>
        <c:ser>
          <c:idx val="1"/>
          <c:order val="3"/>
          <c:tx>
            <c:strRef>
              <c:f>'souhrnná výkonnost 4'!$F$5</c:f>
              <c:strCache>
                <c:ptCount val="1"/>
                <c:pt idx="0">
                  <c:v>Stavebnictví</c:v>
                </c:pt>
              </c:strCache>
            </c:strRef>
          </c:tx>
          <c:spPr>
            <a:solidFill>
              <a:srgbClr val="E8AFB2"/>
            </a:solidFill>
            <a:ln>
              <a:noFill/>
            </a:ln>
          </c:spPr>
          <c:val>
            <c:numRef>
              <c:f>'souhrnná výkonnost 4'!$F$10:$F$27</c:f>
              <c:numCache>
                <c:formatCode>#,##0.0</c:formatCode>
                <c:ptCount val="18"/>
                <c:pt idx="0">
                  <c:v>-9.7833498488409221E-2</c:v>
                </c:pt>
                <c:pt idx="1">
                  <c:v>7.0101451917918028E-2</c:v>
                </c:pt>
                <c:pt idx="2">
                  <c:v>0.14066955556231117</c:v>
                </c:pt>
                <c:pt idx="3">
                  <c:v>0.16590826997768471</c:v>
                </c:pt>
                <c:pt idx="4">
                  <c:v>0.20380087901239571</c:v>
                </c:pt>
                <c:pt idx="5">
                  <c:v>7.707944200185142E-2</c:v>
                </c:pt>
                <c:pt idx="6">
                  <c:v>3.6125144783951575E-2</c:v>
                </c:pt>
                <c:pt idx="7">
                  <c:v>0.13861192388176069</c:v>
                </c:pt>
                <c:pt idx="8">
                  <c:v>0.1004407238403428</c:v>
                </c:pt>
                <c:pt idx="9">
                  <c:v>0.26610784775566926</c:v>
                </c:pt>
                <c:pt idx="10">
                  <c:v>0.35569158305836607</c:v>
                </c:pt>
                <c:pt idx="11">
                  <c:v>0.16508861905557695</c:v>
                </c:pt>
                <c:pt idx="12">
                  <c:v>6.017660162787021E-2</c:v>
                </c:pt>
                <c:pt idx="13">
                  <c:v>-0.13874288331323081</c:v>
                </c:pt>
                <c:pt idx="14">
                  <c:v>-0.25240045091449714</c:v>
                </c:pt>
                <c:pt idx="15">
                  <c:v>-0.22682214751648944</c:v>
                </c:pt>
                <c:pt idx="16" formatCode="0.0">
                  <c:v>-4.889007184838548E-2</c:v>
                </c:pt>
                <c:pt idx="17" formatCode="0.0">
                  <c:v>0.17059355081672636</c:v>
                </c:pt>
              </c:numCache>
            </c:numRef>
          </c:val>
        </c:ser>
        <c:ser>
          <c:idx val="0"/>
          <c:order val="4"/>
          <c:tx>
            <c:strRef>
              <c:f>'souhrnná výkonnost 4'!$G$5</c:f>
              <c:strCache>
                <c:ptCount val="1"/>
                <c:pt idx="0">
                  <c:v>Služby (CZ-NACE G až U)</c:v>
                </c:pt>
              </c:strCache>
            </c:strRef>
          </c:tx>
          <c:spPr>
            <a:solidFill>
              <a:srgbClr val="7DBB2D"/>
            </a:solidFill>
            <a:ln>
              <a:noFill/>
            </a:ln>
          </c:spPr>
          <c:val>
            <c:numRef>
              <c:f>'souhrnná výkonnost 4'!$G$10:$G$27</c:f>
              <c:numCache>
                <c:formatCode>0.0</c:formatCode>
                <c:ptCount val="18"/>
                <c:pt idx="0">
                  <c:v>0.37644839519994394</c:v>
                </c:pt>
                <c:pt idx="1">
                  <c:v>0.81261671036245109</c:v>
                </c:pt>
                <c:pt idx="2">
                  <c:v>1.0166947027297972</c:v>
                </c:pt>
                <c:pt idx="3">
                  <c:v>1.3689952261875691</c:v>
                </c:pt>
                <c:pt idx="4">
                  <c:v>1.2580269123349073</c:v>
                </c:pt>
                <c:pt idx="5">
                  <c:v>1.385665278698698</c:v>
                </c:pt>
                <c:pt idx="6">
                  <c:v>1.6254915583254335</c:v>
                </c:pt>
                <c:pt idx="7">
                  <c:v>1.6641765372351613</c:v>
                </c:pt>
                <c:pt idx="8">
                  <c:v>2.2624440762395142</c:v>
                </c:pt>
                <c:pt idx="9">
                  <c:v>2.9696553573602111</c:v>
                </c:pt>
                <c:pt idx="10">
                  <c:v>3.3867849325780148</c:v>
                </c:pt>
                <c:pt idx="11">
                  <c:v>3.5053477898363856</c:v>
                </c:pt>
                <c:pt idx="12">
                  <c:v>2.2395224984374309</c:v>
                </c:pt>
                <c:pt idx="13">
                  <c:v>1.1310584414837377</c:v>
                </c:pt>
                <c:pt idx="14">
                  <c:v>0.12888406553309981</c:v>
                </c:pt>
                <c:pt idx="15">
                  <c:v>-0.27609394109782032</c:v>
                </c:pt>
                <c:pt idx="16">
                  <c:v>0.79189102078931872</c:v>
                </c:pt>
                <c:pt idx="17">
                  <c:v>2.2391029504022959</c:v>
                </c:pt>
              </c:numCache>
            </c:numRef>
          </c:val>
        </c:ser>
        <c:gapWidth val="70"/>
        <c:overlap val="100"/>
        <c:axId val="181564160"/>
        <c:axId val="181565696"/>
      </c:barChart>
      <c:lineChart>
        <c:grouping val="standard"/>
        <c:ser>
          <c:idx val="5"/>
          <c:order val="5"/>
          <c:tx>
            <c:strRef>
              <c:f>'souhrnná výkonnost 4'!$H$5</c:f>
              <c:strCache>
                <c:ptCount val="1"/>
                <c:pt idx="0">
                  <c:v>Hrubá přidaná hodnota celkem</c:v>
                </c:pt>
              </c:strCache>
            </c:strRef>
          </c:tx>
          <c:spPr>
            <a:ln w="19050">
              <a:solidFill>
                <a:prstClr val="black"/>
              </a:solidFill>
            </a:ln>
          </c:spPr>
          <c:marker>
            <c:symbol val="none"/>
          </c:marker>
          <c:cat>
            <c:multiLvlStrRef>
              <c:f>'souhrnná výkonnost 4'!$A$10:$B$27</c:f>
              <c:multiLvlStrCache>
                <c:ptCount val="1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lvl>
                <c:lvl>
                  <c:pt idx="0">
                    <c:v>2013</c:v>
                  </c:pt>
                  <c:pt idx="4">
                    <c:v>2014</c:v>
                  </c:pt>
                  <c:pt idx="8">
                    <c:v>2015</c:v>
                  </c:pt>
                  <c:pt idx="12">
                    <c:v>2016</c:v>
                  </c:pt>
                  <c:pt idx="16">
                    <c:v>2017</c:v>
                  </c:pt>
                </c:lvl>
              </c:multiLvlStrCache>
            </c:multiLvlStrRef>
          </c:cat>
          <c:val>
            <c:numRef>
              <c:f>'souhrnná výkonnost 4'!$H$10:$H$27</c:f>
              <c:numCache>
                <c:formatCode>#,##0.0</c:formatCode>
                <c:ptCount val="18"/>
                <c:pt idx="0">
                  <c:v>-1.5564064599066569</c:v>
                </c:pt>
                <c:pt idx="1">
                  <c:v>-0.85476160118254629</c:v>
                </c:pt>
                <c:pt idx="2">
                  <c:v>-0.23921578851919464</c:v>
                </c:pt>
                <c:pt idx="3">
                  <c:v>0.69357314385266566</c:v>
                </c:pt>
                <c:pt idx="4">
                  <c:v>2.3418618184973088</c:v>
                </c:pt>
                <c:pt idx="5">
                  <c:v>2.9853700509145358</c:v>
                </c:pt>
                <c:pt idx="6">
                  <c:v>3.7747323841488214</c:v>
                </c:pt>
                <c:pt idx="7">
                  <c:v>4.4884230044466493</c:v>
                </c:pt>
                <c:pt idx="8">
                  <c:v>4.6030533672095215</c:v>
                </c:pt>
                <c:pt idx="9">
                  <c:v>5.0290309680465812</c:v>
                </c:pt>
                <c:pt idx="10">
                  <c:v>5.2622941596795165</c:v>
                </c:pt>
                <c:pt idx="11">
                  <c:v>4.357242052869359</c:v>
                </c:pt>
                <c:pt idx="12">
                  <c:v>3.361751403844043</c:v>
                </c:pt>
                <c:pt idx="13">
                  <c:v>2.7921029280771741</c:v>
                </c:pt>
                <c:pt idx="14">
                  <c:v>1.7671103559341124</c:v>
                </c:pt>
                <c:pt idx="15">
                  <c:v>1.7915027023020444</c:v>
                </c:pt>
                <c:pt idx="16">
                  <c:v>2.9899771506961326</c:v>
                </c:pt>
                <c:pt idx="17">
                  <c:v>4.6840182085208673</c:v>
                </c:pt>
              </c:numCache>
            </c:numRef>
          </c:val>
        </c:ser>
        <c:marker val="1"/>
        <c:axId val="181564160"/>
        <c:axId val="181565696"/>
      </c:lineChart>
      <c:catAx>
        <c:axId val="181564160"/>
        <c:scaling>
          <c:orientation val="minMax"/>
        </c:scaling>
        <c:axPos val="b"/>
        <c:tickLblPos val="low"/>
        <c:spPr>
          <a:ln>
            <a:solidFill>
              <a:schemeClr val="tx1"/>
            </a:solidFill>
          </a:ln>
        </c:spPr>
        <c:txPr>
          <a:bodyPr rot="0" vert="horz"/>
          <a:lstStyle/>
          <a:p>
            <a:pPr>
              <a:defRPr/>
            </a:pPr>
            <a:endParaRPr lang="cs-CZ"/>
          </a:p>
        </c:txPr>
        <c:crossAx val="181565696"/>
        <c:crosses val="autoZero"/>
        <c:auto val="1"/>
        <c:lblAlgn val="ctr"/>
        <c:lblOffset val="100"/>
      </c:catAx>
      <c:valAx>
        <c:axId val="181565696"/>
        <c:scaling>
          <c:orientation val="minMax"/>
          <c:max val="6"/>
          <c:min val="-3"/>
        </c:scaling>
        <c:axPos val="l"/>
        <c:majorGridlines>
          <c:spPr>
            <a:ln w="6350">
              <a:solidFill>
                <a:schemeClr val="bg1">
                  <a:lumMod val="75000"/>
                </a:schemeClr>
              </a:solidFill>
            </a:ln>
          </c:spPr>
        </c:majorGridlines>
        <c:numFmt formatCode="0" sourceLinked="0"/>
        <c:tickLblPos val="nextTo"/>
        <c:spPr>
          <a:ln>
            <a:solidFill>
              <a:schemeClr val="tx1"/>
            </a:solidFill>
          </a:ln>
        </c:spPr>
        <c:crossAx val="181564160"/>
        <c:crosses val="autoZero"/>
        <c:crossBetween val="between"/>
        <c:majorUnit val="1"/>
      </c:valAx>
      <c:spPr>
        <a:ln>
          <a:solidFill>
            <a:schemeClr val="tx1"/>
          </a:solidFill>
        </a:ln>
      </c:spPr>
    </c:plotArea>
    <c:legend>
      <c:legendPos val="b"/>
      <c:layout>
        <c:manualLayout>
          <c:xMode val="edge"/>
          <c:yMode val="edge"/>
          <c:x val="4.8782884397989404E-2"/>
          <c:y val="0.79016604750647301"/>
          <c:w val="0.92922619274506457"/>
          <c:h val="0.19462484520995044"/>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6.2040029038385493E-2"/>
          <c:y val="1.9513175616352428E-2"/>
          <c:w val="0.92433548575003166"/>
          <c:h val="0.75083417764269"/>
        </c:manualLayout>
      </c:layout>
      <c:barChart>
        <c:barDir val="col"/>
        <c:grouping val="clustered"/>
        <c:ser>
          <c:idx val="0"/>
          <c:order val="0"/>
          <c:tx>
            <c:strRef>
              <c:f>'výkonnost odvětví 1'!$B$30</c:f>
              <c:strCache>
                <c:ptCount val="1"/>
                <c:pt idx="0">
                  <c:v>Průmysl celkem (B+C+D)</c:v>
                </c:pt>
              </c:strCache>
            </c:strRef>
          </c:tx>
          <c:spPr>
            <a:solidFill>
              <a:schemeClr val="bg1">
                <a:lumMod val="65000"/>
              </a:schemeClr>
            </a:solidFill>
            <a:ln w="12700">
              <a:noFill/>
              <a:prstDash val="solid"/>
            </a:ln>
          </c:spPr>
          <c:cat>
            <c:multiLvlStrRef>
              <c:f>'výkonnost odvětví 1'!$C$28:$AF$29</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'výkonnost odvětví 1'!$C$30:$AF$30</c:f>
              <c:numCache>
                <c:formatCode>#,##0.0</c:formatCode>
                <c:ptCount val="30"/>
                <c:pt idx="0">
                  <c:v>4.8</c:v>
                </c:pt>
                <c:pt idx="1">
                  <c:v>7.8</c:v>
                </c:pt>
                <c:pt idx="2">
                  <c:v>10.5</c:v>
                </c:pt>
                <c:pt idx="3">
                  <c:v>9.5</c:v>
                </c:pt>
                <c:pt idx="4">
                  <c:v>9.9</c:v>
                </c:pt>
                <c:pt idx="5">
                  <c:v>8.3000000000000007</c:v>
                </c:pt>
                <c:pt idx="6">
                  <c:v>2.2999999999999998</c:v>
                </c:pt>
                <c:pt idx="7">
                  <c:v>3.4</c:v>
                </c:pt>
                <c:pt idx="8">
                  <c:v>1.4</c:v>
                </c:pt>
                <c:pt idx="9">
                  <c:v>0.8</c:v>
                </c:pt>
                <c:pt idx="10">
                  <c:v>0</c:v>
                </c:pt>
                <c:pt idx="11">
                  <c:v>-5.2</c:v>
                </c:pt>
                <c:pt idx="12">
                  <c:v>-3.5</c:v>
                </c:pt>
                <c:pt idx="13">
                  <c:v>-3.1</c:v>
                </c:pt>
                <c:pt idx="14">
                  <c:v>1.2</c:v>
                </c:pt>
                <c:pt idx="15">
                  <c:v>6</c:v>
                </c:pt>
                <c:pt idx="16">
                  <c:v>6.5</c:v>
                </c:pt>
                <c:pt idx="17">
                  <c:v>6.4</c:v>
                </c:pt>
                <c:pt idx="18">
                  <c:v>3</c:v>
                </c:pt>
                <c:pt idx="19">
                  <c:v>4</c:v>
                </c:pt>
                <c:pt idx="20">
                  <c:v>5.0999999999999996</c:v>
                </c:pt>
                <c:pt idx="21">
                  <c:v>5.5</c:v>
                </c:pt>
                <c:pt idx="22">
                  <c:v>5.8</c:v>
                </c:pt>
                <c:pt idx="23">
                  <c:v>2.9</c:v>
                </c:pt>
                <c:pt idx="24">
                  <c:v>4</c:v>
                </c:pt>
                <c:pt idx="25">
                  <c:v>2.9</c:v>
                </c:pt>
                <c:pt idx="26">
                  <c:v>1.4</c:v>
                </c:pt>
                <c:pt idx="27">
                  <c:v>3.3</c:v>
                </c:pt>
                <c:pt idx="28">
                  <c:v>4.9000000000000004</c:v>
                </c:pt>
                <c:pt idx="29">
                  <c:v>6.8</c:v>
                </c:pt>
              </c:numCache>
            </c:numRef>
          </c:val>
        </c:ser>
        <c:gapWidth val="30"/>
        <c:axId val="181696000"/>
        <c:axId val="181697920"/>
      </c:barChart>
      <c:lineChart>
        <c:grouping val="standard"/>
        <c:ser>
          <c:idx val="3"/>
          <c:order val="1"/>
          <c:tx>
            <c:strRef>
              <c:f>'výkonnost odvětví 1'!$B$31</c:f>
              <c:strCache>
                <c:ptCount val="1"/>
                <c:pt idx="0">
                  <c:v>Potravinářství a výroba nápojů</c:v>
                </c:pt>
              </c:strCache>
            </c:strRef>
          </c:tx>
          <c:spPr>
            <a:ln w="19050">
              <a:solidFill>
                <a:srgbClr val="7DBB2D"/>
              </a:solidFill>
              <a:prstDash val="solid"/>
            </a:ln>
          </c:spPr>
          <c:marker>
            <c:symbol val="none"/>
          </c:marker>
          <c:cat>
            <c:multiLvlStrRef>
              <c:f>'výkonnost odvětví 1'!$C$28:$AF$29</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'výkonnost odvětví 1'!$C$31:$AF$31</c:f>
              <c:numCache>
                <c:formatCode>#,##0.0</c:formatCode>
                <c:ptCount val="30"/>
                <c:pt idx="0">
                  <c:v>-1.4</c:v>
                </c:pt>
                <c:pt idx="1">
                  <c:v>-4.7</c:v>
                </c:pt>
                <c:pt idx="2">
                  <c:v>-3.1</c:v>
                </c:pt>
                <c:pt idx="3">
                  <c:v>-4.0999999999999996</c:v>
                </c:pt>
                <c:pt idx="4">
                  <c:v>-0.30000000000000027</c:v>
                </c:pt>
                <c:pt idx="5">
                  <c:v>0</c:v>
                </c:pt>
                <c:pt idx="6">
                  <c:v>-4.0999999999999996</c:v>
                </c:pt>
                <c:pt idx="7">
                  <c:v>-1.7</c:v>
                </c:pt>
                <c:pt idx="8">
                  <c:v>-4.3</c:v>
                </c:pt>
                <c:pt idx="9">
                  <c:v>-1.3</c:v>
                </c:pt>
                <c:pt idx="10">
                  <c:v>0</c:v>
                </c:pt>
                <c:pt idx="11">
                  <c:v>-1.8</c:v>
                </c:pt>
                <c:pt idx="12">
                  <c:v>1</c:v>
                </c:pt>
                <c:pt idx="13">
                  <c:v>-1.4</c:v>
                </c:pt>
                <c:pt idx="14">
                  <c:v>-1</c:v>
                </c:pt>
                <c:pt idx="15">
                  <c:v>0.8</c:v>
                </c:pt>
                <c:pt idx="16">
                  <c:v>2.4</c:v>
                </c:pt>
                <c:pt idx="17">
                  <c:v>4.2</c:v>
                </c:pt>
                <c:pt idx="18">
                  <c:v>0.60000000000000053</c:v>
                </c:pt>
                <c:pt idx="19">
                  <c:v>5.7</c:v>
                </c:pt>
                <c:pt idx="20">
                  <c:v>4.4000000000000004</c:v>
                </c:pt>
                <c:pt idx="21">
                  <c:v>1.1000000000000001</c:v>
                </c:pt>
                <c:pt idx="22">
                  <c:v>8.2000000000000011</c:v>
                </c:pt>
                <c:pt idx="23">
                  <c:v>3.8</c:v>
                </c:pt>
                <c:pt idx="24">
                  <c:v>-0.8</c:v>
                </c:pt>
                <c:pt idx="25">
                  <c:v>0.8</c:v>
                </c:pt>
                <c:pt idx="26">
                  <c:v>0.60000000000000053</c:v>
                </c:pt>
                <c:pt idx="27">
                  <c:v>-1.9000000000000001</c:v>
                </c:pt>
                <c:pt idx="28">
                  <c:v>2.6</c:v>
                </c:pt>
                <c:pt idx="29">
                  <c:v>5</c:v>
                </c:pt>
              </c:numCache>
            </c:numRef>
          </c:val>
        </c:ser>
        <c:ser>
          <c:idx val="1"/>
          <c:order val="2"/>
          <c:tx>
            <c:strRef>
              <c:f>'výkonnost odvětví 1'!$B$32</c:f>
              <c:strCache>
                <c:ptCount val="1"/>
                <c:pt idx="0">
                  <c:v>Chemický průmysl</c:v>
                </c:pt>
              </c:strCache>
            </c:strRef>
          </c:tx>
          <c:spPr>
            <a:ln w="19050">
              <a:solidFill>
                <a:srgbClr val="F8A124"/>
              </a:solidFill>
            </a:ln>
          </c:spPr>
          <c:marker>
            <c:symbol val="none"/>
          </c:marker>
          <c:cat>
            <c:multiLvlStrRef>
              <c:f>'výkonnost odvětví 1'!$C$28:$AF$29</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'výkonnost odvětví 1'!$C$32:$AF$32</c:f>
              <c:numCache>
                <c:formatCode>#,##0.0</c:formatCode>
                <c:ptCount val="30"/>
                <c:pt idx="0">
                  <c:v>0</c:v>
                </c:pt>
                <c:pt idx="1">
                  <c:v>-1.3</c:v>
                </c:pt>
                <c:pt idx="2">
                  <c:v>13.8</c:v>
                </c:pt>
                <c:pt idx="3">
                  <c:v>12.1</c:v>
                </c:pt>
                <c:pt idx="4">
                  <c:v>2.6</c:v>
                </c:pt>
                <c:pt idx="5">
                  <c:v>-4.7</c:v>
                </c:pt>
                <c:pt idx="6">
                  <c:v>-8.5</c:v>
                </c:pt>
                <c:pt idx="7">
                  <c:v>-8</c:v>
                </c:pt>
                <c:pt idx="8">
                  <c:v>3.1</c:v>
                </c:pt>
                <c:pt idx="9">
                  <c:v>0.60000000000000053</c:v>
                </c:pt>
                <c:pt idx="10">
                  <c:v>10.1</c:v>
                </c:pt>
                <c:pt idx="11">
                  <c:v>6.8</c:v>
                </c:pt>
                <c:pt idx="12">
                  <c:v>-5.0999999999999996</c:v>
                </c:pt>
                <c:pt idx="13">
                  <c:v>-0.9</c:v>
                </c:pt>
                <c:pt idx="14">
                  <c:v>-9.9</c:v>
                </c:pt>
                <c:pt idx="15">
                  <c:v>4</c:v>
                </c:pt>
                <c:pt idx="16">
                  <c:v>9</c:v>
                </c:pt>
                <c:pt idx="17">
                  <c:v>9.7000000000000011</c:v>
                </c:pt>
                <c:pt idx="18">
                  <c:v>15.8</c:v>
                </c:pt>
                <c:pt idx="19">
                  <c:v>4.0999999999999996</c:v>
                </c:pt>
                <c:pt idx="20">
                  <c:v>2.9</c:v>
                </c:pt>
                <c:pt idx="21">
                  <c:v>3.5</c:v>
                </c:pt>
                <c:pt idx="22">
                  <c:v>-7.9</c:v>
                </c:pt>
                <c:pt idx="23">
                  <c:v>-15.9</c:v>
                </c:pt>
                <c:pt idx="24">
                  <c:v>-13.8</c:v>
                </c:pt>
                <c:pt idx="25">
                  <c:v>-16.399999999999999</c:v>
                </c:pt>
                <c:pt idx="26">
                  <c:v>-5.9</c:v>
                </c:pt>
                <c:pt idx="27">
                  <c:v>10.8</c:v>
                </c:pt>
                <c:pt idx="28">
                  <c:v>17.7</c:v>
                </c:pt>
                <c:pt idx="29">
                  <c:v>24</c:v>
                </c:pt>
              </c:numCache>
            </c:numRef>
          </c:val>
        </c:ser>
        <c:ser>
          <c:idx val="7"/>
          <c:order val="3"/>
          <c:tx>
            <c:strRef>
              <c:f>'výkonnost odvětví 1'!$B$33</c:f>
              <c:strCache>
                <c:ptCount val="1"/>
                <c:pt idx="0">
                  <c:v>Výroba PC, elektronic. a optic. přístrojů</c:v>
                </c:pt>
              </c:strCache>
            </c:strRef>
          </c:tx>
          <c:spPr>
            <a:ln w="19050">
              <a:solidFill>
                <a:srgbClr val="48AEE7"/>
              </a:solidFill>
            </a:ln>
          </c:spPr>
          <c:marker>
            <c:symbol val="none"/>
          </c:marker>
          <c:cat>
            <c:multiLvlStrRef>
              <c:f>'výkonnost odvětví 1'!$C$28:$AF$29</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'výkonnost odvětví 1'!$C$33:$AF$33</c:f>
              <c:numCache>
                <c:formatCode>#,##0.0</c:formatCode>
                <c:ptCount val="30"/>
                <c:pt idx="0">
                  <c:v>13.6</c:v>
                </c:pt>
                <c:pt idx="1">
                  <c:v>36.9</c:v>
                </c:pt>
                <c:pt idx="2">
                  <c:v>39.1</c:v>
                </c:pt>
                <c:pt idx="3">
                  <c:v>27.2</c:v>
                </c:pt>
                <c:pt idx="4">
                  <c:v>12.5</c:v>
                </c:pt>
                <c:pt idx="5">
                  <c:v>6</c:v>
                </c:pt>
                <c:pt idx="6">
                  <c:v>-5.9</c:v>
                </c:pt>
                <c:pt idx="7">
                  <c:v>-18.399999999999999</c:v>
                </c:pt>
                <c:pt idx="8">
                  <c:v>-19</c:v>
                </c:pt>
                <c:pt idx="9">
                  <c:v>-22.7</c:v>
                </c:pt>
                <c:pt idx="10">
                  <c:v>-19.2</c:v>
                </c:pt>
                <c:pt idx="11">
                  <c:v>-13.5</c:v>
                </c:pt>
                <c:pt idx="12">
                  <c:v>10.6</c:v>
                </c:pt>
                <c:pt idx="13">
                  <c:v>13</c:v>
                </c:pt>
                <c:pt idx="14">
                  <c:v>18.100000000000001</c:v>
                </c:pt>
                <c:pt idx="15">
                  <c:v>22.1</c:v>
                </c:pt>
                <c:pt idx="16">
                  <c:v>18.3</c:v>
                </c:pt>
                <c:pt idx="17">
                  <c:v>19.2</c:v>
                </c:pt>
                <c:pt idx="18">
                  <c:v>14.5</c:v>
                </c:pt>
                <c:pt idx="19">
                  <c:v>21.4</c:v>
                </c:pt>
                <c:pt idx="20">
                  <c:v>7</c:v>
                </c:pt>
                <c:pt idx="21">
                  <c:v>3.5</c:v>
                </c:pt>
                <c:pt idx="22">
                  <c:v>3.1</c:v>
                </c:pt>
                <c:pt idx="23">
                  <c:v>-1.3</c:v>
                </c:pt>
                <c:pt idx="24">
                  <c:v>0.5</c:v>
                </c:pt>
                <c:pt idx="25">
                  <c:v>3.5</c:v>
                </c:pt>
                <c:pt idx="26">
                  <c:v>2.5</c:v>
                </c:pt>
                <c:pt idx="27">
                  <c:v>8.9</c:v>
                </c:pt>
                <c:pt idx="28">
                  <c:v>7.5</c:v>
                </c:pt>
                <c:pt idx="29">
                  <c:v>18.100000000000001</c:v>
                </c:pt>
              </c:numCache>
            </c:numRef>
          </c:val>
        </c:ser>
        <c:ser>
          <c:idx val="2"/>
          <c:order val="4"/>
          <c:tx>
            <c:strRef>
              <c:f>'výkonnost odvětví 1'!$B$34</c:f>
              <c:strCache>
                <c:ptCount val="1"/>
                <c:pt idx="0">
                  <c:v>Výroba motor. voz.</c:v>
                </c:pt>
              </c:strCache>
            </c:strRef>
          </c:tx>
          <c:spPr>
            <a:ln w="19050">
              <a:solidFill>
                <a:srgbClr val="BD1B21"/>
              </a:solidFill>
              <a:prstDash val="solid"/>
            </a:ln>
          </c:spPr>
          <c:marker>
            <c:symbol val="none"/>
          </c:marker>
          <c:cat>
            <c:multiLvlStrRef>
              <c:f>'výkonnost odvětví 1'!$C$28:$AF$29</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'výkonnost odvětví 1'!$C$34:$AF$34</c:f>
              <c:numCache>
                <c:formatCode>#,##0.0</c:formatCode>
                <c:ptCount val="30"/>
                <c:pt idx="0">
                  <c:v>36.200000000000003</c:v>
                </c:pt>
                <c:pt idx="1">
                  <c:v>18.399999999999999</c:v>
                </c:pt>
                <c:pt idx="2">
                  <c:v>13.3</c:v>
                </c:pt>
                <c:pt idx="3">
                  <c:v>21.4</c:v>
                </c:pt>
                <c:pt idx="4">
                  <c:v>27.1</c:v>
                </c:pt>
                <c:pt idx="5">
                  <c:v>21.6</c:v>
                </c:pt>
                <c:pt idx="6">
                  <c:v>20.8</c:v>
                </c:pt>
                <c:pt idx="7">
                  <c:v>16</c:v>
                </c:pt>
                <c:pt idx="8">
                  <c:v>9.9</c:v>
                </c:pt>
                <c:pt idx="9">
                  <c:v>4.3</c:v>
                </c:pt>
                <c:pt idx="10">
                  <c:v>-2.9</c:v>
                </c:pt>
                <c:pt idx="11">
                  <c:v>-6.9</c:v>
                </c:pt>
                <c:pt idx="12">
                  <c:v>-15</c:v>
                </c:pt>
                <c:pt idx="13">
                  <c:v>-6.6</c:v>
                </c:pt>
                <c:pt idx="14">
                  <c:v>3.9</c:v>
                </c:pt>
                <c:pt idx="15">
                  <c:v>8.3000000000000007</c:v>
                </c:pt>
                <c:pt idx="16">
                  <c:v>20.7</c:v>
                </c:pt>
                <c:pt idx="17">
                  <c:v>13.6</c:v>
                </c:pt>
                <c:pt idx="18">
                  <c:v>10.6</c:v>
                </c:pt>
                <c:pt idx="19">
                  <c:v>9.1</c:v>
                </c:pt>
                <c:pt idx="20">
                  <c:v>7.6</c:v>
                </c:pt>
                <c:pt idx="21">
                  <c:v>12.2</c:v>
                </c:pt>
                <c:pt idx="22">
                  <c:v>14.1</c:v>
                </c:pt>
                <c:pt idx="23">
                  <c:v>16.100000000000001</c:v>
                </c:pt>
                <c:pt idx="24">
                  <c:v>15.7</c:v>
                </c:pt>
                <c:pt idx="25">
                  <c:v>14.6</c:v>
                </c:pt>
                <c:pt idx="26">
                  <c:v>6.4</c:v>
                </c:pt>
                <c:pt idx="27">
                  <c:v>7</c:v>
                </c:pt>
                <c:pt idx="28">
                  <c:v>10.5</c:v>
                </c:pt>
                <c:pt idx="29">
                  <c:v>9.8000000000000007</c:v>
                </c:pt>
              </c:numCache>
            </c:numRef>
          </c:val>
        </c:ser>
        <c:ser>
          <c:idx val="5"/>
          <c:order val="5"/>
          <c:tx>
            <c:strRef>
              <c:f>'výkonnost odvětví 1'!$B$35</c:f>
              <c:strCache>
                <c:ptCount val="1"/>
                <c:pt idx="0">
                  <c:v>Energetika</c:v>
                </c:pt>
              </c:strCache>
            </c:strRef>
          </c:tx>
          <c:spPr>
            <a:ln w="19050">
              <a:noFill/>
            </a:ln>
          </c:spPr>
          <c:marker>
            <c:symbol val="diamond"/>
            <c:size val="5"/>
            <c:spPr>
              <a:solidFill>
                <a:schemeClr val="tx1">
                  <a:lumMod val="95000"/>
                  <a:lumOff val="5000"/>
                </a:schemeClr>
              </a:solidFill>
              <a:ln>
                <a:noFill/>
              </a:ln>
            </c:spPr>
          </c:marker>
          <c:cat>
            <c:multiLvlStrRef>
              <c:f>'výkonnost odvětví 1'!$C$28:$AF$29</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'výkonnost odvětví 1'!$C$35:$AF$35</c:f>
              <c:numCache>
                <c:formatCode>#,##0.0</c:formatCode>
                <c:ptCount val="30"/>
                <c:pt idx="0">
                  <c:v>3.3</c:v>
                </c:pt>
                <c:pt idx="1">
                  <c:v>5</c:v>
                </c:pt>
                <c:pt idx="2">
                  <c:v>8.5</c:v>
                </c:pt>
                <c:pt idx="3">
                  <c:v>2.6</c:v>
                </c:pt>
                <c:pt idx="4">
                  <c:v>-4</c:v>
                </c:pt>
                <c:pt idx="5">
                  <c:v>0.30000000000000027</c:v>
                </c:pt>
                <c:pt idx="6">
                  <c:v>-5.2</c:v>
                </c:pt>
                <c:pt idx="7">
                  <c:v>2.5</c:v>
                </c:pt>
                <c:pt idx="8">
                  <c:v>1.9000000000000001</c:v>
                </c:pt>
                <c:pt idx="9">
                  <c:v>4.5</c:v>
                </c:pt>
                <c:pt idx="10">
                  <c:v>1.1000000000000001</c:v>
                </c:pt>
                <c:pt idx="11">
                  <c:v>-7.9</c:v>
                </c:pt>
                <c:pt idx="12">
                  <c:v>-3.4</c:v>
                </c:pt>
                <c:pt idx="13">
                  <c:v>-4</c:v>
                </c:pt>
                <c:pt idx="14">
                  <c:v>-3.4</c:v>
                </c:pt>
                <c:pt idx="15">
                  <c:v>4.2</c:v>
                </c:pt>
                <c:pt idx="16">
                  <c:v>-3.4</c:v>
                </c:pt>
                <c:pt idx="17">
                  <c:v>-2.5</c:v>
                </c:pt>
                <c:pt idx="18">
                  <c:v>-2</c:v>
                </c:pt>
                <c:pt idx="19">
                  <c:v>-3.8</c:v>
                </c:pt>
                <c:pt idx="20">
                  <c:v>2.7</c:v>
                </c:pt>
                <c:pt idx="21">
                  <c:v>-1.4</c:v>
                </c:pt>
                <c:pt idx="22">
                  <c:v>-4.2</c:v>
                </c:pt>
                <c:pt idx="23">
                  <c:v>-7.9</c:v>
                </c:pt>
                <c:pt idx="24">
                  <c:v>-3.8</c:v>
                </c:pt>
                <c:pt idx="25">
                  <c:v>2.7</c:v>
                </c:pt>
                <c:pt idx="26">
                  <c:v>-2</c:v>
                </c:pt>
                <c:pt idx="27">
                  <c:v>7.3</c:v>
                </c:pt>
                <c:pt idx="28">
                  <c:v>4.3</c:v>
                </c:pt>
                <c:pt idx="29">
                  <c:v>0.30000000000000027</c:v>
                </c:pt>
              </c:numCache>
            </c:numRef>
          </c:val>
        </c:ser>
        <c:marker val="1"/>
        <c:axId val="181696000"/>
        <c:axId val="181697920"/>
      </c:lineChart>
      <c:catAx>
        <c:axId val="181696000"/>
        <c:scaling>
          <c:orientation val="minMax"/>
        </c:scaling>
        <c:axPos val="b"/>
        <c:numFmt formatCode="General" sourceLinked="1"/>
        <c:tickLblPos val="low"/>
        <c:spPr>
          <a:ln w="9525">
            <a:solidFill>
              <a:schemeClr val="tx1"/>
            </a:solidFill>
            <a:prstDash val="solid"/>
          </a:ln>
        </c:spPr>
        <c:txPr>
          <a:bodyPr rot="0" vert="horz"/>
          <a:lstStyle/>
          <a:p>
            <a:pPr>
              <a:defRPr/>
            </a:pPr>
            <a:endParaRPr lang="cs-CZ"/>
          </a:p>
        </c:txPr>
        <c:crossAx val="181697920"/>
        <c:crossesAt val="0"/>
        <c:lblAlgn val="ctr"/>
        <c:lblOffset val="0"/>
        <c:tickLblSkip val="1"/>
        <c:tickMarkSkip val="4"/>
      </c:catAx>
      <c:valAx>
        <c:axId val="181697920"/>
        <c:scaling>
          <c:orientation val="minMax"/>
          <c:max val="40"/>
          <c:min val="-25"/>
        </c:scaling>
        <c:axPos val="l"/>
        <c:majorGridlines>
          <c:spPr>
            <a:ln w="6350">
              <a:solidFill>
                <a:schemeClr val="bg1">
                  <a:lumMod val="75000"/>
                </a:schemeClr>
              </a:solidFill>
            </a:ln>
          </c:spPr>
        </c:majorGridlines>
        <c:numFmt formatCode="0" sourceLinked="0"/>
        <c:tickLblPos val="nextTo"/>
        <c:spPr>
          <a:ln w="9525">
            <a:solidFill>
              <a:schemeClr val="tx1"/>
            </a:solidFill>
            <a:prstDash val="solid"/>
          </a:ln>
        </c:spPr>
        <c:txPr>
          <a:bodyPr rot="0" vert="horz"/>
          <a:lstStyle/>
          <a:p>
            <a:pPr>
              <a:defRPr/>
            </a:pPr>
            <a:endParaRPr lang="cs-CZ"/>
          </a:p>
        </c:txPr>
        <c:crossAx val="181696000"/>
        <c:crosses val="autoZero"/>
        <c:crossBetween val="between"/>
        <c:majorUnit val="5"/>
      </c:valAx>
      <c:spPr>
        <a:noFill/>
        <a:ln w="9525">
          <a:solidFill>
            <a:schemeClr val="tx1"/>
          </a:solidFill>
        </a:ln>
      </c:spPr>
    </c:plotArea>
    <c:legend>
      <c:legendPos val="b"/>
      <c:layout>
        <c:manualLayout>
          <c:xMode val="edge"/>
          <c:yMode val="edge"/>
          <c:x val="6.0825137685827264E-2"/>
          <c:y val="0.8721389170325351"/>
          <c:w val="0.9258012889558157"/>
          <c:h val="0.1207125970955758"/>
        </c:manualLayout>
      </c:layout>
      <c:spPr>
        <a:noFill/>
        <a:ln w="6350">
          <a:solidFill>
            <a:schemeClr val="tx1"/>
          </a:solidFill>
        </a:ln>
      </c:spPr>
    </c:legend>
    <c:plotVisOnly val="1"/>
    <c:dispBlanksAs val="gap"/>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2277854581154255E-2"/>
          <c:y val="1.9008475080329067E-2"/>
          <c:w val="0.92988062751698064"/>
          <c:h val="0.74907069683665461"/>
        </c:manualLayout>
      </c:layout>
      <c:barChart>
        <c:barDir val="col"/>
        <c:grouping val="clustered"/>
        <c:ser>
          <c:idx val="0"/>
          <c:order val="0"/>
          <c:tx>
            <c:strRef>
              <c:f>'výkonnost odvětví 2'!$B$31</c:f>
              <c:strCache>
                <c:ptCount val="1"/>
                <c:pt idx="0">
                  <c:v>Průmyslové zakázky celkem</c:v>
                </c:pt>
              </c:strCache>
            </c:strRef>
          </c:tx>
          <c:spPr>
            <a:solidFill>
              <a:schemeClr val="bg1">
                <a:lumMod val="65000"/>
              </a:schemeClr>
            </a:solidFill>
            <a:ln w="12700">
              <a:noFill/>
              <a:prstDash val="solid"/>
            </a:ln>
          </c:spPr>
          <c:cat>
            <c:multiLvlStrRef>
              <c:f>'výkonnost odvětví 2'!$C$29:$AF$30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'výkonnost odvětví 2'!$C$31:$AF$31</c:f>
              <c:numCache>
                <c:formatCode>#,##0__</c:formatCode>
                <c:ptCount val="30"/>
                <c:pt idx="0">
                  <c:v>12.055392746813197</c:v>
                </c:pt>
                <c:pt idx="1">
                  <c:v>18.791785748936761</c:v>
                </c:pt>
                <c:pt idx="2">
                  <c:v>17.444096590215732</c:v>
                </c:pt>
                <c:pt idx="3">
                  <c:v>13.260899648585324</c:v>
                </c:pt>
                <c:pt idx="4" formatCode="#,##0.0__">
                  <c:v>12.043109882578847</c:v>
                </c:pt>
                <c:pt idx="5" formatCode="#,##0.0__">
                  <c:v>5.329288738434343</c:v>
                </c:pt>
                <c:pt idx="6" formatCode="#,##0.0__">
                  <c:v>-1.5038252425140943</c:v>
                </c:pt>
                <c:pt idx="7" formatCode="#,##0.0__">
                  <c:v>0.49985212637597037</c:v>
                </c:pt>
                <c:pt idx="8" formatCode="#,##0.0__">
                  <c:v>7.8919813268951149</c:v>
                </c:pt>
                <c:pt idx="9" formatCode="#,##0.0__">
                  <c:v>0.24365995359796977</c:v>
                </c:pt>
                <c:pt idx="10" formatCode="#,##0.0__">
                  <c:v>2.6780171683964675</c:v>
                </c:pt>
                <c:pt idx="11" formatCode="#,##0.0__">
                  <c:v>-2.2928067612426872</c:v>
                </c:pt>
                <c:pt idx="12" formatCode="#,##0.0__">
                  <c:v>-6.7566807507372015</c:v>
                </c:pt>
                <c:pt idx="13" formatCode="#,##0.0__">
                  <c:v>-0.77743655462337879</c:v>
                </c:pt>
                <c:pt idx="14" formatCode="#,##0.0__">
                  <c:v>12.110633355214674</c:v>
                </c:pt>
                <c:pt idx="15" formatCode="#,##0.0__">
                  <c:v>12.611587847341719</c:v>
                </c:pt>
                <c:pt idx="16" formatCode="#,##0.0__">
                  <c:v>18.162563874667136</c:v>
                </c:pt>
                <c:pt idx="17" formatCode="#,##0.0__">
                  <c:v>13.482126304908052</c:v>
                </c:pt>
                <c:pt idx="18" formatCode="#,##0.0__">
                  <c:v>11.650462908552004</c:v>
                </c:pt>
                <c:pt idx="19" formatCode="#,##0.0__">
                  <c:v>7.4466461221971327</c:v>
                </c:pt>
                <c:pt idx="20" formatCode="#,##0.0__">
                  <c:v>8.6601281679304485</c:v>
                </c:pt>
                <c:pt idx="21" formatCode="#,##0.0__">
                  <c:v>7.0703444338271924</c:v>
                </c:pt>
                <c:pt idx="22" formatCode="#,##0.0__">
                  <c:v>3.8319900533634268</c:v>
                </c:pt>
                <c:pt idx="23" formatCode="#,##0.0__">
                  <c:v>6.2462982413050714</c:v>
                </c:pt>
                <c:pt idx="24" formatCode="#,##0.0__">
                  <c:v>1.7408408111983675</c:v>
                </c:pt>
                <c:pt idx="25" formatCode="#,##0.0__">
                  <c:v>10.948509388317888</c:v>
                </c:pt>
                <c:pt idx="26" formatCode="#,##0.0__">
                  <c:v>1.6291665033355542</c:v>
                </c:pt>
                <c:pt idx="27" formatCode="#,##0.0__">
                  <c:v>6.4782911884818155</c:v>
                </c:pt>
                <c:pt idx="28" formatCode="#,##0.0__">
                  <c:v>9.9432376163981502</c:v>
                </c:pt>
                <c:pt idx="29" formatCode="#,##0.0__">
                  <c:v>3.6195909194471625</c:v>
                </c:pt>
              </c:numCache>
            </c:numRef>
          </c:val>
        </c:ser>
        <c:gapWidth val="34"/>
        <c:overlap val="28"/>
        <c:axId val="182373376"/>
        <c:axId val="182391936"/>
      </c:barChart>
      <c:lineChart>
        <c:grouping val="standard"/>
        <c:ser>
          <c:idx val="2"/>
          <c:order val="1"/>
          <c:tx>
            <c:strRef>
              <c:f>'výkonnost odvětví 2'!$B$32</c:f>
              <c:strCache>
                <c:ptCount val="1"/>
                <c:pt idx="0">
                  <c:v>Průmyslové zakázky z tuzemska</c:v>
                </c:pt>
              </c:strCache>
            </c:strRef>
          </c:tx>
          <c:spPr>
            <a:ln w="19050">
              <a:solidFill>
                <a:srgbClr val="0071BC"/>
              </a:solidFill>
              <a:prstDash val="solid"/>
            </a:ln>
          </c:spPr>
          <c:marker>
            <c:symbol val="none"/>
          </c:marker>
          <c:cat>
            <c:multiLvlStrRef>
              <c:f>'výkonnost odvětví 2'!$C$29:$AF$30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'výkonnost odvětví 2'!$C$32:$AF$32</c:f>
              <c:numCache>
                <c:formatCode>#,##0__</c:formatCode>
                <c:ptCount val="30"/>
                <c:pt idx="0">
                  <c:v>9.3690276852933057</c:v>
                </c:pt>
                <c:pt idx="1">
                  <c:v>20.682181592692444</c:v>
                </c:pt>
                <c:pt idx="2">
                  <c:v>16.573478131898657</c:v>
                </c:pt>
                <c:pt idx="3">
                  <c:v>7.6006939720973321</c:v>
                </c:pt>
                <c:pt idx="4" formatCode="#,##0.0__">
                  <c:v>2.8145828625014979</c:v>
                </c:pt>
                <c:pt idx="5" formatCode="#,##0.0__">
                  <c:v>-0.65160236646085024</c:v>
                </c:pt>
                <c:pt idx="6" formatCode="#,##0.0__">
                  <c:v>-11.671779874966376</c:v>
                </c:pt>
                <c:pt idx="7" formatCode="#,##0.0__">
                  <c:v>-10.696553928195002</c:v>
                </c:pt>
                <c:pt idx="8" formatCode="#,##0.0__">
                  <c:v>2.6214089523072488</c:v>
                </c:pt>
                <c:pt idx="9" formatCode="#,##0.0__">
                  <c:v>-9.2467358771092716</c:v>
                </c:pt>
                <c:pt idx="10" formatCode="#,##0.0__">
                  <c:v>-2.8571327008706082</c:v>
                </c:pt>
                <c:pt idx="11" formatCode="#,##0.0__">
                  <c:v>-4.0487131301687915</c:v>
                </c:pt>
                <c:pt idx="12" formatCode="#,##0.0__">
                  <c:v>-7.1126687487238387</c:v>
                </c:pt>
                <c:pt idx="13" formatCode="#,##0.0__">
                  <c:v>-0.59564647244366165</c:v>
                </c:pt>
                <c:pt idx="14" formatCode="#,##0.0__">
                  <c:v>9.3846900381038747</c:v>
                </c:pt>
                <c:pt idx="15" formatCode="#,##0.0__">
                  <c:v>7.0781764130708691</c:v>
                </c:pt>
                <c:pt idx="16" formatCode="#,##0.0__">
                  <c:v>13.320088621608226</c:v>
                </c:pt>
                <c:pt idx="17" formatCode="#,##0.0__">
                  <c:v>7.6021800914440689</c:v>
                </c:pt>
                <c:pt idx="18" formatCode="#,##0.0__">
                  <c:v>17.491767655905477</c:v>
                </c:pt>
                <c:pt idx="19" formatCode="#,##0.0__">
                  <c:v>10.07772805392962</c:v>
                </c:pt>
                <c:pt idx="20" formatCode="#,##0.0__">
                  <c:v>5.7894297437899995</c:v>
                </c:pt>
                <c:pt idx="21" formatCode="#,##0.0__">
                  <c:v>11.162593735327235</c:v>
                </c:pt>
                <c:pt idx="22" formatCode="#,##0.0__">
                  <c:v>-4.0508483479998176</c:v>
                </c:pt>
                <c:pt idx="23" formatCode="#,##0.0__">
                  <c:v>1.8219061224914839</c:v>
                </c:pt>
                <c:pt idx="24" formatCode="#,##0.0__">
                  <c:v>1.3670231871965086</c:v>
                </c:pt>
                <c:pt idx="25" formatCode="#,##0.0__">
                  <c:v>6.1144874584533353</c:v>
                </c:pt>
                <c:pt idx="26" formatCode="#,##0.0__">
                  <c:v>-0.208282602941253</c:v>
                </c:pt>
                <c:pt idx="27" formatCode="#,##0.0__">
                  <c:v>3.0760686001194384</c:v>
                </c:pt>
                <c:pt idx="28" formatCode="#,##0.0__">
                  <c:v>10.978389781409588</c:v>
                </c:pt>
                <c:pt idx="29" formatCode="#,##0.0__">
                  <c:v>6.3261882148095863</c:v>
                </c:pt>
              </c:numCache>
            </c:numRef>
          </c:val>
        </c:ser>
        <c:ser>
          <c:idx val="5"/>
          <c:order val="2"/>
          <c:tx>
            <c:strRef>
              <c:f>'výkonnost odvětví 2'!$B$33</c:f>
              <c:strCache>
                <c:ptCount val="1"/>
                <c:pt idx="0">
                  <c:v>Průmyslové zakázky ze zahraničí</c:v>
                </c:pt>
              </c:strCache>
            </c:strRef>
          </c:tx>
          <c:spPr>
            <a:ln w="19050">
              <a:solidFill>
                <a:srgbClr val="BD1B21"/>
              </a:solidFill>
              <a:prstDash val="solid"/>
            </a:ln>
          </c:spPr>
          <c:marker>
            <c:symbol val="none"/>
          </c:marker>
          <c:cat>
            <c:multiLvlStrRef>
              <c:f>'výkonnost odvětví 2'!$C$29:$AF$30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'výkonnost odvětví 2'!$C$33:$AF$33</c:f>
              <c:numCache>
                <c:formatCode>#,##0__</c:formatCode>
                <c:ptCount val="30"/>
                <c:pt idx="0">
                  <c:v>13.967994717912196</c:v>
                </c:pt>
                <c:pt idx="1">
                  <c:v>17.50195158088615</c:v>
                </c:pt>
                <c:pt idx="2">
                  <c:v>18.06638924875589</c:v>
                </c:pt>
                <c:pt idx="3">
                  <c:v>17.763791144855006</c:v>
                </c:pt>
                <c:pt idx="4" formatCode="#,##0.0__">
                  <c:v>18.348359830124494</c:v>
                </c:pt>
                <c:pt idx="5" formatCode="#,##0.0__">
                  <c:v>9.5205485847743709</c:v>
                </c:pt>
                <c:pt idx="6" formatCode="#,##0.0__">
                  <c:v>5.6719989098307195</c:v>
                </c:pt>
                <c:pt idx="7" formatCode="#,##0.0__">
                  <c:v>8.6383086882356093</c:v>
                </c:pt>
                <c:pt idx="8" formatCode="#,##0.0__">
                  <c:v>11.020367044503203</c:v>
                </c:pt>
                <c:pt idx="9" formatCode="#,##0.0__">
                  <c:v>6.2765550752876891</c:v>
                </c:pt>
                <c:pt idx="10" formatCode="#,##0.0__">
                  <c:v>5.9432809771147106</c:v>
                </c:pt>
                <c:pt idx="11" formatCode="#,##0.0__">
                  <c:v>-1.2435707077734566</c:v>
                </c:pt>
                <c:pt idx="12" formatCode="#,##0.0__">
                  <c:v>-6.5613810568299265</c:v>
                </c:pt>
                <c:pt idx="13" formatCode="#,##0.0__">
                  <c:v>-0.87612893265551983</c:v>
                </c:pt>
                <c:pt idx="14" formatCode="#,##0.0__">
                  <c:v>13.585017236629058</c:v>
                </c:pt>
                <c:pt idx="15" formatCode="#,##0.0__">
                  <c:v>15.823868051866199</c:v>
                </c:pt>
                <c:pt idx="16" formatCode="#,##0.0__">
                  <c:v>20.803737843093948</c:v>
                </c:pt>
                <c:pt idx="17" formatCode="#,##0.0__">
                  <c:v>16.683085155498244</c:v>
                </c:pt>
                <c:pt idx="18" formatCode="#,##0.0__">
                  <c:v>8.6077426037905482</c:v>
                </c:pt>
                <c:pt idx="19" formatCode="#,##0.0__">
                  <c:v>6.0345642153573777</c:v>
                </c:pt>
                <c:pt idx="20" formatCode="#,##0.0__">
                  <c:v>10.128880629251887</c:v>
                </c:pt>
                <c:pt idx="21" formatCode="#,##0.0__">
                  <c:v>5.0159759230793242</c:v>
                </c:pt>
                <c:pt idx="22" formatCode="#,##0.0__">
                  <c:v>8.2739940886640966</c:v>
                </c:pt>
                <c:pt idx="23" formatCode="#,##0.0__">
                  <c:v>8.7114357834965919</c:v>
                </c:pt>
                <c:pt idx="24" formatCode="#,##0.0__">
                  <c:v>1.9245605566923001</c:v>
                </c:pt>
                <c:pt idx="25" formatCode="#,##0.0__">
                  <c:v>13.517252250841864</c:v>
                </c:pt>
                <c:pt idx="26" formatCode="#,##0.0__">
                  <c:v>2.5467160757470992</c:v>
                </c:pt>
                <c:pt idx="27" formatCode="#,##0.0__">
                  <c:v>8.2537778544595994</c:v>
                </c:pt>
                <c:pt idx="28" formatCode="#,##0.0__">
                  <c:v>9.4372753873575164</c:v>
                </c:pt>
                <c:pt idx="29" formatCode="#,##0.0__">
                  <c:v>2.2751291102671312</c:v>
                </c:pt>
              </c:numCache>
            </c:numRef>
          </c:val>
        </c:ser>
        <c:ser>
          <c:idx val="3"/>
          <c:order val="3"/>
          <c:tx>
            <c:strRef>
              <c:f>'výkonnost odvětví 2'!$B$34</c:f>
              <c:strCache>
                <c:ptCount val="1"/>
                <c:pt idx="0">
                  <c:v>Zahraniční zakázky ve výrobě motor. voz.</c:v>
                </c:pt>
              </c:strCache>
            </c:strRef>
          </c:tx>
          <c:spPr>
            <a:ln w="19050">
              <a:solidFill>
                <a:srgbClr val="7DBB2D"/>
              </a:solidFill>
              <a:prstDash val="solid"/>
            </a:ln>
          </c:spPr>
          <c:marker>
            <c:symbol val="none"/>
          </c:marker>
          <c:cat>
            <c:multiLvlStrRef>
              <c:f>'výkonnost odvětví 2'!$C$29:$AF$30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'výkonnost odvětví 2'!$C$34:$AF$34</c:f>
              <c:numCache>
                <c:formatCode>#,##0__</c:formatCode>
                <c:ptCount val="30"/>
                <c:pt idx="0">
                  <c:v>24.008427520841689</c:v>
                </c:pt>
                <c:pt idx="1">
                  <c:v>14.674010935341046</c:v>
                </c:pt>
                <c:pt idx="2">
                  <c:v>9.7391351049218109</c:v>
                </c:pt>
                <c:pt idx="3">
                  <c:v>16.783125711775636</c:v>
                </c:pt>
                <c:pt idx="4" formatCode="#,##0.0__">
                  <c:v>15.478617181437476</c:v>
                </c:pt>
                <c:pt idx="5" formatCode="#,##0.0__">
                  <c:v>11.728214688051875</c:v>
                </c:pt>
                <c:pt idx="6" formatCode="#,##0.0__">
                  <c:v>6.5426798807743065</c:v>
                </c:pt>
                <c:pt idx="7" formatCode="#,##0.0__">
                  <c:v>6.6356960264430711</c:v>
                </c:pt>
                <c:pt idx="8" formatCode="#,##0.0__">
                  <c:v>22.670301977911127</c:v>
                </c:pt>
                <c:pt idx="9" formatCode="#,##0.0__">
                  <c:v>13.96015573008407</c:v>
                </c:pt>
                <c:pt idx="10" formatCode="#,##0.0__">
                  <c:v>3.8554465624995227</c:v>
                </c:pt>
                <c:pt idx="11" formatCode="#,##0.0__">
                  <c:v>-0.92548587727675624</c:v>
                </c:pt>
                <c:pt idx="12" formatCode="#,##0.0__">
                  <c:v>-14.839347610315926</c:v>
                </c:pt>
                <c:pt idx="13" formatCode="#,##0.0__">
                  <c:v>-5.2962975041670894</c:v>
                </c:pt>
                <c:pt idx="14" formatCode="#,##0.0__">
                  <c:v>28.544914199445479</c:v>
                </c:pt>
                <c:pt idx="15" formatCode="#,##0.0__">
                  <c:v>21.31669103822853</c:v>
                </c:pt>
                <c:pt idx="16" formatCode="#,##0.0__">
                  <c:v>35.957495888821171</c:v>
                </c:pt>
                <c:pt idx="17" formatCode="#,##0.0__">
                  <c:v>27.239841408344233</c:v>
                </c:pt>
                <c:pt idx="18" formatCode="#,##0.0__">
                  <c:v>9.2341155229136316</c:v>
                </c:pt>
                <c:pt idx="19" formatCode="#,##0.0__">
                  <c:v>6.1688216646606095</c:v>
                </c:pt>
                <c:pt idx="20" formatCode="#,##0.0__">
                  <c:v>15.591394938767356</c:v>
                </c:pt>
                <c:pt idx="21" formatCode="#,##0.0__">
                  <c:v>0.51541703808817374</c:v>
                </c:pt>
                <c:pt idx="22" formatCode="#,##0.0__">
                  <c:v>19.552829007204693</c:v>
                </c:pt>
                <c:pt idx="23" formatCode="#,##0.0__">
                  <c:v>21.96637772777235</c:v>
                </c:pt>
                <c:pt idx="24" formatCode="#,##0.0__">
                  <c:v>10.330511045843863</c:v>
                </c:pt>
                <c:pt idx="25" formatCode="#,##0.0__">
                  <c:v>38.766358848039232</c:v>
                </c:pt>
                <c:pt idx="26" formatCode="#,##0.0__">
                  <c:v>7.3137068574776265</c:v>
                </c:pt>
                <c:pt idx="27" formatCode="#,##0.0__">
                  <c:v>13.93243684720351</c:v>
                </c:pt>
                <c:pt idx="28" formatCode="#,##0.0__">
                  <c:v>7.8154936779983144</c:v>
                </c:pt>
                <c:pt idx="29" formatCode="#,##0.0__">
                  <c:v>-3.7245718868521798</c:v>
                </c:pt>
              </c:numCache>
            </c:numRef>
          </c:val>
        </c:ser>
        <c:marker val="1"/>
        <c:axId val="182373376"/>
        <c:axId val="182391936"/>
      </c:lineChart>
      <c:lineChart>
        <c:grouping val="standard"/>
        <c:ser>
          <c:idx val="4"/>
          <c:order val="4"/>
          <c:tx>
            <c:strRef>
              <c:f>'výkonnost odvětví 2'!$B$35</c:f>
              <c:strCache>
                <c:ptCount val="1"/>
                <c:pt idx="0">
                  <c:v>Saldo souhr. indikátoru důvěry v průmyslu</c:v>
                </c:pt>
              </c:strCache>
            </c:strRef>
          </c:tx>
          <c:spPr>
            <a:ln w="19050">
              <a:noFill/>
            </a:ln>
          </c:spPr>
          <c:marker>
            <c:symbol val="dash"/>
            <c:size val="9"/>
            <c:spPr>
              <a:solidFill>
                <a:srgbClr val="984807"/>
              </a:solidFill>
              <a:ln>
                <a:noFill/>
              </a:ln>
            </c:spPr>
          </c:marker>
          <c:cat>
            <c:multiLvlStrRef>
              <c:f>'výkonnost odvětví 2'!$C$29:$AF$30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'výkonnost odvětví 2'!$C$35:$AF$35</c:f>
              <c:numCache>
                <c:formatCode>0.0</c:formatCode>
                <c:ptCount val="30"/>
                <c:pt idx="0">
                  <c:v>-5.4444444444444464</c:v>
                </c:pt>
                <c:pt idx="1">
                  <c:v>2.4333333333333331</c:v>
                </c:pt>
                <c:pt idx="2">
                  <c:v>5.5666666666666664</c:v>
                </c:pt>
                <c:pt idx="3">
                  <c:v>10</c:v>
                </c:pt>
                <c:pt idx="4">
                  <c:v>12.200000000000001</c:v>
                </c:pt>
                <c:pt idx="5">
                  <c:v>5.8999999999999995</c:v>
                </c:pt>
                <c:pt idx="6">
                  <c:v>2.4333333333333331</c:v>
                </c:pt>
                <c:pt idx="7">
                  <c:v>1.8</c:v>
                </c:pt>
                <c:pt idx="8">
                  <c:v>1.5666666666666667</c:v>
                </c:pt>
                <c:pt idx="9">
                  <c:v>-2.5666666666666669</c:v>
                </c:pt>
                <c:pt idx="10">
                  <c:v>-8.9</c:v>
                </c:pt>
                <c:pt idx="11">
                  <c:v>-10.200000000000001</c:v>
                </c:pt>
                <c:pt idx="12">
                  <c:v>-8.9</c:v>
                </c:pt>
                <c:pt idx="13">
                  <c:v>-10</c:v>
                </c:pt>
                <c:pt idx="14">
                  <c:v>-6.2333333333333414</c:v>
                </c:pt>
                <c:pt idx="15">
                  <c:v>1.7000000000000002</c:v>
                </c:pt>
                <c:pt idx="16">
                  <c:v>2.3333333333333335</c:v>
                </c:pt>
                <c:pt idx="17">
                  <c:v>3.6333333333333342</c:v>
                </c:pt>
                <c:pt idx="18">
                  <c:v>2.5333333333333332</c:v>
                </c:pt>
                <c:pt idx="19">
                  <c:v>2.6666666666666665</c:v>
                </c:pt>
                <c:pt idx="20">
                  <c:v>3</c:v>
                </c:pt>
                <c:pt idx="21">
                  <c:v>3.7666666666666671</c:v>
                </c:pt>
                <c:pt idx="22">
                  <c:v>3.7666666666666671</c:v>
                </c:pt>
                <c:pt idx="23">
                  <c:v>0.76666666666666661</c:v>
                </c:pt>
                <c:pt idx="24">
                  <c:v>3.5666666666666664</c:v>
                </c:pt>
                <c:pt idx="25">
                  <c:v>1.9000000000000001</c:v>
                </c:pt>
                <c:pt idx="26">
                  <c:v>3.7666666666666671</c:v>
                </c:pt>
                <c:pt idx="27">
                  <c:v>5.3333333333333393</c:v>
                </c:pt>
                <c:pt idx="28">
                  <c:v>3.3333333333333335</c:v>
                </c:pt>
                <c:pt idx="29">
                  <c:v>0.8333333333333337</c:v>
                </c:pt>
              </c:numCache>
            </c:numRef>
          </c:val>
        </c:ser>
        <c:marker val="1"/>
        <c:axId val="182393472"/>
        <c:axId val="182403456"/>
      </c:lineChart>
      <c:catAx>
        <c:axId val="182373376"/>
        <c:scaling>
          <c:orientation val="minMax"/>
        </c:scaling>
        <c:axPos val="b"/>
        <c:numFmt formatCode="General" sourceLinked="1"/>
        <c:tickLblPos val="low"/>
        <c:spPr>
          <a:ln w="9525">
            <a:solidFill>
              <a:schemeClr val="tx1"/>
            </a:solidFill>
            <a:prstDash val="solid"/>
          </a:ln>
        </c:spPr>
        <c:txPr>
          <a:bodyPr rot="0" vert="horz"/>
          <a:lstStyle/>
          <a:p>
            <a:pPr>
              <a:defRPr/>
            </a:pPr>
            <a:endParaRPr lang="cs-CZ"/>
          </a:p>
        </c:txPr>
        <c:crossAx val="182391936"/>
        <c:crossesAt val="0"/>
        <c:lblAlgn val="ctr"/>
        <c:lblOffset val="0"/>
        <c:tickLblSkip val="1"/>
        <c:tickMarkSkip val="4"/>
      </c:catAx>
      <c:valAx>
        <c:axId val="182391936"/>
        <c:scaling>
          <c:orientation val="minMax"/>
          <c:max val="40"/>
          <c:min val="-15"/>
        </c:scaling>
        <c:axPos val="l"/>
        <c:majorGridlines>
          <c:spPr>
            <a:ln w="6350">
              <a:solidFill>
                <a:schemeClr val="bg1">
                  <a:lumMod val="75000"/>
                </a:schemeClr>
              </a:solidFill>
            </a:ln>
          </c:spPr>
        </c:majorGridlines>
        <c:numFmt formatCode="0" sourceLinked="0"/>
        <c:tickLblPos val="nextTo"/>
        <c:spPr>
          <a:ln w="9525">
            <a:solidFill>
              <a:schemeClr val="tx1"/>
            </a:solidFill>
            <a:prstDash val="solid"/>
          </a:ln>
        </c:spPr>
        <c:txPr>
          <a:bodyPr rot="0" vert="horz"/>
          <a:lstStyle/>
          <a:p>
            <a:pPr>
              <a:defRPr/>
            </a:pPr>
            <a:endParaRPr lang="cs-CZ"/>
          </a:p>
        </c:txPr>
        <c:crossAx val="182373376"/>
        <c:crosses val="autoZero"/>
        <c:crossBetween val="between"/>
        <c:majorUnit val="5"/>
      </c:valAx>
      <c:catAx>
        <c:axId val="182393472"/>
        <c:scaling>
          <c:orientation val="minMax"/>
        </c:scaling>
        <c:delete val="1"/>
        <c:axPos val="b"/>
        <c:numFmt formatCode="General" sourceLinked="1"/>
        <c:tickLblPos val="none"/>
        <c:crossAx val="182403456"/>
        <c:crosses val="autoZero"/>
        <c:auto val="1"/>
        <c:lblAlgn val="ctr"/>
        <c:lblOffset val="100"/>
      </c:catAx>
      <c:valAx>
        <c:axId val="182403456"/>
        <c:scaling>
          <c:orientation val="minMax"/>
          <c:max val="40"/>
          <c:min val="-30"/>
        </c:scaling>
        <c:delete val="1"/>
        <c:axPos val="r"/>
        <c:numFmt formatCode="0" sourceLinked="0"/>
        <c:majorTickMark val="in"/>
        <c:tickLblPos val="none"/>
        <c:crossAx val="182393472"/>
        <c:crosses val="max"/>
        <c:crossBetween val="between"/>
        <c:majorUnit val="10"/>
      </c:valAx>
      <c:spPr>
        <a:solidFill>
          <a:srgbClr val="FFFFFF"/>
        </a:solidFill>
        <a:ln w="9525">
          <a:solidFill>
            <a:schemeClr val="tx1"/>
          </a:solidFill>
        </a:ln>
      </c:spPr>
    </c:plotArea>
    <c:legend>
      <c:legendPos val="b"/>
      <c:layout>
        <c:manualLayout>
          <c:xMode val="edge"/>
          <c:yMode val="edge"/>
          <c:x val="4.9759612109554999E-2"/>
          <c:y val="0.86466408652853211"/>
          <c:w val="0.92803398048526109"/>
          <c:h val="0.12117661880503018"/>
        </c:manualLayout>
      </c:layout>
      <c:spPr>
        <a:noFill/>
        <a:ln w="6350">
          <a:solidFill>
            <a:schemeClr val="tx1"/>
          </a:solidFill>
        </a:ln>
      </c:spPr>
    </c:legend>
    <c:plotVisOnly val="1"/>
    <c:dispBlanksAs val="gap"/>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6155778692800765E-2"/>
          <c:y val="1.6563187842952718E-2"/>
          <c:w val="0.92847707700101312"/>
          <c:h val="0.74964447062338435"/>
        </c:manualLayout>
      </c:layout>
      <c:barChart>
        <c:barDir val="col"/>
        <c:grouping val="clustered"/>
        <c:ser>
          <c:idx val="0"/>
          <c:order val="0"/>
          <c:tx>
            <c:strRef>
              <c:f>'výkonnost odvětví 3'!$C$10</c:f>
              <c:strCache>
                <c:ptCount val="1"/>
                <c:pt idx="0">
                  <c:v>Index stavební produkce (ISP)*</c:v>
                </c:pt>
              </c:strCache>
            </c:strRef>
          </c:tx>
          <c:spPr>
            <a:solidFill>
              <a:schemeClr val="bg1">
                <a:lumMod val="65000"/>
              </a:schemeClr>
            </a:solidFill>
            <a:ln w="12700">
              <a:noFill/>
              <a:prstDash val="solid"/>
            </a:ln>
          </c:spPr>
          <c:cat>
            <c:multiLvlStrRef>
              <c:f>'výkonnost odvětví 3'!$A$11:$B$40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'výkonnost odvětví 3'!$C$11:$C$40</c:f>
              <c:numCache>
                <c:formatCode>0.0</c:formatCode>
                <c:ptCount val="30"/>
                <c:pt idx="0">
                  <c:v>-22.648910008071788</c:v>
                </c:pt>
                <c:pt idx="1">
                  <c:v>-9.2156825309395973</c:v>
                </c:pt>
                <c:pt idx="2">
                  <c:v>-2.5810006468532833</c:v>
                </c:pt>
                <c:pt idx="3">
                  <c:v>-2.6505345871117529</c:v>
                </c:pt>
                <c:pt idx="4">
                  <c:v>4.8218751374231354</c:v>
                </c:pt>
                <c:pt idx="5">
                  <c:v>-5.294317605789729</c:v>
                </c:pt>
                <c:pt idx="6">
                  <c:v>-9.1132729088378959</c:v>
                </c:pt>
                <c:pt idx="7">
                  <c:v>-0.52625926393379563</c:v>
                </c:pt>
                <c:pt idx="8">
                  <c:v>-10.317415522065996</c:v>
                </c:pt>
                <c:pt idx="9">
                  <c:v>-5.029801427639697</c:v>
                </c:pt>
                <c:pt idx="10">
                  <c:v>-5.7533277226356505</c:v>
                </c:pt>
                <c:pt idx="11">
                  <c:v>-9.3369393893636605</c:v>
                </c:pt>
                <c:pt idx="12">
                  <c:v>-10.150277046339168</c:v>
                </c:pt>
                <c:pt idx="13">
                  <c:v>-11.698293439718176</c:v>
                </c:pt>
                <c:pt idx="14">
                  <c:v>-5.162040748365806</c:v>
                </c:pt>
                <c:pt idx="15">
                  <c:v>-2.7391641013363164</c:v>
                </c:pt>
                <c:pt idx="16">
                  <c:v>13.259224349587512</c:v>
                </c:pt>
                <c:pt idx="17">
                  <c:v>5.5883892232888144</c:v>
                </c:pt>
                <c:pt idx="18">
                  <c:v>2.4083178914779815</c:v>
                </c:pt>
                <c:pt idx="19">
                  <c:v>1.0830991984453098</c:v>
                </c:pt>
                <c:pt idx="20">
                  <c:v>9.4921215706515589</c:v>
                </c:pt>
                <c:pt idx="21">
                  <c:v>12.22046613403414</c:v>
                </c:pt>
                <c:pt idx="22">
                  <c:v>8.3419328160987014</c:v>
                </c:pt>
                <c:pt idx="23">
                  <c:v>1.0720608168441288</c:v>
                </c:pt>
                <c:pt idx="24">
                  <c:v>-6.3766673350847842</c:v>
                </c:pt>
                <c:pt idx="25">
                  <c:v>-10.606479221697157</c:v>
                </c:pt>
                <c:pt idx="26">
                  <c:v>-6.2234043259433394</c:v>
                </c:pt>
                <c:pt idx="27">
                  <c:v>-2.0138842383096716</c:v>
                </c:pt>
                <c:pt idx="28">
                  <c:v>-2.322959798748613</c:v>
                </c:pt>
                <c:pt idx="29">
                  <c:v>7.674140993672296</c:v>
                </c:pt>
              </c:numCache>
            </c:numRef>
          </c:val>
        </c:ser>
        <c:gapWidth val="31"/>
        <c:axId val="182418048"/>
        <c:axId val="182420224"/>
      </c:barChart>
      <c:lineChart>
        <c:grouping val="standard"/>
        <c:ser>
          <c:idx val="1"/>
          <c:order val="1"/>
          <c:tx>
            <c:strRef>
              <c:f>'výkonnost odvětví 3'!$D$10</c:f>
              <c:strCache>
                <c:ptCount val="1"/>
                <c:pt idx="0">
                  <c:v>ISP v pozemním stavitelství*</c:v>
                </c:pt>
              </c:strCache>
            </c:strRef>
          </c:tx>
          <c:spPr>
            <a:ln w="19050">
              <a:solidFill>
                <a:srgbClr val="0071BC"/>
              </a:solidFill>
              <a:prstDash val="solid"/>
            </a:ln>
          </c:spPr>
          <c:marker>
            <c:symbol val="none"/>
          </c:marker>
          <c:cat>
            <c:multiLvlStrRef>
              <c:f>'výkonnost odvětví 3'!$A$11:$B$40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'výkonnost odvětví 3'!$D$11:$D$40</c:f>
              <c:numCache>
                <c:formatCode>0.0</c:formatCode>
                <c:ptCount val="30"/>
                <c:pt idx="0">
                  <c:v>-27.130657556913505</c:v>
                </c:pt>
                <c:pt idx="1">
                  <c:v>-10.261407895857802</c:v>
                </c:pt>
                <c:pt idx="2">
                  <c:v>-0.58665460092620947</c:v>
                </c:pt>
                <c:pt idx="3">
                  <c:v>0.23546774022076991</c:v>
                </c:pt>
                <c:pt idx="4">
                  <c:v>8.1339439149999464</c:v>
                </c:pt>
                <c:pt idx="5">
                  <c:v>-1.7000247343842716</c:v>
                </c:pt>
                <c:pt idx="6">
                  <c:v>-6.3339756975623089</c:v>
                </c:pt>
                <c:pt idx="7">
                  <c:v>2.1912842598312636</c:v>
                </c:pt>
                <c:pt idx="8">
                  <c:v>-7.4948272420796371</c:v>
                </c:pt>
                <c:pt idx="9">
                  <c:v>-2.3014859610473053</c:v>
                </c:pt>
                <c:pt idx="10">
                  <c:v>-5.2500653746264545</c:v>
                </c:pt>
                <c:pt idx="11">
                  <c:v>-9.6056058915045668</c:v>
                </c:pt>
                <c:pt idx="12">
                  <c:v>-9.3657718913871548</c:v>
                </c:pt>
                <c:pt idx="13">
                  <c:v>-11.121354416361518</c:v>
                </c:pt>
                <c:pt idx="14">
                  <c:v>-1.5579556005030071</c:v>
                </c:pt>
                <c:pt idx="15">
                  <c:v>-2.9748120379874048</c:v>
                </c:pt>
                <c:pt idx="16">
                  <c:v>16.805784814600059</c:v>
                </c:pt>
                <c:pt idx="17">
                  <c:v>5.0881502079620695</c:v>
                </c:pt>
                <c:pt idx="18">
                  <c:v>-1.0678896819859598</c:v>
                </c:pt>
                <c:pt idx="19">
                  <c:v>-0.33059893139294244</c:v>
                </c:pt>
                <c:pt idx="20">
                  <c:v>7.9282098756323904</c:v>
                </c:pt>
                <c:pt idx="21">
                  <c:v>7.3316347433463314</c:v>
                </c:pt>
                <c:pt idx="22">
                  <c:v>1.3176939481690499</c:v>
                </c:pt>
                <c:pt idx="23">
                  <c:v>-2.6482987614626858</c:v>
                </c:pt>
                <c:pt idx="24">
                  <c:v>-6.6444498463628747</c:v>
                </c:pt>
                <c:pt idx="25">
                  <c:v>-7.7640616369894051</c:v>
                </c:pt>
                <c:pt idx="26">
                  <c:v>1.3238680635700604</c:v>
                </c:pt>
                <c:pt idx="27">
                  <c:v>6.0909470992974661</c:v>
                </c:pt>
                <c:pt idx="28">
                  <c:v>1.6274325108293084</c:v>
                </c:pt>
                <c:pt idx="29">
                  <c:v>13.427632335606235</c:v>
                </c:pt>
              </c:numCache>
            </c:numRef>
          </c:val>
        </c:ser>
        <c:ser>
          <c:idx val="2"/>
          <c:order val="2"/>
          <c:tx>
            <c:strRef>
              <c:f>'výkonnost odvětví 3'!$E$10</c:f>
              <c:strCache>
                <c:ptCount val="1"/>
                <c:pt idx="0">
                  <c:v>ISP v inženýrském stavitelství*</c:v>
                </c:pt>
              </c:strCache>
            </c:strRef>
          </c:tx>
          <c:spPr>
            <a:ln w="19050">
              <a:solidFill>
                <a:srgbClr val="BD1B21"/>
              </a:solidFill>
              <a:prstDash val="solid"/>
            </a:ln>
          </c:spPr>
          <c:marker>
            <c:symbol val="none"/>
          </c:marker>
          <c:cat>
            <c:multiLvlStrRef>
              <c:f>'výkonnost odvětví 3'!$A$11:$B$40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'výkonnost odvětví 3'!$E$11:$E$40</c:f>
              <c:numCache>
                <c:formatCode>0.0</c:formatCode>
                <c:ptCount val="30"/>
                <c:pt idx="0">
                  <c:v>-9.2195637782418913</c:v>
                </c:pt>
                <c:pt idx="1">
                  <c:v>-7.2700248828442726</c:v>
                </c:pt>
                <c:pt idx="2">
                  <c:v>-6.0982659873771086</c:v>
                </c:pt>
                <c:pt idx="3">
                  <c:v>-7.7906106831538633</c:v>
                </c:pt>
                <c:pt idx="4">
                  <c:v>-3.1444754115018867</c:v>
                </c:pt>
                <c:pt idx="5">
                  <c:v>-11.766061955270358</c:v>
                </c:pt>
                <c:pt idx="6">
                  <c:v>-14.302595679470476</c:v>
                </c:pt>
                <c:pt idx="7">
                  <c:v>-5.7875906342403169</c:v>
                </c:pt>
                <c:pt idx="8">
                  <c:v>-17.896997346818747</c:v>
                </c:pt>
                <c:pt idx="9">
                  <c:v>-10.502735570148511</c:v>
                </c:pt>
                <c:pt idx="10">
                  <c:v>-6.7803610838127319</c:v>
                </c:pt>
                <c:pt idx="11">
                  <c:v>-8.772732461160853</c:v>
                </c:pt>
                <c:pt idx="12">
                  <c:v>-12.523838561195788</c:v>
                </c:pt>
                <c:pt idx="13">
                  <c:v>-12.961672718623612</c:v>
                </c:pt>
                <c:pt idx="14">
                  <c:v>-12.637823237894798</c:v>
                </c:pt>
                <c:pt idx="15">
                  <c:v>-2.2488150197283687</c:v>
                </c:pt>
                <c:pt idx="16">
                  <c:v>2.1415338047714294</c:v>
                </c:pt>
                <c:pt idx="17">
                  <c:v>6.7069724097109864</c:v>
                </c:pt>
                <c:pt idx="18">
                  <c:v>10.533338913399334</c:v>
                </c:pt>
                <c:pt idx="19">
                  <c:v>4.002951410596987</c:v>
                </c:pt>
                <c:pt idx="20">
                  <c:v>15.098487191355471</c:v>
                </c:pt>
                <c:pt idx="21">
                  <c:v>22.986524631637696</c:v>
                </c:pt>
                <c:pt idx="22">
                  <c:v>23.036677602226387</c:v>
                </c:pt>
                <c:pt idx="23">
                  <c:v>8.4359168367748705</c:v>
                </c:pt>
                <c:pt idx="24">
                  <c:v>-5.4765134545503358</c:v>
                </c:pt>
                <c:pt idx="25">
                  <c:v>-16.069209677741217</c:v>
                </c:pt>
                <c:pt idx="26">
                  <c:v>-19.225204934626074</c:v>
                </c:pt>
                <c:pt idx="27">
                  <c:v>-16.41628005697558</c:v>
                </c:pt>
                <c:pt idx="28">
                  <c:v>-15.438167879080353</c:v>
                </c:pt>
                <c:pt idx="29">
                  <c:v>-4.477423951790243</c:v>
                </c:pt>
              </c:numCache>
            </c:numRef>
          </c:val>
        </c:ser>
        <c:ser>
          <c:idx val="3"/>
          <c:order val="3"/>
          <c:tx>
            <c:strRef>
              <c:f>'výkonnost odvětví 3'!$F$10</c:f>
              <c:strCache>
                <c:ptCount val="1"/>
                <c:pt idx="0">
                  <c:v>Nové zakázky ve stavebnictví celkem</c:v>
                </c:pt>
              </c:strCache>
            </c:strRef>
          </c:tx>
          <c:spPr>
            <a:ln w="19050">
              <a:solidFill>
                <a:srgbClr val="7DBB2D"/>
              </a:solidFill>
              <a:prstDash val="sysDash"/>
            </a:ln>
          </c:spPr>
          <c:marker>
            <c:symbol val="none"/>
          </c:marker>
          <c:cat>
            <c:multiLvlStrRef>
              <c:f>'výkonnost odvětví 3'!$A$11:$B$40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'výkonnost odvětví 3'!$F$11:$F$40</c:f>
              <c:numCache>
                <c:formatCode>0.0</c:formatCode>
                <c:ptCount val="30"/>
                <c:pt idx="0">
                  <c:v>0.82757088505651666</c:v>
                </c:pt>
                <c:pt idx="1">
                  <c:v>8.7687755178484537</c:v>
                </c:pt>
                <c:pt idx="2">
                  <c:v>30.894711890703757</c:v>
                </c:pt>
                <c:pt idx="3">
                  <c:v>-13.415413805192935</c:v>
                </c:pt>
                <c:pt idx="4">
                  <c:v>37.795405718063179</c:v>
                </c:pt>
                <c:pt idx="5">
                  <c:v>-23.565672566981171</c:v>
                </c:pt>
                <c:pt idx="6">
                  <c:v>-23.360716461156017</c:v>
                </c:pt>
                <c:pt idx="7">
                  <c:v>-9.1653963414634205</c:v>
                </c:pt>
                <c:pt idx="8">
                  <c:v>-46.322059646597936</c:v>
                </c:pt>
                <c:pt idx="9">
                  <c:v>-13.714800630772698</c:v>
                </c:pt>
                <c:pt idx="10">
                  <c:v>-7.6729748888363742</c:v>
                </c:pt>
                <c:pt idx="11">
                  <c:v>7.5624082232011753</c:v>
                </c:pt>
                <c:pt idx="12">
                  <c:v>-17.695687793252421</c:v>
                </c:pt>
                <c:pt idx="13">
                  <c:v>-1.584773641063137</c:v>
                </c:pt>
                <c:pt idx="14">
                  <c:v>-1.3308205951467045</c:v>
                </c:pt>
                <c:pt idx="15">
                  <c:v>16.153096050706978</c:v>
                </c:pt>
                <c:pt idx="16">
                  <c:v>67.509727626459053</c:v>
                </c:pt>
                <c:pt idx="17">
                  <c:v>18.978644382544076</c:v>
                </c:pt>
                <c:pt idx="18">
                  <c:v>34.050931384107542</c:v>
                </c:pt>
                <c:pt idx="19">
                  <c:v>-1</c:v>
                </c:pt>
                <c:pt idx="20">
                  <c:v>-3.1547956675580053</c:v>
                </c:pt>
                <c:pt idx="21">
                  <c:v>9.7504961091663294</c:v>
                </c:pt>
                <c:pt idx="22">
                  <c:v>-1.0976060227612561</c:v>
                </c:pt>
                <c:pt idx="23">
                  <c:v>-2.3987783410040464</c:v>
                </c:pt>
                <c:pt idx="24">
                  <c:v>-6.6406358945753805</c:v>
                </c:pt>
                <c:pt idx="25">
                  <c:v>-0.49977652269311085</c:v>
                </c:pt>
                <c:pt idx="26">
                  <c:v>-7.0322087253454839</c:v>
                </c:pt>
                <c:pt idx="27">
                  <c:v>10.122126124559955</c:v>
                </c:pt>
                <c:pt idx="28">
                  <c:v>16.610402413885833</c:v>
                </c:pt>
                <c:pt idx="29">
                  <c:v>9.357453498580977</c:v>
                </c:pt>
              </c:numCache>
            </c:numRef>
          </c:val>
        </c:ser>
        <c:ser>
          <c:idx val="4"/>
          <c:order val="4"/>
          <c:tx>
            <c:strRef>
              <c:f>'výkonnost odvětví 3'!$G$10</c:f>
              <c:strCache>
                <c:ptCount val="1"/>
                <c:pt idx="0">
                  <c:v>Saldo indik. důvěry ve stavebnictví</c:v>
                </c:pt>
              </c:strCache>
            </c:strRef>
          </c:tx>
          <c:spPr>
            <a:ln w="19050">
              <a:noFill/>
              <a:prstDash val="solid"/>
            </a:ln>
          </c:spPr>
          <c:marker>
            <c:symbol val="dash"/>
            <c:size val="9"/>
            <c:spPr>
              <a:solidFill>
                <a:srgbClr val="984807"/>
              </a:solidFill>
              <a:ln>
                <a:noFill/>
              </a:ln>
            </c:spPr>
          </c:marker>
          <c:cat>
            <c:multiLvlStrRef>
              <c:f>'výkonnost odvětví 3'!$A$11:$B$40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'výkonnost odvětví 3'!$G$11:$G$40</c:f>
              <c:numCache>
                <c:formatCode>0.0</c:formatCode>
                <c:ptCount val="30"/>
                <c:pt idx="0">
                  <c:v>-32.166666666666593</c:v>
                </c:pt>
                <c:pt idx="1">
                  <c:v>-32.5</c:v>
                </c:pt>
                <c:pt idx="2">
                  <c:v>-37</c:v>
                </c:pt>
                <c:pt idx="3">
                  <c:v>-42.5</c:v>
                </c:pt>
                <c:pt idx="4">
                  <c:v>-40</c:v>
                </c:pt>
                <c:pt idx="5">
                  <c:v>-40.333333333333336</c:v>
                </c:pt>
                <c:pt idx="6">
                  <c:v>-39.166666666666593</c:v>
                </c:pt>
                <c:pt idx="7">
                  <c:v>-39.333333333333336</c:v>
                </c:pt>
                <c:pt idx="8">
                  <c:v>-46</c:v>
                </c:pt>
                <c:pt idx="9">
                  <c:v>-45.333333333333336</c:v>
                </c:pt>
                <c:pt idx="10">
                  <c:v>-43.5</c:v>
                </c:pt>
                <c:pt idx="11">
                  <c:v>-44.666666666666593</c:v>
                </c:pt>
                <c:pt idx="12">
                  <c:v>-46</c:v>
                </c:pt>
                <c:pt idx="13">
                  <c:v>-53.333333333333336</c:v>
                </c:pt>
                <c:pt idx="14">
                  <c:v>-49.5</c:v>
                </c:pt>
                <c:pt idx="15">
                  <c:v>-50.833333333333336</c:v>
                </c:pt>
                <c:pt idx="16">
                  <c:v>-45.166666666666593</c:v>
                </c:pt>
                <c:pt idx="17">
                  <c:v>-38.333333333333336</c:v>
                </c:pt>
                <c:pt idx="18">
                  <c:v>-32</c:v>
                </c:pt>
                <c:pt idx="19">
                  <c:v>-25.166666666666668</c:v>
                </c:pt>
                <c:pt idx="20">
                  <c:v>-20.833333333333297</c:v>
                </c:pt>
                <c:pt idx="21">
                  <c:v>-16.333333333333297</c:v>
                </c:pt>
                <c:pt idx="22">
                  <c:v>-18.666666666666668</c:v>
                </c:pt>
                <c:pt idx="23">
                  <c:v>-15.666666666666677</c:v>
                </c:pt>
                <c:pt idx="24">
                  <c:v>-17.166666666666668</c:v>
                </c:pt>
                <c:pt idx="25">
                  <c:v>-24</c:v>
                </c:pt>
                <c:pt idx="26">
                  <c:v>-26.666666666666668</c:v>
                </c:pt>
                <c:pt idx="27">
                  <c:v>-25.833333333333297</c:v>
                </c:pt>
                <c:pt idx="28">
                  <c:v>-24.5</c:v>
                </c:pt>
                <c:pt idx="29">
                  <c:v>-22.666666666666668</c:v>
                </c:pt>
              </c:numCache>
            </c:numRef>
          </c:val>
        </c:ser>
        <c:marker val="1"/>
        <c:axId val="182418048"/>
        <c:axId val="182420224"/>
      </c:lineChart>
      <c:catAx>
        <c:axId val="182418048"/>
        <c:scaling>
          <c:orientation val="minMax"/>
        </c:scaling>
        <c:axPos val="b"/>
        <c:numFmt formatCode="General" sourceLinked="1"/>
        <c:tickLblPos val="low"/>
        <c:spPr>
          <a:ln w="9525">
            <a:solidFill>
              <a:schemeClr val="tx1"/>
            </a:solidFill>
            <a:prstDash val="solid"/>
          </a:ln>
        </c:spPr>
        <c:txPr>
          <a:bodyPr rot="0" vert="horz"/>
          <a:lstStyle/>
          <a:p>
            <a:pPr>
              <a:defRPr/>
            </a:pPr>
            <a:endParaRPr lang="cs-CZ"/>
          </a:p>
        </c:txPr>
        <c:crossAx val="182420224"/>
        <c:crossesAt val="0"/>
        <c:lblAlgn val="ctr"/>
        <c:lblOffset val="0"/>
        <c:tickLblSkip val="1"/>
        <c:tickMarkSkip val="4"/>
      </c:catAx>
      <c:valAx>
        <c:axId val="182420224"/>
        <c:scaling>
          <c:orientation val="minMax"/>
          <c:max val="50"/>
          <c:min val="-60"/>
        </c:scaling>
        <c:axPos val="l"/>
        <c:majorGridlines>
          <c:spPr>
            <a:ln w="6350">
              <a:solidFill>
                <a:schemeClr val="bg1">
                  <a:lumMod val="75000"/>
                </a:schemeClr>
              </a:solidFill>
            </a:ln>
          </c:spPr>
        </c:majorGridlines>
        <c:numFmt formatCode="0" sourceLinked="0"/>
        <c:tickLblPos val="nextTo"/>
        <c:spPr>
          <a:ln w="9525">
            <a:solidFill>
              <a:schemeClr val="tx1"/>
            </a:solidFill>
            <a:prstDash val="solid"/>
          </a:ln>
        </c:spPr>
        <c:txPr>
          <a:bodyPr rot="0" vert="horz"/>
          <a:lstStyle/>
          <a:p>
            <a:pPr>
              <a:defRPr/>
            </a:pPr>
            <a:endParaRPr lang="cs-CZ"/>
          </a:p>
        </c:txPr>
        <c:crossAx val="182418048"/>
        <c:crosses val="autoZero"/>
        <c:crossBetween val="between"/>
        <c:majorUnit val="10"/>
      </c:valAx>
      <c:spPr>
        <a:solidFill>
          <a:srgbClr val="FFFFFF"/>
        </a:solidFill>
        <a:ln w="9525">
          <a:solidFill>
            <a:schemeClr val="tx1"/>
          </a:solidFill>
        </a:ln>
      </c:spPr>
    </c:plotArea>
    <c:legend>
      <c:legendPos val="b"/>
      <c:layout>
        <c:manualLayout>
          <c:xMode val="edge"/>
          <c:yMode val="edge"/>
          <c:x val="5.4756708056613132E-2"/>
          <c:y val="0.87003886444790779"/>
          <c:w val="0.92610625633232013"/>
          <c:h val="0.11465350329600962"/>
        </c:manualLayout>
      </c:layout>
      <c:spPr>
        <a:noFill/>
        <a:ln w="6350">
          <a:solidFill>
            <a:schemeClr val="tx1"/>
          </a:solidFill>
        </a:ln>
      </c:spPr>
    </c:legend>
    <c:plotVisOnly val="1"/>
    <c:dispBlanksAs val="gap"/>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3337294494629933E-2"/>
          <c:y val="2.5454073336495381E-2"/>
          <c:w val="0.91372590696101663"/>
          <c:h val="0.72225502843009803"/>
        </c:manualLayout>
      </c:layout>
      <c:barChart>
        <c:barDir val="col"/>
        <c:grouping val="clustered"/>
        <c:ser>
          <c:idx val="0"/>
          <c:order val="0"/>
          <c:tx>
            <c:strRef>
              <c:f>'výkonnost odvětví 4'!$C$10</c:f>
              <c:strCache>
                <c:ptCount val="1"/>
                <c:pt idx="0">
                  <c:v>Služby celkem*</c:v>
                </c:pt>
              </c:strCache>
            </c:strRef>
          </c:tx>
          <c:spPr>
            <a:solidFill>
              <a:schemeClr val="bg1">
                <a:lumMod val="65000"/>
              </a:schemeClr>
            </a:solidFill>
            <a:ln w="12700">
              <a:noFill/>
              <a:prstDash val="solid"/>
            </a:ln>
          </c:spPr>
          <c:cat>
            <c:multiLvlStrRef>
              <c:f>'výkonnost odvětví 4'!$A$11:$B$40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'výkonnost odvětví 4'!$C$11:$C$40</c:f>
              <c:numCache>
                <c:formatCode>#,##0.0</c:formatCode>
                <c:ptCount val="30"/>
                <c:pt idx="0">
                  <c:v>-4.5086821461459685</c:v>
                </c:pt>
                <c:pt idx="1">
                  <c:v>-0.32835885535858944</c:v>
                </c:pt>
                <c:pt idx="2">
                  <c:v>0.73946053993891758</c:v>
                </c:pt>
                <c:pt idx="3">
                  <c:v>-2.5152236064232767</c:v>
                </c:pt>
                <c:pt idx="4">
                  <c:v>0.28391768756938646</c:v>
                </c:pt>
                <c:pt idx="5">
                  <c:v>-0.70805078172122327</c:v>
                </c:pt>
                <c:pt idx="6">
                  <c:v>-4.5203767606311374</c:v>
                </c:pt>
                <c:pt idx="7">
                  <c:v>-2.2655181443709602</c:v>
                </c:pt>
                <c:pt idx="8">
                  <c:v>0.37351297841811981</c:v>
                </c:pt>
                <c:pt idx="9">
                  <c:v>-1.1871830565365591</c:v>
                </c:pt>
                <c:pt idx="10">
                  <c:v>1.1226178720515692</c:v>
                </c:pt>
                <c:pt idx="11">
                  <c:v>-1.3757772010385321</c:v>
                </c:pt>
                <c:pt idx="12">
                  <c:v>-0.13738089259027278</c:v>
                </c:pt>
                <c:pt idx="13">
                  <c:v>-0.88320355282115759</c:v>
                </c:pt>
                <c:pt idx="14">
                  <c:v>-1.390692156642402</c:v>
                </c:pt>
                <c:pt idx="15">
                  <c:v>1.6364179776865715</c:v>
                </c:pt>
                <c:pt idx="16">
                  <c:v>2.8771336307295448</c:v>
                </c:pt>
                <c:pt idx="17">
                  <c:v>1.002019192308552</c:v>
                </c:pt>
                <c:pt idx="18">
                  <c:v>0.49159162809337426</c:v>
                </c:pt>
                <c:pt idx="19">
                  <c:v>-0.25866374543002729</c:v>
                </c:pt>
                <c:pt idx="20">
                  <c:v>3.6461757644775998</c:v>
                </c:pt>
                <c:pt idx="21">
                  <c:v>3.0546031719619742</c:v>
                </c:pt>
                <c:pt idx="22">
                  <c:v>3.647984423755247</c:v>
                </c:pt>
                <c:pt idx="23">
                  <c:v>2.3368507053215524</c:v>
                </c:pt>
                <c:pt idx="24">
                  <c:v>1.3201546203116981</c:v>
                </c:pt>
                <c:pt idx="25">
                  <c:v>-0.70323122890518164</c:v>
                </c:pt>
                <c:pt idx="26">
                  <c:v>1.4219592632576004</c:v>
                </c:pt>
                <c:pt idx="27">
                  <c:v>1.6211618392301546</c:v>
                </c:pt>
                <c:pt idx="28">
                  <c:v>5.3320233480099262</c:v>
                </c:pt>
                <c:pt idx="29">
                  <c:v>5.7170689693668066</c:v>
                </c:pt>
              </c:numCache>
            </c:numRef>
          </c:val>
        </c:ser>
        <c:gapWidth val="31"/>
        <c:axId val="182910336"/>
        <c:axId val="182461568"/>
      </c:barChart>
      <c:lineChart>
        <c:grouping val="standard"/>
        <c:ser>
          <c:idx val="1"/>
          <c:order val="1"/>
          <c:tx>
            <c:strRef>
              <c:f>'výkonnost odvětví 4'!$D$10</c:f>
              <c:strCache>
                <c:ptCount val="1"/>
                <c:pt idx="0">
                  <c:v>Doprava a skladování</c:v>
                </c:pt>
              </c:strCache>
            </c:strRef>
          </c:tx>
          <c:spPr>
            <a:ln w="19050">
              <a:noFill/>
              <a:prstDash val="solid"/>
            </a:ln>
          </c:spPr>
          <c:marker>
            <c:symbol val="diamond"/>
            <c:size val="5"/>
            <c:spPr>
              <a:solidFill>
                <a:srgbClr val="984807"/>
              </a:solidFill>
              <a:ln>
                <a:noFill/>
              </a:ln>
            </c:spPr>
          </c:marker>
          <c:cat>
            <c:multiLvlStrRef>
              <c:f>'výkonnost odvětví 4'!$A$11:$B$40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'výkonnost odvětví 4'!$D$11:$D$40</c:f>
              <c:numCache>
                <c:formatCode>#,##0.0</c:formatCode>
                <c:ptCount val="30"/>
                <c:pt idx="0">
                  <c:v>1.1947172056579101</c:v>
                </c:pt>
                <c:pt idx="1">
                  <c:v>6.1612006923673164</c:v>
                </c:pt>
                <c:pt idx="2">
                  <c:v>3.8321763739405177</c:v>
                </c:pt>
                <c:pt idx="3">
                  <c:v>1.9422562614741141</c:v>
                </c:pt>
                <c:pt idx="4">
                  <c:v>3.9905907077130012</c:v>
                </c:pt>
                <c:pt idx="5">
                  <c:v>0.66863750176709402</c:v>
                </c:pt>
                <c:pt idx="6">
                  <c:v>-0.96992608501065547</c:v>
                </c:pt>
                <c:pt idx="7">
                  <c:v>1.53701358146796</c:v>
                </c:pt>
                <c:pt idx="8">
                  <c:v>0.86419433077047636</c:v>
                </c:pt>
                <c:pt idx="9">
                  <c:v>1.820374106952102</c:v>
                </c:pt>
                <c:pt idx="10">
                  <c:v>3.4982887263413289</c:v>
                </c:pt>
                <c:pt idx="11">
                  <c:v>-1.8034409137813583</c:v>
                </c:pt>
                <c:pt idx="12">
                  <c:v>3.3926540371390956</c:v>
                </c:pt>
                <c:pt idx="13">
                  <c:v>2.7604642355407671</c:v>
                </c:pt>
                <c:pt idx="14">
                  <c:v>2.2208650522536715</c:v>
                </c:pt>
                <c:pt idx="15">
                  <c:v>10.115669423589594</c:v>
                </c:pt>
                <c:pt idx="16">
                  <c:v>6.7018833973273502</c:v>
                </c:pt>
                <c:pt idx="17">
                  <c:v>2.7333521657622981</c:v>
                </c:pt>
                <c:pt idx="18">
                  <c:v>2.0465515678918011</c:v>
                </c:pt>
                <c:pt idx="19">
                  <c:v>-1.530844720104767</c:v>
                </c:pt>
                <c:pt idx="20">
                  <c:v>1.002169684302757</c:v>
                </c:pt>
                <c:pt idx="21">
                  <c:v>9.8032147612841E-2</c:v>
                </c:pt>
                <c:pt idx="22">
                  <c:v>0.86950159365595425</c:v>
                </c:pt>
                <c:pt idx="23">
                  <c:v>0.28377530048348376</c:v>
                </c:pt>
                <c:pt idx="24">
                  <c:v>0.39004135456362121</c:v>
                </c:pt>
                <c:pt idx="25">
                  <c:v>0.85652658073075505</c:v>
                </c:pt>
                <c:pt idx="26">
                  <c:v>0.45460658671727588</c:v>
                </c:pt>
                <c:pt idx="27">
                  <c:v>2.9315490427268287</c:v>
                </c:pt>
                <c:pt idx="28">
                  <c:v>5.6249935981077943</c:v>
                </c:pt>
                <c:pt idx="29">
                  <c:v>3.6515405709936597</c:v>
                </c:pt>
              </c:numCache>
            </c:numRef>
          </c:val>
        </c:ser>
        <c:ser>
          <c:idx val="2"/>
          <c:order val="2"/>
          <c:tx>
            <c:strRef>
              <c:f>'výkonnost odvětví 4'!$E$10</c:f>
              <c:strCache>
                <c:ptCount val="1"/>
                <c:pt idx="0">
                  <c:v> Ubytování, stravování a pohostinství</c:v>
                </c:pt>
              </c:strCache>
            </c:strRef>
          </c:tx>
          <c:spPr>
            <a:ln w="19050">
              <a:solidFill>
                <a:schemeClr val="accent6">
                  <a:lumMod val="75000"/>
                </a:schemeClr>
              </a:solidFill>
              <a:prstDash val="solid"/>
            </a:ln>
          </c:spPr>
          <c:marker>
            <c:symbol val="none"/>
          </c:marker>
          <c:cat>
            <c:multiLvlStrRef>
              <c:f>'výkonnost odvětví 4'!$A$11:$B$40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'výkonnost odvětví 4'!$E$11:$E$40</c:f>
              <c:numCache>
                <c:formatCode>#,##0.0</c:formatCode>
                <c:ptCount val="30"/>
                <c:pt idx="0">
                  <c:v>-5.6975334622339355</c:v>
                </c:pt>
                <c:pt idx="1">
                  <c:v>-6.4566291711690598</c:v>
                </c:pt>
                <c:pt idx="2">
                  <c:v>-2.3613693441163552</c:v>
                </c:pt>
                <c:pt idx="3">
                  <c:v>-4.3794822068248322</c:v>
                </c:pt>
                <c:pt idx="4">
                  <c:v>-0.4555737275375123</c:v>
                </c:pt>
                <c:pt idx="5">
                  <c:v>2.8719283904406567</c:v>
                </c:pt>
                <c:pt idx="6">
                  <c:v>-2.0593466230799167</c:v>
                </c:pt>
                <c:pt idx="7">
                  <c:v>-1.7256463028242965</c:v>
                </c:pt>
                <c:pt idx="8">
                  <c:v>-2.0799940910439592</c:v>
                </c:pt>
                <c:pt idx="9">
                  <c:v>-2.7104496472732067</c:v>
                </c:pt>
                <c:pt idx="10">
                  <c:v>-1.7795460053675638</c:v>
                </c:pt>
                <c:pt idx="11">
                  <c:v>-3.5479456831717808</c:v>
                </c:pt>
                <c:pt idx="12">
                  <c:v>0.89755614973260167</c:v>
                </c:pt>
                <c:pt idx="13">
                  <c:v>0.22924413123806242</c:v>
                </c:pt>
                <c:pt idx="14">
                  <c:v>1.6544632966843258</c:v>
                </c:pt>
                <c:pt idx="15">
                  <c:v>0.76912142555656526</c:v>
                </c:pt>
                <c:pt idx="16">
                  <c:v>2.8501068964853005</c:v>
                </c:pt>
                <c:pt idx="17">
                  <c:v>2.4958042132578977</c:v>
                </c:pt>
                <c:pt idx="18">
                  <c:v>-0.14347203797564134</c:v>
                </c:pt>
                <c:pt idx="19">
                  <c:v>9.4433474314613006E-2</c:v>
                </c:pt>
                <c:pt idx="20">
                  <c:v>2.7050589721666398</c:v>
                </c:pt>
                <c:pt idx="21">
                  <c:v>7.5318806290230071</c:v>
                </c:pt>
                <c:pt idx="22">
                  <c:v>7.8389885799991861</c:v>
                </c:pt>
                <c:pt idx="23">
                  <c:v>4.8733206144871888</c:v>
                </c:pt>
                <c:pt idx="24">
                  <c:v>5.5782241405589019</c:v>
                </c:pt>
                <c:pt idx="25">
                  <c:v>2.058514914094502</c:v>
                </c:pt>
                <c:pt idx="26">
                  <c:v>6.8375251195024545</c:v>
                </c:pt>
                <c:pt idx="27">
                  <c:v>7.3108025341731784</c:v>
                </c:pt>
                <c:pt idx="28">
                  <c:v>12.012080667822973</c:v>
                </c:pt>
                <c:pt idx="29">
                  <c:v>13.433599076288377</c:v>
                </c:pt>
              </c:numCache>
            </c:numRef>
          </c:val>
        </c:ser>
        <c:ser>
          <c:idx val="3"/>
          <c:order val="3"/>
          <c:tx>
            <c:strRef>
              <c:f>'výkonnost odvětví 4'!$F$10</c:f>
              <c:strCache>
                <c:ptCount val="1"/>
                <c:pt idx="0">
                  <c:v>Profesní, vědecké a technické činnosti</c:v>
                </c:pt>
              </c:strCache>
            </c:strRef>
          </c:tx>
          <c:spPr>
            <a:ln w="19050">
              <a:solidFill>
                <a:srgbClr val="48AEE7"/>
              </a:solidFill>
            </a:ln>
          </c:spPr>
          <c:marker>
            <c:symbol val="none"/>
          </c:marker>
          <c:cat>
            <c:multiLvlStrRef>
              <c:f>'výkonnost odvětví 4'!$A$11:$B$40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'výkonnost odvětví 4'!$F$11:$F$40</c:f>
              <c:numCache>
                <c:formatCode>#,##0.0</c:formatCode>
                <c:ptCount val="30"/>
                <c:pt idx="0">
                  <c:v>-12.29140286587932</c:v>
                </c:pt>
                <c:pt idx="1">
                  <c:v>-4.2369590371524453</c:v>
                </c:pt>
                <c:pt idx="2">
                  <c:v>-1.2080379480757175</c:v>
                </c:pt>
                <c:pt idx="3">
                  <c:v>-7.4305239361272575</c:v>
                </c:pt>
                <c:pt idx="4">
                  <c:v>-5.3334335616924555</c:v>
                </c:pt>
                <c:pt idx="5">
                  <c:v>-4.4160578473172265</c:v>
                </c:pt>
                <c:pt idx="6">
                  <c:v>-16.037856901980945</c:v>
                </c:pt>
                <c:pt idx="7">
                  <c:v>-8.5897289971528039</c:v>
                </c:pt>
                <c:pt idx="8">
                  <c:v>1.7788922355555599</c:v>
                </c:pt>
                <c:pt idx="9">
                  <c:v>-5.9954391231438491</c:v>
                </c:pt>
                <c:pt idx="10">
                  <c:v>-0.72796001543736111</c:v>
                </c:pt>
                <c:pt idx="11">
                  <c:v>0.13792425546452591</c:v>
                </c:pt>
                <c:pt idx="12">
                  <c:v>-4.5792020329988379</c:v>
                </c:pt>
                <c:pt idx="13">
                  <c:v>-7.3603324814945523</c:v>
                </c:pt>
                <c:pt idx="14">
                  <c:v>-9.2524678147347448</c:v>
                </c:pt>
                <c:pt idx="15">
                  <c:v>-5.1127026831459688</c:v>
                </c:pt>
                <c:pt idx="16">
                  <c:v>-3.139859118723225</c:v>
                </c:pt>
                <c:pt idx="17">
                  <c:v>-2.2337848171194414</c:v>
                </c:pt>
                <c:pt idx="18">
                  <c:v>-3.2082111393684301</c:v>
                </c:pt>
                <c:pt idx="19">
                  <c:v>-0.51190205487802132</c:v>
                </c:pt>
                <c:pt idx="20">
                  <c:v>5.0596405878540835</c:v>
                </c:pt>
                <c:pt idx="21">
                  <c:v>3.9939192273867832</c:v>
                </c:pt>
                <c:pt idx="22">
                  <c:v>5.6343976736692696</c:v>
                </c:pt>
                <c:pt idx="23">
                  <c:v>-0.90536959838848963</c:v>
                </c:pt>
                <c:pt idx="24">
                  <c:v>-1.6283771135000555</c:v>
                </c:pt>
                <c:pt idx="25">
                  <c:v>-7.4064779750107324</c:v>
                </c:pt>
                <c:pt idx="26">
                  <c:v>-0.53409395066332133</c:v>
                </c:pt>
                <c:pt idx="27">
                  <c:v>-1.4896673386361239</c:v>
                </c:pt>
                <c:pt idx="28">
                  <c:v>2.2822998345791197</c:v>
                </c:pt>
                <c:pt idx="29">
                  <c:v>3.9913465625417359</c:v>
                </c:pt>
              </c:numCache>
            </c:numRef>
          </c:val>
        </c:ser>
        <c:ser>
          <c:idx val="4"/>
          <c:order val="4"/>
          <c:tx>
            <c:strRef>
              <c:f>'výkonnost odvětví 4'!$G$10</c:f>
              <c:strCache>
                <c:ptCount val="1"/>
                <c:pt idx="0">
                  <c:v>Administrativní a podpůrné činnosti</c:v>
                </c:pt>
              </c:strCache>
            </c:strRef>
          </c:tx>
          <c:spPr>
            <a:ln w="19050">
              <a:solidFill>
                <a:srgbClr val="7DBB2D"/>
              </a:solidFill>
            </a:ln>
          </c:spPr>
          <c:marker>
            <c:symbol val="none"/>
          </c:marker>
          <c:cat>
            <c:multiLvlStrRef>
              <c:f>'výkonnost odvětví 4'!$A$11:$B$40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2010</c:v>
                  </c:pt>
                  <c:pt idx="4">
                    <c:v>2011</c:v>
                  </c:pt>
                  <c:pt idx="8">
                    <c:v>2012</c:v>
                  </c:pt>
                  <c:pt idx="12">
                    <c:v>2013</c:v>
                  </c:pt>
                  <c:pt idx="16">
                    <c:v>2014</c:v>
                  </c:pt>
                  <c:pt idx="20">
                    <c:v>2015</c:v>
                  </c:pt>
                  <c:pt idx="24">
                    <c:v>2016</c:v>
                  </c:pt>
                  <c:pt idx="28">
                    <c:v>2017</c:v>
                  </c:pt>
                </c:lvl>
              </c:multiLvlStrCache>
            </c:multiLvlStrRef>
          </c:cat>
          <c:val>
            <c:numRef>
              <c:f>'výkonnost odvětví 4'!$G$11:$G$40</c:f>
              <c:numCache>
                <c:formatCode>#,##0.0</c:formatCode>
                <c:ptCount val="30"/>
                <c:pt idx="0">
                  <c:v>-1.6549602302955009</c:v>
                </c:pt>
                <c:pt idx="1">
                  <c:v>-2.3594924008949767</c:v>
                </c:pt>
                <c:pt idx="2">
                  <c:v>1.0685094464073757</c:v>
                </c:pt>
                <c:pt idx="3">
                  <c:v>1.802428689681236</c:v>
                </c:pt>
                <c:pt idx="4">
                  <c:v>4.5715948454982955</c:v>
                </c:pt>
                <c:pt idx="5">
                  <c:v>5.6146067882748127</c:v>
                </c:pt>
                <c:pt idx="6">
                  <c:v>5.0768754367534825</c:v>
                </c:pt>
                <c:pt idx="7">
                  <c:v>3.1246108505308001</c:v>
                </c:pt>
                <c:pt idx="8">
                  <c:v>4.9368462848572481</c:v>
                </c:pt>
                <c:pt idx="9">
                  <c:v>2.4137029520887547</c:v>
                </c:pt>
                <c:pt idx="10">
                  <c:v>4.1629831718918968</c:v>
                </c:pt>
                <c:pt idx="11">
                  <c:v>-1.7756569206553507</c:v>
                </c:pt>
                <c:pt idx="12">
                  <c:v>-0.44871471439856236</c:v>
                </c:pt>
                <c:pt idx="13">
                  <c:v>0.9939088783912382</c:v>
                </c:pt>
                <c:pt idx="14">
                  <c:v>0.7362302514327016</c:v>
                </c:pt>
                <c:pt idx="15">
                  <c:v>3.5140731651337407</c:v>
                </c:pt>
                <c:pt idx="16">
                  <c:v>5.1516745001737263</c:v>
                </c:pt>
                <c:pt idx="17">
                  <c:v>3.2158782239781796</c:v>
                </c:pt>
                <c:pt idx="18">
                  <c:v>1.6599049809022119</c:v>
                </c:pt>
                <c:pt idx="19">
                  <c:v>2.1099084628199742</c:v>
                </c:pt>
                <c:pt idx="20">
                  <c:v>6.1376093301024781</c:v>
                </c:pt>
                <c:pt idx="21">
                  <c:v>6.6225322026989604</c:v>
                </c:pt>
                <c:pt idx="22">
                  <c:v>5.29807791431341</c:v>
                </c:pt>
                <c:pt idx="23">
                  <c:v>6.7528747274731273</c:v>
                </c:pt>
                <c:pt idx="24">
                  <c:v>5.6113763982608589</c:v>
                </c:pt>
                <c:pt idx="25">
                  <c:v>3.1599869758994714</c:v>
                </c:pt>
                <c:pt idx="26">
                  <c:v>3.1913401196739528</c:v>
                </c:pt>
                <c:pt idx="27">
                  <c:v>5.1831722314395066</c:v>
                </c:pt>
                <c:pt idx="28">
                  <c:v>9.5426188339913836</c:v>
                </c:pt>
                <c:pt idx="29">
                  <c:v>9.7122164188196507</c:v>
                </c:pt>
              </c:numCache>
            </c:numRef>
          </c:val>
        </c:ser>
        <c:marker val="1"/>
        <c:axId val="182910336"/>
        <c:axId val="182461568"/>
      </c:lineChart>
      <c:catAx>
        <c:axId val="182910336"/>
        <c:scaling>
          <c:orientation val="minMax"/>
        </c:scaling>
        <c:axPos val="b"/>
        <c:numFmt formatCode="General" sourceLinked="1"/>
        <c:tickLblPos val="low"/>
        <c:spPr>
          <a:ln w="9525">
            <a:solidFill>
              <a:schemeClr val="tx1"/>
            </a:solidFill>
            <a:prstDash val="solid"/>
          </a:ln>
        </c:spPr>
        <c:txPr>
          <a:bodyPr rot="0" vert="horz"/>
          <a:lstStyle/>
          <a:p>
            <a:pPr>
              <a:defRPr/>
            </a:pPr>
            <a:endParaRPr lang="cs-CZ"/>
          </a:p>
        </c:txPr>
        <c:crossAx val="182461568"/>
        <c:crosses val="autoZero"/>
        <c:lblAlgn val="ctr"/>
        <c:lblOffset val="0"/>
        <c:tickLblSkip val="1"/>
        <c:tickMarkSkip val="4"/>
      </c:catAx>
      <c:valAx>
        <c:axId val="182461568"/>
        <c:scaling>
          <c:orientation val="minMax"/>
          <c:max val="14"/>
          <c:min val="-16"/>
        </c:scaling>
        <c:axPos val="l"/>
        <c:majorGridlines>
          <c:spPr>
            <a:ln w="6350">
              <a:solidFill>
                <a:schemeClr val="bg1">
                  <a:lumMod val="75000"/>
                </a:schemeClr>
              </a:solidFill>
            </a:ln>
          </c:spPr>
        </c:majorGridlines>
        <c:numFmt formatCode="0" sourceLinked="0"/>
        <c:tickLblPos val="nextTo"/>
        <c:spPr>
          <a:ln w="9525">
            <a:solidFill>
              <a:schemeClr val="tx1"/>
            </a:solidFill>
            <a:prstDash val="solid"/>
          </a:ln>
        </c:spPr>
        <c:txPr>
          <a:bodyPr rot="0" vert="horz"/>
          <a:lstStyle/>
          <a:p>
            <a:pPr>
              <a:defRPr/>
            </a:pPr>
            <a:endParaRPr lang="cs-CZ"/>
          </a:p>
        </c:txPr>
        <c:crossAx val="182910336"/>
        <c:crosses val="autoZero"/>
        <c:crossBetween val="between"/>
        <c:majorUnit val="2"/>
      </c:valAx>
      <c:spPr>
        <a:solidFill>
          <a:srgbClr val="FFFFFF"/>
        </a:solidFill>
        <a:ln w="9525">
          <a:solidFill>
            <a:schemeClr val="tx1"/>
          </a:solidFill>
        </a:ln>
      </c:spPr>
    </c:plotArea>
    <c:legend>
      <c:legendPos val="b"/>
      <c:layout>
        <c:manualLayout>
          <c:xMode val="edge"/>
          <c:yMode val="edge"/>
          <c:x val="5.3159200603222566E-2"/>
          <c:y val="0.85483926715618763"/>
          <c:w val="0.89381333170940258"/>
          <c:h val="0.13079630039707352"/>
        </c:manualLayout>
      </c:layout>
      <c:spPr>
        <a:noFill/>
        <a:ln w="6350">
          <a:solidFill>
            <a:schemeClr val="tx1"/>
          </a:solidFill>
        </a:ln>
      </c:spPr>
    </c:legend>
    <c:plotVisOnly val="1"/>
    <c:dispBlanksAs val="gap"/>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6.9865404755440771E-2"/>
          <c:y val="3.3960026067356604E-2"/>
          <c:w val="0.90126857480580858"/>
          <c:h val="0.76523595142862622"/>
        </c:manualLayout>
      </c:layout>
      <c:barChart>
        <c:barDir val="col"/>
        <c:grouping val="stacked"/>
        <c:ser>
          <c:idx val="3"/>
          <c:order val="1"/>
          <c:tx>
            <c:strRef>
              <c:f>'Vnější vztahy 1'!$E$5</c:f>
              <c:strCache>
                <c:ptCount val="1"/>
                <c:pt idx="0">
                  <c:v>Bilance zboží</c:v>
                </c:pt>
              </c:strCache>
            </c:strRef>
          </c:tx>
          <c:spPr>
            <a:solidFill>
              <a:srgbClr val="BD1B21"/>
            </a:solidFill>
            <a:ln>
              <a:noFill/>
            </a:ln>
          </c:spPr>
          <c:val>
            <c:numRef>
              <c:f>'Vnější vztahy 1'!$E$6:$E$15</c:f>
              <c:numCache>
                <c:formatCode>0.0</c:formatCode>
                <c:ptCount val="10"/>
                <c:pt idx="0">
                  <c:v>19.415199999999995</c:v>
                </c:pt>
                <c:pt idx="1">
                  <c:v>41.968900000000012</c:v>
                </c:pt>
                <c:pt idx="2">
                  <c:v>51.850499999999997</c:v>
                </c:pt>
                <c:pt idx="3">
                  <c:v>57.21220000000001</c:v>
                </c:pt>
                <c:pt idx="4">
                  <c:v>79.433800000000005</c:v>
                </c:pt>
                <c:pt idx="5">
                  <c:v>108.04720000000002</c:v>
                </c:pt>
                <c:pt idx="6">
                  <c:v>136.91500000000002</c:v>
                </c:pt>
                <c:pt idx="7">
                  <c:v>120.30529999999999</c:v>
                </c:pt>
                <c:pt idx="8">
                  <c:v>165.26429999999999</c:v>
                </c:pt>
                <c:pt idx="9" formatCode="General">
                  <c:v>165.51759999999999</c:v>
                </c:pt>
              </c:numCache>
            </c:numRef>
          </c:val>
        </c:ser>
        <c:ser>
          <c:idx val="4"/>
          <c:order val="2"/>
          <c:tx>
            <c:strRef>
              <c:f>'Vnější vztahy 1'!$F$5</c:f>
              <c:strCache>
                <c:ptCount val="1"/>
                <c:pt idx="0">
                  <c:v>Bilance služeb</c:v>
                </c:pt>
              </c:strCache>
            </c:strRef>
          </c:tx>
          <c:spPr>
            <a:solidFill>
              <a:srgbClr val="E8AFB2"/>
            </a:solidFill>
            <a:ln>
              <a:noFill/>
            </a:ln>
          </c:spPr>
          <c:val>
            <c:numRef>
              <c:f>'Vnější vztahy 1'!$F$6:$F$15</c:f>
              <c:numCache>
                <c:formatCode>0.0</c:formatCode>
                <c:ptCount val="10"/>
                <c:pt idx="0">
                  <c:v>47.176600000000008</c:v>
                </c:pt>
                <c:pt idx="1">
                  <c:v>39.047700000000006</c:v>
                </c:pt>
                <c:pt idx="2">
                  <c:v>44.324000000000005</c:v>
                </c:pt>
                <c:pt idx="3">
                  <c:v>40.113500000000002</c:v>
                </c:pt>
                <c:pt idx="4">
                  <c:v>44.450900000000004</c:v>
                </c:pt>
                <c:pt idx="5">
                  <c:v>39.887999999999998</c:v>
                </c:pt>
                <c:pt idx="6">
                  <c:v>34.862400000000008</c:v>
                </c:pt>
                <c:pt idx="7">
                  <c:v>38.551499999999997</c:v>
                </c:pt>
                <c:pt idx="8">
                  <c:v>49.342800000000004</c:v>
                </c:pt>
                <c:pt idx="9" formatCode="General">
                  <c:v>56.9589</c:v>
                </c:pt>
              </c:numCache>
            </c:numRef>
          </c:val>
        </c:ser>
        <c:ser>
          <c:idx val="2"/>
          <c:order val="3"/>
          <c:tx>
            <c:strRef>
              <c:f>'Vnější vztahy 1'!$D$5</c:f>
              <c:strCache>
                <c:ptCount val="1"/>
                <c:pt idx="0">
                  <c:v>Saldo prvotních důchodů</c:v>
                </c:pt>
              </c:strCache>
            </c:strRef>
          </c:tx>
          <c:spPr>
            <a:solidFill>
              <a:srgbClr val="A6CDE8"/>
            </a:solidFill>
            <a:ln>
              <a:noFill/>
            </a:ln>
          </c:spPr>
          <c:val>
            <c:numRef>
              <c:f>'Vnější vztahy 1'!$D$6:$D$15</c:f>
              <c:numCache>
                <c:formatCode>0.0</c:formatCode>
                <c:ptCount val="10"/>
                <c:pt idx="0">
                  <c:v>-82.290499999999994</c:v>
                </c:pt>
                <c:pt idx="1">
                  <c:v>-112.9543</c:v>
                </c:pt>
                <c:pt idx="2">
                  <c:v>-86.157299999999992</c:v>
                </c:pt>
                <c:pt idx="3">
                  <c:v>-132.95950000000002</c:v>
                </c:pt>
                <c:pt idx="4">
                  <c:v>-76.063999999999993</c:v>
                </c:pt>
                <c:pt idx="5">
                  <c:v>-112.90589999999999</c:v>
                </c:pt>
                <c:pt idx="6">
                  <c:v>-124.5894</c:v>
                </c:pt>
                <c:pt idx="7">
                  <c:v>-125.38179999999998</c:v>
                </c:pt>
                <c:pt idx="8">
                  <c:v>-111.63640000000001</c:v>
                </c:pt>
                <c:pt idx="9" formatCode="General">
                  <c:v>-102.09060000000002</c:v>
                </c:pt>
              </c:numCache>
            </c:numRef>
          </c:val>
        </c:ser>
        <c:ser>
          <c:idx val="1"/>
          <c:order val="4"/>
          <c:tx>
            <c:strRef>
              <c:f>'Vnější vztahy 1'!$C$5</c:f>
              <c:strCache>
                <c:ptCount val="1"/>
                <c:pt idx="0">
                  <c:v>Saldo druhotných důchodů</c:v>
                </c:pt>
              </c:strCache>
            </c:strRef>
          </c:tx>
          <c:spPr>
            <a:solidFill>
              <a:srgbClr val="0071BC"/>
            </a:solidFill>
            <a:ln>
              <a:noFill/>
            </a:ln>
          </c:spPr>
          <c:val>
            <c:numRef>
              <c:f>'Vnější vztahy 1'!$C$6:$C$15</c:f>
              <c:numCache>
                <c:formatCode>0.0</c:formatCode>
                <c:ptCount val="10"/>
                <c:pt idx="0">
                  <c:v>-3.5249999999999999</c:v>
                </c:pt>
                <c:pt idx="1">
                  <c:v>-5.1935999999999982</c:v>
                </c:pt>
                <c:pt idx="2">
                  <c:v>-8.9997000000000025</c:v>
                </c:pt>
                <c:pt idx="3">
                  <c:v>-11.628599999999999</c:v>
                </c:pt>
                <c:pt idx="4">
                  <c:v>-27.617099999999997</c:v>
                </c:pt>
                <c:pt idx="5">
                  <c:v>-22.497699999999991</c:v>
                </c:pt>
                <c:pt idx="6">
                  <c:v>-2.9015999999999997</c:v>
                </c:pt>
                <c:pt idx="7">
                  <c:v>11.517200000000001</c:v>
                </c:pt>
                <c:pt idx="8">
                  <c:v>-4.6746999999999996</c:v>
                </c:pt>
                <c:pt idx="9" formatCode="General">
                  <c:v>-30.384699999999995</c:v>
                </c:pt>
              </c:numCache>
            </c:numRef>
          </c:val>
        </c:ser>
        <c:gapWidth val="60"/>
        <c:overlap val="100"/>
        <c:axId val="182493184"/>
        <c:axId val="182494720"/>
      </c:barChart>
      <c:lineChart>
        <c:grouping val="standard"/>
        <c:ser>
          <c:idx val="0"/>
          <c:order val="0"/>
          <c:tx>
            <c:strRef>
              <c:f>'Vnější vztahy 1'!$B$5</c:f>
              <c:strCache>
                <c:ptCount val="1"/>
                <c:pt idx="0">
                  <c:v>Běžný účet</c:v>
                </c:pt>
              </c:strCache>
            </c:strRef>
          </c:tx>
          <c:spPr>
            <a:ln>
              <a:solidFill>
                <a:schemeClr val="tx1"/>
              </a:solidFill>
            </a:ln>
          </c:spPr>
          <c:marker>
            <c:symbol val="none"/>
          </c:marker>
          <c:cat>
            <c:strRef>
              <c:f>'Vnější vztahy 1'!$A$6:$A$15</c:f>
              <c:strCache>
                <c:ptCount val="10"/>
                <c:pt idx="0">
                  <c:v>2008</c:v>
                </c:pt>
                <c:pt idx="1">
                  <c:v>2009</c:v>
                </c:pt>
                <c:pt idx="2">
                  <c:v>2010</c:v>
                </c:pt>
                <c:pt idx="3">
                  <c:v>2011</c:v>
                </c:pt>
                <c:pt idx="4">
                  <c:v>2012</c:v>
                </c:pt>
                <c:pt idx="5">
                  <c:v>2013</c:v>
                </c:pt>
                <c:pt idx="6">
                  <c:v>2014</c:v>
                </c:pt>
                <c:pt idx="7">
                  <c:v>2015</c:v>
                </c:pt>
                <c:pt idx="8">
                  <c:v>2016</c:v>
                </c:pt>
                <c:pt idx="9">
                  <c:v>2017</c:v>
                </c:pt>
              </c:strCache>
            </c:strRef>
          </c:cat>
          <c:val>
            <c:numRef>
              <c:f>'Vnější vztahy 1'!$B$6:$B$15</c:f>
              <c:numCache>
                <c:formatCode>0.0</c:formatCode>
                <c:ptCount val="10"/>
                <c:pt idx="0">
                  <c:v>-19.223700000000001</c:v>
                </c:pt>
                <c:pt idx="1">
                  <c:v>-37.131200000000007</c:v>
                </c:pt>
                <c:pt idx="2">
                  <c:v>1.0174999999999998</c:v>
                </c:pt>
                <c:pt idx="3">
                  <c:v>-47.26250000000001</c:v>
                </c:pt>
                <c:pt idx="4">
                  <c:v>20.203499999999991</c:v>
                </c:pt>
                <c:pt idx="5">
                  <c:v>12.531500000000001</c:v>
                </c:pt>
                <c:pt idx="6">
                  <c:v>44.286499999999997</c:v>
                </c:pt>
                <c:pt idx="7">
                  <c:v>44.992100000000015</c:v>
                </c:pt>
                <c:pt idx="8">
                  <c:v>98.295900000000003</c:v>
                </c:pt>
                <c:pt idx="9" formatCode="General">
                  <c:v>90.001099999999994</c:v>
                </c:pt>
              </c:numCache>
            </c:numRef>
          </c:val>
        </c:ser>
        <c:marker val="1"/>
        <c:axId val="182493184"/>
        <c:axId val="182494720"/>
      </c:lineChart>
      <c:catAx>
        <c:axId val="182493184"/>
        <c:scaling>
          <c:orientation val="minMax"/>
        </c:scaling>
        <c:axPos val="b"/>
        <c:tickLblPos val="low"/>
        <c:spPr>
          <a:ln>
            <a:solidFill>
              <a:schemeClr val="tx1"/>
            </a:solidFill>
          </a:ln>
        </c:spPr>
        <c:txPr>
          <a:bodyPr rot="0" vert="horz"/>
          <a:lstStyle/>
          <a:p>
            <a:pPr>
              <a:defRPr/>
            </a:pPr>
            <a:endParaRPr lang="cs-CZ"/>
          </a:p>
        </c:txPr>
        <c:crossAx val="182494720"/>
        <c:crosses val="autoZero"/>
        <c:auto val="1"/>
        <c:lblAlgn val="ctr"/>
        <c:lblOffset val="100"/>
      </c:catAx>
      <c:valAx>
        <c:axId val="182494720"/>
        <c:scaling>
          <c:orientation val="minMax"/>
          <c:min val="-150"/>
        </c:scaling>
        <c:axPos val="l"/>
        <c:majorGridlines>
          <c:spPr>
            <a:ln w="6350">
              <a:solidFill>
                <a:schemeClr val="bg1">
                  <a:lumMod val="75000"/>
                </a:schemeClr>
              </a:solidFill>
            </a:ln>
          </c:spPr>
        </c:majorGridlines>
        <c:numFmt formatCode="0" sourceLinked="0"/>
        <c:tickLblPos val="nextTo"/>
        <c:spPr>
          <a:ln>
            <a:solidFill>
              <a:schemeClr val="tx1"/>
            </a:solidFill>
          </a:ln>
        </c:spPr>
        <c:crossAx val="182493184"/>
        <c:crosses val="autoZero"/>
        <c:crossBetween val="between"/>
      </c:valAx>
      <c:spPr>
        <a:ln>
          <a:solidFill>
            <a:schemeClr val="tx1"/>
          </a:solidFill>
        </a:ln>
      </c:spPr>
    </c:plotArea>
    <c:legend>
      <c:legendPos val="b"/>
      <c:layout>
        <c:manualLayout>
          <c:xMode val="edge"/>
          <c:yMode val="edge"/>
          <c:x val="6.5159268884492888E-2"/>
          <c:y val="0.88053282633520458"/>
          <c:w val="0.89859169199594657"/>
          <c:h val="0.10077544407176971"/>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drawings/drawing1.xml><?xml version="1.0" encoding="utf-8"?>
<c:userShapes xmlns:c="http://schemas.openxmlformats.org/drawingml/2006/chart">
  <cdr:relSizeAnchor xmlns:cdr="http://schemas.openxmlformats.org/drawingml/2006/chartDrawing">
    <cdr:from>
      <cdr:x>0.58947</cdr:x>
      <cdr:y>0.01868</cdr:y>
    </cdr:from>
    <cdr:to>
      <cdr:x>0.6376</cdr:x>
      <cdr:y>0.05626</cdr:y>
    </cdr:to>
    <cdr:sp macro="" textlink="">
      <cdr:nvSpPr>
        <cdr:cNvPr id="2" name="Přímá spojovací šipka 1"/>
        <cdr:cNvSpPr/>
      </cdr:nvSpPr>
      <cdr:spPr>
        <a:xfrm xmlns:a="http://schemas.openxmlformats.org/drawingml/2006/main" flipH="1" flipV="1">
          <a:off x="2799499" y="66271"/>
          <a:ext cx="228579" cy="133342"/>
        </a:xfrm>
        <a:prstGeom xmlns:a="http://schemas.openxmlformats.org/drawingml/2006/main" prst="straightConnector1">
          <a:avLst/>
        </a:prstGeom>
        <a:noFill xmlns:a="http://schemas.openxmlformats.org/drawingml/2006/main"/>
        <a:ln xmlns:a="http://schemas.openxmlformats.org/drawingml/2006/main" w="6350" cap="flat" cmpd="sng" algn="ctr">
          <a:solidFill>
            <a:srgbClr val="7DBB2D"/>
          </a:solidFill>
          <a:prstDash val="solid"/>
          <a:tailEnd type="arrow"/>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cs-CZ"/>
        </a:p>
      </cdr:txBody>
    </cdr:sp>
  </cdr:relSizeAnchor>
  <cdr:relSizeAnchor xmlns:cdr="http://schemas.openxmlformats.org/drawingml/2006/chartDrawing">
    <cdr:from>
      <cdr:x>0.64912</cdr:x>
      <cdr:y>0.04249</cdr:y>
    </cdr:from>
    <cdr:to>
      <cdr:x>0.72324</cdr:x>
      <cdr:y>0.09724</cdr:y>
    </cdr:to>
    <cdr:sp macro="" textlink="">
      <cdr:nvSpPr>
        <cdr:cNvPr id="3" name="TextovéPole 2"/>
        <cdr:cNvSpPr txBox="1"/>
      </cdr:nvSpPr>
      <cdr:spPr>
        <a:xfrm xmlns:a="http://schemas.openxmlformats.org/drawingml/2006/main">
          <a:off x="3082788" y="150770"/>
          <a:ext cx="352011" cy="194265"/>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cs-CZ" sz="800">
              <a:solidFill>
                <a:srgbClr val="7DBB2D"/>
              </a:solidFill>
              <a:latin typeface="Arial" pitchFamily="34" charset="0"/>
              <a:cs typeface="Arial" pitchFamily="34" charset="0"/>
            </a:rPr>
            <a:t>67,5</a:t>
          </a:r>
        </a:p>
      </cdr:txBody>
    </cdr:sp>
  </cdr:relSizeAnchor>
</c:userShapes>
</file>

<file path=word/drawings/drawing2.xml><?xml version="1.0" encoding="utf-8"?>
<c:userShapes xmlns:c="http://schemas.openxmlformats.org/drawingml/2006/chart">
  <cdr:relSizeAnchor xmlns:cdr="http://schemas.openxmlformats.org/drawingml/2006/chartDrawing">
    <cdr:from>
      <cdr:x>0.0503</cdr:x>
      <cdr:y>0.46992</cdr:y>
    </cdr:from>
    <cdr:to>
      <cdr:x>0.95484</cdr:x>
      <cdr:y>0.47106</cdr:y>
    </cdr:to>
    <cdr:sp macro="" textlink="">
      <cdr:nvSpPr>
        <cdr:cNvPr id="3" name="Přímá spojovací čára 2"/>
        <cdr:cNvSpPr/>
      </cdr:nvSpPr>
      <cdr:spPr bwMode="auto">
        <a:xfrm xmlns:a="http://schemas.openxmlformats.org/drawingml/2006/main">
          <a:off x="237418" y="1630178"/>
          <a:ext cx="4269628" cy="3953"/>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cs-CZ"/>
        </a:p>
      </cdr:txBody>
    </cdr:sp>
  </cdr:relSizeAnchor>
</c:userShape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FFEBB7-13E6-46B2-A371-A9CBE60BA318}">
  <ds:schemaRefs>
    <ds:schemaRef ds:uri="http://schemas.openxmlformats.org/officeDocument/2006/bibliography"/>
  </ds:schemaRefs>
</ds:datastoreItem>
</file>

<file path=customXml/itemProps2.xml><?xml version="1.0" encoding="utf-8"?>
<ds:datastoreItem xmlns:ds="http://schemas.openxmlformats.org/officeDocument/2006/customXml" ds:itemID="{7A0860EB-7549-41F1-A555-F804F86FE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bar_vicetematicke.dot</Template>
  <TotalTime>2</TotalTime>
  <Pages>29</Pages>
  <Words>11114</Words>
  <Characters>65578</Characters>
  <Application>Microsoft Office Word</Application>
  <DocSecurity>0</DocSecurity>
  <Lines>546</Lines>
  <Paragraphs>153</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76539</CharactersWithSpaces>
  <SharedDoc>false</SharedDoc>
  <HLinks>
    <vt:vector size="66" baseType="variant">
      <vt:variant>
        <vt:i4>1376311</vt:i4>
      </vt:variant>
      <vt:variant>
        <vt:i4>50</vt:i4>
      </vt:variant>
      <vt:variant>
        <vt:i4>0</vt:i4>
      </vt:variant>
      <vt:variant>
        <vt:i4>5</vt:i4>
      </vt:variant>
      <vt:variant>
        <vt:lpwstr/>
      </vt:variant>
      <vt:variant>
        <vt:lpwstr>_Toc469327805</vt:lpwstr>
      </vt:variant>
      <vt:variant>
        <vt:i4>1376311</vt:i4>
      </vt:variant>
      <vt:variant>
        <vt:i4>44</vt:i4>
      </vt:variant>
      <vt:variant>
        <vt:i4>0</vt:i4>
      </vt:variant>
      <vt:variant>
        <vt:i4>5</vt:i4>
      </vt:variant>
      <vt:variant>
        <vt:lpwstr/>
      </vt:variant>
      <vt:variant>
        <vt:lpwstr>_Toc469327804</vt:lpwstr>
      </vt:variant>
      <vt:variant>
        <vt:i4>1376311</vt:i4>
      </vt:variant>
      <vt:variant>
        <vt:i4>38</vt:i4>
      </vt:variant>
      <vt:variant>
        <vt:i4>0</vt:i4>
      </vt:variant>
      <vt:variant>
        <vt:i4>5</vt:i4>
      </vt:variant>
      <vt:variant>
        <vt:lpwstr/>
      </vt:variant>
      <vt:variant>
        <vt:lpwstr>_Toc469327803</vt:lpwstr>
      </vt:variant>
      <vt:variant>
        <vt:i4>1376311</vt:i4>
      </vt:variant>
      <vt:variant>
        <vt:i4>32</vt:i4>
      </vt:variant>
      <vt:variant>
        <vt:i4>0</vt:i4>
      </vt:variant>
      <vt:variant>
        <vt:i4>5</vt:i4>
      </vt:variant>
      <vt:variant>
        <vt:lpwstr/>
      </vt:variant>
      <vt:variant>
        <vt:lpwstr>_Toc469327802</vt:lpwstr>
      </vt:variant>
      <vt:variant>
        <vt:i4>1376311</vt:i4>
      </vt:variant>
      <vt:variant>
        <vt:i4>26</vt:i4>
      </vt:variant>
      <vt:variant>
        <vt:i4>0</vt:i4>
      </vt:variant>
      <vt:variant>
        <vt:i4>5</vt:i4>
      </vt:variant>
      <vt:variant>
        <vt:lpwstr/>
      </vt:variant>
      <vt:variant>
        <vt:lpwstr>_Toc469327801</vt:lpwstr>
      </vt:variant>
      <vt:variant>
        <vt:i4>1376311</vt:i4>
      </vt:variant>
      <vt:variant>
        <vt:i4>20</vt:i4>
      </vt:variant>
      <vt:variant>
        <vt:i4>0</vt:i4>
      </vt:variant>
      <vt:variant>
        <vt:i4>5</vt:i4>
      </vt:variant>
      <vt:variant>
        <vt:lpwstr/>
      </vt:variant>
      <vt:variant>
        <vt:lpwstr>_Toc469327800</vt:lpwstr>
      </vt:variant>
      <vt:variant>
        <vt:i4>1835064</vt:i4>
      </vt:variant>
      <vt:variant>
        <vt:i4>14</vt:i4>
      </vt:variant>
      <vt:variant>
        <vt:i4>0</vt:i4>
      </vt:variant>
      <vt:variant>
        <vt:i4>5</vt:i4>
      </vt:variant>
      <vt:variant>
        <vt:lpwstr/>
      </vt:variant>
      <vt:variant>
        <vt:lpwstr>_Toc469327799</vt:lpwstr>
      </vt:variant>
      <vt:variant>
        <vt:i4>1835064</vt:i4>
      </vt:variant>
      <vt:variant>
        <vt:i4>8</vt:i4>
      </vt:variant>
      <vt:variant>
        <vt:i4>0</vt:i4>
      </vt:variant>
      <vt:variant>
        <vt:i4>5</vt:i4>
      </vt:variant>
      <vt:variant>
        <vt:lpwstr/>
      </vt:variant>
      <vt:variant>
        <vt:lpwstr>_Toc469327798</vt:lpwstr>
      </vt:variant>
      <vt:variant>
        <vt:i4>1835064</vt:i4>
      </vt:variant>
      <vt:variant>
        <vt:i4>2</vt:i4>
      </vt:variant>
      <vt:variant>
        <vt:i4>0</vt:i4>
      </vt:variant>
      <vt:variant>
        <vt:i4>5</vt:i4>
      </vt:variant>
      <vt:variant>
        <vt:lpwstr/>
      </vt:variant>
      <vt:variant>
        <vt:lpwstr>_Toc469327797</vt:lpwstr>
      </vt:variant>
      <vt:variant>
        <vt:i4>6553606</vt:i4>
      </vt:variant>
      <vt:variant>
        <vt:i4>3</vt:i4>
      </vt:variant>
      <vt:variant>
        <vt:i4>0</vt:i4>
      </vt:variant>
      <vt:variant>
        <vt:i4>5</vt:i4>
      </vt:variant>
      <vt:variant>
        <vt:lpwstr>mailto:jiri.kamenicky@czso.cz</vt:lpwstr>
      </vt:variant>
      <vt:variant>
        <vt:lpwstr/>
      </vt:variant>
      <vt:variant>
        <vt:i4>6553606</vt:i4>
      </vt:variant>
      <vt:variant>
        <vt:i4>0</vt:i4>
      </vt:variant>
      <vt:variant>
        <vt:i4>0</vt:i4>
      </vt:variant>
      <vt:variant>
        <vt:i4>5</vt:i4>
      </vt:variant>
      <vt:variant>
        <vt:lpwstr>mailto:jiri.kamenicky@czso.cz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Ing. Karolína Súkupová</cp:lastModifiedBy>
  <cp:revision>2</cp:revision>
  <cp:lastPrinted>2017-03-16T10:07:00Z</cp:lastPrinted>
  <dcterms:created xsi:type="dcterms:W3CDTF">2017-09-20T13:13:00Z</dcterms:created>
  <dcterms:modified xsi:type="dcterms:W3CDTF">2017-09-20T13:13:00Z</dcterms:modified>
</cp:coreProperties>
</file>