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6" w:rsidRPr="00A74192" w:rsidRDefault="00DD0726" w:rsidP="00DD0726">
      <w:pPr>
        <w:pStyle w:val="Nadpis1"/>
        <w:numPr>
          <w:ilvl w:val="0"/>
          <w:numId w:val="12"/>
        </w:numPr>
        <w:ind w:left="709"/>
        <w:jc w:val="both"/>
      </w:pPr>
      <w:bookmarkStart w:id="0" w:name="_Toc469299930"/>
      <w:bookmarkStart w:id="1" w:name="_Toc493683634"/>
      <w:bookmarkStart w:id="2" w:name="_Toc454185150"/>
      <w:r w:rsidRPr="00A74192">
        <w:t>Souhrnná výkonnost</w:t>
      </w:r>
      <w:bookmarkEnd w:id="0"/>
      <w:bookmarkEnd w:id="1"/>
    </w:p>
    <w:p w:rsidR="00DD0726" w:rsidRPr="00A74192" w:rsidRDefault="00DD0726" w:rsidP="00DD0726">
      <w:pPr>
        <w:pStyle w:val="Textpoznpodarou"/>
        <w:jc w:val="both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1985"/>
        <w:gridCol w:w="284"/>
        <w:gridCol w:w="1133"/>
        <w:gridCol w:w="5104"/>
        <w:gridCol w:w="1348"/>
      </w:tblGrid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Meziroční i </w:t>
            </w:r>
            <w:proofErr w:type="spellStart"/>
            <w:r>
              <w:rPr>
                <w:rFonts w:cs="Arial"/>
                <w:sz w:val="16"/>
                <w:szCs w:val="16"/>
              </w:rPr>
              <w:t>mezičtvrtletní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růst ve 2. čtvrtletí výrazně zrychlil.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594D31">
              <w:rPr>
                <w:rFonts w:cs="Arial"/>
              </w:rPr>
              <w:t>Zrychlování meziroční dynamiky růstu hrubého domácího produktu (HDP), které přišlo v 1. čtvrtletí 2017, pokračovalo i ve 2. kvartálu.  HDP ve druhé čtvrtině roku vzrostl o 4,7 %</w:t>
            </w:r>
            <w:r w:rsidRPr="00A74192">
              <w:rPr>
                <w:rStyle w:val="Znakapoznpodarou"/>
                <w:rFonts w:cs="Arial"/>
              </w:rPr>
              <w:footnoteReference w:id="1"/>
            </w:r>
            <w:r w:rsidRPr="00594D31">
              <w:rPr>
                <w:rFonts w:cs="Arial"/>
              </w:rPr>
              <w:t xml:space="preserve">. Takové tempo se blíží </w:t>
            </w:r>
            <w:r>
              <w:rPr>
                <w:rFonts w:cs="Arial"/>
              </w:rPr>
              <w:t xml:space="preserve">mimořádnému </w:t>
            </w:r>
            <w:r w:rsidRPr="00594D31">
              <w:rPr>
                <w:rFonts w:cs="Arial"/>
              </w:rPr>
              <w:t>roku 2015, ve kterém výrazně působil faktor dočerpávání evropských fondů.</w:t>
            </w:r>
            <w:r>
              <w:rPr>
                <w:rFonts w:cs="Arial"/>
              </w:rPr>
              <w:t xml:space="preserve"> Již v 1. čtvrtletí k růstu společně přispívaly rostoucí spotřeba i bilance zahraničního obchodu. K těmto faktorům se ve 2. čtvrtletí přidaly i nově rostoucí investiční výdaje. Stejným tempem jako HDP meziročně rostla i hrubá přidaná hodnota (HPH). Její růst podpořila většina odvětví průmyslu i služeb.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nárůst HDP dosáhl 2,5 %, a byl tak nejvyšší v celé dostupné řadě národních účtů. Srovnatelně silný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růst byl zaznamenán jen na začátku roku 2006 (2,2 %). Z hlediska příspěvků k </w:t>
            </w:r>
            <w:proofErr w:type="spellStart"/>
            <w:r>
              <w:rPr>
                <w:rFonts w:cs="Arial"/>
              </w:rPr>
              <w:t>mezičtvrtletnímu</w:t>
            </w:r>
            <w:proofErr w:type="spellEnd"/>
            <w:r>
              <w:rPr>
                <w:rFonts w:cs="Arial"/>
              </w:rPr>
              <w:t xml:space="preserve"> růstu byly ve 2. čtvrtletí 2017 podstatné výrazný nárůst výdajů na konečnou spotřebu domácností a velmi silné zrychlení růstu výdajů na tvorbu hrubého fixního kapitálu. V porovnání s předchozím kvartálem byl slabší příspěvek zahraničního obchodu.</w:t>
            </w:r>
          </w:p>
          <w:p w:rsidR="00DD0726" w:rsidRPr="00594D31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D0726" w:rsidRPr="00A74192" w:rsidTr="008C0F87">
        <w:tblPrEx>
          <w:tblCellMar>
            <w:left w:w="70" w:type="dxa"/>
            <w:right w:w="70" w:type="dxa"/>
          </w:tblCellMar>
        </w:tblPrEx>
        <w:tc>
          <w:tcPr>
            <w:tcW w:w="1007" w:type="pct"/>
          </w:tcPr>
          <w:p w:rsidR="00DD0726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</w:rPr>
            </w:pPr>
            <w:r>
              <w:rPr>
                <w:rFonts w:cs="Arial"/>
              </w:rPr>
              <w:t>Graf č. 1</w:t>
            </w:r>
          </w:p>
        </w:tc>
        <w:tc>
          <w:tcPr>
            <w:tcW w:w="3274" w:type="pct"/>
            <w:gridSpan w:val="2"/>
          </w:tcPr>
          <w:p w:rsidR="00DD0726" w:rsidRDefault="00DD0726" w:rsidP="008C0F87">
            <w:pPr>
              <w:pStyle w:val="Textpoznpodarou"/>
              <w:spacing w:after="60"/>
              <w:jc w:val="both"/>
              <w:rPr>
                <w:rFonts w:cs="Arial"/>
              </w:rPr>
            </w:pPr>
            <w:r w:rsidRPr="00A6766C">
              <w:rPr>
                <w:rFonts w:cs="Arial"/>
                <w:b/>
                <w:lang w:eastAsia="en-US"/>
              </w:rPr>
              <w:t xml:space="preserve">HDP </w:t>
            </w:r>
            <w:r w:rsidRPr="00A6766C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>objemové indexy</w:t>
            </w:r>
            <w:r w:rsidRPr="00A6766C">
              <w:rPr>
                <w:rFonts w:cs="Arial"/>
                <w:lang w:eastAsia="en-US"/>
              </w:rPr>
              <w:t>, očištěno o sezónní a kalendářní vlivy, v %)</w:t>
            </w:r>
          </w:p>
        </w:tc>
      </w:tr>
      <w:tr w:rsidR="00DD0726" w:rsidRPr="00A74192" w:rsidTr="008C0F87">
        <w:tblPrEx>
          <w:tblCellMar>
            <w:left w:w="70" w:type="dxa"/>
            <w:right w:w="70" w:type="dxa"/>
          </w:tblCellMar>
        </w:tblPrEx>
        <w:tc>
          <w:tcPr>
            <w:tcW w:w="1007" w:type="pct"/>
          </w:tcPr>
          <w:p w:rsidR="00DD0726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rPr>
                <w:rFonts w:cs="Arial"/>
                <w:sz w:val="14"/>
                <w:szCs w:val="14"/>
              </w:rPr>
            </w:pPr>
            <w:r w:rsidRPr="002E4069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1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D0726" w:rsidRDefault="00DD0726" w:rsidP="008C0F87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  <w:r w:rsidRPr="002E4069">
              <w:rPr>
                <w:rFonts w:cs="Arial"/>
                <w:sz w:val="14"/>
                <w:szCs w:val="14"/>
              </w:rPr>
              <w:t xml:space="preserve">Zdroj: ČSÚ, </w:t>
            </w:r>
            <w:proofErr w:type="spellStart"/>
            <w:r w:rsidRPr="002E4069"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  <w:p w:rsidR="00DD0726" w:rsidRPr="002E4069" w:rsidRDefault="00DD0726" w:rsidP="008C0F87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DD0726" w:rsidRPr="00A74192" w:rsidTr="008C0F87">
        <w:tblPrEx>
          <w:tblCellMar>
            <w:left w:w="70" w:type="dxa"/>
            <w:right w:w="70" w:type="dxa"/>
          </w:tblCellMar>
        </w:tblPrEx>
        <w:tc>
          <w:tcPr>
            <w:tcW w:w="1007" w:type="pct"/>
          </w:tcPr>
          <w:p w:rsidR="00DD0726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Mírně </w:t>
            </w:r>
            <w:proofErr w:type="gramStart"/>
            <w:r>
              <w:rPr>
                <w:rFonts w:cs="Arial"/>
                <w:sz w:val="16"/>
                <w:szCs w:val="16"/>
              </w:rPr>
              <w:t>zrychlil  i hospodářský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růst v EU.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</w:rPr>
            </w:pPr>
            <w:r>
              <w:rPr>
                <w:rFonts w:cs="Arial"/>
              </w:rPr>
              <w:t>Meziroční růst v EU ve 2. čtvrtletí dosáhl hodnoty 2,4 %</w:t>
            </w:r>
            <w:r>
              <w:rPr>
                <w:rStyle w:val="Znakapoznpodarou"/>
              </w:rPr>
              <w:footnoteReference w:id="2"/>
            </w:r>
            <w:r>
              <w:rPr>
                <w:rFonts w:cs="Arial"/>
              </w:rPr>
              <w:t xml:space="preserve"> a byl nejrychlejší od 1. čtvrtletí 2011.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změna HDP v EU činila 0,7 % a v porovnání s předchozím kvartálem byla vyšší o 0,2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Růst v EU byl pozitivně ovlivněn rostoucí spotřebou i výdaji na tvorbu hrubého fixního kapitálu. </w:t>
            </w:r>
            <w:r w:rsidRPr="008C039C">
              <w:rPr>
                <w:rFonts w:cs="Arial"/>
              </w:rPr>
              <w:t>Z</w:t>
            </w:r>
            <w:r>
              <w:rPr>
                <w:rFonts w:cs="Arial"/>
              </w:rPr>
              <w:t>výšení</w:t>
            </w:r>
            <w:r w:rsidRPr="008C039C">
              <w:rPr>
                <w:rFonts w:cs="Arial"/>
              </w:rPr>
              <w:t xml:space="preserve"> meziroční i</w:t>
            </w:r>
            <w:r>
              <w:rPr>
                <w:rFonts w:cs="Arial"/>
              </w:rPr>
              <w:t> </w:t>
            </w:r>
            <w:proofErr w:type="spellStart"/>
            <w:r w:rsidRPr="008C039C">
              <w:rPr>
                <w:rFonts w:cs="Arial"/>
              </w:rPr>
              <w:t>mezičtvrtletní</w:t>
            </w:r>
            <w:proofErr w:type="spellEnd"/>
            <w:r w:rsidRPr="008C039C">
              <w:rPr>
                <w:rFonts w:cs="Arial"/>
              </w:rPr>
              <w:t xml:space="preserve"> dynamiky pak Česko posunul</w:t>
            </w:r>
            <w:r>
              <w:rPr>
                <w:rFonts w:cs="Arial"/>
              </w:rPr>
              <w:t xml:space="preserve">o mezi nejrychleji rostoucí země EU.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přírůstek české ekonomiky byl nejvyšší v EU. S poměrně velkým odstupem se za Českem umístilo Švédsko (1,7 %), Rumunsko (1,6 %) a Nizozemí (1,5 %). Meziroční růst byl nejvyšší na Maltě (6,2 %), v Rumunsku (5,7 %), Estonsku (5,2 %) a Slovinsku (5,2 %). Nejbližším obchodním partnerům Česka se rovněž dařilo. Slovensko dosáhlo meziročního přírůstku ve výši 3,1 %</w:t>
            </w:r>
            <w:r>
              <w:rPr>
                <w:rStyle w:val="Znakapoznpodarou"/>
              </w:rPr>
              <w:footnoteReference w:id="3"/>
            </w:r>
            <w:r>
              <w:rPr>
                <w:rFonts w:cs="Arial"/>
              </w:rPr>
              <w:t xml:space="preserve">, stejně jako v 1. čtvrtletí. Mírně zrychlila německá ekonomika (z 1,9 % v 1. čtvrtletí na 2,1 %), rovněž ta </w:t>
            </w:r>
            <w:proofErr w:type="gramStart"/>
            <w:r>
              <w:rPr>
                <w:rFonts w:cs="Arial"/>
              </w:rPr>
              <w:t>polská (z 4,2</w:t>
            </w:r>
            <w:proofErr w:type="gramEnd"/>
            <w:r>
              <w:rPr>
                <w:rFonts w:cs="Arial"/>
              </w:rPr>
              <w:t xml:space="preserve"> % na 4,4 %). Zrychlilo i Rakousko (z 2,1 % na 2,9 %).</w:t>
            </w:r>
          </w:p>
          <w:p w:rsidR="00DD0726" w:rsidRPr="00DE0B1D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</w:tr>
      <w:tr w:rsidR="00DD0726" w:rsidRPr="00A6766C" w:rsidTr="008C0F87">
        <w:tc>
          <w:tcPr>
            <w:tcW w:w="1007" w:type="pct"/>
          </w:tcPr>
          <w:p w:rsidR="00DD0726" w:rsidRPr="00A6766C" w:rsidRDefault="00DD0726" w:rsidP="008C0F87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4" w:type="pct"/>
          </w:tcPr>
          <w:p w:rsidR="00DD0726" w:rsidRPr="00A6766C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Pr="00A6766C" w:rsidRDefault="00DD0726" w:rsidP="008C0F87">
            <w:pPr>
              <w:pStyle w:val="Textpoznpodarou"/>
              <w:jc w:val="both"/>
              <w:rPr>
                <w:rFonts w:cs="Arial"/>
              </w:rPr>
            </w:pPr>
            <w:r w:rsidRPr="00A6766C">
              <w:rPr>
                <w:rFonts w:cs="Arial"/>
                <w:lang w:eastAsia="en-US"/>
              </w:rPr>
              <w:t>Graf č. 2</w:t>
            </w:r>
          </w:p>
        </w:tc>
        <w:tc>
          <w:tcPr>
            <w:tcW w:w="3274" w:type="pct"/>
            <w:gridSpan w:val="2"/>
          </w:tcPr>
          <w:p w:rsidR="00DD0726" w:rsidRPr="00A6766C" w:rsidRDefault="00DD0726" w:rsidP="008C0F87">
            <w:pPr>
              <w:pStyle w:val="Textpoznpodarou"/>
              <w:rPr>
                <w:rFonts w:cs="Arial"/>
                <w:lang w:eastAsia="en-US"/>
              </w:rPr>
            </w:pPr>
            <w:r w:rsidRPr="00A6766C">
              <w:rPr>
                <w:rFonts w:cs="Arial"/>
                <w:b/>
                <w:lang w:eastAsia="en-US"/>
              </w:rPr>
              <w:t xml:space="preserve">HDP </w:t>
            </w:r>
            <w:r w:rsidRPr="00A6766C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>objemové indexy</w:t>
            </w:r>
            <w:r w:rsidRPr="00A6766C">
              <w:rPr>
                <w:rFonts w:cs="Arial"/>
                <w:lang w:eastAsia="en-US"/>
              </w:rPr>
              <w:t xml:space="preserve">, očištěno o sezónní a kalendářní vlivy, </w:t>
            </w:r>
            <w:r>
              <w:rPr>
                <w:rFonts w:cs="Arial"/>
                <w:lang w:eastAsia="en-US"/>
              </w:rPr>
              <w:t>meziročně</w:t>
            </w:r>
            <w:r w:rsidRPr="00A6766C">
              <w:rPr>
                <w:rFonts w:cs="Arial"/>
                <w:lang w:eastAsia="en-US"/>
              </w:rPr>
              <w:t xml:space="preserve"> v</w:t>
            </w:r>
            <w:r>
              <w:rPr>
                <w:rFonts w:cs="Arial"/>
                <w:lang w:eastAsia="en-US"/>
              </w:rPr>
              <w:t> </w:t>
            </w:r>
            <w:r w:rsidRPr="00A6766C">
              <w:rPr>
                <w:rFonts w:cs="Arial"/>
                <w:lang w:eastAsia="en-US"/>
              </w:rPr>
              <w:t xml:space="preserve">%, pravá osa) </w:t>
            </w:r>
            <w:r w:rsidRPr="00A6766C">
              <w:rPr>
                <w:rFonts w:cs="Arial"/>
                <w:b/>
                <w:lang w:eastAsia="en-US"/>
              </w:rPr>
              <w:t>a indikátory důvěry</w:t>
            </w:r>
            <w:r w:rsidRPr="00A6766C">
              <w:rPr>
                <w:rFonts w:cs="Arial"/>
                <w:lang w:eastAsia="en-US"/>
              </w:rPr>
              <w:t xml:space="preserve"> (2005=100, levá osa)</w:t>
            </w:r>
          </w:p>
        </w:tc>
      </w:tr>
      <w:tr w:rsidR="00DD0726" w:rsidRPr="00A74192" w:rsidTr="008C0F87">
        <w:tc>
          <w:tcPr>
            <w:tcW w:w="1007" w:type="pct"/>
          </w:tcPr>
          <w:p w:rsidR="00DD0726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ind w:left="-94"/>
              <w:jc w:val="both"/>
              <w:rPr>
                <w:rFonts w:cs="Arial"/>
              </w:rPr>
            </w:pPr>
            <w:r w:rsidRPr="002E4069">
              <w:rPr>
                <w:rFonts w:cs="Arial"/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D0726" w:rsidRPr="007841BB" w:rsidRDefault="00DD0726" w:rsidP="008C0F87">
            <w:pPr>
              <w:pStyle w:val="Textpoznpodarou"/>
              <w:ind w:left="-94"/>
              <w:jc w:val="right"/>
              <w:rPr>
                <w:rFonts w:cs="Arial"/>
                <w:sz w:val="14"/>
                <w:szCs w:val="14"/>
              </w:rPr>
            </w:pPr>
            <w:r w:rsidRPr="007841BB">
              <w:rPr>
                <w:rFonts w:cs="Arial"/>
                <w:sz w:val="14"/>
                <w:szCs w:val="14"/>
              </w:rPr>
              <w:t>Zdroj: ČSÚ</w:t>
            </w:r>
          </w:p>
          <w:p w:rsidR="00DD0726" w:rsidRPr="000125F0" w:rsidRDefault="00DD0726" w:rsidP="008C0F87">
            <w:pPr>
              <w:pStyle w:val="Textpoznpodarou"/>
              <w:ind w:left="-94"/>
              <w:jc w:val="right"/>
              <w:rPr>
                <w:rFonts w:cs="Arial"/>
              </w:rPr>
            </w:pP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Růst HDP byl podpořen všemi jeho složkami.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F623FE">
              <w:rPr>
                <w:rFonts w:cs="Arial"/>
              </w:rPr>
              <w:t xml:space="preserve">Ve 2. čtvrtletí 2017 se na </w:t>
            </w:r>
            <w:r>
              <w:rPr>
                <w:rFonts w:cs="Arial"/>
              </w:rPr>
              <w:t xml:space="preserve">meziročním </w:t>
            </w:r>
            <w:r w:rsidRPr="00F623FE">
              <w:rPr>
                <w:rFonts w:cs="Arial"/>
              </w:rPr>
              <w:t>růstu HDP podílely všechny jeho složky</w:t>
            </w:r>
            <w:r>
              <w:rPr>
                <w:rFonts w:cs="Arial"/>
              </w:rPr>
              <w:t xml:space="preserve">. Důležitým faktorem pro zrychlení meziroční dynamiky byly výdaje na tvorbu hrubého fixního kapitálu. Ty přispěly k růstu HDP 1,7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Style w:val="Znakapoznpodarou"/>
              </w:rPr>
              <w:footnoteReference w:id="4"/>
            </w:r>
            <w:r>
              <w:rPr>
                <w:rFonts w:cs="Arial"/>
              </w:rPr>
              <w:t>, což</w:t>
            </w:r>
            <w:proofErr w:type="gramEnd"/>
            <w:r>
              <w:rPr>
                <w:rFonts w:cs="Arial"/>
              </w:rPr>
              <w:t xml:space="preserve"> je nejvíce od 4. čtvrtletí 2015. Mírně však zesílil i příspěvek výdajů na konečnou spotřebu, který je již od konce roku 2014 stabilním základem hospodářského růstu. Výraznější vliv měla opět spotřeba domácností, která přispěla 1,5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Příspěvek spotřeby vládních institucí činil 0,3 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Ve 2. čtvrtletí rovněž pokračoval silný růst zahraniční poptávky, který vedl k příspěvku bilance zahraničního obchodu k růstu HDP ve výši 2,1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</w:p>
          <w:p w:rsidR="00DD0726" w:rsidRPr="009B60D8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DD0726" w:rsidRPr="00A6766C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Výrazně zrychlil růst spotřeby domácností,…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Meziroční r</w:t>
            </w:r>
            <w:r w:rsidRPr="00BF1D63">
              <w:rPr>
                <w:rFonts w:cs="Arial"/>
              </w:rPr>
              <w:t>ůst výdajů domácností na konečnou spotřebu ve 2. čtvrtletí zrychlil a</w:t>
            </w:r>
            <w:r>
              <w:rPr>
                <w:rFonts w:cs="Arial"/>
              </w:rPr>
              <w:t> </w:t>
            </w:r>
            <w:r w:rsidRPr="00BF1D63">
              <w:rPr>
                <w:rFonts w:cs="Arial"/>
              </w:rPr>
              <w:t>dosáhl 4,4</w:t>
            </w:r>
            <w:r>
              <w:rPr>
                <w:rFonts w:cs="Arial"/>
              </w:rPr>
              <w:t> </w:t>
            </w:r>
            <w:r w:rsidRPr="00BF1D63">
              <w:rPr>
                <w:rFonts w:cs="Arial"/>
              </w:rPr>
              <w:t>%. To je nejvyšší hodnota od počátku roku 2007</w:t>
            </w:r>
            <w:r>
              <w:rPr>
                <w:rFonts w:cs="Arial"/>
              </w:rPr>
              <w:t>.</w:t>
            </w:r>
            <w:r w:rsidRPr="00BF1D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</w:t>
            </w:r>
            <w:r w:rsidRPr="00BF1D63">
              <w:rPr>
                <w:rFonts w:cs="Arial"/>
              </w:rPr>
              <w:t xml:space="preserve"> posledních pěti letech se jí blíží jen dynamika na přelomu let 2015 a 2016. </w:t>
            </w:r>
            <w:r>
              <w:rPr>
                <w:rFonts w:cs="Arial"/>
              </w:rPr>
              <w:t xml:space="preserve">Nezanedbatelné bylo i zrychlení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dynamiky. Přírůstek ve výši 1,8 % byl dvakrát vyšší než v předchozím čtvrtletí. Byl také nejvyšší od 2. čtvrtletí 2008. Silně meziročně rostly všechny segmenty spotřeby. Výdaje na předměty dlouhodobé spotřeby vzrostly o 5,7 %, v případě střednědobé spotřeby o 6,8 %. Výdaje na krátkodobou spotřebu, které mají obvykle mírnější dynamiku, vzrostly o 3,6 %. Rostoucí kupní sílu domácností odrážel růst výdajů na služby, který zrychlil na 3,1 %. </w:t>
            </w:r>
            <w:r w:rsidRPr="00CD330F">
              <w:rPr>
                <w:rFonts w:cs="Arial"/>
              </w:rPr>
              <w:t xml:space="preserve">Meziroční růst výdajů na konečnou spotřebu vládních institucí v porovnání s předchozím čtvrtletím zpomalil </w:t>
            </w:r>
            <w:r>
              <w:rPr>
                <w:rFonts w:cs="Arial"/>
              </w:rPr>
              <w:t xml:space="preserve">o 0,5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 xml:space="preserve">. </w:t>
            </w:r>
            <w:r w:rsidRPr="00CD330F">
              <w:rPr>
                <w:rFonts w:cs="Arial"/>
              </w:rPr>
              <w:t>a dosáhl</w:t>
            </w:r>
            <w:proofErr w:type="gramEnd"/>
            <w:r w:rsidRPr="00CD330F">
              <w:rPr>
                <w:rFonts w:cs="Arial"/>
              </w:rPr>
              <w:t xml:space="preserve"> 1,9 %.</w:t>
            </w:r>
            <w:r>
              <w:rPr>
                <w:rFonts w:cs="Arial"/>
              </w:rPr>
              <w:t xml:space="preserve"> Růst vládní spotřeby se tak drží na úrovni minulého roku. Ani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dynamika nepřinesla výrazné výkyvy. Spotřeba vládních institucí se za 2. čtvrtletí zvýšila o 0,4 %, mírně rychleji než v předchozím kvartálu.</w:t>
            </w:r>
          </w:p>
          <w:p w:rsidR="00DD0726" w:rsidRPr="009952A2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…který byl podpořen silným navýšením mezd a platů.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5578B2">
              <w:rPr>
                <w:rFonts w:cs="Arial"/>
              </w:rPr>
              <w:t xml:space="preserve">Růst výdajů domácností na spotřebu byl důsledkem </w:t>
            </w:r>
            <w:r>
              <w:rPr>
                <w:rFonts w:cs="Arial"/>
              </w:rPr>
              <w:t xml:space="preserve">růstu </w:t>
            </w:r>
            <w:r w:rsidRPr="005578B2">
              <w:rPr>
                <w:rFonts w:cs="Arial"/>
              </w:rPr>
              <w:t xml:space="preserve">mezd. Objem mezd </w:t>
            </w:r>
            <w:r>
              <w:rPr>
                <w:rFonts w:cs="Arial"/>
              </w:rPr>
              <w:t xml:space="preserve">a platů </w:t>
            </w:r>
            <w:r w:rsidRPr="005578B2">
              <w:rPr>
                <w:rFonts w:cs="Arial"/>
              </w:rPr>
              <w:t>vyplacených ve 2. čtvrtletí 2017 vzrostl meziročně o 8,2 % (reálně o</w:t>
            </w:r>
            <w:r>
              <w:rPr>
                <w:rFonts w:cs="Arial"/>
              </w:rPr>
              <w:t> </w:t>
            </w:r>
            <w:r w:rsidRPr="005578B2">
              <w:rPr>
                <w:rFonts w:cs="Arial"/>
              </w:rPr>
              <w:t>5,7</w:t>
            </w:r>
            <w:r>
              <w:rPr>
                <w:rFonts w:cs="Arial"/>
              </w:rPr>
              <w:t> </w:t>
            </w:r>
            <w:r w:rsidRPr="005578B2">
              <w:rPr>
                <w:rFonts w:cs="Arial"/>
              </w:rPr>
              <w:t>%</w:t>
            </w:r>
            <w:r>
              <w:rPr>
                <w:rStyle w:val="Znakapoznpodarou"/>
              </w:rPr>
              <w:footnoteReference w:id="5"/>
            </w:r>
            <w:r w:rsidRPr="005578B2">
              <w:rPr>
                <w:rFonts w:cs="Arial"/>
              </w:rPr>
              <w:t xml:space="preserve">). V porovnání s předchozím čtvrtletím se tempo růstu zrychlilo o 1,4 </w:t>
            </w:r>
            <w:proofErr w:type="spellStart"/>
            <w:proofErr w:type="gramStart"/>
            <w:r w:rsidRPr="005578B2">
              <w:rPr>
                <w:rFonts w:cs="Arial"/>
              </w:rPr>
              <w:t>p.b</w:t>
            </w:r>
            <w:proofErr w:type="spellEnd"/>
            <w:r w:rsidRPr="005578B2">
              <w:rPr>
                <w:rFonts w:cs="Arial"/>
              </w:rPr>
              <w:t>.</w:t>
            </w:r>
            <w:proofErr w:type="gramEnd"/>
            <w:r w:rsidRPr="00557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Meziroční růst počtu zaměstnanců ve stejném období dosáhl 1,2 %</w:t>
            </w:r>
            <w:r>
              <w:rPr>
                <w:rStyle w:val="Znakapoznpodarou"/>
              </w:rPr>
              <w:footnoteReference w:id="6"/>
            </w:r>
            <w:r>
              <w:rPr>
                <w:rFonts w:cs="Arial"/>
              </w:rPr>
              <w:t xml:space="preserve">, takže </w:t>
            </w:r>
            <w:r>
              <w:rPr>
                <w:rFonts w:cs="Arial"/>
              </w:rPr>
              <w:lastRenderedPageBreak/>
              <w:t xml:space="preserve">navýšení objemu vyplacených mezd a platů se promítalo do výše výdělků. Klíčovým byl růst vyplacených mezd ve zpracovatelském průmyslu, který zaměstnává nejvíce osob. Ten dosáhl 8,9 % a v porovnání s předchozím čtvrtletím se zrychlil o 2,1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Nárůst byl přitom způsoben především růstem základních mezd, nikoli vyplácením odměn. Ve 2. čtvrtletí však výrazně rostly vyplácené mzdy ve všech sledovaných odvětvích. Zrychlil již v předchozích čtvrtletích výrazný růst u informačních komunikačních činností (9,8 % v 1. čtvrtletí, 10,3 % ve 2. čtvrtletí), který byl zčásti způsoben zvyšováním počtu zaměstnanců (3,2 % ve 2. čtvrtletí, nejvíce ze všech odvětví). Výrazně narostl objem mezd vyplacených v obchodě, dopravě, ubytování a pohostinství (8,9 %), zčásti jako důsledek zvýšení minimální mzdy. Zrychlil se objem vyplacených mezd u činností v oblasti nemovitostí (ze 7,6 % na 9,4 %), byl však doprovázen i navýšením počtu zaměstnanců o 2,9 % (přitom celková zaměstnanost v odvětví se zvýšila o 2,0 %, počet </w:t>
            </w:r>
            <w:proofErr w:type="spellStart"/>
            <w:r>
              <w:rPr>
                <w:rFonts w:cs="Arial"/>
              </w:rPr>
              <w:t>sebezaměstnaných</w:t>
            </w:r>
            <w:proofErr w:type="spellEnd"/>
            <w:r>
              <w:rPr>
                <w:rFonts w:cs="Arial"/>
              </w:rPr>
              <w:t>, který má v tomto odvětví významnou váhu, se meziročně prakticky neměnil). Růst objemu vyplacených mezd (8,4 %) i zaměstnanosti (4,8 %) probíhal u profesních, vědeckých, technických a administrativních činností. Podobně vysoký růst mezd (8,0 %) doprovázený téměř neměnným počtem zaměstnanců byl v odvětvích s dominancí státu.</w:t>
            </w:r>
          </w:p>
          <w:p w:rsidR="00DD0726" w:rsidRPr="00CD200D" w:rsidRDefault="00DD0726" w:rsidP="008C0F87">
            <w:pPr>
              <w:pStyle w:val="Textpoznpodarou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    </w:t>
            </w: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Pr="005E2AB2" w:rsidRDefault="00DD0726" w:rsidP="008C0F87">
            <w:pPr>
              <w:pStyle w:val="Textpoznpodarou"/>
              <w:rPr>
                <w:rFonts w:cs="Arial"/>
                <w:lang w:eastAsia="en-US"/>
              </w:rPr>
            </w:pPr>
            <w:r w:rsidRPr="005E2AB2">
              <w:rPr>
                <w:rFonts w:cs="Arial"/>
                <w:lang w:eastAsia="en-US"/>
              </w:rPr>
              <w:t>Graf č. 3</w:t>
            </w:r>
          </w:p>
        </w:tc>
        <w:tc>
          <w:tcPr>
            <w:tcW w:w="3274" w:type="pct"/>
            <w:gridSpan w:val="2"/>
          </w:tcPr>
          <w:p w:rsidR="00DD0726" w:rsidRPr="005E2AB2" w:rsidRDefault="00DD0726" w:rsidP="008C0F87">
            <w:pPr>
              <w:pStyle w:val="Textpoznpodarou"/>
              <w:rPr>
                <w:rFonts w:cs="Arial"/>
                <w:lang w:eastAsia="en-US"/>
              </w:rPr>
            </w:pPr>
            <w:r w:rsidRPr="005E2AB2">
              <w:rPr>
                <w:rFonts w:cs="Arial"/>
                <w:b/>
                <w:lang w:eastAsia="en-US"/>
              </w:rPr>
              <w:t>Příspěvky výdajových složek k</w:t>
            </w:r>
            <w:r>
              <w:rPr>
                <w:rFonts w:cs="Arial"/>
                <w:b/>
                <w:lang w:eastAsia="en-US"/>
              </w:rPr>
              <w:t xml:space="preserve"> reálné</w:t>
            </w:r>
            <w:r w:rsidRPr="005E2AB2">
              <w:rPr>
                <w:rFonts w:cs="Arial"/>
                <w:b/>
                <w:lang w:eastAsia="en-US"/>
              </w:rPr>
              <w:t> změně HDP*</w:t>
            </w:r>
            <w:r w:rsidRPr="005E2AB2">
              <w:rPr>
                <w:rFonts w:cs="Arial"/>
                <w:lang w:eastAsia="en-US"/>
              </w:rPr>
              <w:t xml:space="preserve"> (</w:t>
            </w:r>
            <w:r>
              <w:rPr>
                <w:rFonts w:cs="Arial"/>
                <w:lang w:eastAsia="en-US"/>
              </w:rPr>
              <w:t>objemové indexy</w:t>
            </w:r>
            <w:r w:rsidRPr="005E2AB2">
              <w:rPr>
                <w:rFonts w:cs="Arial"/>
                <w:lang w:eastAsia="en-US"/>
              </w:rPr>
              <w:t xml:space="preserve">, </w:t>
            </w:r>
            <w:r>
              <w:rPr>
                <w:rFonts w:cs="Arial"/>
                <w:lang w:eastAsia="en-US"/>
              </w:rPr>
              <w:t xml:space="preserve">meziroční růst, </w:t>
            </w:r>
            <w:r w:rsidRPr="005E2AB2">
              <w:rPr>
                <w:rFonts w:cs="Arial"/>
                <w:lang w:eastAsia="en-US"/>
              </w:rPr>
              <w:t>příspěvky v </w:t>
            </w:r>
            <w:proofErr w:type="spellStart"/>
            <w:proofErr w:type="gramStart"/>
            <w:r w:rsidRPr="005E2AB2">
              <w:rPr>
                <w:rFonts w:cs="Arial"/>
                <w:lang w:eastAsia="en-US"/>
              </w:rPr>
              <w:t>p.b</w:t>
            </w:r>
            <w:proofErr w:type="spellEnd"/>
            <w:r w:rsidRPr="005E2AB2">
              <w:rPr>
                <w:rFonts w:cs="Arial"/>
                <w:lang w:eastAsia="en-US"/>
              </w:rPr>
              <w:t>., HDP</w:t>
            </w:r>
            <w:proofErr w:type="gramEnd"/>
            <w:r w:rsidRPr="005E2AB2">
              <w:rPr>
                <w:rFonts w:cs="Arial"/>
                <w:lang w:eastAsia="en-US"/>
              </w:rPr>
              <w:t xml:space="preserve"> v %)</w:t>
            </w: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A7419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Pr="00E60FCE" w:rsidRDefault="00DD0726" w:rsidP="008C0F87">
            <w:pPr>
              <w:pStyle w:val="Textpoznpodarou"/>
              <w:ind w:left="-95"/>
              <w:jc w:val="both"/>
              <w:rPr>
                <w:rFonts w:cs="Arial"/>
                <w:sz w:val="14"/>
                <w:szCs w:val="14"/>
                <w:highlight w:val="yellow"/>
              </w:rPr>
            </w:pPr>
            <w:r w:rsidRPr="002E4069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1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A7419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165" w:type="pct"/>
            <w:gridSpan w:val="2"/>
          </w:tcPr>
          <w:p w:rsidR="00DD0726" w:rsidRPr="007841BB" w:rsidRDefault="00DD0726" w:rsidP="008C0F87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*P</w:t>
            </w:r>
            <w:r w:rsidRPr="007841BB">
              <w:rPr>
                <w:rFonts w:cs="Arial"/>
                <w:sz w:val="14"/>
                <w:szCs w:val="14"/>
                <w:lang w:eastAsia="en-US"/>
              </w:rPr>
              <w:t>říspěvky ke změně HDP po vyloučení dovozu pro konečné užití</w:t>
            </w:r>
          </w:p>
        </w:tc>
        <w:tc>
          <w:tcPr>
            <w:tcW w:w="684" w:type="pct"/>
          </w:tcPr>
          <w:p w:rsidR="00DD0726" w:rsidRPr="007841BB" w:rsidRDefault="00DD0726" w:rsidP="008C0F87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  <w:r w:rsidRPr="007841BB">
              <w:rPr>
                <w:rFonts w:cs="Arial"/>
                <w:sz w:val="14"/>
                <w:szCs w:val="14"/>
              </w:rPr>
              <w:t>Zdroj: ČSÚ</w:t>
            </w:r>
          </w:p>
          <w:p w:rsidR="00DD0726" w:rsidRPr="007841BB" w:rsidRDefault="00DD0726" w:rsidP="008C0F87">
            <w:pPr>
              <w:pStyle w:val="Textpoznpodarou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Investiční výdaje po čtyřech čtvrtletích poklesů meziročně vzrostly. Velmi silné bylo i </w:t>
            </w:r>
            <w:proofErr w:type="spellStart"/>
            <w:r>
              <w:rPr>
                <w:rFonts w:cs="Arial"/>
                <w:sz w:val="16"/>
                <w:szCs w:val="16"/>
              </w:rPr>
              <w:t>mezičtvrtletní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navýšení.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Meziroční růst výdajů na tvorbu hrubého fixního kapitálu dosáhl ve 2. čtvrtletí 7,7 % a byl nejvyšší od 4. čtvrtletí 2015. Šlo o první nárůst po 4 čtvrtletích poklesů. Tento výsledek však nelze jednoznačně přisoudit nízké srovnávací základně předchozího roku. </w:t>
            </w:r>
            <w:proofErr w:type="spellStart"/>
            <w:r>
              <w:rPr>
                <w:rFonts w:cs="Arial"/>
              </w:rPr>
              <w:t>Mezičtvrtletní</w:t>
            </w:r>
            <w:proofErr w:type="spellEnd"/>
            <w:r>
              <w:rPr>
                <w:rFonts w:cs="Arial"/>
              </w:rPr>
              <w:t xml:space="preserve"> dynamika rovněž zažila výrazné oživení a investiční aktivita během 2. kvartálu vzrostla o 6,3 %. Z hlediska věcného složení investiční aktivity došlo k nejvýraznějšímu posunu u ostatních budov a staveb, které jsou druhou nejvýznamnější investiční kategorií a v předchozích čtyřech kvartálech investice do nich meziročně klesaly. Ve 2. čtvrtletí vzrostly o 3,1 %</w:t>
            </w:r>
            <w:r>
              <w:rPr>
                <w:rStyle w:val="Znakapoznpodarou"/>
              </w:rPr>
              <w:footnoteReference w:id="7"/>
            </w:r>
            <w:r>
              <w:rPr>
                <w:rFonts w:cs="Arial"/>
              </w:rPr>
              <w:t xml:space="preserve"> (ještě v 1. čtvrtletí klesly o 10,3 %). Zrychlil růst u váhově nejvýznamnější kategorie, tedy ICT, ostatních strojů a zařízení a zbraňových systémů (z 4,0 % v 1. čtvrtletí na 5,4 %), a také u investic do produktů duševního </w:t>
            </w:r>
            <w:proofErr w:type="gramStart"/>
            <w:r>
              <w:rPr>
                <w:rFonts w:cs="Arial"/>
              </w:rPr>
              <w:t>vlastnictví (z 4,3</w:t>
            </w:r>
            <w:proofErr w:type="gramEnd"/>
            <w:r>
              <w:rPr>
                <w:rFonts w:cs="Arial"/>
              </w:rPr>
              <w:t xml:space="preserve"> % na 5,2 %). Navzdory oslabení tempa zůstal silný růst u výdajů na obydlí (5,9 %), dopravních prostředků a zařízení (7,9 %).</w:t>
            </w:r>
          </w:p>
          <w:p w:rsidR="00DD0726" w:rsidRPr="00084BE9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Nárůst přebytku bilance zahraničního obchodu byl tažen nárůstem přebytku obchodu se službami. Směnné relace zůstaly záporné.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DA339E">
              <w:rPr>
                <w:rFonts w:cs="Arial"/>
              </w:rPr>
              <w:t xml:space="preserve">Přebytek bilance zahraničního obchodu </w:t>
            </w:r>
            <w:r>
              <w:rPr>
                <w:rFonts w:cs="Arial"/>
              </w:rPr>
              <w:t xml:space="preserve">(v běžných cenách) </w:t>
            </w:r>
            <w:r w:rsidRPr="00DA339E">
              <w:rPr>
                <w:rFonts w:cs="Arial"/>
              </w:rPr>
              <w:t>dosáhl v</w:t>
            </w:r>
            <w:r>
              <w:rPr>
                <w:rFonts w:cs="Arial"/>
              </w:rPr>
              <w:t>e</w:t>
            </w:r>
            <w:r w:rsidRPr="00DA339E">
              <w:rPr>
                <w:rFonts w:cs="Arial"/>
              </w:rPr>
              <w:t> 2. čtvrtletí 92,9 mld. korun</w:t>
            </w:r>
            <w:r>
              <w:rPr>
                <w:rStyle w:val="Znakapoznpodarou"/>
              </w:rPr>
              <w:footnoteReference w:id="8"/>
            </w:r>
            <w:r w:rsidRPr="00DA339E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 meziročně se zvýšil o 1,3 mld. Meziroční růst přebytku byl přitom tažen nárůstem kladného salda obchodu se službami, které dosáhlo 29,8 mld. korun a zvýšilo se o 3,9 mld. Obchod se zbožím, jehož přebytek v předchozích pěti čtvrtletích rostl a ve 2. čtvrtletí dosáhl výše 63,0 mld. korun, se však meziročně snížil o 2,6 mld.</w:t>
            </w:r>
            <w:r w:rsidRPr="00171553">
              <w:rPr>
                <w:rFonts w:cs="Arial"/>
              </w:rPr>
              <w:t xml:space="preserve"> Stejně jako v 1. čtvrtletí i ve 2. kvartálu byly směnné relace záporné. Tentokrát dosáhly hodnoty 98,3 %. </w:t>
            </w:r>
            <w:r>
              <w:rPr>
                <w:rFonts w:cs="Arial"/>
              </w:rPr>
              <w:t>Hlavní podíl na tom má obchod se zbožím, jehož směnné relace ve 2. čtvrtletí činily 98,0 %. Růst cen dováženého zboží zpomalil, ale udržel se na 2,0 %</w:t>
            </w:r>
            <w:r>
              <w:rPr>
                <w:rStyle w:val="Znakapoznpodarou"/>
              </w:rPr>
              <w:footnoteReference w:id="9"/>
            </w:r>
            <w:r>
              <w:rPr>
                <w:rFonts w:cs="Arial"/>
              </w:rPr>
              <w:t>, zatímco ceny vývozu stagnovaly. Stejně jako v předchozím čtvrtletí byly směnné relace obchodu se službami kladné a mírně se zvýšily na 100,3 %. Ztráta ze směnných relací, o které nepřímo vypovídá reálný hrubý domácí důchod, dosáhla ve 2. čtvrtletí 12,7 mld. korun a ve srovnání s předchozím kvartálem se mírně snížila.</w:t>
            </w:r>
          </w:p>
          <w:p w:rsidR="00DD0726" w:rsidRPr="00167B30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DD0726" w:rsidRPr="00A74192" w:rsidTr="008C0F87">
        <w:tc>
          <w:tcPr>
            <w:tcW w:w="1007" w:type="pct"/>
          </w:tcPr>
          <w:p w:rsidR="00DD0726" w:rsidRPr="005E2AB2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Růst HPH byl podpořen příznivým vývojem zpracovatelského průmyslu i odvětví služeb.</w:t>
            </w: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Růst HPH dosáhl ve 2. čtvrtletí 4,7 % a v porovnání s předchozím čtvrtletím se zrychlil o 1,7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Zrychlení napomohlo především posílení odvětví služeb, která dohromady přispěla k růstu HPH 2,2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Přední místo mezi odvětvími služeb měly přitom obchod, doprava, ubytování a pohostinství, které přispěly 0,8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 (po</w:t>
            </w:r>
            <w:proofErr w:type="gramEnd"/>
            <w:r>
              <w:rPr>
                <w:rFonts w:cs="Arial"/>
              </w:rPr>
              <w:t xml:space="preserve"> třech čtvrtletích záporných příspěvků). HPH těchto oddílů se meziročně zvýšila o 4,1 %. Pokračoval i silný růst HPH peněžnictví a pojišťovnictví (8,3 %), která patří k objemově nejmenším odvětvím, přispěla však k růstu 0,3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Ve 2. čtvrtletí zesílil příspěvek činností v oblasti nemovitostí a dosáhl 0,4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Pevným pilířem růstu přidané hodnoty však zůstává zpracovatelský průmysl, jehož HPH se meziročně zvýšila o 7,9 %, což znamenalo příspěvek ve výši 2,1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Po čtyřech čtvrtletích poklesu přišlo oživení do stavebnictví, jehož HPH vzrostla o 3,1 % (příspěvek k celkovému růstu na úrovni 0,2 </w:t>
            </w:r>
            <w:proofErr w:type="spellStart"/>
            <w:proofErr w:type="gramStart"/>
            <w:r>
              <w:rPr>
                <w:rFonts w:cs="Arial"/>
              </w:rPr>
              <w:t>p.b</w:t>
            </w:r>
            <w:proofErr w:type="spellEnd"/>
            <w:r>
              <w:rPr>
                <w:rFonts w:cs="Arial"/>
              </w:rPr>
              <w:t>. byl</w:t>
            </w:r>
            <w:proofErr w:type="gramEnd"/>
            <w:r>
              <w:rPr>
                <w:rFonts w:cs="Arial"/>
              </w:rPr>
              <w:t xml:space="preserve"> nejvyšší od 3. čtvrtletí 2015). Stejné výše dosáhl i příspěvek zemědělství, lesnictví a rybářství. Na této úrovni se odvětví udržuje již 3,5 roku. Jedinou částí hospodářství, která nepřispěla k růstu HPH ani jej netlumila, byla ostatní průmyslová odvětví.</w:t>
            </w:r>
          </w:p>
          <w:p w:rsidR="00DD0726" w:rsidRPr="00463E6A" w:rsidRDefault="00DD0726" w:rsidP="008C0F87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D0726" w:rsidRPr="00A74192" w:rsidTr="008C0F87">
        <w:tc>
          <w:tcPr>
            <w:tcW w:w="1007" w:type="pct"/>
          </w:tcPr>
          <w:p w:rsidR="00DD0726" w:rsidRDefault="00DD0726" w:rsidP="008C0F87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575" w:type="pct"/>
          </w:tcPr>
          <w:p w:rsidR="00DD0726" w:rsidRDefault="00DD0726" w:rsidP="008C0F87">
            <w:pPr>
              <w:pStyle w:val="Textpoznpodarou"/>
              <w:jc w:val="both"/>
              <w:rPr>
                <w:rFonts w:cs="Arial"/>
              </w:rPr>
            </w:pPr>
            <w:r w:rsidRPr="005E2AB2">
              <w:rPr>
                <w:rFonts w:cs="Arial"/>
                <w:lang w:eastAsia="en-US"/>
              </w:rPr>
              <w:t>Graf č. 4</w:t>
            </w:r>
          </w:p>
        </w:tc>
        <w:tc>
          <w:tcPr>
            <w:tcW w:w="3274" w:type="pct"/>
            <w:gridSpan w:val="2"/>
          </w:tcPr>
          <w:p w:rsidR="00DD0726" w:rsidRDefault="00DD0726" w:rsidP="008C0F87">
            <w:pPr>
              <w:pStyle w:val="Textpoznpodarou"/>
              <w:rPr>
                <w:rFonts w:cs="Arial"/>
              </w:rPr>
            </w:pPr>
            <w:r>
              <w:rPr>
                <w:rFonts w:cs="Arial"/>
                <w:b/>
                <w:lang w:eastAsia="en-US"/>
              </w:rPr>
              <w:t>Příspěvky odvětví k reálné</w:t>
            </w:r>
            <w:r w:rsidRPr="005E2AB2">
              <w:rPr>
                <w:rFonts w:cs="Arial"/>
                <w:b/>
                <w:lang w:eastAsia="en-US"/>
              </w:rPr>
              <w:t> změně HPH</w:t>
            </w:r>
            <w:r w:rsidRPr="005E2AB2">
              <w:rPr>
                <w:rFonts w:cs="Arial"/>
                <w:lang w:eastAsia="en-US"/>
              </w:rPr>
              <w:t xml:space="preserve"> (</w:t>
            </w:r>
            <w:r>
              <w:rPr>
                <w:rFonts w:cs="Arial"/>
                <w:lang w:eastAsia="en-US"/>
              </w:rPr>
              <w:t>objemové indexy</w:t>
            </w:r>
            <w:r w:rsidRPr="005E2AB2">
              <w:rPr>
                <w:rFonts w:cs="Arial"/>
                <w:lang w:eastAsia="en-US"/>
              </w:rPr>
              <w:t>,</w:t>
            </w:r>
            <w:r>
              <w:rPr>
                <w:rFonts w:cs="Arial"/>
                <w:lang w:eastAsia="en-US"/>
              </w:rPr>
              <w:t xml:space="preserve"> meziroční</w:t>
            </w:r>
            <w:r w:rsidRPr="005E2AB2">
              <w:rPr>
                <w:rFonts w:cs="Arial"/>
                <w:lang w:eastAsia="en-US"/>
              </w:rPr>
              <w:t xml:space="preserve"> příspěvky v </w:t>
            </w:r>
            <w:proofErr w:type="spellStart"/>
            <w:proofErr w:type="gramStart"/>
            <w:r w:rsidRPr="005E2AB2">
              <w:rPr>
                <w:rFonts w:cs="Arial"/>
                <w:lang w:eastAsia="en-US"/>
              </w:rPr>
              <w:t>p.b</w:t>
            </w:r>
            <w:proofErr w:type="spellEnd"/>
            <w:r w:rsidRPr="005E2AB2">
              <w:rPr>
                <w:rFonts w:cs="Arial"/>
                <w:lang w:eastAsia="en-US"/>
              </w:rPr>
              <w:t>., HPH</w:t>
            </w:r>
            <w:proofErr w:type="gramEnd"/>
            <w:r w:rsidRPr="005E2AB2">
              <w:rPr>
                <w:rFonts w:cs="Arial"/>
                <w:lang w:eastAsia="en-US"/>
              </w:rPr>
              <w:t xml:space="preserve"> v %)</w:t>
            </w:r>
          </w:p>
        </w:tc>
      </w:tr>
      <w:tr w:rsidR="00DD0726" w:rsidRPr="00A74192" w:rsidTr="008C0F87">
        <w:tc>
          <w:tcPr>
            <w:tcW w:w="1007" w:type="pct"/>
          </w:tcPr>
          <w:p w:rsidR="00DD0726" w:rsidRDefault="00DD0726" w:rsidP="008C0F8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5E2AB2" w:rsidRDefault="00DD0726" w:rsidP="008C0F87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849" w:type="pct"/>
            <w:gridSpan w:val="3"/>
          </w:tcPr>
          <w:p w:rsidR="00DD0726" w:rsidRDefault="00DD0726" w:rsidP="008C0F87">
            <w:pPr>
              <w:pStyle w:val="Textpoznpodarou"/>
              <w:ind w:left="-95"/>
              <w:jc w:val="both"/>
              <w:rPr>
                <w:rFonts w:cs="Arial"/>
              </w:rPr>
            </w:pPr>
            <w:r w:rsidRPr="002E4069">
              <w:rPr>
                <w:rFonts w:cs="Arial"/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1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D0726" w:rsidRDefault="00DD0726" w:rsidP="008C0F87">
            <w:pPr>
              <w:pStyle w:val="Textpoznpodarou"/>
              <w:ind w:left="-95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7841BB">
              <w:rPr>
                <w:rFonts w:cs="Arial"/>
                <w:sz w:val="14"/>
                <w:szCs w:val="14"/>
                <w:lang w:eastAsia="en-US"/>
              </w:rPr>
              <w:t>Zdroj: ČSÚ</w:t>
            </w:r>
          </w:p>
          <w:p w:rsidR="00DD0726" w:rsidRPr="007841BB" w:rsidRDefault="00DD0726" w:rsidP="008C0F87">
            <w:pPr>
              <w:pStyle w:val="Textpoznpodarou"/>
              <w:ind w:left="-95"/>
              <w:jc w:val="right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bookmarkEnd w:id="2"/>
    </w:tbl>
    <w:p w:rsidR="008A03DE" w:rsidRPr="00CE7158" w:rsidRDefault="008A03DE" w:rsidP="00887360">
      <w:pPr>
        <w:pStyle w:val="Nadpis1"/>
        <w:ind w:left="709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FC481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6B" w:rsidRDefault="00534D6B" w:rsidP="00E71A58">
      <w:r>
        <w:separator/>
      </w:r>
    </w:p>
  </w:endnote>
  <w:endnote w:type="continuationSeparator" w:id="0">
    <w:p w:rsidR="00534D6B" w:rsidRDefault="00534D6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360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31360" w:rsidRPr="005A21E0">
      <w:rPr>
        <w:rFonts w:ascii="Arial" w:hAnsi="Arial" w:cs="Arial"/>
        <w:sz w:val="16"/>
        <w:szCs w:val="16"/>
      </w:rPr>
      <w:fldChar w:fldCharType="separate"/>
    </w:r>
    <w:r w:rsidR="00887360">
      <w:rPr>
        <w:rFonts w:ascii="Arial" w:hAnsi="Arial" w:cs="Arial"/>
        <w:noProof/>
        <w:sz w:val="16"/>
        <w:szCs w:val="16"/>
      </w:rPr>
      <w:t>8</w:t>
    </w:r>
    <w:r w:rsidR="00E31360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23F6C" w:rsidRPr="00223E00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E3136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31360" w:rsidRPr="00223E00">
      <w:rPr>
        <w:rFonts w:ascii="Arial" w:hAnsi="Arial" w:cs="Arial"/>
        <w:sz w:val="16"/>
        <w:szCs w:val="16"/>
      </w:rPr>
      <w:fldChar w:fldCharType="separate"/>
    </w:r>
    <w:r w:rsidR="00887360">
      <w:rPr>
        <w:rFonts w:ascii="Arial" w:hAnsi="Arial" w:cs="Arial"/>
        <w:noProof/>
        <w:sz w:val="16"/>
        <w:szCs w:val="16"/>
      </w:rPr>
      <w:t>7</w:t>
    </w:r>
    <w:r w:rsidR="00E3136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6B" w:rsidRDefault="00534D6B" w:rsidP="00E71A58">
      <w:r>
        <w:separator/>
      </w:r>
    </w:p>
  </w:footnote>
  <w:footnote w:type="continuationSeparator" w:id="0">
    <w:p w:rsidR="00534D6B" w:rsidRDefault="00534D6B" w:rsidP="00E71A58">
      <w:r>
        <w:continuationSeparator/>
      </w:r>
    </w:p>
  </w:footnote>
  <w:footnote w:id="1">
    <w:p w:rsidR="00DD0726" w:rsidRPr="00EF1EE3" w:rsidRDefault="00DD0726" w:rsidP="00DD0726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 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 očištěn o změny cen)</w:t>
      </w:r>
      <w:r w:rsidRPr="00EF1EE3">
        <w:rPr>
          <w:sz w:val="16"/>
          <w:szCs w:val="16"/>
        </w:rPr>
        <w:t xml:space="preserve"> a v očištění o sezónní a kalendářn</w:t>
      </w:r>
      <w:r>
        <w:rPr>
          <w:sz w:val="16"/>
          <w:szCs w:val="16"/>
        </w:rPr>
        <w:t>í vlivy. Údaje byly zveřejněny 1</w:t>
      </w:r>
      <w:r w:rsidRPr="00EF1EE3">
        <w:rPr>
          <w:sz w:val="16"/>
          <w:szCs w:val="16"/>
        </w:rPr>
        <w:t>.</w:t>
      </w:r>
      <w:r>
        <w:rPr>
          <w:sz w:val="16"/>
          <w:szCs w:val="16"/>
        </w:rPr>
        <w:t xml:space="preserve"> 9</w:t>
      </w:r>
      <w:r w:rsidRPr="00EF1EE3">
        <w:rPr>
          <w:sz w:val="16"/>
          <w:szCs w:val="16"/>
        </w:rPr>
        <w:t>. 201</w:t>
      </w:r>
      <w:r>
        <w:rPr>
          <w:sz w:val="16"/>
          <w:szCs w:val="16"/>
        </w:rPr>
        <w:t>7</w:t>
      </w:r>
      <w:r w:rsidRPr="00EF1EE3">
        <w:rPr>
          <w:sz w:val="16"/>
          <w:szCs w:val="16"/>
        </w:rPr>
        <w:t xml:space="preserve"> a z</w:t>
      </w:r>
      <w:r>
        <w:rPr>
          <w:sz w:val="16"/>
          <w:szCs w:val="16"/>
        </w:rPr>
        <w:t xml:space="preserve">revidované údaje </w:t>
      </w:r>
      <w:r w:rsidRPr="00EF1EE3">
        <w:rPr>
          <w:sz w:val="16"/>
          <w:szCs w:val="16"/>
        </w:rPr>
        <w:t>bud</w:t>
      </w:r>
      <w:r>
        <w:rPr>
          <w:sz w:val="16"/>
          <w:szCs w:val="16"/>
        </w:rPr>
        <w:t>ou</w:t>
      </w:r>
      <w:r w:rsidRPr="00EF1EE3">
        <w:rPr>
          <w:sz w:val="16"/>
          <w:szCs w:val="16"/>
        </w:rPr>
        <w:t xml:space="preserve"> publikován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Pr="00EF1EE3">
        <w:rPr>
          <w:sz w:val="16"/>
          <w:szCs w:val="16"/>
        </w:rPr>
        <w:t xml:space="preserve">. </w:t>
      </w:r>
      <w:r>
        <w:rPr>
          <w:sz w:val="16"/>
          <w:szCs w:val="16"/>
        </w:rPr>
        <w:t>10</w:t>
      </w:r>
      <w:r w:rsidRPr="00EF1EE3">
        <w:rPr>
          <w:sz w:val="16"/>
          <w:szCs w:val="16"/>
        </w:rPr>
        <w:t>. 2017.</w:t>
      </w:r>
    </w:p>
  </w:footnote>
  <w:footnote w:id="2">
    <w:p w:rsidR="00DD0726" w:rsidRPr="00BB319F" w:rsidRDefault="00DD0726" w:rsidP="00DD0726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 Irsko</w:t>
      </w:r>
      <w:r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a Lucembursko.</w:t>
      </w:r>
    </w:p>
  </w:footnote>
  <w:footnote w:id="3">
    <w:p w:rsidR="00DD0726" w:rsidRDefault="00DD0726" w:rsidP="00DD0726">
      <w:pPr>
        <w:pStyle w:val="Textpoznpodarou"/>
      </w:pPr>
      <w:r w:rsidRPr="00CE59DB">
        <w:rPr>
          <w:rStyle w:val="Znakapoznpodarou"/>
          <w:sz w:val="16"/>
          <w:szCs w:val="16"/>
        </w:rPr>
        <w:footnoteRef/>
      </w:r>
      <w:r w:rsidRPr="00CE59DB">
        <w:rPr>
          <w:sz w:val="16"/>
          <w:szCs w:val="16"/>
        </w:rPr>
        <w:t xml:space="preserve"> Slovenská data nejsou očištěna o kalendářní vlivy. Slovensko podobně jako Česko mělo o čtyři pracovní dny méně než v minulém roce, což se může poměrně výrazně projevit na výši meziročního tempa růstu.</w:t>
      </w:r>
      <w:r>
        <w:t xml:space="preserve">  </w:t>
      </w:r>
    </w:p>
  </w:footnote>
  <w:footnote w:id="4">
    <w:p w:rsidR="00DD0726" w:rsidRPr="009C6EA8" w:rsidRDefault="00DD0726" w:rsidP="00DD0726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5">
    <w:p w:rsidR="00DD0726" w:rsidRPr="009C6EA8" w:rsidRDefault="00DD0726" w:rsidP="00DD0726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6">
    <w:p w:rsidR="00DD0726" w:rsidRDefault="00DD0726" w:rsidP="00DD0726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V pojetí národních účtů, sezónně očištěno</w:t>
      </w:r>
      <w:r w:rsidRPr="00004BA8">
        <w:rPr>
          <w:sz w:val="16"/>
        </w:rPr>
        <w:t>.</w:t>
      </w:r>
    </w:p>
  </w:footnote>
  <w:footnote w:id="7">
    <w:p w:rsidR="00DD0726" w:rsidRPr="0021552C" w:rsidRDefault="00DD0726" w:rsidP="00DD0726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 xml:space="preserve">ata o 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8">
    <w:p w:rsidR="00DD0726" w:rsidRPr="00167B30" w:rsidRDefault="00DD0726" w:rsidP="00DD0726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 dovoz v ocenění FOB/FOB)</w:t>
      </w:r>
      <w:r>
        <w:rPr>
          <w:sz w:val="16"/>
          <w:szCs w:val="16"/>
        </w:rPr>
        <w:t>.</w:t>
      </w:r>
    </w:p>
  </w:footnote>
  <w:footnote w:id="9">
    <w:p w:rsidR="00DD0726" w:rsidRPr="00494933" w:rsidRDefault="00DD0726" w:rsidP="00DD0726">
      <w:pPr>
        <w:pStyle w:val="Textpoznpodarou"/>
        <w:rPr>
          <w:sz w:val="16"/>
          <w:szCs w:val="16"/>
        </w:rPr>
      </w:pPr>
      <w:r w:rsidRPr="00494933">
        <w:rPr>
          <w:rStyle w:val="Znakapoznpodarou"/>
          <w:sz w:val="16"/>
          <w:szCs w:val="16"/>
        </w:rPr>
        <w:footnoteRef/>
      </w:r>
      <w:r w:rsidRPr="00494933">
        <w:rPr>
          <w:sz w:val="16"/>
          <w:szCs w:val="16"/>
        </w:rPr>
        <w:t xml:space="preserve"> Podle deflátoru.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C00831" w:rsidRDefault="00F23F6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30768C" w:rsidRDefault="00F23F6C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210C417C"/>
    <w:lvl w:ilvl="0" w:tplc="66A066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B3B"/>
    <w:rsid w:val="002550D8"/>
    <w:rsid w:val="00257613"/>
    <w:rsid w:val="00261A0F"/>
    <w:rsid w:val="00261E5B"/>
    <w:rsid w:val="00262F34"/>
    <w:rsid w:val="002633E5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AF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4D6B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372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87360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A4D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93D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1963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360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4818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2240163796014356E-2"/>
          <c:y val="2.3046636085627008E-2"/>
          <c:w val="0.93617042384329663"/>
          <c:h val="0.74192840256671033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cat>
            <c:multiLvlStrRef>
              <c:f>'souhrnná výkonnost 1'!$A$9:$B$26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1'!$C$9:$C$26</c:f>
              <c:numCache>
                <c:formatCode>0.0</c:formatCode>
                <c:ptCount val="18"/>
                <c:pt idx="0">
                  <c:v>-1.751168313498525</c:v>
                </c:pt>
                <c:pt idx="1">
                  <c:v>-1.1225511599608367</c:v>
                </c:pt>
                <c:pt idx="2">
                  <c:v>-0.35187335671894032</c:v>
                </c:pt>
                <c:pt idx="3">
                  <c:v>1.3064560933108851</c:v>
                </c:pt>
                <c:pt idx="4">
                  <c:v>1.6429317745401164</c:v>
                </c:pt>
                <c:pt idx="5">
                  <c:v>2.379951450221256</c:v>
                </c:pt>
                <c:pt idx="6">
                  <c:v>3.4229941989101462</c:v>
                </c:pt>
                <c:pt idx="7">
                  <c:v>3.3996850847558262</c:v>
                </c:pt>
                <c:pt idx="8">
                  <c:v>5.1924491451289043</c:v>
                </c:pt>
                <c:pt idx="9">
                  <c:v>5.7975987955825792</c:v>
                </c:pt>
                <c:pt idx="10">
                  <c:v>5.6880052521313988</c:v>
                </c:pt>
                <c:pt idx="11">
                  <c:v>4.8807255143514396</c:v>
                </c:pt>
                <c:pt idx="12">
                  <c:v>3.5408169174491197</c:v>
                </c:pt>
                <c:pt idx="13">
                  <c:v>2.8477395147454154</c:v>
                </c:pt>
                <c:pt idx="14">
                  <c:v>1.843939906776342</c:v>
                </c:pt>
                <c:pt idx="15">
                  <c:v>1.765441823480643</c:v>
                </c:pt>
                <c:pt idx="16" formatCode="General">
                  <c:v>2.9918698816459965</c:v>
                </c:pt>
                <c:pt idx="17" formatCode="General">
                  <c:v>4.679972870303132</c:v>
                </c:pt>
              </c:numCache>
            </c:numRef>
          </c:val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EU28 meziroční změna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</c:spPr>
          <c:cat>
            <c:multiLvlStrRef>
              <c:f>'souhrnná výkonnost 1'!$A$9:$B$25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1'!$D$9:$D$26</c:f>
              <c:numCache>
                <c:formatCode>0.0</c:formatCode>
                <c:ptCount val="18"/>
                <c:pt idx="0">
                  <c:v>-0.59113300492610232</c:v>
                </c:pt>
                <c:pt idx="1">
                  <c:v>9.8716683119455709E-2</c:v>
                </c:pt>
                <c:pt idx="2">
                  <c:v>0.49358341559723617</c:v>
                </c:pt>
                <c:pt idx="3">
                  <c:v>1.1892963330029618</c:v>
                </c:pt>
                <c:pt idx="4">
                  <c:v>1.6848364717542017</c:v>
                </c:pt>
                <c:pt idx="5">
                  <c:v>1.4792899408284024</c:v>
                </c:pt>
                <c:pt idx="6">
                  <c:v>1.5717092337917571</c:v>
                </c:pt>
                <c:pt idx="7">
                  <c:v>1.8609206660137181</c:v>
                </c:pt>
                <c:pt idx="8" formatCode="#,##0.0">
                  <c:v>2.1</c:v>
                </c:pt>
                <c:pt idx="9" formatCode="#,##0.0">
                  <c:v>2.2000000000000002</c:v>
                </c:pt>
                <c:pt idx="10" formatCode="#,##0.0">
                  <c:v>2.1</c:v>
                </c:pt>
                <c:pt idx="11" formatCode="#,##0.0">
                  <c:v>2.1</c:v>
                </c:pt>
                <c:pt idx="12" formatCode="#,##0.0">
                  <c:v>1.8</c:v>
                </c:pt>
                <c:pt idx="13" formatCode="#,##0.0">
                  <c:v>1.9000000000000001</c:v>
                </c:pt>
                <c:pt idx="14" formatCode="#,##0.0">
                  <c:v>1.9000000000000001</c:v>
                </c:pt>
                <c:pt idx="15" formatCode="#,##0.0">
                  <c:v>2</c:v>
                </c:pt>
                <c:pt idx="16" formatCode="#,##0.0">
                  <c:v>2.1</c:v>
                </c:pt>
                <c:pt idx="17" formatCode="#,##0.0">
                  <c:v>2.4</c:v>
                </c:pt>
              </c:numCache>
            </c:numRef>
          </c:val>
        </c:ser>
        <c:gapWidth val="100"/>
        <c:axId val="88892928"/>
        <c:axId val="88894848"/>
      </c:barChart>
      <c:lineChart>
        <c:grouping val="standard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10"/>
            <c:spPr>
              <a:solidFill>
                <a:schemeClr val="accent1"/>
              </a:solidFill>
              <a:ln>
                <a:noFill/>
              </a:ln>
            </c:spPr>
          </c:marker>
          <c:val>
            <c:numRef>
              <c:f>'souhrnná výkonnost 1'!$E$9:$E$26</c:f>
              <c:numCache>
                <c:formatCode>0.0</c:formatCode>
                <c:ptCount val="18"/>
                <c:pt idx="0">
                  <c:v>-0.45693637688056327</c:v>
                </c:pt>
                <c:pt idx="1">
                  <c:v>0.19806063963225998</c:v>
                </c:pt>
                <c:pt idx="2">
                  <c:v>0.25106366477383801</c:v>
                </c:pt>
                <c:pt idx="3">
                  <c:v>1.3159486871259656</c:v>
                </c:pt>
                <c:pt idx="4">
                  <c:v>-0.1263175650510249</c:v>
                </c:pt>
                <c:pt idx="5">
                  <c:v>0.92460345837255942</c:v>
                </c:pt>
                <c:pt idx="6">
                  <c:v>1.272417391970436</c:v>
                </c:pt>
                <c:pt idx="7">
                  <c:v>1.293114451549086</c:v>
                </c:pt>
                <c:pt idx="8">
                  <c:v>1.6053119684405321</c:v>
                </c:pt>
                <c:pt idx="9">
                  <c:v>1.5052011058400858</c:v>
                </c:pt>
                <c:pt idx="10">
                  <c:v>1.1675113903011718</c:v>
                </c:pt>
                <c:pt idx="11">
                  <c:v>0.51940433488746796</c:v>
                </c:pt>
                <c:pt idx="12">
                  <c:v>0.30724856994861277</c:v>
                </c:pt>
                <c:pt idx="13">
                  <c:v>0.82574962730441948</c:v>
                </c:pt>
                <c:pt idx="14">
                  <c:v>0.18011090146271172</c:v>
                </c:pt>
                <c:pt idx="15">
                  <c:v>0.44192716166011797</c:v>
                </c:pt>
                <c:pt idx="16" formatCode="General">
                  <c:v>1.5161031858106071</c:v>
                </c:pt>
                <c:pt idx="17" formatCode="General">
                  <c:v>2.4783485118090169</c:v>
                </c:pt>
              </c:numCache>
            </c:numRef>
          </c:val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EU28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10"/>
            <c:spPr>
              <a:solidFill>
                <a:schemeClr val="accent2"/>
              </a:solidFill>
              <a:ln>
                <a:noFill/>
              </a:ln>
            </c:spPr>
          </c:marker>
          <c:val>
            <c:numRef>
              <c:f>'souhrnná výkonnost 1'!$F$9:$F$26</c:f>
              <c:numCache>
                <c:formatCode>0.0</c:formatCode>
                <c:ptCount val="18"/>
                <c:pt idx="0">
                  <c:v>0</c:v>
                </c:pt>
                <c:pt idx="1">
                  <c:v>0.49554013875123876</c:v>
                </c:pt>
                <c:pt idx="2">
                  <c:v>0.39447731755423265</c:v>
                </c:pt>
                <c:pt idx="3">
                  <c:v>0.29469548133595047</c:v>
                </c:pt>
                <c:pt idx="4">
                  <c:v>0.48971596474045104</c:v>
                </c:pt>
                <c:pt idx="5">
                  <c:v>0.29239766081872481</c:v>
                </c:pt>
                <c:pt idx="6">
                  <c:v>0.48590864917395576</c:v>
                </c:pt>
                <c:pt idx="7">
                  <c:v>0.58027079303674456</c:v>
                </c:pt>
                <c:pt idx="8" formatCode="#,##0.0">
                  <c:v>0.70000000000000051</c:v>
                </c:pt>
                <c:pt idx="9" formatCode="#,##0.0">
                  <c:v>0.4</c:v>
                </c:pt>
                <c:pt idx="10" formatCode="#,##0.0">
                  <c:v>0.5</c:v>
                </c:pt>
                <c:pt idx="11" formatCode="#,##0.0">
                  <c:v>0.5</c:v>
                </c:pt>
                <c:pt idx="12" formatCode="#,##0.0">
                  <c:v>0.4</c:v>
                </c:pt>
                <c:pt idx="13" formatCode="#,##0.0">
                  <c:v>0.4</c:v>
                </c:pt>
                <c:pt idx="14" formatCode="#,##0.0">
                  <c:v>0.5</c:v>
                </c:pt>
                <c:pt idx="15" formatCode="#,##0.0">
                  <c:v>0.70000000000000051</c:v>
                </c:pt>
                <c:pt idx="16" formatCode="#,##0.0">
                  <c:v>0.5</c:v>
                </c:pt>
                <c:pt idx="17" formatCode="#,##0.0">
                  <c:v>0.70000000000000051</c:v>
                </c:pt>
              </c:numCache>
            </c:numRef>
          </c:val>
        </c:ser>
        <c:marker val="1"/>
        <c:axId val="88892928"/>
        <c:axId val="88894848"/>
      </c:lineChart>
      <c:catAx>
        <c:axId val="88892928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8894848"/>
        <c:crosses val="autoZero"/>
        <c:auto val="1"/>
        <c:lblAlgn val="ctr"/>
        <c:lblOffset val="100"/>
      </c:catAx>
      <c:valAx>
        <c:axId val="88894848"/>
        <c:scaling>
          <c:orientation val="minMax"/>
          <c:max val="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888929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9667131036811895E-2"/>
          <c:y val="0.89437255125718051"/>
          <c:w val="0.93714918946301962"/>
          <c:h val="9.030175575879101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3724701079031984E-2"/>
          <c:y val="2.697077811756746E-2"/>
          <c:w val="0.87770649039241033"/>
          <c:h val="0.76009512552065761"/>
        </c:manualLayout>
      </c:layout>
      <c:barChart>
        <c:barDir val="col"/>
        <c:grouping val="clustered"/>
        <c:ser>
          <c:idx val="0"/>
          <c:order val="0"/>
          <c:tx>
            <c:strRef>
              <c:f>'souhrnná výkonnost 2'!$C$5</c:f>
              <c:strCache>
                <c:ptCount val="1"/>
                <c:pt idx="0">
                  <c:v>HDP (pravá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val>
            <c:numRef>
              <c:f>'souhrnná výkonnost 2'!$C$18:$C$71</c:f>
              <c:numCache>
                <c:formatCode>0.0</c:formatCode>
                <c:ptCount val="54"/>
                <c:pt idx="0">
                  <c:v>-1.8</c:v>
                </c:pt>
                <c:pt idx="1">
                  <c:v>-1.8</c:v>
                </c:pt>
                <c:pt idx="2">
                  <c:v>-1.8</c:v>
                </c:pt>
                <c:pt idx="3">
                  <c:v>-1.1000000000000001</c:v>
                </c:pt>
                <c:pt idx="4">
                  <c:v>-1.1000000000000001</c:v>
                </c:pt>
                <c:pt idx="5">
                  <c:v>-1.1000000000000001</c:v>
                </c:pt>
                <c:pt idx="6">
                  <c:v>-0.4</c:v>
                </c:pt>
                <c:pt idx="7">
                  <c:v>-0.4</c:v>
                </c:pt>
                <c:pt idx="8">
                  <c:v>-0.4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2.4</c:v>
                </c:pt>
                <c:pt idx="16">
                  <c:v>2.4</c:v>
                </c:pt>
                <c:pt idx="17">
                  <c:v>2.4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  <c:pt idx="21">
                  <c:v>3.4</c:v>
                </c:pt>
                <c:pt idx="22">
                  <c:v>3.4</c:v>
                </c:pt>
                <c:pt idx="23">
                  <c:v>3.4</c:v>
                </c:pt>
                <c:pt idx="24">
                  <c:v>5.2</c:v>
                </c:pt>
                <c:pt idx="25">
                  <c:v>5.2</c:v>
                </c:pt>
                <c:pt idx="26">
                  <c:v>5.2</c:v>
                </c:pt>
                <c:pt idx="27">
                  <c:v>5.8</c:v>
                </c:pt>
                <c:pt idx="28">
                  <c:v>5.8</c:v>
                </c:pt>
                <c:pt idx="29">
                  <c:v>5.8</c:v>
                </c:pt>
                <c:pt idx="30">
                  <c:v>5.7</c:v>
                </c:pt>
                <c:pt idx="31">
                  <c:v>5.7</c:v>
                </c:pt>
                <c:pt idx="32">
                  <c:v>5.7</c:v>
                </c:pt>
                <c:pt idx="33">
                  <c:v>4.9000000000000004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3.5</c:v>
                </c:pt>
                <c:pt idx="37">
                  <c:v>3.5</c:v>
                </c:pt>
                <c:pt idx="38">
                  <c:v>3.5</c:v>
                </c:pt>
                <c:pt idx="39">
                  <c:v>2.8</c:v>
                </c:pt>
                <c:pt idx="40">
                  <c:v>2.8</c:v>
                </c:pt>
                <c:pt idx="41" formatCode="General">
                  <c:v>2.8</c:v>
                </c:pt>
                <c:pt idx="42" formatCode="General">
                  <c:v>1.8</c:v>
                </c:pt>
                <c:pt idx="43" formatCode="General">
                  <c:v>1.8</c:v>
                </c:pt>
                <c:pt idx="44" formatCode="General">
                  <c:v>1.8</c:v>
                </c:pt>
                <c:pt idx="45" formatCode="General">
                  <c:v>1.8</c:v>
                </c:pt>
                <c:pt idx="46" formatCode="General">
                  <c:v>1.8</c:v>
                </c:pt>
                <c:pt idx="47" formatCode="General">
                  <c:v>1.8</c:v>
                </c:pt>
                <c:pt idx="48" formatCode="General">
                  <c:v>3</c:v>
                </c:pt>
                <c:pt idx="49" formatCode="General">
                  <c:v>3</c:v>
                </c:pt>
                <c:pt idx="50" formatCode="General">
                  <c:v>3</c:v>
                </c:pt>
                <c:pt idx="51" formatCode="General">
                  <c:v>4.7</c:v>
                </c:pt>
                <c:pt idx="52" formatCode="General">
                  <c:v>4.7</c:v>
                </c:pt>
                <c:pt idx="53" formatCode="General">
                  <c:v>4.7</c:v>
                </c:pt>
              </c:numCache>
            </c:numRef>
          </c:val>
        </c:ser>
        <c:gapWidth val="30"/>
        <c:axId val="92945408"/>
        <c:axId val="92943872"/>
      </c:barChart>
      <c:lineChart>
        <c:grouping val="standard"/>
        <c:ser>
          <c:idx val="3"/>
          <c:order val="1"/>
          <c:tx>
            <c:strRef>
              <c:f>'souhrnná výkonnost 2'!$D$5</c:f>
              <c:strCache>
                <c:ptCount val="1"/>
                <c:pt idx="0">
                  <c:v>Důvěra podnikatelů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'souhrnná výkonnost 2'!$A$18:$B$71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2'!$D$18:$D$71</c:f>
              <c:numCache>
                <c:formatCode>###,###,##0.0</c:formatCode>
                <c:ptCount val="54"/>
                <c:pt idx="0">
                  <c:v>84.6</c:v>
                </c:pt>
                <c:pt idx="1">
                  <c:v>85.2</c:v>
                </c:pt>
                <c:pt idx="2" formatCode="###,###,##0">
                  <c:v>85</c:v>
                </c:pt>
                <c:pt idx="3">
                  <c:v>82.7</c:v>
                </c:pt>
                <c:pt idx="4">
                  <c:v>83.6</c:v>
                </c:pt>
                <c:pt idx="5" formatCode="###,###,##0">
                  <c:v>84</c:v>
                </c:pt>
                <c:pt idx="6" formatCode="###,###,##0">
                  <c:v>84</c:v>
                </c:pt>
                <c:pt idx="7">
                  <c:v>84.8</c:v>
                </c:pt>
                <c:pt idx="8">
                  <c:v>87.5</c:v>
                </c:pt>
                <c:pt idx="9" formatCode="###,###,##0">
                  <c:v>89</c:v>
                </c:pt>
                <c:pt idx="10">
                  <c:v>89.9</c:v>
                </c:pt>
                <c:pt idx="11">
                  <c:v>90.9</c:v>
                </c:pt>
                <c:pt idx="12">
                  <c:v>90.1</c:v>
                </c:pt>
                <c:pt idx="13">
                  <c:v>90.9</c:v>
                </c:pt>
                <c:pt idx="14">
                  <c:v>91.6</c:v>
                </c:pt>
                <c:pt idx="15">
                  <c:v>91.5</c:v>
                </c:pt>
                <c:pt idx="16">
                  <c:v>91.5</c:v>
                </c:pt>
                <c:pt idx="17">
                  <c:v>92.5</c:v>
                </c:pt>
                <c:pt idx="18">
                  <c:v>91.6</c:v>
                </c:pt>
                <c:pt idx="19">
                  <c:v>92.5</c:v>
                </c:pt>
                <c:pt idx="20">
                  <c:v>93.2</c:v>
                </c:pt>
                <c:pt idx="21">
                  <c:v>92.8</c:v>
                </c:pt>
                <c:pt idx="22">
                  <c:v>93.5</c:v>
                </c:pt>
                <c:pt idx="23">
                  <c:v>94.8</c:v>
                </c:pt>
                <c:pt idx="24">
                  <c:v>94.3</c:v>
                </c:pt>
                <c:pt idx="25">
                  <c:v>93.4</c:v>
                </c:pt>
                <c:pt idx="26">
                  <c:v>92.9</c:v>
                </c:pt>
                <c:pt idx="27">
                  <c:v>93.2</c:v>
                </c:pt>
                <c:pt idx="28">
                  <c:v>93.8</c:v>
                </c:pt>
                <c:pt idx="29">
                  <c:v>95.5</c:v>
                </c:pt>
                <c:pt idx="30">
                  <c:v>94.6</c:v>
                </c:pt>
                <c:pt idx="31">
                  <c:v>94.2</c:v>
                </c:pt>
                <c:pt idx="32">
                  <c:v>94.4</c:v>
                </c:pt>
                <c:pt idx="33">
                  <c:v>93.2</c:v>
                </c:pt>
                <c:pt idx="34">
                  <c:v>94.2</c:v>
                </c:pt>
                <c:pt idx="35">
                  <c:v>94.3</c:v>
                </c:pt>
                <c:pt idx="36" formatCode="0.0">
                  <c:v>96</c:v>
                </c:pt>
                <c:pt idx="37" formatCode="0.0">
                  <c:v>95.3</c:v>
                </c:pt>
                <c:pt idx="38" formatCode="0.0">
                  <c:v>95.1</c:v>
                </c:pt>
                <c:pt idx="39" formatCode="0.0">
                  <c:v>93.8</c:v>
                </c:pt>
                <c:pt idx="40" formatCode="0.0">
                  <c:v>94.3</c:v>
                </c:pt>
                <c:pt idx="41" formatCode="0.0">
                  <c:v>93.5</c:v>
                </c:pt>
                <c:pt idx="42" formatCode="0.0">
                  <c:v>94</c:v>
                </c:pt>
                <c:pt idx="43" formatCode="0.0">
                  <c:v>95.3</c:v>
                </c:pt>
                <c:pt idx="44" formatCode="0.0">
                  <c:v>95.2</c:v>
                </c:pt>
                <c:pt idx="45" formatCode="0.0">
                  <c:v>95.2</c:v>
                </c:pt>
                <c:pt idx="46" formatCode="0.0">
                  <c:v>97.5</c:v>
                </c:pt>
                <c:pt idx="47" formatCode="0.0">
                  <c:v>97.1</c:v>
                </c:pt>
                <c:pt idx="48" formatCode="0.0">
                  <c:v>97</c:v>
                </c:pt>
                <c:pt idx="49" formatCode="0.0">
                  <c:v>95.9</c:v>
                </c:pt>
                <c:pt idx="50" formatCode="0.0">
                  <c:v>94.1</c:v>
                </c:pt>
                <c:pt idx="51" formatCode="0.0">
                  <c:v>95.1</c:v>
                </c:pt>
                <c:pt idx="52" formatCode="0.0">
                  <c:v>94.9</c:v>
                </c:pt>
                <c:pt idx="53" formatCode="0.0">
                  <c:v>95.2</c:v>
                </c:pt>
              </c:numCache>
            </c:numRef>
          </c:val>
        </c:ser>
        <c:ser>
          <c:idx val="2"/>
          <c:order val="2"/>
          <c:tx>
            <c:strRef>
              <c:f>'souhrnná výkonnost 2'!$E$5</c:f>
              <c:strCache>
                <c:ptCount val="1"/>
                <c:pt idx="0">
                  <c:v>Důvěra spotřebitelů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'souhrnná výkonnost 2'!$A$18:$B$71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2'!$E$18:$E$71</c:f>
              <c:numCache>
                <c:formatCode>###,###,##0.0</c:formatCode>
                <c:ptCount val="54"/>
                <c:pt idx="0">
                  <c:v>73.8</c:v>
                </c:pt>
                <c:pt idx="1">
                  <c:v>79.5</c:v>
                </c:pt>
                <c:pt idx="2" formatCode="###,###,##0">
                  <c:v>81</c:v>
                </c:pt>
                <c:pt idx="3">
                  <c:v>77.900000000000006</c:v>
                </c:pt>
                <c:pt idx="4" formatCode="###,###,##0">
                  <c:v>82</c:v>
                </c:pt>
                <c:pt idx="5">
                  <c:v>82.8</c:v>
                </c:pt>
                <c:pt idx="6">
                  <c:v>81.3</c:v>
                </c:pt>
                <c:pt idx="7">
                  <c:v>84.9</c:v>
                </c:pt>
                <c:pt idx="8">
                  <c:v>87.7</c:v>
                </c:pt>
                <c:pt idx="9">
                  <c:v>88.5</c:v>
                </c:pt>
                <c:pt idx="10">
                  <c:v>92.8</c:v>
                </c:pt>
                <c:pt idx="11">
                  <c:v>92.6</c:v>
                </c:pt>
                <c:pt idx="12">
                  <c:v>96.9</c:v>
                </c:pt>
                <c:pt idx="13">
                  <c:v>93.1</c:v>
                </c:pt>
                <c:pt idx="14">
                  <c:v>96.7</c:v>
                </c:pt>
                <c:pt idx="15">
                  <c:v>98.4</c:v>
                </c:pt>
                <c:pt idx="16">
                  <c:v>98.2</c:v>
                </c:pt>
                <c:pt idx="17">
                  <c:v>99.4</c:v>
                </c:pt>
                <c:pt idx="18">
                  <c:v>99.9</c:v>
                </c:pt>
                <c:pt idx="19">
                  <c:v>97.9</c:v>
                </c:pt>
                <c:pt idx="20">
                  <c:v>96.3</c:v>
                </c:pt>
                <c:pt idx="21">
                  <c:v>100.2</c:v>
                </c:pt>
                <c:pt idx="22">
                  <c:v>103.6</c:v>
                </c:pt>
                <c:pt idx="23">
                  <c:v>105.1</c:v>
                </c:pt>
                <c:pt idx="24">
                  <c:v>106.7</c:v>
                </c:pt>
                <c:pt idx="25">
                  <c:v>105.7</c:v>
                </c:pt>
                <c:pt idx="26">
                  <c:v>105.7</c:v>
                </c:pt>
                <c:pt idx="27">
                  <c:v>104.3</c:v>
                </c:pt>
                <c:pt idx="28">
                  <c:v>103.6</c:v>
                </c:pt>
                <c:pt idx="29">
                  <c:v>104.3</c:v>
                </c:pt>
                <c:pt idx="30">
                  <c:v>103.6</c:v>
                </c:pt>
                <c:pt idx="31">
                  <c:v>103.6</c:v>
                </c:pt>
                <c:pt idx="32">
                  <c:v>103.3</c:v>
                </c:pt>
                <c:pt idx="33">
                  <c:v>104.8</c:v>
                </c:pt>
                <c:pt idx="34">
                  <c:v>105.3</c:v>
                </c:pt>
                <c:pt idx="35">
                  <c:v>107.4</c:v>
                </c:pt>
                <c:pt idx="36" formatCode="0.0">
                  <c:v>110</c:v>
                </c:pt>
                <c:pt idx="37" formatCode="0.0">
                  <c:v>106.2</c:v>
                </c:pt>
                <c:pt idx="38" formatCode="0.0">
                  <c:v>104.8</c:v>
                </c:pt>
                <c:pt idx="39" formatCode="0.0">
                  <c:v>104.3</c:v>
                </c:pt>
                <c:pt idx="40" formatCode="0.0">
                  <c:v>104.3</c:v>
                </c:pt>
                <c:pt idx="41" formatCode="0.0">
                  <c:v>103.8</c:v>
                </c:pt>
                <c:pt idx="42" formatCode="0.0">
                  <c:v>102.3</c:v>
                </c:pt>
                <c:pt idx="43" formatCode="0.0">
                  <c:v>104.3</c:v>
                </c:pt>
                <c:pt idx="44" formatCode="0.0">
                  <c:v>106.4</c:v>
                </c:pt>
                <c:pt idx="45" formatCode="0.0">
                  <c:v>108.9</c:v>
                </c:pt>
                <c:pt idx="46" formatCode="0.0">
                  <c:v>107.9</c:v>
                </c:pt>
                <c:pt idx="47" formatCode="0.0">
                  <c:v>108.7</c:v>
                </c:pt>
                <c:pt idx="48" formatCode="0.0">
                  <c:v>110</c:v>
                </c:pt>
                <c:pt idx="49" formatCode="0.0">
                  <c:v>108.2</c:v>
                </c:pt>
                <c:pt idx="50" formatCode="0.0">
                  <c:v>108.7</c:v>
                </c:pt>
                <c:pt idx="51" formatCode="0.0">
                  <c:v>108.4</c:v>
                </c:pt>
                <c:pt idx="52" formatCode="0.0">
                  <c:v>108.4</c:v>
                </c:pt>
                <c:pt idx="53" formatCode="0.0">
                  <c:v>106.2</c:v>
                </c:pt>
              </c:numCache>
            </c:numRef>
          </c:val>
        </c:ser>
        <c:ser>
          <c:idx val="1"/>
          <c:order val="3"/>
          <c:tx>
            <c:strRef>
              <c:f>'souhrnná výkonnost 2'!$F$5</c:f>
              <c:strCache>
                <c:ptCount val="1"/>
                <c:pt idx="0">
                  <c:v>Souhrnný indikátor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'souhrnná výkonnost 2'!$A$18:$B$71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'souhrnná výkonnost 2'!$F$18:$F$71</c:f>
              <c:numCache>
                <c:formatCode>###,###,##0.0</c:formatCode>
                <c:ptCount val="54"/>
                <c:pt idx="0">
                  <c:v>82.8</c:v>
                </c:pt>
                <c:pt idx="1">
                  <c:v>84.2</c:v>
                </c:pt>
                <c:pt idx="2">
                  <c:v>84.4</c:v>
                </c:pt>
                <c:pt idx="3">
                  <c:v>81.900000000000006</c:v>
                </c:pt>
                <c:pt idx="4">
                  <c:v>83.3</c:v>
                </c:pt>
                <c:pt idx="5">
                  <c:v>83.8</c:v>
                </c:pt>
                <c:pt idx="6">
                  <c:v>83.6</c:v>
                </c:pt>
                <c:pt idx="7">
                  <c:v>84.8</c:v>
                </c:pt>
                <c:pt idx="8">
                  <c:v>87.5</c:v>
                </c:pt>
                <c:pt idx="9">
                  <c:v>88.9</c:v>
                </c:pt>
                <c:pt idx="10">
                  <c:v>90.4</c:v>
                </c:pt>
                <c:pt idx="11">
                  <c:v>91.2</c:v>
                </c:pt>
                <c:pt idx="12">
                  <c:v>91.3</c:v>
                </c:pt>
                <c:pt idx="13">
                  <c:v>91.2</c:v>
                </c:pt>
                <c:pt idx="14">
                  <c:v>92.4</c:v>
                </c:pt>
                <c:pt idx="15">
                  <c:v>92.6</c:v>
                </c:pt>
                <c:pt idx="16">
                  <c:v>92.6</c:v>
                </c:pt>
                <c:pt idx="17">
                  <c:v>93.6</c:v>
                </c:pt>
                <c:pt idx="18" formatCode="###,###,##0">
                  <c:v>93</c:v>
                </c:pt>
                <c:pt idx="19">
                  <c:v>93.4</c:v>
                </c:pt>
                <c:pt idx="20">
                  <c:v>93.7</c:v>
                </c:pt>
                <c:pt idx="21">
                  <c:v>94.1</c:v>
                </c:pt>
                <c:pt idx="22">
                  <c:v>95.2</c:v>
                </c:pt>
                <c:pt idx="23">
                  <c:v>96.5</c:v>
                </c:pt>
                <c:pt idx="24">
                  <c:v>96.4</c:v>
                </c:pt>
                <c:pt idx="25">
                  <c:v>95.5</c:v>
                </c:pt>
                <c:pt idx="26">
                  <c:v>95.1</c:v>
                </c:pt>
                <c:pt idx="27">
                  <c:v>95.1</c:v>
                </c:pt>
                <c:pt idx="28">
                  <c:v>95.5</c:v>
                </c:pt>
                <c:pt idx="29" formatCode="###,###,##0">
                  <c:v>97</c:v>
                </c:pt>
                <c:pt idx="30">
                  <c:v>96.1</c:v>
                </c:pt>
                <c:pt idx="31">
                  <c:v>95.7</c:v>
                </c:pt>
                <c:pt idx="32">
                  <c:v>95.9</c:v>
                </c:pt>
                <c:pt idx="33">
                  <c:v>95.1</c:v>
                </c:pt>
                <c:pt idx="34" formatCode="###,###,##0">
                  <c:v>96</c:v>
                </c:pt>
                <c:pt idx="35">
                  <c:v>96.5</c:v>
                </c:pt>
                <c:pt idx="36" formatCode="0.0">
                  <c:v>98.4</c:v>
                </c:pt>
                <c:pt idx="37" formatCode="0.0">
                  <c:v>97.1</c:v>
                </c:pt>
                <c:pt idx="38" formatCode="0.0">
                  <c:v>96.7</c:v>
                </c:pt>
                <c:pt idx="39" formatCode="0.0">
                  <c:v>95.6</c:v>
                </c:pt>
                <c:pt idx="40" formatCode="0.0">
                  <c:v>96</c:v>
                </c:pt>
                <c:pt idx="41" formatCode="0.0">
                  <c:v>95.3</c:v>
                </c:pt>
                <c:pt idx="42" formatCode="0.0">
                  <c:v>95.4</c:v>
                </c:pt>
                <c:pt idx="43" formatCode="0.0">
                  <c:v>96.8</c:v>
                </c:pt>
                <c:pt idx="44" formatCode="0.0">
                  <c:v>97.1</c:v>
                </c:pt>
                <c:pt idx="45" formatCode="0.0">
                  <c:v>97.5</c:v>
                </c:pt>
                <c:pt idx="46" formatCode="0.0">
                  <c:v>99.3</c:v>
                </c:pt>
                <c:pt idx="47" formatCode="0.0">
                  <c:v>99.1</c:v>
                </c:pt>
                <c:pt idx="48" formatCode="0.0">
                  <c:v>99.2</c:v>
                </c:pt>
                <c:pt idx="49" formatCode="0.0">
                  <c:v>98</c:v>
                </c:pt>
                <c:pt idx="50" formatCode="0.0">
                  <c:v>96.6</c:v>
                </c:pt>
                <c:pt idx="51" formatCode="0.0">
                  <c:v>97.4</c:v>
                </c:pt>
                <c:pt idx="52" formatCode="0.0">
                  <c:v>97.2</c:v>
                </c:pt>
                <c:pt idx="53" formatCode="0.0">
                  <c:v>97.1</c:v>
                </c:pt>
              </c:numCache>
            </c:numRef>
          </c:val>
        </c:ser>
        <c:marker val="1"/>
        <c:axId val="91670784"/>
        <c:axId val="92942336"/>
      </c:lineChart>
      <c:catAx>
        <c:axId val="9167078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92942336"/>
        <c:crossesAt val="100"/>
        <c:auto val="1"/>
        <c:lblAlgn val="ctr"/>
        <c:lblOffset val="100"/>
      </c:catAx>
      <c:valAx>
        <c:axId val="92942336"/>
        <c:scaling>
          <c:orientation val="minMax"/>
          <c:max val="130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91670784"/>
        <c:crosses val="autoZero"/>
        <c:crossBetween val="between"/>
        <c:majorUnit val="5"/>
      </c:valAx>
      <c:valAx>
        <c:axId val="92943872"/>
        <c:scaling>
          <c:orientation val="minMax"/>
          <c:min val="-6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92945408"/>
        <c:crosses val="max"/>
        <c:crossBetween val="between"/>
        <c:majorUnit val="1"/>
      </c:valAx>
      <c:catAx>
        <c:axId val="92945408"/>
        <c:scaling>
          <c:orientation val="minMax"/>
        </c:scaling>
        <c:delete val="1"/>
        <c:axPos val="b"/>
        <c:tickLblPos val="none"/>
        <c:crossAx val="92943872"/>
        <c:crossesAt val="0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2295583422442583E-2"/>
          <c:y val="0.90228835978835475"/>
          <c:w val="0.88075331324325201"/>
          <c:h val="8.264578408195417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6948352704928246E-2"/>
          <c:y val="2.8458510079622041E-2"/>
          <c:w val="0.93956464282120356"/>
          <c:h val="0.6497469886299676"/>
        </c:manualLayout>
      </c:layout>
      <c:barChart>
        <c:barDir val="col"/>
        <c:grouping val="stacked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3'!$D$10:$D$27</c:f>
              <c:numCache>
                <c:formatCode>#,##0.0</c:formatCode>
                <c:ptCount val="18"/>
                <c:pt idx="0">
                  <c:v>0.40597446298276729</c:v>
                </c:pt>
                <c:pt idx="1">
                  <c:v>0.39628462481417626</c:v>
                </c:pt>
                <c:pt idx="2">
                  <c:v>0.10072438430113133</c:v>
                </c:pt>
                <c:pt idx="3">
                  <c:v>-0.14406158457489249</c:v>
                </c:pt>
                <c:pt idx="4">
                  <c:v>-0.3419124833646755</c:v>
                </c:pt>
                <c:pt idx="5">
                  <c:v>9.7003151816959683E-3</c:v>
                </c:pt>
                <c:pt idx="6">
                  <c:v>0.64252536968968466</c:v>
                </c:pt>
                <c:pt idx="7">
                  <c:v>1.1251665920999614</c:v>
                </c:pt>
                <c:pt idx="8">
                  <c:v>0.95996723394403682</c:v>
                </c:pt>
                <c:pt idx="9">
                  <c:v>0.88418646707186344</c:v>
                </c:pt>
                <c:pt idx="10">
                  <c:v>0.95576447741813453</c:v>
                </c:pt>
                <c:pt idx="11">
                  <c:v>1.1866830908443908</c:v>
                </c:pt>
                <c:pt idx="12">
                  <c:v>1.122020889517066</c:v>
                </c:pt>
                <c:pt idx="13">
                  <c:v>1.2236602908141587</c:v>
                </c:pt>
                <c:pt idx="14">
                  <c:v>1.3569551772034671</c:v>
                </c:pt>
                <c:pt idx="15">
                  <c:v>1.1073481536560259</c:v>
                </c:pt>
                <c:pt idx="16">
                  <c:v>1.246260527529943</c:v>
                </c:pt>
                <c:pt idx="17">
                  <c:v>1.5476506772729333</c:v>
                </c:pt>
              </c:numCache>
            </c:numRef>
          </c:val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3'!$E$10:$E$27</c:f>
              <c:numCache>
                <c:formatCode>#,##0.0</c:formatCode>
                <c:ptCount val="18"/>
                <c:pt idx="0">
                  <c:v>0.29182349651824074</c:v>
                </c:pt>
                <c:pt idx="1">
                  <c:v>0.39883827436684877</c:v>
                </c:pt>
                <c:pt idx="2">
                  <c:v>0.61835595894915063</c:v>
                </c:pt>
                <c:pt idx="3">
                  <c:v>0.49997414143888308</c:v>
                </c:pt>
                <c:pt idx="4">
                  <c:v>0.24721971722961228</c:v>
                </c:pt>
                <c:pt idx="5">
                  <c:v>0.35050457281023051</c:v>
                </c:pt>
                <c:pt idx="6">
                  <c:v>8.4527068204702321E-2</c:v>
                </c:pt>
                <c:pt idx="7">
                  <c:v>0.28017686102842665</c:v>
                </c:pt>
                <c:pt idx="8">
                  <c:v>0.38356988684026655</c:v>
                </c:pt>
                <c:pt idx="9">
                  <c:v>0.3866590710293154</c:v>
                </c:pt>
                <c:pt idx="10">
                  <c:v>0.60627256929248252</c:v>
                </c:pt>
                <c:pt idx="11">
                  <c:v>0.5639728704360647</c:v>
                </c:pt>
                <c:pt idx="12">
                  <c:v>0.33602278185610329</c:v>
                </c:pt>
                <c:pt idx="13">
                  <c:v>0.41149254163913818</c:v>
                </c:pt>
                <c:pt idx="14">
                  <c:v>0.34012918105702789</c:v>
                </c:pt>
                <c:pt idx="15">
                  <c:v>0.3862607771702411</c:v>
                </c:pt>
                <c:pt idx="16">
                  <c:v>0.45390209197023257</c:v>
                </c:pt>
                <c:pt idx="17">
                  <c:v>0.3455470563895392</c:v>
                </c:pt>
              </c:numCache>
            </c:numRef>
          </c:val>
        </c:ser>
        <c:ser>
          <c:idx val="3"/>
          <c:order val="3"/>
          <c:tx>
            <c:strRef>
              <c:f>'souhrnná výkonnost 3'!$J$5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3'!$J$10:$J$27</c:f>
              <c:numCache>
                <c:formatCode>#,##0.0</c:formatCode>
                <c:ptCount val="18"/>
                <c:pt idx="0">
                  <c:v>-1.3565537417116735</c:v>
                </c:pt>
                <c:pt idx="1">
                  <c:v>-2.8563879245256736</c:v>
                </c:pt>
                <c:pt idx="2">
                  <c:v>-8.4138539479111193E-2</c:v>
                </c:pt>
                <c:pt idx="3">
                  <c:v>0.37621790098269403</c:v>
                </c:pt>
                <c:pt idx="4">
                  <c:v>-6.4217717901764906E-2</c:v>
                </c:pt>
                <c:pt idx="5">
                  <c:v>1.7432034404711898</c:v>
                </c:pt>
                <c:pt idx="6">
                  <c:v>1.1897955210010227</c:v>
                </c:pt>
                <c:pt idx="7">
                  <c:v>0.47141627966226568</c:v>
                </c:pt>
                <c:pt idx="8">
                  <c:v>2.995551102866798</c:v>
                </c:pt>
                <c:pt idx="9">
                  <c:v>3.9932674109015083</c:v>
                </c:pt>
                <c:pt idx="10">
                  <c:v>2.7507831059265127</c:v>
                </c:pt>
                <c:pt idx="11">
                  <c:v>1.0081209599196153</c:v>
                </c:pt>
                <c:pt idx="12">
                  <c:v>1.0273007963049348</c:v>
                </c:pt>
                <c:pt idx="13">
                  <c:v>-0.96946155529155886</c:v>
                </c:pt>
                <c:pt idx="14">
                  <c:v>-0.51354041218169932</c:v>
                </c:pt>
                <c:pt idx="15">
                  <c:v>-0.21949598559678893</c:v>
                </c:pt>
                <c:pt idx="16">
                  <c:v>-0.94141467984859595</c:v>
                </c:pt>
                <c:pt idx="17">
                  <c:v>0.65000266309612464</c:v>
                </c:pt>
              </c:numCache>
            </c:numRef>
          </c:val>
        </c:ser>
        <c:ser>
          <c:idx val="1"/>
          <c:order val="4"/>
          <c:tx>
            <c:strRef>
              <c:f>'souhrnná výkonnost 3'!$H$5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3'!$H$10:$H$27</c:f>
              <c:numCache>
                <c:formatCode>#,##0.0</c:formatCode>
                <c:ptCount val="18"/>
                <c:pt idx="0">
                  <c:v>-1.1212539863066799</c:v>
                </c:pt>
                <c:pt idx="1">
                  <c:v>0.92540979141000812</c:v>
                </c:pt>
                <c:pt idx="2">
                  <c:v>-1.0354498395259251</c:v>
                </c:pt>
                <c:pt idx="3">
                  <c:v>0.55721289260917972</c:v>
                </c:pt>
                <c:pt idx="4">
                  <c:v>1.8104123228453377</c:v>
                </c:pt>
                <c:pt idx="5">
                  <c:v>0.25472480422095273</c:v>
                </c:pt>
                <c:pt idx="6">
                  <c:v>1.4702269856408019</c:v>
                </c:pt>
                <c:pt idx="7">
                  <c:v>1.475544175407008</c:v>
                </c:pt>
                <c:pt idx="8">
                  <c:v>0.87270670480565737</c:v>
                </c:pt>
                <c:pt idx="9">
                  <c:v>0.56954370937031307</c:v>
                </c:pt>
                <c:pt idx="10">
                  <c:v>1.4131260319789174</c:v>
                </c:pt>
                <c:pt idx="11">
                  <c:v>2.1455063702622859</c:v>
                </c:pt>
                <c:pt idx="12">
                  <c:v>1.0557410423051248</c:v>
                </c:pt>
                <c:pt idx="13">
                  <c:v>2.1496812176393947</c:v>
                </c:pt>
                <c:pt idx="14">
                  <c:v>0.65095065525561568</c:v>
                </c:pt>
                <c:pt idx="15">
                  <c:v>0.49407696770870019</c:v>
                </c:pt>
                <c:pt idx="16">
                  <c:v>2.19314556237196</c:v>
                </c:pt>
                <c:pt idx="17">
                  <c:v>2.1128651890066776</c:v>
                </c:pt>
              </c:numCache>
            </c:numRef>
          </c:val>
        </c:ser>
        <c:gapWidth val="40"/>
        <c:overlap val="100"/>
        <c:axId val="92981120"/>
        <c:axId val="92982656"/>
      </c:barChart>
      <c:lineChart>
        <c:grouping val="standard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3'!$C$10:$C$27</c:f>
              <c:numCache>
                <c:formatCode>#,##0.0</c:formatCode>
                <c:ptCount val="18"/>
                <c:pt idx="0">
                  <c:v>-1.7511683134985219</c:v>
                </c:pt>
                <c:pt idx="1">
                  <c:v>-1.1225511599608569</c:v>
                </c:pt>
                <c:pt idx="2">
                  <c:v>-0.3518733567189688</c:v>
                </c:pt>
                <c:pt idx="3">
                  <c:v>1.3064560933108733</c:v>
                </c:pt>
                <c:pt idx="4">
                  <c:v>1.6429317745401271</c:v>
                </c:pt>
                <c:pt idx="5">
                  <c:v>2.3799514502212817</c:v>
                </c:pt>
                <c:pt idx="6">
                  <c:v>3.4229941989101702</c:v>
                </c:pt>
                <c:pt idx="7">
                  <c:v>3.3996850847558426</c:v>
                </c:pt>
                <c:pt idx="8">
                  <c:v>5.1924491451289025</c:v>
                </c:pt>
                <c:pt idx="9">
                  <c:v>5.7975987955825801</c:v>
                </c:pt>
                <c:pt idx="10">
                  <c:v>5.6880052521313971</c:v>
                </c:pt>
                <c:pt idx="11">
                  <c:v>4.880725514351437</c:v>
                </c:pt>
                <c:pt idx="12">
                  <c:v>3.5408169174491047</c:v>
                </c:pt>
                <c:pt idx="13">
                  <c:v>2.8477395147454381</c:v>
                </c:pt>
                <c:pt idx="14">
                  <c:v>1.843939906776336</c:v>
                </c:pt>
                <c:pt idx="15">
                  <c:v>1.765441823480645</c:v>
                </c:pt>
                <c:pt idx="16">
                  <c:v>2.9918698816459828</c:v>
                </c:pt>
                <c:pt idx="17">
                  <c:v>4.6799728703031329</c:v>
                </c:pt>
              </c:numCache>
            </c:numRef>
          </c:val>
        </c:ser>
        <c:marker val="1"/>
        <c:axId val="92981120"/>
        <c:axId val="92982656"/>
      </c:lineChart>
      <c:catAx>
        <c:axId val="9298112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2982656"/>
        <c:crosses val="autoZero"/>
        <c:auto val="1"/>
        <c:lblAlgn val="ctr"/>
        <c:lblOffset val="100"/>
      </c:catAx>
      <c:valAx>
        <c:axId val="92982656"/>
        <c:scaling>
          <c:orientation val="minMax"/>
          <c:max val="6"/>
          <c:min val="-4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9298112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891184424094004E-2"/>
          <c:y val="0.79301446583361457"/>
          <c:w val="0.94049666651103803"/>
          <c:h val="0.1901432511538893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4404035346808805E-2"/>
          <c:y val="3.7154479717354444E-2"/>
          <c:w val="0.9367493719583041"/>
          <c:h val="0.63445260610154264"/>
        </c:manualLayout>
      </c:layout>
      <c:barChart>
        <c:barDir val="col"/>
        <c:grouping val="stacked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'souhrnná výkonnost 4'!$C$10:$C$27</c:f>
              <c:numCache>
                <c:formatCode>#,##0.0</c:formatCode>
                <c:ptCount val="18"/>
                <c:pt idx="0">
                  <c:v>-4.4699648816173963E-2</c:v>
                </c:pt>
                <c:pt idx="1">
                  <c:v>-0.11466415714155999</c:v>
                </c:pt>
                <c:pt idx="2">
                  <c:v>-8.9941431175314654E-2</c:v>
                </c:pt>
                <c:pt idx="3">
                  <c:v>-6.1245633202245443E-3</c:v>
                </c:pt>
                <c:pt idx="4">
                  <c:v>9.4408798336974964E-2</c:v>
                </c:pt>
                <c:pt idx="5">
                  <c:v>0.23066751983404632</c:v>
                </c:pt>
                <c:pt idx="6">
                  <c:v>0.28225200568902681</c:v>
                </c:pt>
                <c:pt idx="7">
                  <c:v>0.25875789622783918</c:v>
                </c:pt>
                <c:pt idx="8">
                  <c:v>0.23202547241325647</c:v>
                </c:pt>
                <c:pt idx="9">
                  <c:v>0.1519285796170429</c:v>
                </c:pt>
                <c:pt idx="10">
                  <c:v>0.12094967534777865</c:v>
                </c:pt>
                <c:pt idx="11">
                  <c:v>0.10040143726492615</c:v>
                </c:pt>
                <c:pt idx="12">
                  <c:v>0.13957559104473763</c:v>
                </c:pt>
                <c:pt idx="13">
                  <c:v>0.21132726920557363</c:v>
                </c:pt>
                <c:pt idx="14">
                  <c:v>0.25387931030712041</c:v>
                </c:pt>
                <c:pt idx="15">
                  <c:v>0.31886734542080347</c:v>
                </c:pt>
                <c:pt idx="16">
                  <c:v>0.22179964495936691</c:v>
                </c:pt>
                <c:pt idx="17">
                  <c:v>0.15695247767469425</c:v>
                </c:pt>
              </c:numCache>
            </c:numRef>
          </c:val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'souhrnná výkonnost 4'!$D$10:$D$27</c:f>
              <c:numCache>
                <c:formatCode>#,##0.0</c:formatCode>
                <c:ptCount val="18"/>
                <c:pt idx="0">
                  <c:v>-0.80190174195229758</c:v>
                </c:pt>
                <c:pt idx="1">
                  <c:v>-0.63316913532183261</c:v>
                </c:pt>
                <c:pt idx="2">
                  <c:v>-0.65799971762020126</c:v>
                </c:pt>
                <c:pt idx="3">
                  <c:v>-0.58767125058761094</c:v>
                </c:pt>
                <c:pt idx="4">
                  <c:v>0.4266963168742624</c:v>
                </c:pt>
                <c:pt idx="5">
                  <c:v>1.1788143597117149</c:v>
                </c:pt>
                <c:pt idx="6">
                  <c:v>1.9647162979641093</c:v>
                </c:pt>
                <c:pt idx="7">
                  <c:v>2.5539363152168306</c:v>
                </c:pt>
                <c:pt idx="8">
                  <c:v>2.1478703755568072</c:v>
                </c:pt>
                <c:pt idx="9">
                  <c:v>1.6166800300274804</c:v>
                </c:pt>
                <c:pt idx="10">
                  <c:v>1.4270095405518384</c:v>
                </c:pt>
                <c:pt idx="11">
                  <c:v>0.65863363852355827</c:v>
                </c:pt>
                <c:pt idx="12">
                  <c:v>1.1730324306135247</c:v>
                </c:pt>
                <c:pt idx="13">
                  <c:v>1.8409531560333299</c:v>
                </c:pt>
                <c:pt idx="14">
                  <c:v>1.8950378832938781</c:v>
                </c:pt>
                <c:pt idx="15">
                  <c:v>2.2496949915383953</c:v>
                </c:pt>
                <c:pt idx="16">
                  <c:v>1.8995846401079755</c:v>
                </c:pt>
                <c:pt idx="17">
                  <c:v>2.1392875048258957</c:v>
                </c:pt>
              </c:numCache>
            </c:numRef>
          </c:val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B,D,E)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'souhrnná výkonnost 4'!$E$10:$E$27</c:f>
              <c:numCache>
                <c:formatCode>0.0</c:formatCode>
                <c:ptCount val="18"/>
                <c:pt idx="0">
                  <c:v>-0.99676396653493249</c:v>
                </c:pt>
                <c:pt idx="1">
                  <c:v>-0.99862189727617812</c:v>
                </c:pt>
                <c:pt idx="2">
                  <c:v>-0.64102712488527125</c:v>
                </c:pt>
                <c:pt idx="3">
                  <c:v>-0.2376831237571034</c:v>
                </c:pt>
                <c:pt idx="4">
                  <c:v>0.34101321981670818</c:v>
                </c:pt>
                <c:pt idx="5">
                  <c:v>0.10905314809036515</c:v>
                </c:pt>
                <c:pt idx="6">
                  <c:v>-0.12299518913780627</c:v>
                </c:pt>
                <c:pt idx="7">
                  <c:v>-0.11606163720933306</c:v>
                </c:pt>
                <c:pt idx="8">
                  <c:v>-0.13641374514700313</c:v>
                </c:pt>
                <c:pt idx="9">
                  <c:v>2.6994603690324383E-2</c:v>
                </c:pt>
                <c:pt idx="10">
                  <c:v>-2.4696121131873472E-2</c:v>
                </c:pt>
                <c:pt idx="11">
                  <c:v>-8.11234224748206E-2</c:v>
                </c:pt>
                <c:pt idx="12">
                  <c:v>-0.25523928298471665</c:v>
                </c:pt>
                <c:pt idx="13">
                  <c:v>-0.25608606894098324</c:v>
                </c:pt>
                <c:pt idx="14">
                  <c:v>-0.25707511147730044</c:v>
                </c:pt>
                <c:pt idx="15">
                  <c:v>-0.26726875277732276</c:v>
                </c:pt>
                <c:pt idx="16">
                  <c:v>8.3886819619998193E-2</c:v>
                </c:pt>
                <c:pt idx="17">
                  <c:v>-3.2418402893197751E-2</c:v>
                </c:pt>
              </c:numCache>
            </c:numRef>
          </c:val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'souhrnná výkonnost 4'!$F$10:$F$27</c:f>
              <c:numCache>
                <c:formatCode>#,##0.0</c:formatCode>
                <c:ptCount val="18"/>
                <c:pt idx="0">
                  <c:v>-9.7833498488409248E-2</c:v>
                </c:pt>
                <c:pt idx="1">
                  <c:v>7.0101451917918098E-2</c:v>
                </c:pt>
                <c:pt idx="2">
                  <c:v>0.14066955556231131</c:v>
                </c:pt>
                <c:pt idx="3">
                  <c:v>0.16590826997768471</c:v>
                </c:pt>
                <c:pt idx="4">
                  <c:v>0.20380087901239571</c:v>
                </c:pt>
                <c:pt idx="5">
                  <c:v>7.707944200185142E-2</c:v>
                </c:pt>
                <c:pt idx="6">
                  <c:v>3.6125144783951582E-2</c:v>
                </c:pt>
                <c:pt idx="7">
                  <c:v>0.1386119238817608</c:v>
                </c:pt>
                <c:pt idx="8">
                  <c:v>0.1004407238403428</c:v>
                </c:pt>
                <c:pt idx="9">
                  <c:v>0.26610784775566931</c:v>
                </c:pt>
                <c:pt idx="10">
                  <c:v>0.35569158305836607</c:v>
                </c:pt>
                <c:pt idx="11">
                  <c:v>0.16508861905557687</c:v>
                </c:pt>
                <c:pt idx="12">
                  <c:v>6.0176601627870245E-2</c:v>
                </c:pt>
                <c:pt idx="13">
                  <c:v>-0.13874288331323095</c:v>
                </c:pt>
                <c:pt idx="14">
                  <c:v>-0.25240045091449731</c:v>
                </c:pt>
                <c:pt idx="15">
                  <c:v>-0.22682214751648944</c:v>
                </c:pt>
                <c:pt idx="16" formatCode="0.0">
                  <c:v>-4.889007184838555E-2</c:v>
                </c:pt>
                <c:pt idx="17" formatCode="0.0">
                  <c:v>0.17059355081672647</c:v>
                </c:pt>
              </c:numCache>
            </c:numRef>
          </c:val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val>
            <c:numRef>
              <c:f>'souhrnná výkonnost 4'!$G$10:$G$27</c:f>
              <c:numCache>
                <c:formatCode>0.0</c:formatCode>
                <c:ptCount val="18"/>
                <c:pt idx="0">
                  <c:v>0.37644839519994461</c:v>
                </c:pt>
                <c:pt idx="1">
                  <c:v>0.81261671036245109</c:v>
                </c:pt>
                <c:pt idx="2">
                  <c:v>1.0166947027297963</c:v>
                </c:pt>
                <c:pt idx="3">
                  <c:v>1.3689952261875691</c:v>
                </c:pt>
                <c:pt idx="4">
                  <c:v>1.2580269123349064</c:v>
                </c:pt>
                <c:pt idx="5">
                  <c:v>1.3856652786986978</c:v>
                </c:pt>
                <c:pt idx="6">
                  <c:v>1.6254915583254326</c:v>
                </c:pt>
                <c:pt idx="7">
                  <c:v>1.6641765372351613</c:v>
                </c:pt>
                <c:pt idx="8">
                  <c:v>2.2624440762395142</c:v>
                </c:pt>
                <c:pt idx="9">
                  <c:v>2.9696553573602107</c:v>
                </c:pt>
                <c:pt idx="10">
                  <c:v>3.3867849325780148</c:v>
                </c:pt>
                <c:pt idx="11">
                  <c:v>3.5053477898363856</c:v>
                </c:pt>
                <c:pt idx="12">
                  <c:v>2.2395224984374327</c:v>
                </c:pt>
                <c:pt idx="13">
                  <c:v>1.1310584414837392</c:v>
                </c:pt>
                <c:pt idx="14">
                  <c:v>0.12888406553309981</c:v>
                </c:pt>
                <c:pt idx="15">
                  <c:v>-0.27609394109782032</c:v>
                </c:pt>
                <c:pt idx="16">
                  <c:v>0.79189102078931872</c:v>
                </c:pt>
                <c:pt idx="17">
                  <c:v>2.2391029504022959</c:v>
                </c:pt>
              </c:numCache>
            </c:numRef>
          </c:val>
        </c:ser>
        <c:gapWidth val="70"/>
        <c:overlap val="100"/>
        <c:axId val="96680960"/>
        <c:axId val="96711424"/>
      </c:barChart>
      <c:lineChart>
        <c:grouping val="standard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'souhrnná výkonnost 4'!$H$10:$H$27</c:f>
              <c:numCache>
                <c:formatCode>#,##0.0</c:formatCode>
                <c:ptCount val="18"/>
                <c:pt idx="0">
                  <c:v>-1.5564064599066569</c:v>
                </c:pt>
                <c:pt idx="1">
                  <c:v>-0.85476160118254663</c:v>
                </c:pt>
                <c:pt idx="2">
                  <c:v>-0.23921578851919487</c:v>
                </c:pt>
                <c:pt idx="3">
                  <c:v>0.69357314385266478</c:v>
                </c:pt>
                <c:pt idx="4">
                  <c:v>2.3418618184973092</c:v>
                </c:pt>
                <c:pt idx="5">
                  <c:v>2.985370050914538</c:v>
                </c:pt>
                <c:pt idx="6">
                  <c:v>3.7747323841488196</c:v>
                </c:pt>
                <c:pt idx="7">
                  <c:v>4.4884230044466529</c:v>
                </c:pt>
                <c:pt idx="8">
                  <c:v>4.6030533672095215</c:v>
                </c:pt>
                <c:pt idx="9">
                  <c:v>5.0290309680465768</c:v>
                </c:pt>
                <c:pt idx="10">
                  <c:v>5.2622941596795165</c:v>
                </c:pt>
                <c:pt idx="11">
                  <c:v>4.357242052869359</c:v>
                </c:pt>
                <c:pt idx="12">
                  <c:v>3.3617514038440413</c:v>
                </c:pt>
                <c:pt idx="13">
                  <c:v>2.7921029280771741</c:v>
                </c:pt>
                <c:pt idx="14">
                  <c:v>1.7671103559341113</c:v>
                </c:pt>
                <c:pt idx="15">
                  <c:v>1.7915027023020438</c:v>
                </c:pt>
                <c:pt idx="16">
                  <c:v>2.9899771506961343</c:v>
                </c:pt>
                <c:pt idx="17">
                  <c:v>4.6840182085208655</c:v>
                </c:pt>
              </c:numCache>
            </c:numRef>
          </c:val>
        </c:ser>
        <c:marker val="1"/>
        <c:axId val="96680960"/>
        <c:axId val="96711424"/>
      </c:lineChart>
      <c:catAx>
        <c:axId val="9668096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6711424"/>
        <c:crosses val="autoZero"/>
        <c:auto val="1"/>
        <c:lblAlgn val="ctr"/>
        <c:lblOffset val="100"/>
      </c:catAx>
      <c:valAx>
        <c:axId val="96711424"/>
        <c:scaling>
          <c:orientation val="minMax"/>
          <c:max val="6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9668096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8782884397989404E-2"/>
          <c:y val="0.79016604750647301"/>
          <c:w val="0.92922619274506457"/>
          <c:h val="0.194624845209950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45A52-AD80-4486-8039-AB0A15D72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2074C-AC22-478A-BC64-455DAC88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4</TotalTime>
  <Pages>1</Pages>
  <Words>1415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9749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5</cp:revision>
  <cp:lastPrinted>2017-03-16T10:07:00Z</cp:lastPrinted>
  <dcterms:created xsi:type="dcterms:W3CDTF">2017-09-20T13:13:00Z</dcterms:created>
  <dcterms:modified xsi:type="dcterms:W3CDTF">2017-09-20T13:34:00Z</dcterms:modified>
</cp:coreProperties>
</file>