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DD0726">
      <w:pPr>
        <w:pStyle w:val="Nadpis1"/>
        <w:numPr>
          <w:ilvl w:val="0"/>
          <w:numId w:val="12"/>
        </w:numPr>
        <w:ind w:left="709"/>
        <w:jc w:val="both"/>
      </w:pPr>
      <w:bookmarkStart w:id="0" w:name="_Toc469299932"/>
      <w:bookmarkStart w:id="1" w:name="_Toc493683636"/>
      <w:bookmarkStart w:id="2" w:name="_Toc469299933"/>
      <w:r>
        <w:t>V</w:t>
      </w:r>
      <w:r w:rsidRPr="00A74192">
        <w:t>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143"/>
        <w:gridCol w:w="2533"/>
        <w:gridCol w:w="3703"/>
      </w:tblGrid>
      <w:tr w:rsidR="00DD0726" w:rsidRPr="00A74192" w:rsidTr="008C0F87">
        <w:tc>
          <w:tcPr>
            <w:tcW w:w="1015" w:type="pct"/>
          </w:tcPr>
          <w:p w:rsidR="00DD0726" w:rsidRPr="00532819" w:rsidRDefault="00DD0726" w:rsidP="008C0F87">
            <w:pPr>
              <w:spacing w:line="240" w:lineRule="auto"/>
              <w:rPr>
                <w:sz w:val="16"/>
                <w:szCs w:val="16"/>
              </w:rPr>
            </w:pPr>
            <w:r w:rsidRPr="00532819">
              <w:rPr>
                <w:sz w:val="16"/>
                <w:szCs w:val="16"/>
              </w:rPr>
              <w:t>Na běžném účtu platební bilance bylo opět dosaženo přebytku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DC21E2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DC21E2">
              <w:rPr>
                <w:spacing w:val="-4"/>
              </w:rPr>
              <w:t>Saldo běžného účtu platební bilance v 1. pololetí 2017 dosáhlo 9</w:t>
            </w:r>
            <w:r>
              <w:rPr>
                <w:spacing w:val="-4"/>
              </w:rPr>
              <w:t>0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0</w:t>
            </w:r>
            <w:r w:rsidRPr="00DC21E2">
              <w:rPr>
                <w:spacing w:val="-4"/>
              </w:rPr>
              <w:t xml:space="preserve"> mld. korun a</w:t>
            </w:r>
            <w:r>
              <w:rPr>
                <w:spacing w:val="-4"/>
              </w:rPr>
              <w:t> </w:t>
            </w:r>
            <w:r w:rsidRPr="00DC21E2">
              <w:rPr>
                <w:spacing w:val="-4"/>
              </w:rPr>
              <w:t xml:space="preserve">meziročně se snížilo o </w:t>
            </w:r>
            <w:r>
              <w:rPr>
                <w:spacing w:val="-4"/>
              </w:rPr>
              <w:t>8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3</w:t>
            </w:r>
            <w:r w:rsidRPr="00DC21E2">
              <w:rPr>
                <w:spacing w:val="-4"/>
              </w:rPr>
              <w:t xml:space="preserve"> mld. korun. </w:t>
            </w:r>
            <w:r>
              <w:rPr>
                <w:spacing w:val="-4"/>
              </w:rPr>
              <w:t>Přebytek obchodu se zbožím zůstal prakticky nezměněn a dosáhl 165,5 mld., přebytek obchodu se službami se zvýšil o 7,6 mld. korun.</w:t>
            </w:r>
            <w:r w:rsidRPr="00DC21E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Ve směru deficitu působilo saldo </w:t>
            </w:r>
            <w:r w:rsidRPr="00DC21E2">
              <w:rPr>
                <w:spacing w:val="-4"/>
              </w:rPr>
              <w:t>prvotních důchodů (dosáhl</w:t>
            </w:r>
            <w:r>
              <w:rPr>
                <w:spacing w:val="-4"/>
              </w:rPr>
              <w:t>o</w:t>
            </w:r>
            <w:r w:rsidRPr="00DC21E2">
              <w:rPr>
                <w:spacing w:val="-4"/>
              </w:rPr>
              <w:t xml:space="preserve"> </w:t>
            </w:r>
            <w:r>
              <w:rPr>
                <w:spacing w:val="-4"/>
              </w:rPr>
              <w:t>102,1 </w:t>
            </w:r>
            <w:r w:rsidRPr="00DC21E2">
              <w:rPr>
                <w:spacing w:val="-4"/>
              </w:rPr>
              <w:t>mld.</w:t>
            </w:r>
            <w:r>
              <w:rPr>
                <w:spacing w:val="-4"/>
              </w:rPr>
              <w:t xml:space="preserve"> korun</w:t>
            </w:r>
            <w:r w:rsidRPr="00DC21E2">
              <w:rPr>
                <w:spacing w:val="-4"/>
              </w:rPr>
              <w:t xml:space="preserve">, </w:t>
            </w:r>
            <w:r>
              <w:rPr>
                <w:spacing w:val="-4"/>
              </w:rPr>
              <w:t>meziročně se snížilo</w:t>
            </w:r>
            <w:r w:rsidRPr="00DC21E2">
              <w:rPr>
                <w:spacing w:val="-4"/>
              </w:rPr>
              <w:t xml:space="preserve"> o </w:t>
            </w:r>
            <w:r>
              <w:rPr>
                <w:spacing w:val="-4"/>
              </w:rPr>
              <w:t>9,5</w:t>
            </w:r>
            <w:r w:rsidRPr="00DC21E2">
              <w:rPr>
                <w:spacing w:val="-4"/>
              </w:rPr>
              <w:t xml:space="preserve"> mld.)</w:t>
            </w:r>
            <w:r>
              <w:rPr>
                <w:spacing w:val="-4"/>
              </w:rPr>
              <w:t xml:space="preserve">, na němž měl největší podíl čistý odliv důchodů z investic. Ten v 1. pololetí dosáhl 143,7 mld. korun. O 25,7 mld. se prohloubil </w:t>
            </w:r>
            <w:r w:rsidRPr="00DC21E2">
              <w:rPr>
                <w:spacing w:val="-4"/>
              </w:rPr>
              <w:t>deficit druhotných důchodů</w:t>
            </w:r>
            <w:r>
              <w:rPr>
                <w:spacing w:val="-4"/>
              </w:rPr>
              <w:t>.</w:t>
            </w:r>
            <w:r w:rsidRPr="00DC21E2">
              <w:rPr>
                <w:spacing w:val="-4"/>
              </w:rPr>
              <w:t xml:space="preserve"> Saldo finančního účtu skončilo v 1. pololetí v přebytku </w:t>
            </w:r>
            <w:r>
              <w:rPr>
                <w:spacing w:val="-4"/>
              </w:rPr>
              <w:t>123,6 </w:t>
            </w:r>
            <w:r w:rsidRPr="00DC21E2">
              <w:rPr>
                <w:spacing w:val="-4"/>
              </w:rPr>
              <w:t>mld. korun (</w:t>
            </w:r>
            <w:r>
              <w:rPr>
                <w:spacing w:val="-4"/>
              </w:rPr>
              <w:t>96,3</w:t>
            </w:r>
            <w:r w:rsidRPr="00DC21E2">
              <w:rPr>
                <w:spacing w:val="-4"/>
              </w:rPr>
              <w:t xml:space="preserve"> mld. v 1.</w:t>
            </w:r>
            <w:r>
              <w:rPr>
                <w:spacing w:val="-4"/>
              </w:rPr>
              <w:t> </w:t>
            </w:r>
            <w:r w:rsidRPr="00DC21E2">
              <w:rPr>
                <w:spacing w:val="-4"/>
              </w:rPr>
              <w:t xml:space="preserve">a </w:t>
            </w:r>
            <w:r>
              <w:rPr>
                <w:spacing w:val="-4"/>
              </w:rPr>
              <w:t>2</w:t>
            </w:r>
            <w:r w:rsidRPr="00DC21E2">
              <w:rPr>
                <w:spacing w:val="-4"/>
              </w:rPr>
              <w:t>7,</w:t>
            </w:r>
            <w:r>
              <w:rPr>
                <w:spacing w:val="-4"/>
              </w:rPr>
              <w:t>3</w:t>
            </w:r>
            <w:r w:rsidRPr="00DC21E2">
              <w:rPr>
                <w:spacing w:val="-4"/>
              </w:rPr>
              <w:t xml:space="preserve"> mld. ve 2. čtvrtletí)</w:t>
            </w:r>
            <w:r>
              <w:rPr>
                <w:spacing w:val="-4"/>
              </w:rPr>
              <w:t>.</w:t>
            </w:r>
            <w:r w:rsidRPr="00DC21E2">
              <w:rPr>
                <w:spacing w:val="-4"/>
              </w:rPr>
              <w:t xml:space="preserve"> </w:t>
            </w:r>
            <w:r>
              <w:rPr>
                <w:spacing w:val="-4"/>
              </w:rPr>
              <w:t>D</w:t>
            </w:r>
            <w:r w:rsidRPr="00DC21E2">
              <w:rPr>
                <w:spacing w:val="-4"/>
              </w:rPr>
              <w:t xml:space="preserve">ubnové ukončení režimu intervencí však vytvořilo zlom mezi 1. a 2. čtvrtletím. Toky na finančním účtu, jejichž výše v 1. čtvrtletí několikanásobně převyšovala dlouhodobý průměr, ve 2. čtvrtletí ustaly. Ve směru přebytku stále působil nárůst rezervních aktiv, který byl však desetinový v porovnání s 1. kvartálem. </w:t>
            </w:r>
            <w:r>
              <w:rPr>
                <w:spacing w:val="-4"/>
              </w:rPr>
              <w:t>Snížil se</w:t>
            </w:r>
            <w:r w:rsidRPr="00DC21E2">
              <w:rPr>
                <w:spacing w:val="-4"/>
              </w:rPr>
              <w:t xml:space="preserve"> čistý příliv portfoliových investic, který dosáhl </w:t>
            </w:r>
            <w:r>
              <w:rPr>
                <w:spacing w:val="-4"/>
              </w:rPr>
              <w:t>353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8</w:t>
            </w:r>
            <w:r w:rsidRPr="00DC21E2">
              <w:rPr>
                <w:spacing w:val="-4"/>
              </w:rPr>
              <w:t xml:space="preserve"> mld. v</w:t>
            </w:r>
            <w:r>
              <w:rPr>
                <w:spacing w:val="-4"/>
              </w:rPr>
              <w:t> 1. </w:t>
            </w:r>
            <w:r w:rsidRPr="00DC21E2">
              <w:rPr>
                <w:spacing w:val="-4"/>
              </w:rPr>
              <w:t xml:space="preserve">čtvrtletí. </w:t>
            </w:r>
            <w:r>
              <w:rPr>
                <w:spacing w:val="-4"/>
              </w:rPr>
              <w:t>Ve 2. čtvrtletí</w:t>
            </w:r>
            <w:r w:rsidRPr="00DC21E2">
              <w:rPr>
                <w:spacing w:val="-4"/>
              </w:rPr>
              <w:t xml:space="preserve"> došlo k čistému </w:t>
            </w:r>
            <w:r>
              <w:rPr>
                <w:spacing w:val="-4"/>
              </w:rPr>
              <w:t>přílivu</w:t>
            </w:r>
            <w:r w:rsidRPr="00DC21E2">
              <w:rPr>
                <w:spacing w:val="-4"/>
              </w:rPr>
              <w:t xml:space="preserve"> ve výši 45</w:t>
            </w:r>
            <w:r>
              <w:rPr>
                <w:spacing w:val="-4"/>
              </w:rPr>
              <w:t>,9</w:t>
            </w:r>
            <w:r w:rsidRPr="00DC21E2">
              <w:rPr>
                <w:spacing w:val="-4"/>
              </w:rPr>
              <w:t xml:space="preserve"> mld. korun. Na</w:t>
            </w:r>
            <w:r>
              <w:rPr>
                <w:spacing w:val="-4"/>
              </w:rPr>
              <w:t xml:space="preserve"> méně než</w:t>
            </w:r>
            <w:r w:rsidRPr="00DC21E2">
              <w:rPr>
                <w:spacing w:val="-4"/>
              </w:rPr>
              <w:t xml:space="preserve"> </w:t>
            </w:r>
            <w:r>
              <w:rPr>
                <w:spacing w:val="-4"/>
              </w:rPr>
              <w:t>třicetinu</w:t>
            </w:r>
            <w:r w:rsidRPr="00DC21E2">
              <w:rPr>
                <w:spacing w:val="-4"/>
              </w:rPr>
              <w:t xml:space="preserve"> se </w:t>
            </w:r>
            <w:proofErr w:type="spellStart"/>
            <w:r w:rsidRPr="00DC21E2">
              <w:rPr>
                <w:spacing w:val="-4"/>
              </w:rPr>
              <w:t>mezičtvrtletně</w:t>
            </w:r>
            <w:proofErr w:type="spellEnd"/>
            <w:r w:rsidRPr="00DC21E2">
              <w:rPr>
                <w:spacing w:val="-4"/>
              </w:rPr>
              <w:t xml:space="preserve"> zredukoval i čistý příliv ostatních investic.</w:t>
            </w:r>
          </w:p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  <w:highlight w:val="yellow"/>
              </w:rPr>
            </w:pPr>
          </w:p>
        </w:tc>
      </w:tr>
      <w:tr w:rsidR="00DD0726" w:rsidRPr="006647AD" w:rsidTr="008C0F87">
        <w:tc>
          <w:tcPr>
            <w:tcW w:w="1015" w:type="pct"/>
          </w:tcPr>
          <w:p w:rsidR="00DD0726" w:rsidRPr="006647AD" w:rsidRDefault="00DD0726" w:rsidP="008C0F87">
            <w:pPr>
              <w:spacing w:line="240" w:lineRule="auto"/>
              <w:rPr>
                <w:szCs w:val="20"/>
                <w:highlight w:val="yellow"/>
              </w:rPr>
            </w:pPr>
          </w:p>
        </w:tc>
        <w:tc>
          <w:tcPr>
            <w:tcW w:w="144" w:type="pct"/>
          </w:tcPr>
          <w:p w:rsidR="00DD0726" w:rsidRPr="006647AD" w:rsidRDefault="00DD0726" w:rsidP="008C0F87">
            <w:pPr>
              <w:pStyle w:val="Textpoznpodarou"/>
              <w:rPr>
                <w:color w:val="FF0000"/>
              </w:rPr>
            </w:pPr>
          </w:p>
        </w:tc>
        <w:tc>
          <w:tcPr>
            <w:tcW w:w="580" w:type="pct"/>
          </w:tcPr>
          <w:p w:rsidR="00DD0726" w:rsidRPr="00DC21E2" w:rsidRDefault="00DD0726" w:rsidP="008C0F87">
            <w:pPr>
              <w:pStyle w:val="Textpoznpodarou"/>
              <w:rPr>
                <w:color w:val="FF0000"/>
                <w:spacing w:val="-4"/>
                <w:highlight w:val="yellow"/>
              </w:rPr>
            </w:pPr>
            <w:r w:rsidRPr="00DC21E2">
              <w:rPr>
                <w:spacing w:val="-4"/>
              </w:rPr>
              <w:t>Graf č. 9</w:t>
            </w:r>
          </w:p>
        </w:tc>
        <w:tc>
          <w:tcPr>
            <w:tcW w:w="3261" w:type="pct"/>
            <w:gridSpan w:val="3"/>
          </w:tcPr>
          <w:p w:rsidR="00DD0726" w:rsidRPr="00DC21E2" w:rsidRDefault="00DD0726" w:rsidP="008C0F87">
            <w:pPr>
              <w:pStyle w:val="Textpoznpodarou"/>
              <w:jc w:val="both"/>
              <w:rPr>
                <w:color w:val="FF0000"/>
                <w:spacing w:val="-4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Běžný účet platební bilance </w:t>
            </w:r>
            <w:r w:rsidRPr="00DC21E2">
              <w:rPr>
                <w:spacing w:val="-4"/>
              </w:rPr>
              <w:t>(kumulace 1. a 2. čtvrtletí v mld. korun)</w:t>
            </w:r>
          </w:p>
        </w:tc>
      </w:tr>
      <w:tr w:rsidR="00DD0726" w:rsidRPr="00A74192" w:rsidTr="008C0F87">
        <w:tc>
          <w:tcPr>
            <w:tcW w:w="1015" w:type="pct"/>
          </w:tcPr>
          <w:p w:rsidR="00DD0726" w:rsidRPr="002804BB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rPr>
                <w:color w:val="FF0000"/>
              </w:rPr>
            </w:pPr>
          </w:p>
        </w:tc>
        <w:tc>
          <w:tcPr>
            <w:tcW w:w="3841" w:type="pct"/>
            <w:gridSpan w:val="4"/>
          </w:tcPr>
          <w:p w:rsidR="00DD0726" w:rsidRPr="00DC21E2" w:rsidRDefault="00DD0726" w:rsidP="008C0F87">
            <w:pPr>
              <w:pStyle w:val="Textpoznpodarou"/>
              <w:ind w:left="-73"/>
              <w:jc w:val="both"/>
              <w:rPr>
                <w:spacing w:val="-4"/>
                <w:sz w:val="16"/>
                <w:highlight w:val="yellow"/>
              </w:rPr>
            </w:pPr>
            <w:r w:rsidRPr="00875740">
              <w:rPr>
                <w:noProof/>
                <w:spacing w:val="-4"/>
                <w:sz w:val="16"/>
              </w:rPr>
              <w:drawing>
                <wp:inline distT="0" distB="0" distL="0" distR="0">
                  <wp:extent cx="4737100" cy="3473450"/>
                  <wp:effectExtent l="0" t="0" r="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Pr="00DC21E2" w:rsidRDefault="00DD0726" w:rsidP="008C0F87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ČNB</w:t>
            </w:r>
          </w:p>
          <w:p w:rsidR="00DD0726" w:rsidRPr="00ED7C3C" w:rsidRDefault="00DD0726" w:rsidP="008C0F87">
            <w:pPr>
              <w:pStyle w:val="Textpoznpodarou"/>
              <w:ind w:left="-73"/>
              <w:jc w:val="right"/>
              <w:rPr>
                <w:color w:val="FF0000"/>
                <w:spacing w:val="-4"/>
                <w:sz w:val="15"/>
                <w:szCs w:val="15"/>
                <w:highlight w:val="yellow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532819" w:rsidRDefault="00DD0726" w:rsidP="008C0F87">
            <w:pPr>
              <w:spacing w:line="240" w:lineRule="auto"/>
              <w:rPr>
                <w:sz w:val="16"/>
                <w:szCs w:val="16"/>
              </w:rPr>
            </w:pPr>
            <w:r w:rsidRPr="00532819">
              <w:rPr>
                <w:sz w:val="16"/>
                <w:szCs w:val="16"/>
              </w:rPr>
              <w:t>Vývoz z Česka meziročně vzrostl.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ED7C3C">
              <w:rPr>
                <w:spacing w:val="-4"/>
              </w:rPr>
              <w:t>Během první poloviny roku 2017 bylo z Česka vyvezeno zboží v hodnotě 1 796,9 mld. korun</w:t>
            </w:r>
            <w:r w:rsidRPr="00ED7C3C">
              <w:rPr>
                <w:rStyle w:val="Znakapoznpodarou"/>
                <w:spacing w:val="-4"/>
              </w:rPr>
              <w:footnoteReference w:id="1"/>
            </w:r>
            <w:r w:rsidRPr="00ED7C3C">
              <w:rPr>
                <w:spacing w:val="-4"/>
              </w:rPr>
              <w:t xml:space="preserve"> a stejné období předchozího roku bylo převýšeno o 111,0 mld. korun (6,6 %). Velké části poměrně silného meziročního navýšení bylo dosaženo hlavně díky mimořádnému 1. čtvrtletí (75,4 mld. korun). Druhý kvartál převýšil stejné období minulého roku o 35,6 mld. korun, zároveň však měl o čtyři pracovní dny méně. </w:t>
            </w:r>
          </w:p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  <w:highlight w:val="yellow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532819" w:rsidRDefault="00DD0726" w:rsidP="008C0F87">
            <w:pPr>
              <w:spacing w:line="240" w:lineRule="auto"/>
              <w:rPr>
                <w:sz w:val="16"/>
                <w:szCs w:val="16"/>
              </w:rPr>
            </w:pPr>
            <w:r w:rsidRPr="00532819">
              <w:rPr>
                <w:sz w:val="16"/>
                <w:szCs w:val="16"/>
              </w:rPr>
              <w:t>Rostl vývoz do většiny hlavních exportních destinací.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ED7C3C">
              <w:rPr>
                <w:spacing w:val="-4"/>
              </w:rPr>
              <w:t xml:space="preserve">Teritoriální struktura českého exportu se v 1. a 2. čtvrtletí 2017 prakticky nelišila od stejného období předchozího roku. Do EU zamířilo 83,9 % vývozu a jeho hodnota se meziročně zvýšila o 82,3 mld. (5,8 %). S výjimkou Slovenska, kam bylo v 1. pololetí vyvezeno o 6,7 % méně než minulý rok, vzrostl vývoz do všech hlavních exportních destinací. Vývoz do Německa vzrostl o 7,7 %, do Polska o 8,7 % a do Francie o 9,2 %. Nezaostávaly ani menší exportní destinace. Silně vzrostl vývoz do Rakouska (12,1 %) i Nizozemí (14,2 %). Posiloval i vývoz do zemí mimo EU. Ten v 1. pololetí dosáhl 287,2 mld. korun a meziročně vzrostl o 10,9 %. Vývoz do Spojených států </w:t>
            </w:r>
            <w:r w:rsidRPr="00ED7C3C">
              <w:rPr>
                <w:spacing w:val="-4"/>
              </w:rPr>
              <w:lastRenderedPageBreak/>
              <w:t>dosáhl 39,7 mld. a zvýšil se o 6,1 %. Dvacetiprocentního meziročního přírůstku dosáhl export do Ruské federace, do Číny bylo vyvezeno o 20,6 % více. U Ruska to</w:t>
            </w:r>
            <w:r>
              <w:rPr>
                <w:spacing w:val="-4"/>
              </w:rPr>
              <w:t> </w:t>
            </w:r>
            <w:r w:rsidRPr="00ED7C3C">
              <w:rPr>
                <w:spacing w:val="-4"/>
              </w:rPr>
              <w:t>znamenalo navýšení o 5,8 mld. korun, u Číny o 3,5 mld.</w:t>
            </w:r>
          </w:p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1841D7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32819">
              <w:rPr>
                <w:sz w:val="16"/>
                <w:szCs w:val="16"/>
              </w:rPr>
              <w:lastRenderedPageBreak/>
              <w:t>Dařilo se zahraničnímu obchodu s motorovými vozidly i stroji.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ED7C3C">
              <w:rPr>
                <w:spacing w:val="-4"/>
              </w:rPr>
              <w:t>Motorová vozidla, která v 1. pololetí tvořila 29,4 % vývozů, opět mírně posílila svůj vliv. Hodnota jejich vývozu oproti stejnému období minulého roku vzrostla o 8,6 % a dosáhla 528,5 mld. korun. Silné navýšení exportu v 1. pololetí zaznamenaly i ostatní oddíly významné pro český vývoz. Export strojů a zařízení se zvýšil o 8,9 %, u počítačů, elektronických a optických přístrojů o 5,5 %. Elektrických zařízení se</w:t>
            </w:r>
            <w:r>
              <w:rPr>
                <w:spacing w:val="-4"/>
              </w:rPr>
              <w:t> </w:t>
            </w:r>
            <w:r w:rsidRPr="00ED7C3C">
              <w:rPr>
                <w:spacing w:val="-4"/>
              </w:rPr>
              <w:t>vyvezlo o 7,7 % více. Pokračovaly i pozitivní tendence vývozu chemických látek a přípravků, který se meziročně zvýšil o 15,2 %. Zároveň se dostal na úroveň, kterou měl v roce 2014, tedy před havárií výrobních kapacit, které byly obnoveny na konci roku 2016. Jediné dva oddíly, které v 1. pololetí zaznamenaly meziroční pokles, byly kovodělné (-6,3 %) a potravinářské výrobky (-3,7 %).</w:t>
            </w:r>
          </w:p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1841D7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32819">
              <w:rPr>
                <w:sz w:val="16"/>
                <w:szCs w:val="16"/>
              </w:rPr>
              <w:t>Hodnota dovozu rovněž rostla, mimo jiné v důsledku navýšení cen ropy.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Do ČR</w:t>
            </w:r>
            <w:r w:rsidRPr="00ED7C3C">
              <w:rPr>
                <w:spacing w:val="-4"/>
              </w:rPr>
              <w:t xml:space="preserve"> bylo v 1. pololetí dovezeno zboží v hodnotě 1 681,6 mld. korun, což je o 7,6 % více než ve stejném období minulého roku. Sílil především dovoz ze zemí mimo EU, ve kterém dominuje ropa a zemní plyn, jejichž rostoucí ceny ovlivnily i nominální hodnotu importu. Samotná hodnota dovezené ropy a zemního plynu se zvýšila meziročně o 20,1 mld. korun (45,7 %). Dovoz z Ruska, které je většinovým zdrojem této komodity, se zvýšil o 22,0 mld. korun (55,3 %). Výrazně vzrostl dovoz základních kovů (19,5 %, 22,2 mld. korun), silný nárůst pokračoval u motorových vozidel (11,2 %, 28,7 mld.) i elektrických zařízení (10,0 %, 11,6 mld.). Poklesla hodnota dovozu u</w:t>
            </w:r>
            <w:r>
              <w:rPr>
                <w:spacing w:val="-4"/>
              </w:rPr>
              <w:t> </w:t>
            </w:r>
            <w:r w:rsidRPr="00ED7C3C">
              <w:rPr>
                <w:spacing w:val="-4"/>
              </w:rPr>
              <w:t>kovodělných výrobků o 6,2 % (5,5 mld.), u koksu a rafinovaných ropných výrobků o</w:t>
            </w:r>
            <w:r>
              <w:rPr>
                <w:spacing w:val="-4"/>
              </w:rPr>
              <w:t> </w:t>
            </w:r>
            <w:r w:rsidRPr="00ED7C3C">
              <w:rPr>
                <w:spacing w:val="-4"/>
              </w:rPr>
              <w:t>10,3 % (</w:t>
            </w:r>
            <w:r>
              <w:rPr>
                <w:spacing w:val="-4"/>
              </w:rPr>
              <w:t>2</w:t>
            </w:r>
            <w:r w:rsidRPr="00ED7C3C">
              <w:rPr>
                <w:spacing w:val="-4"/>
              </w:rPr>
              <w:t>,</w:t>
            </w:r>
            <w:r>
              <w:rPr>
                <w:spacing w:val="-4"/>
              </w:rPr>
              <w:t>7</w:t>
            </w:r>
            <w:r w:rsidRPr="00ED7C3C">
              <w:rPr>
                <w:spacing w:val="-4"/>
              </w:rPr>
              <w:t xml:space="preserve"> mld.) a mírně u potravinářských výrobků (-1,6 %, 1,2 mld.).</w:t>
            </w:r>
          </w:p>
          <w:p w:rsidR="00DD0726" w:rsidRPr="00ED7C3C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  <w:highlight w:val="yellow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2804BB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jc w:val="both"/>
            </w:pPr>
          </w:p>
        </w:tc>
        <w:tc>
          <w:tcPr>
            <w:tcW w:w="653" w:type="pct"/>
            <w:gridSpan w:val="2"/>
          </w:tcPr>
          <w:p w:rsidR="00DD0726" w:rsidRPr="00DC21E2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spacing w:val="-4"/>
              </w:rPr>
              <w:t>Graf č. 10</w:t>
            </w:r>
          </w:p>
        </w:tc>
        <w:tc>
          <w:tcPr>
            <w:tcW w:w="3188" w:type="pct"/>
            <w:gridSpan w:val="2"/>
          </w:tcPr>
          <w:p w:rsidR="00DD0726" w:rsidRPr="00DC21E2" w:rsidRDefault="00DD0726" w:rsidP="008C0F87">
            <w:pPr>
              <w:pStyle w:val="Textpoznpodarou"/>
              <w:rPr>
                <w:spacing w:val="-4"/>
                <w:sz w:val="16"/>
                <w:szCs w:val="16"/>
                <w:highlight w:val="yellow"/>
              </w:rPr>
            </w:pPr>
            <w:r w:rsidRPr="00DC21E2">
              <w:rPr>
                <w:b/>
                <w:spacing w:val="-4"/>
              </w:rPr>
              <w:t xml:space="preserve">Bilance zahraničního obchodu* ve statistice zahraničního obchodu </w:t>
            </w:r>
            <w:r w:rsidRPr="00DC21E2">
              <w:rPr>
                <w:spacing w:val="-4"/>
              </w:rPr>
              <w:t>(kumulace 1. a 2. čtvrtletí, v mld. korun, vybrané oddíly klasifikace CPA)</w:t>
            </w:r>
          </w:p>
        </w:tc>
      </w:tr>
      <w:tr w:rsidR="00DD0726" w:rsidRPr="00A74192" w:rsidTr="008C0F87">
        <w:tc>
          <w:tcPr>
            <w:tcW w:w="1015" w:type="pct"/>
          </w:tcPr>
          <w:p w:rsidR="00DD0726" w:rsidRPr="002804BB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jc w:val="both"/>
            </w:pPr>
          </w:p>
        </w:tc>
        <w:tc>
          <w:tcPr>
            <w:tcW w:w="3841" w:type="pct"/>
            <w:gridSpan w:val="4"/>
          </w:tcPr>
          <w:p w:rsidR="00DD0726" w:rsidRPr="00DC21E2" w:rsidRDefault="00DD0726" w:rsidP="008C0F87">
            <w:pPr>
              <w:pStyle w:val="Textpoznpodarou"/>
              <w:ind w:left="-73"/>
              <w:jc w:val="right"/>
              <w:rPr>
                <w:spacing w:val="-4"/>
                <w:sz w:val="14"/>
                <w:szCs w:val="14"/>
              </w:rPr>
            </w:pPr>
            <w:r w:rsidRPr="009B7518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100" cy="3479800"/>
                  <wp:effectExtent l="19050" t="0" r="0" b="0"/>
                  <wp:docPr id="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D0726" w:rsidRPr="008F1638" w:rsidTr="008C0F87">
        <w:tc>
          <w:tcPr>
            <w:tcW w:w="1015" w:type="pct"/>
          </w:tcPr>
          <w:p w:rsidR="00DD0726" w:rsidRPr="00F35066" w:rsidRDefault="00DD0726" w:rsidP="008C0F8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1948" w:type="pct"/>
            <w:gridSpan w:val="3"/>
          </w:tcPr>
          <w:p w:rsidR="00DD0726" w:rsidRPr="00DC21E2" w:rsidRDefault="00DD0726" w:rsidP="008C0F87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*v národním pojetí</w:t>
            </w:r>
          </w:p>
        </w:tc>
        <w:tc>
          <w:tcPr>
            <w:tcW w:w="1893" w:type="pct"/>
          </w:tcPr>
          <w:p w:rsidR="00DD0726" w:rsidRPr="00DC21E2" w:rsidRDefault="00DD0726" w:rsidP="008C0F87">
            <w:pPr>
              <w:pStyle w:val="Textpoznpodarou"/>
              <w:jc w:val="right"/>
              <w:rPr>
                <w:spacing w:val="-4"/>
                <w:sz w:val="14"/>
                <w:szCs w:val="14"/>
              </w:rPr>
            </w:pPr>
            <w:r w:rsidRPr="00DC21E2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DC21E2" w:rsidRDefault="00DD0726" w:rsidP="008C0F87">
            <w:pPr>
              <w:pStyle w:val="Textpoznpodarou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DD0726" w:rsidRPr="00A74192" w:rsidTr="008C0F87">
        <w:tc>
          <w:tcPr>
            <w:tcW w:w="1015" w:type="pct"/>
          </w:tcPr>
          <w:p w:rsidR="00DD0726" w:rsidRPr="001841D7" w:rsidRDefault="00DD0726" w:rsidP="008C0F87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32819">
              <w:rPr>
                <w:sz w:val="16"/>
                <w:szCs w:val="16"/>
              </w:rPr>
              <w:t>Bilance zahraničního obchodu zůstává kladná, i když mírně nižší než v loňském roce.</w:t>
            </w:r>
          </w:p>
        </w:tc>
        <w:tc>
          <w:tcPr>
            <w:tcW w:w="144" w:type="pct"/>
          </w:tcPr>
          <w:p w:rsidR="00DD0726" w:rsidRPr="002804BB" w:rsidRDefault="00DD0726" w:rsidP="008C0F87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DD0726" w:rsidRPr="00DC21E2" w:rsidRDefault="00DD0726" w:rsidP="008C0F87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DC21E2">
              <w:rPr>
                <w:spacing w:val="-4"/>
              </w:rPr>
              <w:t>Bilance zahraničního obchodu za 1. pololetí skončila v přebytku 1</w:t>
            </w:r>
            <w:r>
              <w:rPr>
                <w:spacing w:val="-4"/>
              </w:rPr>
              <w:t>15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3</w:t>
            </w:r>
            <w:r w:rsidRPr="00DC21E2">
              <w:rPr>
                <w:spacing w:val="-4"/>
              </w:rPr>
              <w:t xml:space="preserve"> mld. korun. To</w:t>
            </w:r>
            <w:r>
              <w:rPr>
                <w:spacing w:val="-4"/>
              </w:rPr>
              <w:t> </w:t>
            </w:r>
            <w:r w:rsidRPr="00DC21E2">
              <w:rPr>
                <w:spacing w:val="-4"/>
              </w:rPr>
              <w:t>odpovídá meziročnímu snížení o 7</w:t>
            </w:r>
            <w:r>
              <w:rPr>
                <w:spacing w:val="-4"/>
              </w:rPr>
              <w:t>,2</w:t>
            </w:r>
            <w:r w:rsidRPr="00DC21E2">
              <w:rPr>
                <w:spacing w:val="-4"/>
              </w:rPr>
              <w:t xml:space="preserve"> mld. Za snížením přebytku stojí prohloubení deficitu obchodu se zeměmi mimo EU o 36,</w:t>
            </w:r>
            <w:r>
              <w:rPr>
                <w:spacing w:val="-4"/>
              </w:rPr>
              <w:t>6 mld. korun, a to</w:t>
            </w:r>
            <w:r w:rsidRPr="00DC21E2">
              <w:rPr>
                <w:spacing w:val="-4"/>
              </w:rPr>
              <w:t xml:space="preserve"> především s Ruskem (deficit 2</w:t>
            </w:r>
            <w:r>
              <w:rPr>
                <w:spacing w:val="-4"/>
              </w:rPr>
              <w:t>7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0 </w:t>
            </w:r>
            <w:r w:rsidRPr="00DC21E2">
              <w:rPr>
                <w:spacing w:val="-4"/>
              </w:rPr>
              <w:t>mld. prohloubení o 16,</w:t>
            </w:r>
            <w:r>
              <w:rPr>
                <w:spacing w:val="-4"/>
              </w:rPr>
              <w:t>2</w:t>
            </w:r>
            <w:r w:rsidRPr="00DC21E2">
              <w:rPr>
                <w:spacing w:val="-4"/>
              </w:rPr>
              <w:t xml:space="preserve"> mld. korun). Mírně se prohloubil i deficit s Čínou. Jedním z důvodů je z</w:t>
            </w:r>
            <w:r>
              <w:rPr>
                <w:spacing w:val="-4"/>
              </w:rPr>
              <w:t>výšení</w:t>
            </w:r>
            <w:r w:rsidRPr="00DC21E2">
              <w:rPr>
                <w:spacing w:val="-4"/>
              </w:rPr>
              <w:t xml:space="preserve"> cen ropy. Deficit obchodu s ropou a zemním plynem se zvýšil o</w:t>
            </w:r>
            <w:r>
              <w:rPr>
                <w:spacing w:val="-4"/>
              </w:rPr>
              <w:t> </w:t>
            </w:r>
            <w:r w:rsidRPr="00DC21E2">
              <w:rPr>
                <w:spacing w:val="-4"/>
              </w:rPr>
              <w:t>26,</w:t>
            </w:r>
            <w:r>
              <w:rPr>
                <w:spacing w:val="-4"/>
              </w:rPr>
              <w:t>5</w:t>
            </w:r>
            <w:r w:rsidRPr="00DC21E2">
              <w:rPr>
                <w:spacing w:val="-4"/>
              </w:rPr>
              <w:t xml:space="preserve"> mld. korun, se základními kovy o 1</w:t>
            </w:r>
            <w:r>
              <w:rPr>
                <w:spacing w:val="-4"/>
              </w:rPr>
              <w:t>3</w:t>
            </w:r>
            <w:r w:rsidRPr="00DC21E2">
              <w:rPr>
                <w:spacing w:val="-4"/>
              </w:rPr>
              <w:t>,</w:t>
            </w:r>
            <w:r>
              <w:rPr>
                <w:spacing w:val="-4"/>
              </w:rPr>
              <w:t>8</w:t>
            </w:r>
            <w:r w:rsidRPr="00DC21E2">
              <w:rPr>
                <w:spacing w:val="-4"/>
              </w:rPr>
              <w:t xml:space="preserve"> mld. Dlouhodobý přebytek obchodu s motorovými vozidly nebo stroji se naopak zvýšil</w:t>
            </w:r>
            <w:r>
              <w:rPr>
                <w:spacing w:val="-4"/>
              </w:rPr>
              <w:t xml:space="preserve"> (o 13,1 mld. a 10,6 mld. korun)</w:t>
            </w:r>
            <w:r w:rsidRPr="00DC21E2">
              <w:rPr>
                <w:spacing w:val="-4"/>
              </w:rPr>
              <w:t>.</w:t>
            </w:r>
          </w:p>
        </w:tc>
      </w:tr>
      <w:bookmarkEnd w:id="2"/>
    </w:tbl>
    <w:p w:rsidR="008A03DE" w:rsidRPr="00CE7158" w:rsidRDefault="008A03DE" w:rsidP="008F72A6">
      <w:pPr>
        <w:pStyle w:val="Nadpis1"/>
        <w:ind w:left="709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8F72A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6C" w:rsidRDefault="002B696C" w:rsidP="00E71A58">
      <w:r>
        <w:separator/>
      </w:r>
    </w:p>
  </w:endnote>
  <w:endnote w:type="continuationSeparator" w:id="0">
    <w:p w:rsidR="002B696C" w:rsidRDefault="002B696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53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3753B" w:rsidRPr="005A21E0">
      <w:rPr>
        <w:rFonts w:ascii="Arial" w:hAnsi="Arial" w:cs="Arial"/>
        <w:sz w:val="16"/>
        <w:szCs w:val="16"/>
      </w:rPr>
      <w:fldChar w:fldCharType="separate"/>
    </w:r>
    <w:r w:rsidR="008F72A6">
      <w:rPr>
        <w:rFonts w:ascii="Arial" w:hAnsi="Arial" w:cs="Arial"/>
        <w:noProof/>
        <w:sz w:val="16"/>
        <w:szCs w:val="16"/>
      </w:rPr>
      <w:t>14</w:t>
    </w:r>
    <w:r w:rsidR="0043753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43753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43753B" w:rsidRPr="00223E00">
      <w:rPr>
        <w:rFonts w:ascii="Arial" w:hAnsi="Arial" w:cs="Arial"/>
        <w:sz w:val="16"/>
        <w:szCs w:val="16"/>
      </w:rPr>
      <w:fldChar w:fldCharType="separate"/>
    </w:r>
    <w:r w:rsidR="008F72A6">
      <w:rPr>
        <w:rFonts w:ascii="Arial" w:hAnsi="Arial" w:cs="Arial"/>
        <w:noProof/>
        <w:sz w:val="16"/>
        <w:szCs w:val="16"/>
      </w:rPr>
      <w:t>15</w:t>
    </w:r>
    <w:r w:rsidR="0043753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6C" w:rsidRDefault="002B696C" w:rsidP="00E71A58">
      <w:r>
        <w:separator/>
      </w:r>
    </w:p>
  </w:footnote>
  <w:footnote w:type="continuationSeparator" w:id="0">
    <w:p w:rsidR="002B696C" w:rsidRDefault="002B696C" w:rsidP="00E71A58">
      <w:r>
        <w:continuationSeparator/>
      </w:r>
    </w:p>
  </w:footnote>
  <w:footnote w:id="1">
    <w:p w:rsidR="00DD0726" w:rsidRPr="003279A7" w:rsidRDefault="00DD0726" w:rsidP="00DD0726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6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9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2017.</w:t>
      </w:r>
      <w:r w:rsidRPr="003279A7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254E6C9A"/>
    <w:lvl w:ilvl="0" w:tplc="AA4A5F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96C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53B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2A6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9865404755440813E-2"/>
          <c:y val="3.3960026067356604E-2"/>
          <c:w val="0.90126857480580858"/>
          <c:h val="0.76523595142862644"/>
        </c:manualLayout>
      </c:layout>
      <c:barChart>
        <c:barDir val="col"/>
        <c:grouping val="stacked"/>
        <c:ser>
          <c:idx val="3"/>
          <c:order val="1"/>
          <c:tx>
            <c:strRef>
              <c:f>'Vnější vztahy 1'!$E$5</c:f>
              <c:strCache>
                <c:ptCount val="1"/>
                <c:pt idx="0">
                  <c:v>Bilance zboží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'Vnější vztahy 1'!$E$6:$E$15</c:f>
              <c:numCache>
                <c:formatCode>0.0</c:formatCode>
                <c:ptCount val="10"/>
                <c:pt idx="0">
                  <c:v>19.415199999999984</c:v>
                </c:pt>
                <c:pt idx="1">
                  <c:v>41.968900000000012</c:v>
                </c:pt>
                <c:pt idx="2">
                  <c:v>51.850499999999997</c:v>
                </c:pt>
                <c:pt idx="3">
                  <c:v>57.21220000000001</c:v>
                </c:pt>
                <c:pt idx="4">
                  <c:v>79.433800000000005</c:v>
                </c:pt>
                <c:pt idx="5">
                  <c:v>108.04720000000005</c:v>
                </c:pt>
                <c:pt idx="6">
                  <c:v>136.91500000000002</c:v>
                </c:pt>
                <c:pt idx="7">
                  <c:v>120.30529999999999</c:v>
                </c:pt>
                <c:pt idx="8">
                  <c:v>165.26429999999999</c:v>
                </c:pt>
                <c:pt idx="9" formatCode="General">
                  <c:v>165.51759999999999</c:v>
                </c:pt>
              </c:numCache>
            </c:numRef>
          </c:val>
        </c:ser>
        <c:ser>
          <c:idx val="4"/>
          <c:order val="2"/>
          <c:tx>
            <c:strRef>
              <c:f>'Vnější vztahy 1'!$F$5</c:f>
              <c:strCache>
                <c:ptCount val="1"/>
                <c:pt idx="0">
                  <c:v>Bilance služeb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'Vnější vztahy 1'!$F$6:$F$15</c:f>
              <c:numCache>
                <c:formatCode>0.0</c:formatCode>
                <c:ptCount val="10"/>
                <c:pt idx="0">
                  <c:v>47.176600000000008</c:v>
                </c:pt>
                <c:pt idx="1">
                  <c:v>39.047700000000006</c:v>
                </c:pt>
                <c:pt idx="2">
                  <c:v>44.324000000000005</c:v>
                </c:pt>
                <c:pt idx="3">
                  <c:v>40.113500000000002</c:v>
                </c:pt>
                <c:pt idx="4">
                  <c:v>44.450900000000004</c:v>
                </c:pt>
                <c:pt idx="5">
                  <c:v>39.887999999999998</c:v>
                </c:pt>
                <c:pt idx="6">
                  <c:v>34.862400000000008</c:v>
                </c:pt>
                <c:pt idx="7">
                  <c:v>38.551499999999997</c:v>
                </c:pt>
                <c:pt idx="8">
                  <c:v>49.342800000000004</c:v>
                </c:pt>
                <c:pt idx="9" formatCode="General">
                  <c:v>56.9589</c:v>
                </c:pt>
              </c:numCache>
            </c:numRef>
          </c:val>
        </c:ser>
        <c:ser>
          <c:idx val="2"/>
          <c:order val="3"/>
          <c:tx>
            <c:strRef>
              <c:f>'Vnější vztahy 1'!$D$5</c:f>
              <c:strCache>
                <c:ptCount val="1"/>
                <c:pt idx="0">
                  <c:v>Saldo prvotních důchodů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'Vnější vztahy 1'!$D$6:$D$15</c:f>
              <c:numCache>
                <c:formatCode>0.0</c:formatCode>
                <c:ptCount val="10"/>
                <c:pt idx="0">
                  <c:v>-82.290499999999994</c:v>
                </c:pt>
                <c:pt idx="1">
                  <c:v>-112.9543</c:v>
                </c:pt>
                <c:pt idx="2">
                  <c:v>-86.157299999999992</c:v>
                </c:pt>
                <c:pt idx="3">
                  <c:v>-132.95950000000002</c:v>
                </c:pt>
                <c:pt idx="4">
                  <c:v>-76.063999999999993</c:v>
                </c:pt>
                <c:pt idx="5">
                  <c:v>-112.90589999999999</c:v>
                </c:pt>
                <c:pt idx="6">
                  <c:v>-124.5894</c:v>
                </c:pt>
                <c:pt idx="7">
                  <c:v>-125.38179999999998</c:v>
                </c:pt>
                <c:pt idx="8">
                  <c:v>-111.63640000000001</c:v>
                </c:pt>
                <c:pt idx="9" formatCode="General">
                  <c:v>-102.09060000000002</c:v>
                </c:pt>
              </c:numCache>
            </c:numRef>
          </c:val>
        </c:ser>
        <c:ser>
          <c:idx val="1"/>
          <c:order val="4"/>
          <c:tx>
            <c:strRef>
              <c:f>'Vnější vztahy 1'!$C$5</c:f>
              <c:strCache>
                <c:ptCount val="1"/>
                <c:pt idx="0">
                  <c:v>Saldo druhotných důchodů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'Vnější vztahy 1'!$C$6:$C$15</c:f>
              <c:numCache>
                <c:formatCode>0.0</c:formatCode>
                <c:ptCount val="10"/>
                <c:pt idx="0">
                  <c:v>-3.5249999999999999</c:v>
                </c:pt>
                <c:pt idx="1">
                  <c:v>-5.1935999999999964</c:v>
                </c:pt>
                <c:pt idx="2">
                  <c:v>-8.9997000000000025</c:v>
                </c:pt>
                <c:pt idx="3">
                  <c:v>-11.628599999999999</c:v>
                </c:pt>
                <c:pt idx="4">
                  <c:v>-27.617099999999997</c:v>
                </c:pt>
                <c:pt idx="5">
                  <c:v>-22.49769999999998</c:v>
                </c:pt>
                <c:pt idx="6">
                  <c:v>-2.9015999999999997</c:v>
                </c:pt>
                <c:pt idx="7">
                  <c:v>11.517200000000001</c:v>
                </c:pt>
                <c:pt idx="8">
                  <c:v>-4.6746999999999996</c:v>
                </c:pt>
                <c:pt idx="9" formatCode="General">
                  <c:v>-30.384699999999984</c:v>
                </c:pt>
              </c:numCache>
            </c:numRef>
          </c:val>
        </c:ser>
        <c:gapWidth val="60"/>
        <c:overlap val="100"/>
        <c:axId val="106045824"/>
        <c:axId val="106070784"/>
      </c:barChart>
      <c:lineChart>
        <c:grouping val="standard"/>
        <c:ser>
          <c:idx val="0"/>
          <c:order val="0"/>
          <c:tx>
            <c:strRef>
              <c:f>'Vnější vztahy 1'!$B$5</c:f>
              <c:strCache>
                <c:ptCount val="1"/>
                <c:pt idx="0">
                  <c:v>Běžný účet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'Vnější vztahy 1'!$A$6:$A$15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'Vnější vztahy 1'!$B$6:$B$15</c:f>
              <c:numCache>
                <c:formatCode>0.0</c:formatCode>
                <c:ptCount val="10"/>
                <c:pt idx="0">
                  <c:v>-19.22369999999999</c:v>
                </c:pt>
                <c:pt idx="1">
                  <c:v>-37.131200000000007</c:v>
                </c:pt>
                <c:pt idx="2">
                  <c:v>1.0174999999999994</c:v>
                </c:pt>
                <c:pt idx="3">
                  <c:v>-47.262500000000024</c:v>
                </c:pt>
                <c:pt idx="4">
                  <c:v>20.20349999999998</c:v>
                </c:pt>
                <c:pt idx="5">
                  <c:v>12.531500000000001</c:v>
                </c:pt>
                <c:pt idx="6">
                  <c:v>44.286500000000011</c:v>
                </c:pt>
                <c:pt idx="7">
                  <c:v>44.992100000000029</c:v>
                </c:pt>
                <c:pt idx="8">
                  <c:v>98.295900000000003</c:v>
                </c:pt>
                <c:pt idx="9" formatCode="General">
                  <c:v>90.001099999999994</c:v>
                </c:pt>
              </c:numCache>
            </c:numRef>
          </c:val>
        </c:ser>
        <c:marker val="1"/>
        <c:axId val="106045824"/>
        <c:axId val="106070784"/>
      </c:lineChart>
      <c:catAx>
        <c:axId val="10604582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70784"/>
        <c:crosses val="autoZero"/>
        <c:auto val="1"/>
        <c:lblAlgn val="ctr"/>
        <c:lblOffset val="100"/>
      </c:catAx>
      <c:valAx>
        <c:axId val="106070784"/>
        <c:scaling>
          <c:orientation val="minMax"/>
          <c:min val="-1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0604582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159268884492888E-2"/>
          <c:y val="0.88053282633520458"/>
          <c:w val="0.89859169199594657"/>
          <c:h val="0.1007754440717697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401"/>
          <c:h val="0.58623184734886868"/>
        </c:manualLayout>
      </c:layout>
      <c:barChart>
        <c:barDir val="col"/>
        <c:grouping val="clustered"/>
        <c:ser>
          <c:idx val="1"/>
          <c:order val="0"/>
          <c:tx>
            <c:strRef>
              <c:f>'Vnější vztahy 2'!$A$7</c:f>
              <c:strCache>
                <c:ptCount val="1"/>
                <c:pt idx="0">
                  <c:v>2016 Q1-Q2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-35.726000000000013</c:v>
                </c:pt>
                <c:pt idx="1">
                  <c:v>-17.251000000000001</c:v>
                </c:pt>
                <c:pt idx="2">
                  <c:v>-11.456000000000005</c:v>
                </c:pt>
                <c:pt idx="3">
                  <c:v>-13.351000000000004</c:v>
                </c:pt>
                <c:pt idx="4">
                  <c:v>-64.046000000000006</c:v>
                </c:pt>
                <c:pt idx="5">
                  <c:v>-22.257000000000001</c:v>
                </c:pt>
                <c:pt idx="6">
                  <c:v>12.089</c:v>
                </c:pt>
                <c:pt idx="7">
                  <c:v>-48.585000000000001</c:v>
                </c:pt>
                <c:pt idx="8">
                  <c:v>32.408000000000001</c:v>
                </c:pt>
                <c:pt idx="9">
                  <c:v>-20.904</c:v>
                </c:pt>
                <c:pt idx="10">
                  <c:v>21.832000000000001</c:v>
                </c:pt>
                <c:pt idx="11">
                  <c:v>32.300000000000004</c:v>
                </c:pt>
                <c:pt idx="12">
                  <c:v>230.48200000000008</c:v>
                </c:pt>
              </c:numCache>
            </c:numRef>
          </c:val>
        </c:ser>
        <c:ser>
          <c:idx val="0"/>
          <c:order val="1"/>
          <c:tx>
            <c:strRef>
              <c:f>'Vnější vztahy 2'!$A$6</c:f>
              <c:strCache>
                <c:ptCount val="1"/>
                <c:pt idx="0">
                  <c:v>2017 Q1-Q2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-62.225000000000023</c:v>
                </c:pt>
                <c:pt idx="1">
                  <c:v>-18.152999999999999</c:v>
                </c:pt>
                <c:pt idx="2">
                  <c:v>-13.701000000000001</c:v>
                </c:pt>
                <c:pt idx="3">
                  <c:v>-4.7069999999999999</c:v>
                </c:pt>
                <c:pt idx="4">
                  <c:v>-57.502000000000002</c:v>
                </c:pt>
                <c:pt idx="5">
                  <c:v>-24.281999999999989</c:v>
                </c:pt>
                <c:pt idx="6">
                  <c:v>12.185</c:v>
                </c:pt>
                <c:pt idx="7">
                  <c:v>-62.403000000000006</c:v>
                </c:pt>
                <c:pt idx="8">
                  <c:v>30.224</c:v>
                </c:pt>
                <c:pt idx="9">
                  <c:v>-18.510000000000005</c:v>
                </c:pt>
                <c:pt idx="10">
                  <c:v>20.870999999999999</c:v>
                </c:pt>
                <c:pt idx="11">
                  <c:v>42.933</c:v>
                </c:pt>
                <c:pt idx="12">
                  <c:v>243.61099999999999</c:v>
                </c:pt>
              </c:numCache>
            </c:numRef>
          </c:val>
        </c:ser>
        <c:gapWidth val="97"/>
        <c:axId val="111737088"/>
        <c:axId val="114215936"/>
      </c:barChart>
      <c:catAx>
        <c:axId val="111737088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14215936"/>
        <c:crosses val="autoZero"/>
        <c:auto val="1"/>
        <c:lblAlgn val="ctr"/>
        <c:lblOffset val="100"/>
      </c:catAx>
      <c:valAx>
        <c:axId val="114215936"/>
        <c:scaling>
          <c:orientation val="minMax"/>
          <c:max val="250"/>
          <c:min val="-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11737088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8604-4D82-4B54-AEBB-945BDE7C4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C18AC-F2D1-4590-BB5E-5418A2B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5342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2017-03-16T10:07:00Z</cp:lastPrinted>
  <dcterms:created xsi:type="dcterms:W3CDTF">2017-09-20T13:13:00Z</dcterms:created>
  <dcterms:modified xsi:type="dcterms:W3CDTF">2017-09-20T13:27:00Z</dcterms:modified>
</cp:coreProperties>
</file>