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08" w:rsidRPr="0011365A" w:rsidRDefault="00F853A5" w:rsidP="00DD0726">
      <w:pPr>
        <w:pStyle w:val="Nadpis1"/>
        <w:numPr>
          <w:ilvl w:val="0"/>
          <w:numId w:val="12"/>
        </w:numPr>
        <w:ind w:left="709"/>
        <w:jc w:val="both"/>
      </w:pPr>
      <w:bookmarkStart w:id="0" w:name="_Toc493683640"/>
      <w:r w:rsidRPr="00A74192">
        <w:t>Státní rozpočet</w:t>
      </w:r>
      <w:bookmarkEnd w:id="0"/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1C3961" w:rsidRPr="00F06A1D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1C3961" w:rsidRDefault="001C3961" w:rsidP="00853C0F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Státní rozpočet se v rámci 1. pololetí nacházel v přebytku již počtvrté v řadě, jeho výše byla ale meziročně nižší.</w:t>
            </w:r>
          </w:p>
          <w:p w:rsidR="001C3961" w:rsidRDefault="001C3961" w:rsidP="00853C0F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1C3961" w:rsidRDefault="001C3961" w:rsidP="00853C0F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1C3961" w:rsidRDefault="001C3961" w:rsidP="00853C0F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1C3961" w:rsidRPr="00D607C1" w:rsidRDefault="001C3961" w:rsidP="00853C0F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Rozpočtově očekávaný výrazný pokles příjmů plynoucí z evropských fondů byl jen zčásti kompenzován sílícími daňovými příjmy. </w:t>
            </w:r>
          </w:p>
        </w:tc>
        <w:tc>
          <w:tcPr>
            <w:tcW w:w="144" w:type="pct"/>
          </w:tcPr>
          <w:p w:rsidR="001C3961" w:rsidRPr="00A90EFD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1C3961" w:rsidRPr="00E266EC" w:rsidRDefault="001C3961" w:rsidP="00853C0F">
            <w:pPr>
              <w:pStyle w:val="Textpoznpodarou"/>
              <w:jc w:val="both"/>
              <w:rPr>
                <w:rFonts w:cs="Arial"/>
                <w:color w:val="000000" w:themeColor="text1"/>
                <w:spacing w:val="-3"/>
              </w:rPr>
            </w:pPr>
            <w:r w:rsidRPr="00E266EC">
              <w:rPr>
                <w:rFonts w:cs="Arial"/>
                <w:color w:val="0D0D0D" w:themeColor="text1" w:themeTint="F2"/>
                <w:spacing w:val="-3"/>
              </w:rPr>
              <w:t>Hospo</w:t>
            </w:r>
            <w:r>
              <w:rPr>
                <w:rFonts w:cs="Arial"/>
                <w:color w:val="0D0D0D" w:themeColor="text1" w:themeTint="F2"/>
                <w:spacing w:val="-3"/>
              </w:rPr>
              <w:t xml:space="preserve">daření státního rozpočtu (SR) </w:t>
            </w:r>
            <w:r w:rsidRPr="00E266EC">
              <w:rPr>
                <w:rFonts w:cs="Arial"/>
                <w:color w:val="0D0D0D" w:themeColor="text1" w:themeTint="F2"/>
                <w:spacing w:val="-3"/>
              </w:rPr>
              <w:t>v průběhu první poloviny roku nejvíce ovlivňovaly sílící ekonomický růst spolu s nepravidelným cyklem čerpání prostředků z evropských fondů. SR doc</w:t>
            </w:r>
            <w:r>
              <w:rPr>
                <w:rFonts w:cs="Arial"/>
                <w:color w:val="0D0D0D" w:themeColor="text1" w:themeTint="F2"/>
                <w:spacing w:val="-3"/>
              </w:rPr>
              <w:t>ílil v 1. pololetí 2017</w:t>
            </w:r>
            <w:r w:rsidRPr="00E266EC">
              <w:rPr>
                <w:rFonts w:cs="Arial"/>
                <w:color w:val="0D0D0D" w:themeColor="text1" w:themeTint="F2"/>
                <w:spacing w:val="-3"/>
              </w:rPr>
              <w:t xml:space="preserve"> mírného přebytku 4,6 mld. korun (dle údajů Ministerstva financí o pokladním plnění). V tomto období roku bylo dosaženo kladné bilance již počtvrté v řadě, letošní výsledek byl ale zároveň nejslabší po roce 2014. V tenčícím se přebytku se zrcadlil vliv výrazných nepravidelností toků prostředků z rozpočtu EU</w:t>
            </w:r>
            <w:r w:rsidRPr="00E266EC">
              <w:rPr>
                <w:rStyle w:val="Znakapoznpodarou"/>
                <w:color w:val="0D0D0D" w:themeColor="text1" w:themeTint="F2"/>
                <w:spacing w:val="-3"/>
              </w:rPr>
              <w:footnoteReference w:id="1"/>
            </w:r>
            <w:r w:rsidRPr="00E266EC">
              <w:rPr>
                <w:rFonts w:cs="Arial"/>
                <w:color w:val="0D0D0D" w:themeColor="text1" w:themeTint="F2"/>
                <w:spacing w:val="-3"/>
              </w:rPr>
              <w:t>. Příjmy SR z rozpočtu EU byly letos meziročně o t</w:t>
            </w:r>
            <w:r>
              <w:rPr>
                <w:rFonts w:cs="Arial"/>
                <w:color w:val="0D0D0D" w:themeColor="text1" w:themeTint="F2"/>
                <w:spacing w:val="-3"/>
              </w:rPr>
              <w:t>éměř 60</w:t>
            </w:r>
            <w:r w:rsidRPr="00E266EC">
              <w:rPr>
                <w:rFonts w:cs="Arial"/>
                <w:color w:val="0D0D0D" w:themeColor="text1" w:themeTint="F2"/>
                <w:spacing w:val="-3"/>
              </w:rPr>
              <w:t xml:space="preserve"> % nižší. Tento propad souvisel s faktem, že drtivá většina loňských příjmů byla ještě vázaná na </w:t>
            </w:r>
            <w:r w:rsidR="00B6493D">
              <w:rPr>
                <w:spacing w:val="-3"/>
              </w:rPr>
              <w:t xml:space="preserve">programové období 2007 až </w:t>
            </w:r>
            <w:r w:rsidRPr="00E266EC">
              <w:rPr>
                <w:spacing w:val="-3"/>
              </w:rPr>
              <w:t>2013 a také s</w:t>
            </w:r>
            <w:r w:rsidRPr="00E266EC">
              <w:rPr>
                <w:rFonts w:cs="Arial"/>
                <w:color w:val="0D0D0D" w:themeColor="text1" w:themeTint="F2"/>
                <w:spacing w:val="-3"/>
              </w:rPr>
              <w:t> </w:t>
            </w:r>
            <w:r w:rsidRPr="00E266EC">
              <w:rPr>
                <w:spacing w:val="-3"/>
              </w:rPr>
              <w:t>pomalým loňským i</w:t>
            </w:r>
            <w:r w:rsidR="00B6493D" w:rsidRPr="00E266EC">
              <w:rPr>
                <w:rFonts w:cs="Arial"/>
                <w:color w:val="0D0D0D" w:themeColor="text1" w:themeTint="F2"/>
                <w:spacing w:val="-3"/>
              </w:rPr>
              <w:t> </w:t>
            </w:r>
            <w:r w:rsidRPr="00E266EC">
              <w:rPr>
                <w:spacing w:val="-3"/>
              </w:rPr>
              <w:t xml:space="preserve">letošním náběhem čerpání prostředků v novém programovém období. Příznivý ekonomický vývoj nadále stimuloval růst celkových daňových příjmů, jejich celostátní výběr tak zrychlil na 8,7 % (nejlepší výsledek za první pololetí po roce 2005). </w:t>
            </w:r>
            <w:r w:rsidRPr="00E266EC">
              <w:rPr>
                <w:rFonts w:cs="Arial"/>
                <w:color w:val="0D0D0D" w:themeColor="text1" w:themeTint="F2"/>
                <w:spacing w:val="-3"/>
              </w:rPr>
              <w:t>Saldo SR tvořící klíčovou složku deficitu či přebytku sektoru vládních institucí činilo letos ve vztahu k</w:t>
            </w:r>
            <w:r w:rsidRPr="00E266EC">
              <w:rPr>
                <w:color w:val="0D0D0D" w:themeColor="text1" w:themeTint="F2"/>
                <w:spacing w:val="-3"/>
              </w:rPr>
              <w:t> </w:t>
            </w:r>
            <w:r>
              <w:rPr>
                <w:rFonts w:cs="Arial"/>
                <w:color w:val="000000" w:themeColor="text1"/>
                <w:spacing w:val="-3"/>
              </w:rPr>
              <w:t>nominálnímu HDP +0,2 %</w:t>
            </w:r>
            <w:r w:rsidRPr="00E266EC">
              <w:rPr>
                <w:rFonts w:cs="Arial"/>
                <w:color w:val="000000" w:themeColor="text1"/>
                <w:spacing w:val="-3"/>
              </w:rPr>
              <w:t xml:space="preserve"> (o rok dříve +1,7 %).</w:t>
            </w:r>
          </w:p>
          <w:p w:rsidR="001C3961" w:rsidRPr="00A7478D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3"/>
                <w:sz w:val="15"/>
                <w:szCs w:val="15"/>
              </w:rPr>
            </w:pPr>
          </w:p>
        </w:tc>
      </w:tr>
      <w:tr w:rsidR="001C3961" w:rsidRPr="0094422D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1C3961" w:rsidRPr="001C4DD3" w:rsidRDefault="001C3961" w:rsidP="00853C0F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 xml:space="preserve">Meziroční tempo výběru DPH během prvních šesti měsíců roku 2017 zrychlovalo. </w:t>
            </w:r>
          </w:p>
        </w:tc>
        <w:tc>
          <w:tcPr>
            <w:tcW w:w="144" w:type="pct"/>
          </w:tcPr>
          <w:p w:rsidR="001C3961" w:rsidRPr="00A90EFD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1C3961" w:rsidRPr="00FF5A0D" w:rsidRDefault="001C3961" w:rsidP="00853C0F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</w:rPr>
            </w:pPr>
            <w:r w:rsidRPr="00FF5A0D">
              <w:rPr>
                <w:rFonts w:cs="Arial"/>
                <w:color w:val="000000" w:themeColor="text1"/>
                <w:spacing w:val="-4"/>
              </w:rPr>
              <w:t xml:space="preserve">Tempo celostátního výběru váhově dominantní daně – DPH – se meziročně více než zdvojnásobilo – na 14,1 % (na úrovni SR </w:t>
            </w:r>
            <w:r>
              <w:rPr>
                <w:rFonts w:cs="Arial"/>
                <w:color w:val="000000" w:themeColor="text1"/>
                <w:spacing w:val="-4"/>
              </w:rPr>
              <w:t>na</w:t>
            </w:r>
            <w:r w:rsidRPr="00FF5A0D">
              <w:rPr>
                <w:rFonts w:cs="Arial"/>
                <w:color w:val="000000" w:themeColor="text1"/>
                <w:spacing w:val="-4"/>
              </w:rPr>
              <w:t>rostlo o 13,1 %)</w:t>
            </w:r>
            <w:r w:rsidRPr="00FF5A0D">
              <w:rPr>
                <w:rStyle w:val="Znakapoznpodarou"/>
                <w:color w:val="000000" w:themeColor="text1"/>
                <w:spacing w:val="-4"/>
              </w:rPr>
              <w:footnoteReference w:id="2"/>
            </w:r>
            <w:r>
              <w:rPr>
                <w:rFonts w:cs="Arial"/>
                <w:color w:val="000000" w:themeColor="text1"/>
                <w:spacing w:val="-4"/>
              </w:rPr>
              <w:t xml:space="preserve"> primárně</w:t>
            </w:r>
            <w:r w:rsidRPr="00FF5A0D">
              <w:rPr>
                <w:rFonts w:cs="Arial"/>
                <w:color w:val="000000" w:themeColor="text1"/>
                <w:spacing w:val="-4"/>
              </w:rPr>
              <w:t xml:space="preserve"> vlivem zrychlení temp</w:t>
            </w:r>
            <w:r>
              <w:rPr>
                <w:rFonts w:cs="Arial"/>
                <w:color w:val="000000" w:themeColor="text1"/>
                <w:spacing w:val="-4"/>
              </w:rPr>
              <w:t>a</w:t>
            </w:r>
            <w:r w:rsidRPr="00FF5A0D">
              <w:rPr>
                <w:rFonts w:cs="Arial"/>
                <w:color w:val="000000" w:themeColor="text1"/>
                <w:spacing w:val="-4"/>
              </w:rPr>
              <w:t xml:space="preserve"> ve 2. čtvrtletí 2017. K tomuto výsledku zřejmě částečně přispěl i přesun některých aktivit z šedé ekonomiky vlivem nedávných opatření zavedených na straně výběru daně. Naopak dlouhodobě </w:t>
            </w:r>
            <w:r>
              <w:rPr>
                <w:rFonts w:cs="Arial"/>
                <w:color w:val="000000" w:themeColor="text1"/>
                <w:spacing w:val="-4"/>
              </w:rPr>
              <w:t>působil</w:t>
            </w:r>
            <w:r w:rsidRPr="00FF5A0D">
              <w:rPr>
                <w:rFonts w:cs="Arial"/>
                <w:color w:val="000000" w:themeColor="text1"/>
                <w:spacing w:val="-4"/>
              </w:rPr>
              <w:t xml:space="preserve"> příznivý vývoj ekonomiky, jenž se v</w:t>
            </w:r>
            <w:r>
              <w:rPr>
                <w:rFonts w:cs="Arial"/>
                <w:color w:val="000000" w:themeColor="text1"/>
                <w:spacing w:val="-4"/>
              </w:rPr>
              <w:t> 1.</w:t>
            </w:r>
            <w:r w:rsidRPr="00E266EC">
              <w:rPr>
                <w:rFonts w:cs="Arial"/>
                <w:color w:val="0D0D0D" w:themeColor="text1" w:themeTint="F2"/>
                <w:spacing w:val="-3"/>
              </w:rPr>
              <w:t> </w:t>
            </w:r>
            <w:r w:rsidRPr="00FF5A0D">
              <w:rPr>
                <w:rFonts w:cs="Arial"/>
                <w:color w:val="000000" w:themeColor="text1"/>
                <w:spacing w:val="-4"/>
              </w:rPr>
              <w:t>pololetí projevoval i svižným růstem výdajů na konečnou spotřebu (u</w:t>
            </w:r>
            <w:r w:rsidRPr="00FF5A0D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FF5A0D">
              <w:rPr>
                <w:rFonts w:cs="Arial"/>
                <w:color w:val="000000" w:themeColor="text1"/>
                <w:spacing w:val="-4"/>
              </w:rPr>
              <w:t>domácností nominálně o 6,1 %, u vládních institucí o 5,5 %)</w:t>
            </w:r>
            <w:r w:rsidRPr="00FF5A0D">
              <w:rPr>
                <w:rStyle w:val="Znakapoznpodarou"/>
                <w:color w:val="000000" w:themeColor="text1"/>
                <w:spacing w:val="-4"/>
              </w:rPr>
              <w:footnoteReference w:id="3"/>
            </w:r>
            <w:r w:rsidRPr="00FF5A0D">
              <w:rPr>
                <w:rFonts w:cs="Arial"/>
                <w:color w:val="000000" w:themeColor="text1"/>
                <w:spacing w:val="-4"/>
              </w:rPr>
              <w:t>. Letošní růst inkaso DPH ovlivňuje i</w:t>
            </w:r>
            <w:r w:rsidRPr="00E266EC">
              <w:rPr>
                <w:rFonts w:cs="Arial"/>
                <w:color w:val="0D0D0D" w:themeColor="text1" w:themeTint="F2"/>
                <w:spacing w:val="-3"/>
              </w:rPr>
              <w:t> </w:t>
            </w:r>
            <w:r w:rsidRPr="00FF5A0D">
              <w:rPr>
                <w:rFonts w:cs="Arial"/>
                <w:color w:val="000000" w:themeColor="text1"/>
                <w:spacing w:val="-4"/>
              </w:rPr>
              <w:t xml:space="preserve">fakt, že jeho loňský výběr (na rozdíl od ostatních objemově významných daní) těsně nenaplnil rozpočtová očekávání. Dílčí negativní dopad na výběr daně mělo snížení sazby DPH na stravovací služby </w:t>
            </w:r>
            <w:r>
              <w:rPr>
                <w:spacing w:val="-4"/>
              </w:rPr>
              <w:t>a od března 2017 i pokles</w:t>
            </w:r>
            <w:r w:rsidRPr="00FF5A0D">
              <w:rPr>
                <w:spacing w:val="-4"/>
              </w:rPr>
              <w:t xml:space="preserve"> sazby u novin a časopisů.</w:t>
            </w:r>
          </w:p>
        </w:tc>
      </w:tr>
    </w:tbl>
    <w:p w:rsidR="001C3961" w:rsidRPr="00FF5A0D" w:rsidRDefault="001C3961" w:rsidP="001C3961">
      <w:pPr>
        <w:pStyle w:val="Textpoznpodarou"/>
        <w:jc w:val="both"/>
        <w:rPr>
          <w:rFonts w:cs="Arial"/>
          <w:color w:val="000000"/>
          <w:spacing w:val="-2"/>
          <w:sz w:val="14"/>
          <w:szCs w:val="14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1C3961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1C3961" w:rsidRPr="00AA4A76" w:rsidRDefault="001C3961" w:rsidP="00853C0F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1C3961" w:rsidRPr="00AA4A76" w:rsidRDefault="001C3961" w:rsidP="00853C0F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1C3961" w:rsidRPr="00AA4A76" w:rsidRDefault="001C3961" w:rsidP="00853C0F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20</w:t>
            </w:r>
          </w:p>
        </w:tc>
        <w:tc>
          <w:tcPr>
            <w:tcW w:w="3262" w:type="pct"/>
          </w:tcPr>
          <w:p w:rsidR="001C3961" w:rsidRDefault="001C3961" w:rsidP="00853C0F">
            <w:pPr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Celostátní inkasa vybraných daňových příjmů </w:t>
            </w:r>
            <w:r>
              <w:rPr>
                <w:rFonts w:cs="Arial"/>
                <w:bCs/>
              </w:rPr>
              <w:t>(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 %)</w:t>
            </w:r>
            <w:r>
              <w:rPr>
                <w:rFonts w:cs="Arial"/>
                <w:bCs/>
              </w:rPr>
              <w:t xml:space="preserve"> </w:t>
            </w:r>
          </w:p>
          <w:p w:rsidR="001C3961" w:rsidRPr="0007324C" w:rsidRDefault="001C3961" w:rsidP="00853C0F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 saldo státního rozpočtu</w:t>
            </w:r>
            <w:r>
              <w:t xml:space="preserve"> </w:t>
            </w:r>
            <w:r>
              <w:rPr>
                <w:rFonts w:cs="Arial"/>
                <w:bCs/>
              </w:rPr>
              <w:t xml:space="preserve">(v mld. korun) </w:t>
            </w:r>
            <w:r>
              <w:rPr>
                <w:rFonts w:cs="Arial"/>
                <w:b/>
                <w:bCs/>
              </w:rPr>
              <w:t>v 1. polo</w:t>
            </w:r>
            <w:r w:rsidRPr="006808C5">
              <w:rPr>
                <w:rFonts w:cs="Arial"/>
                <w:b/>
                <w:bCs/>
              </w:rPr>
              <w:t>letích roku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1C3961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1C3961" w:rsidRPr="006D3F53" w:rsidRDefault="001C3961" w:rsidP="00853C0F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1C3961" w:rsidRPr="00A74192" w:rsidRDefault="001C3961" w:rsidP="00853C0F">
            <w:pPr>
              <w:pStyle w:val="Textpoznpodarou"/>
              <w:jc w:val="both"/>
            </w:pPr>
          </w:p>
        </w:tc>
        <w:tc>
          <w:tcPr>
            <w:tcW w:w="3833" w:type="pct"/>
            <w:gridSpan w:val="2"/>
          </w:tcPr>
          <w:p w:rsidR="001C3961" w:rsidRDefault="001C3961" w:rsidP="00853C0F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9D745A">
              <w:rPr>
                <w:noProof/>
                <w:sz w:val="16"/>
                <w:szCs w:val="16"/>
              </w:rPr>
              <w:drawing>
                <wp:inline distT="0" distB="0" distL="0" distR="0">
                  <wp:extent cx="4751733" cy="3482671"/>
                  <wp:effectExtent l="19050" t="0" r="0" b="0"/>
                  <wp:docPr id="3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1C3961" w:rsidRPr="00535F78" w:rsidRDefault="001C3961" w:rsidP="00853C0F">
            <w:pPr>
              <w:pStyle w:val="Textpoznpodarou"/>
              <w:ind w:left="-124"/>
              <w:jc w:val="right"/>
              <w:rPr>
                <w:sz w:val="14"/>
                <w:szCs w:val="14"/>
              </w:rPr>
            </w:pPr>
            <w:r w:rsidRPr="00535F78">
              <w:rPr>
                <w:rFonts w:cs="Arial"/>
                <w:sz w:val="14"/>
                <w:szCs w:val="14"/>
              </w:rPr>
              <w:t>Zdroj: MF</w:t>
            </w:r>
          </w:p>
        </w:tc>
      </w:tr>
    </w:tbl>
    <w:p w:rsidR="001C3961" w:rsidRPr="00FF5A0D" w:rsidRDefault="001C3961" w:rsidP="001C3961">
      <w:pPr>
        <w:pStyle w:val="Textpoznpodarou"/>
        <w:jc w:val="both"/>
        <w:rPr>
          <w:rFonts w:cs="Arial"/>
          <w:color w:val="000000"/>
          <w:spacing w:val="-2"/>
          <w:sz w:val="6"/>
          <w:szCs w:val="6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1C3961" w:rsidRPr="00F06A1D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1C3961" w:rsidRPr="00A7478D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lastRenderedPageBreak/>
              <w:t>Jen mírný růst</w:t>
            </w:r>
            <w:r w:rsidRPr="00A7478D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inkasa spotřebních daní byl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v první polovině roku</w:t>
            </w:r>
            <w:r w:rsidRPr="00A7478D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ovlivněn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krátkodobým snížením výběru daně</w:t>
            </w:r>
            <w:r w:rsidRPr="00A7478D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z</w:t>
            </w: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tabákových výrobků.</w:t>
            </w:r>
            <w:r w:rsidRPr="00A7478D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</w:tcPr>
          <w:p w:rsidR="001C3961" w:rsidRPr="00A90EFD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1C3961" w:rsidRPr="00751FC1" w:rsidRDefault="001C3961" w:rsidP="00853C0F">
            <w:pPr>
              <w:pStyle w:val="Textpoznpodarou"/>
              <w:jc w:val="both"/>
              <w:rPr>
                <w:spacing w:val="-2"/>
              </w:rPr>
            </w:pPr>
            <w:r w:rsidRPr="00751FC1">
              <w:rPr>
                <w:rFonts w:cs="Arial"/>
                <w:color w:val="000000" w:themeColor="text1"/>
                <w:spacing w:val="-2"/>
              </w:rPr>
              <w:t xml:space="preserve">Růst inkasa všech spotřebních daní (oproti tempům z roku 2016) letos zpomaloval. V 1. čtvrtletí získal SR meziročně o 2,3 % více, ve 2. čtvrtletí výnos fakticky stagnoval. Tento vývoj byl ovlivněn hlavně poklesem výběru </w:t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>daně z tabákových výrobků (za 1. pololetí o 2,4 %). Krátkodobě rozpočtově negativně působící administrativní vlivy</w:t>
            </w:r>
            <w:r w:rsidRPr="00751FC1">
              <w:rPr>
                <w:rStyle w:val="Znakapoznpodarou"/>
                <w:color w:val="0D0D0D" w:themeColor="text1" w:themeTint="F2"/>
                <w:spacing w:val="-2"/>
              </w:rPr>
              <w:footnoteReference w:id="4"/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 xml:space="preserve"> tak převýšily efekt </w:t>
            </w:r>
            <w:r w:rsidRPr="00751FC1">
              <w:rPr>
                <w:spacing w:val="-2"/>
              </w:rPr>
              <w:t>nárůstu sazeb spotřební daně z tabákových výrobků</w:t>
            </w:r>
            <w:r w:rsidRPr="00751FC1">
              <w:rPr>
                <w:rStyle w:val="Znakapoznpodarou"/>
                <w:spacing w:val="-2"/>
              </w:rPr>
              <w:footnoteReference w:id="5"/>
            </w:r>
            <w:r w:rsidRPr="00751FC1">
              <w:rPr>
                <w:spacing w:val="-2"/>
              </w:rPr>
              <w:t>. Naopak výběr váhově dominantní spotřební daně – z minerálních olejů – letos zatím rozpočtová očekávání naplňoval. Oproti 1. pololetí 2016 byl vyšší o</w:t>
            </w:r>
            <w:r w:rsidRPr="00751FC1">
              <w:rPr>
                <w:rFonts w:cs="Arial"/>
                <w:color w:val="000000" w:themeColor="text1"/>
                <w:spacing w:val="-2"/>
              </w:rPr>
              <w:t> </w:t>
            </w:r>
            <w:r w:rsidRPr="00751FC1">
              <w:rPr>
                <w:spacing w:val="-2"/>
              </w:rPr>
              <w:t>2,5</w:t>
            </w:r>
            <w:r w:rsidRPr="00751FC1">
              <w:rPr>
                <w:rFonts w:cs="Arial"/>
                <w:color w:val="000000" w:themeColor="text1"/>
                <w:spacing w:val="-2"/>
              </w:rPr>
              <w:t> </w:t>
            </w:r>
            <w:r w:rsidRPr="00751FC1">
              <w:rPr>
                <w:spacing w:val="-2"/>
              </w:rPr>
              <w:t>%, táhla ho především vyšší spotřeba motorové nafty a leteckého petroleje. Negativně naopak působilo zavedení tzv. zelené nafty i pro živočišnou prvovýrobu.</w:t>
            </w:r>
          </w:p>
          <w:p w:rsidR="001C3961" w:rsidRPr="00751FC1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5"/>
                <w:szCs w:val="15"/>
              </w:rPr>
            </w:pPr>
            <w:r w:rsidRPr="00751FC1">
              <w:rPr>
                <w:spacing w:val="-2"/>
              </w:rPr>
              <w:t xml:space="preserve"> </w:t>
            </w:r>
          </w:p>
        </w:tc>
      </w:tr>
      <w:tr w:rsidR="001C3961" w:rsidRPr="0094422D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1C3961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Růst inkasa </w:t>
            </w:r>
            <w:proofErr w:type="spellStart"/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korporátních</w:t>
            </w:r>
            <w:proofErr w:type="spellEnd"/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daních</w:t>
            </w:r>
            <w:proofErr w:type="gramEnd"/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za loňským rekordním tempem  zaostal. Do ziskovosti podniků se stále více promítaly rostoucí mzdové náklady.</w:t>
            </w:r>
          </w:p>
          <w:p w:rsidR="001C3961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1C3961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1C3961" w:rsidRPr="00D02B7C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Naopak </w:t>
            </w:r>
            <w:r w:rsidR="00B6493D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i</w:t>
            </w:r>
            <w:r w:rsidRPr="00F4351C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nkaso daně z příjmů fyzických osob ze závislé činnosti 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nadále zrychlovalo, neboť </w:t>
            </w:r>
            <w:r w:rsidRPr="00F4351C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těžilo z příznivé situace na pracovním trhu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1C3961" w:rsidRPr="00A90EFD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1C3961" w:rsidRPr="00751FC1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 w:rsidRPr="00751FC1">
              <w:rPr>
                <w:rFonts w:cs="Arial"/>
                <w:color w:val="0D0D0D" w:themeColor="text1" w:themeTint="F2"/>
                <w:spacing w:val="-2"/>
              </w:rPr>
              <w:t>Přestože celostátní výběr daně z příjmů právnických osob rostl v 1. pololetí o</w:t>
            </w:r>
            <w:r w:rsidRPr="00751FC1">
              <w:rPr>
                <w:rFonts w:cs="Arial"/>
                <w:color w:val="000000" w:themeColor="text1"/>
                <w:spacing w:val="-2"/>
              </w:rPr>
              <w:t> </w:t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>svižných 7,6 %, jednalo se o nejslabší výsledek za poslední čtyři roky. V letošním inkasu se již ve větší míře začíná projevovat mírně klesající ziskovost podniků z let 2016 (a zčásti i 2017) vlivem sílících mzdových nákladů</w:t>
            </w:r>
            <w:r w:rsidRPr="00751FC1">
              <w:rPr>
                <w:rStyle w:val="Znakapoznpodarou"/>
                <w:color w:val="0D0D0D" w:themeColor="text1" w:themeTint="F2"/>
                <w:spacing w:val="-2"/>
              </w:rPr>
              <w:footnoteReference w:id="6"/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>.  Meziroční tempo výběru daně z příjmů fyzických osob (DPFO) ze závislé činnosti nadále zrychlovalo a za celé pololetí posílilo o 12,6 %</w:t>
            </w:r>
            <w:r>
              <w:rPr>
                <w:rFonts w:cs="Arial"/>
                <w:color w:val="0D0D0D" w:themeColor="text1" w:themeTint="F2"/>
                <w:spacing w:val="-2"/>
              </w:rPr>
              <w:t>. Těšně tak překonalo</w:t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 xml:space="preserve"> dosud rekordní růst z první poloviny roku 2007. </w:t>
            </w:r>
            <w:r w:rsidRPr="00751FC1">
              <w:rPr>
                <w:rFonts w:cs="Arial"/>
                <w:spacing w:val="-2"/>
              </w:rPr>
              <w:t>Ve výběru se projevovala příznivá situace na trhu práce (vysoký růst zaměstnanosti, navyšování průměrných mezd ve firemní sféře i v odvětvích s dominancí státu), jakož i administrativní opatření státu (opakovaný růst hranice minimální mzdy, nástroje k omezení šedé ekonomiky). Meziročně příznivější byl letos i celostátní výběr DPFO ze samostatné výdělečné činnosti, který odrážel nejen finanční situaci drobných podnikatelů, ale i jejich rostoucí počet. O téměř 4 % se naopak snížilo inkaso DPFO z kapitálových výnosů. Ve slabších tempech se odrážely mj. i přetrváva</w:t>
            </w:r>
            <w:r>
              <w:rPr>
                <w:rFonts w:cs="Arial"/>
                <w:spacing w:val="-2"/>
              </w:rPr>
              <w:t>jící nízké úrokové sazby vkladů. N</w:t>
            </w:r>
            <w:r w:rsidRPr="00751FC1">
              <w:rPr>
                <w:rFonts w:cs="Arial"/>
                <w:spacing w:val="-2"/>
              </w:rPr>
              <w:t>egativně působilo</w:t>
            </w:r>
            <w:r w:rsidRPr="00751FC1">
              <w:rPr>
                <w:spacing w:val="-2"/>
              </w:rPr>
              <w:t xml:space="preserve"> i</w:t>
            </w:r>
            <w:r w:rsidRPr="00751FC1">
              <w:rPr>
                <w:rFonts w:cs="Arial"/>
                <w:spacing w:val="-2"/>
              </w:rPr>
              <w:t> </w:t>
            </w:r>
            <w:r w:rsidRPr="00751FC1">
              <w:rPr>
                <w:spacing w:val="-2"/>
              </w:rPr>
              <w:t xml:space="preserve">osvobození daně u </w:t>
            </w:r>
            <w:proofErr w:type="spellStart"/>
            <w:r w:rsidRPr="00751FC1">
              <w:rPr>
                <w:spacing w:val="-2"/>
              </w:rPr>
              <w:t>výsluhového</w:t>
            </w:r>
            <w:proofErr w:type="spellEnd"/>
            <w:r w:rsidRPr="00751FC1">
              <w:rPr>
                <w:spacing w:val="-2"/>
              </w:rPr>
              <w:t xml:space="preserve"> nároku ozbrojených složek.</w:t>
            </w:r>
          </w:p>
        </w:tc>
      </w:tr>
    </w:tbl>
    <w:p w:rsidR="001C3961" w:rsidRPr="0074690B" w:rsidRDefault="001C3961" w:rsidP="001C3961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1C3961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1C3961" w:rsidRPr="00AA4A76" w:rsidRDefault="001C3961" w:rsidP="00853C0F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1C3961" w:rsidRPr="00AA4A76" w:rsidRDefault="001C3961" w:rsidP="00853C0F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1C3961" w:rsidRPr="00AA4A76" w:rsidRDefault="001C3961" w:rsidP="00853C0F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21</w:t>
            </w:r>
          </w:p>
        </w:tc>
        <w:tc>
          <w:tcPr>
            <w:tcW w:w="3262" w:type="pct"/>
          </w:tcPr>
          <w:p w:rsidR="001C3961" w:rsidRPr="00E4793B" w:rsidRDefault="001C3961" w:rsidP="00853C0F">
            <w:pPr>
              <w:pStyle w:val="Textpoznpodarou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Skladba příjm</w:t>
            </w:r>
            <w:r w:rsidRPr="00501E54">
              <w:rPr>
                <w:rFonts w:cs="Arial"/>
                <w:b/>
                <w:bCs/>
              </w:rPr>
              <w:t>ů ČR z rozpočtu EU a čistá pozice ČR vůči EU v 1. pololetích roku</w:t>
            </w:r>
            <w:r>
              <w:rPr>
                <w:rFonts w:cs="Arial"/>
                <w:bCs/>
              </w:rPr>
              <w:t xml:space="preserve"> (v mld. korun)</w:t>
            </w:r>
          </w:p>
        </w:tc>
      </w:tr>
      <w:tr w:rsidR="001C3961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1C3961" w:rsidRPr="006D3F53" w:rsidRDefault="001C3961" w:rsidP="00853C0F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1C3961" w:rsidRPr="00A74192" w:rsidRDefault="001C3961" w:rsidP="00853C0F">
            <w:pPr>
              <w:pStyle w:val="Textpoznpodarou"/>
              <w:jc w:val="both"/>
            </w:pPr>
          </w:p>
        </w:tc>
        <w:tc>
          <w:tcPr>
            <w:tcW w:w="3834" w:type="pct"/>
            <w:gridSpan w:val="2"/>
          </w:tcPr>
          <w:p w:rsidR="001C3961" w:rsidRDefault="001C3961" w:rsidP="00853C0F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FF5A0D">
              <w:rPr>
                <w:noProof/>
                <w:sz w:val="16"/>
                <w:szCs w:val="16"/>
              </w:rPr>
              <w:drawing>
                <wp:inline distT="0" distB="0" distL="0" distR="0">
                  <wp:extent cx="4754880" cy="3458817"/>
                  <wp:effectExtent l="0" t="0" r="0" b="0"/>
                  <wp:docPr id="3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1C3961" w:rsidRPr="00535F78" w:rsidRDefault="001C3961" w:rsidP="00853C0F">
            <w:pPr>
              <w:pStyle w:val="Textpoznpodarou"/>
              <w:ind w:left="-124"/>
              <w:jc w:val="right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*Zahrnuje také tržní operace a veterinární opatření.                                                                                       </w:t>
            </w:r>
            <w:r w:rsidRPr="00535F78">
              <w:rPr>
                <w:rFonts w:cs="Arial"/>
                <w:sz w:val="14"/>
                <w:szCs w:val="14"/>
              </w:rPr>
              <w:t>Zdroj: M</w:t>
            </w:r>
            <w:r w:rsidR="00FB332E">
              <w:rPr>
                <w:rFonts w:cs="Arial"/>
                <w:sz w:val="14"/>
                <w:szCs w:val="14"/>
              </w:rPr>
              <w:t>F</w:t>
            </w:r>
          </w:p>
        </w:tc>
      </w:tr>
    </w:tbl>
    <w:p w:rsidR="001C3961" w:rsidRPr="0074690B" w:rsidRDefault="001C3961" w:rsidP="001C3961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1C3961" w:rsidRPr="00AD0FC0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1C3961" w:rsidRPr="00F4351C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V</w:t>
            </w:r>
            <w:r w:rsidRPr="006B23FE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ysoká růstová tempa celkov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ých daňových příjmů</w:t>
            </w:r>
            <w:r w:rsidRPr="006B23FE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výrazně převyšovala rozpočtová očekávání 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lastRenderedPageBreak/>
              <w:t>a </w:t>
            </w:r>
            <w:r w:rsidRPr="006B23FE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kontrastovala 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s nízkými příjmy z rozpočtu EU.</w:t>
            </w:r>
          </w:p>
        </w:tc>
        <w:tc>
          <w:tcPr>
            <w:tcW w:w="144" w:type="pct"/>
          </w:tcPr>
          <w:p w:rsidR="001C3961" w:rsidRPr="00807B25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</w:p>
        </w:tc>
        <w:tc>
          <w:tcPr>
            <w:tcW w:w="3840" w:type="pct"/>
          </w:tcPr>
          <w:p w:rsidR="001C3961" w:rsidRPr="00751FC1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 w:rsidRPr="00751FC1">
              <w:rPr>
                <w:rFonts w:cs="Arial"/>
                <w:spacing w:val="-2"/>
              </w:rPr>
              <w:t xml:space="preserve">Veškeré daňové příjmy SR </w:t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 xml:space="preserve">(vč. pojistného na sociálním zabezpečení) </w:t>
            </w:r>
            <w:r w:rsidRPr="00751FC1">
              <w:rPr>
                <w:rFonts w:cs="Arial"/>
                <w:spacing w:val="-2"/>
              </w:rPr>
              <w:t xml:space="preserve">rostly v první polovině roku o 8,2 % a výrazně předčily </w:t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>celoroční rozpočtové očekávání (3,9 %). Naproti tomu celkové příjmy SR byly proti 1. pololetí 2016 o</w:t>
            </w:r>
            <w:r w:rsidRPr="00751FC1">
              <w:rPr>
                <w:rFonts w:cs="Arial"/>
                <w:spacing w:val="-2"/>
              </w:rPr>
              <w:t> </w:t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>téměř 21 mld. nižší a</w:t>
            </w:r>
            <w:r w:rsidRPr="00751FC1">
              <w:rPr>
                <w:rFonts w:cs="Arial"/>
                <w:spacing w:val="-2"/>
              </w:rPr>
              <w:t> </w:t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 xml:space="preserve">jejich tempo (-3,2 %) za rozpočtovým očekáváním zatím mírně zaostalo. Tento </w:t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lastRenderedPageBreak/>
              <w:t>výsledek byl ovlivněn silným rozpočtově očeká</w:t>
            </w:r>
            <w:r>
              <w:rPr>
                <w:rFonts w:cs="Arial"/>
                <w:color w:val="0D0D0D" w:themeColor="text1" w:themeTint="F2"/>
                <w:spacing w:val="-2"/>
              </w:rPr>
              <w:t>vaným poklesem příjmů ze zdrojů</w:t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 xml:space="preserve"> EU. Za 1. pololetí 2017 získalo Česko z rozpočtu EU celkem 39,5 mld. korun</w:t>
            </w:r>
            <w:r w:rsidRPr="00751FC1">
              <w:rPr>
                <w:rStyle w:val="Znakapoznpodarou"/>
                <w:color w:val="0D0D0D" w:themeColor="text1" w:themeTint="F2"/>
                <w:spacing w:val="-2"/>
              </w:rPr>
              <w:footnoteReference w:id="7"/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>. Šlo jen o</w:t>
            </w:r>
            <w:r w:rsidRPr="00751FC1">
              <w:rPr>
                <w:rFonts w:cs="Arial"/>
                <w:color w:val="000000" w:themeColor="text1"/>
                <w:spacing w:val="-2"/>
              </w:rPr>
              <w:t> </w:t>
            </w:r>
            <w:r>
              <w:rPr>
                <w:rFonts w:cs="Arial"/>
                <w:color w:val="0D0D0D" w:themeColor="text1" w:themeTint="F2"/>
                <w:spacing w:val="-2"/>
              </w:rPr>
              <w:t>čtvrtinu částky z</w:t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 xml:space="preserve"> první poloviny roku 2015, kdy čerpání prostředků z rozpočtu EU vrcholilo. Vedle objemu financí se změnila i jejich skladba. Za slabším čerpáním na počátku </w:t>
            </w:r>
            <w:r>
              <w:rPr>
                <w:rFonts w:cs="Arial"/>
                <w:color w:val="0D0D0D" w:themeColor="text1" w:themeTint="F2"/>
                <w:spacing w:val="-2"/>
              </w:rPr>
              <w:t>nového programového období stál</w:t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 xml:space="preserve"> hlavně výpadek u projektově náročněj</w:t>
            </w:r>
            <w:r>
              <w:rPr>
                <w:rFonts w:cs="Arial"/>
                <w:color w:val="0D0D0D" w:themeColor="text1" w:themeTint="F2"/>
                <w:spacing w:val="-2"/>
              </w:rPr>
              <w:t>ších strukturálních akcí (</w:t>
            </w:r>
            <w:r w:rsidR="00B6493D">
              <w:rPr>
                <w:rFonts w:cs="Arial"/>
                <w:color w:val="0D0D0D" w:themeColor="text1" w:themeTint="F2"/>
                <w:spacing w:val="-2"/>
              </w:rPr>
              <w:t xml:space="preserve">např. </w:t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>d</w:t>
            </w:r>
            <w:r w:rsidR="00B6493D">
              <w:rPr>
                <w:rFonts w:cs="Arial"/>
                <w:color w:val="0D0D0D" w:themeColor="text1" w:themeTint="F2"/>
                <w:spacing w:val="-2"/>
              </w:rPr>
              <w:t>opravních staveb financovaných z</w:t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>e</w:t>
            </w:r>
            <w:r w:rsidR="00B6493D">
              <w:rPr>
                <w:rFonts w:cs="Arial"/>
                <w:color w:val="0D0D0D" w:themeColor="text1" w:themeTint="F2"/>
                <w:spacing w:val="-2"/>
              </w:rPr>
              <w:t xml:space="preserve"> </w:t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 xml:space="preserve">strukturálních fondů). Naopak objem přímých plateb v zemědělství se za posledních pět let </w:t>
            </w:r>
            <w:r>
              <w:rPr>
                <w:rFonts w:cs="Arial"/>
                <w:color w:val="0D0D0D" w:themeColor="text1" w:themeTint="F2"/>
                <w:spacing w:val="-2"/>
              </w:rPr>
              <w:t>prakticky nezměnil</w:t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2"/>
              </w:rPr>
              <w:t>(</w:t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>proti 1. polo</w:t>
            </w:r>
            <w:r>
              <w:rPr>
                <w:rFonts w:cs="Arial"/>
                <w:color w:val="0D0D0D" w:themeColor="text1" w:themeTint="F2"/>
                <w:spacing w:val="-2"/>
              </w:rPr>
              <w:t>letí 2016 dokonce mírně vzrostl)</w:t>
            </w:r>
            <w:r w:rsidRPr="00751FC1">
              <w:rPr>
                <w:rFonts w:cs="Arial"/>
                <w:color w:val="0D0D0D" w:themeColor="text1" w:themeTint="F2"/>
                <w:spacing w:val="-2"/>
              </w:rPr>
              <w:t>.</w:t>
            </w:r>
          </w:p>
          <w:p w:rsidR="001C3961" w:rsidRPr="00751FC1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5"/>
                <w:szCs w:val="15"/>
              </w:rPr>
            </w:pPr>
          </w:p>
        </w:tc>
      </w:tr>
      <w:tr w:rsidR="001C3961" w:rsidRPr="00AD0FC0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1C3961" w:rsidRPr="006E7FAA" w:rsidRDefault="001C3961" w:rsidP="00853C0F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lastRenderedPageBreak/>
              <w:t>Nízké čerpání investic v průběhu roku 2017 nadále pokračovalo.</w:t>
            </w:r>
          </w:p>
        </w:tc>
        <w:tc>
          <w:tcPr>
            <w:tcW w:w="144" w:type="pct"/>
          </w:tcPr>
          <w:p w:rsidR="001C3961" w:rsidRPr="00A90EFD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1C3961" w:rsidRPr="00751FC1" w:rsidRDefault="001C3961" w:rsidP="00853C0F">
            <w:pPr>
              <w:pStyle w:val="Textpoznpodarou"/>
              <w:jc w:val="both"/>
              <w:rPr>
                <w:rFonts w:cs="Arial"/>
                <w:color w:val="000000" w:themeColor="text1"/>
                <w:spacing w:val="-2"/>
              </w:rPr>
            </w:pPr>
            <w:r w:rsidRPr="00751FC1">
              <w:rPr>
                <w:rFonts w:cs="Arial"/>
                <w:color w:val="000000" w:themeColor="text1"/>
                <w:spacing w:val="-2"/>
              </w:rPr>
              <w:t>Celkové výdaje SR posílily od ledna do června 2017 meziročně o 2,5 %. Růst běžných výdajů (5,9 %) byl na rozdíl od propadu investic (o 48 %) v souladu s rozpočtovým očekáváním. Kapitálové výdaje jen těsně překročily 20 mld. korun</w:t>
            </w:r>
            <w:r>
              <w:rPr>
                <w:rFonts w:cs="Arial"/>
                <w:color w:val="000000" w:themeColor="text1"/>
                <w:spacing w:val="-2"/>
              </w:rPr>
              <w:t>. N</w:t>
            </w:r>
            <w:r w:rsidRPr="00751FC1">
              <w:rPr>
                <w:rFonts w:cs="Arial"/>
                <w:color w:val="000000" w:themeColor="text1"/>
                <w:spacing w:val="-2"/>
              </w:rPr>
              <w:t>ecelá polovina z toho směřovala na financování společných programů ČR a EU (veškeré výdaje, tj. i neinvestiční, na tyto projekty činily 34 mld., meziročně o 16 mld. méně). Čerpání investic se příliš nezlepšilo ani v prázdninovém období</w:t>
            </w:r>
            <w:r w:rsidRPr="00751FC1">
              <w:rPr>
                <w:rStyle w:val="Znakapoznpodarou"/>
                <w:color w:val="000000" w:themeColor="text1"/>
                <w:spacing w:val="-2"/>
              </w:rPr>
              <w:footnoteReference w:id="8"/>
            </w:r>
            <w:r w:rsidRPr="00751FC1">
              <w:rPr>
                <w:rFonts w:cs="Arial"/>
                <w:color w:val="000000" w:themeColor="text1"/>
                <w:spacing w:val="-2"/>
              </w:rPr>
              <w:t>. Podíl investic na všech výdajích SR se snížil na 3,2 % (nejnižší hodnotu po roce 2000).</w:t>
            </w:r>
          </w:p>
          <w:p w:rsidR="001C3961" w:rsidRPr="00751FC1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5"/>
                <w:szCs w:val="15"/>
              </w:rPr>
            </w:pPr>
          </w:p>
        </w:tc>
      </w:tr>
      <w:tr w:rsidR="001C3961" w:rsidRPr="00AD0FC0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1C3961" w:rsidRPr="00F745A4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K růstu běžných výdajů přispěly zejména vyšší sociální dávky a výdaje na mzdy zaměstnancům v odvětvích s dominancí státu.</w:t>
            </w:r>
          </w:p>
        </w:tc>
        <w:tc>
          <w:tcPr>
            <w:tcW w:w="144" w:type="pct"/>
          </w:tcPr>
          <w:p w:rsidR="001C3961" w:rsidRPr="00782BA5" w:rsidRDefault="001C3961" w:rsidP="00853C0F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</w:rPr>
            </w:pPr>
          </w:p>
        </w:tc>
        <w:tc>
          <w:tcPr>
            <w:tcW w:w="3840" w:type="pct"/>
          </w:tcPr>
          <w:p w:rsidR="001C3961" w:rsidRPr="00751FC1" w:rsidRDefault="001C3961" w:rsidP="00853C0F">
            <w:pPr>
              <w:pStyle w:val="Textpoznpodarou"/>
              <w:jc w:val="both"/>
              <w:rPr>
                <w:rFonts w:cs="Arial"/>
                <w:color w:val="000000" w:themeColor="text1"/>
                <w:spacing w:val="-2"/>
              </w:rPr>
            </w:pPr>
            <w:r w:rsidRPr="00751FC1">
              <w:rPr>
                <w:rFonts w:cs="Arial"/>
                <w:color w:val="000000" w:themeColor="text1"/>
                <w:spacing w:val="-2"/>
              </w:rPr>
              <w:t>O vyšší běžné výdaje (+34 mld. ko</w:t>
            </w:r>
            <w:r>
              <w:rPr>
                <w:rFonts w:cs="Arial"/>
                <w:color w:val="000000" w:themeColor="text1"/>
                <w:spacing w:val="-2"/>
              </w:rPr>
              <w:t>run) se v 1. pololetí zasloužila</w:t>
            </w:r>
            <w:r w:rsidRPr="00751FC1">
              <w:rPr>
                <w:rFonts w:cs="Arial"/>
                <w:color w:val="000000" w:themeColor="text1"/>
                <w:spacing w:val="-2"/>
              </w:rPr>
              <w:t xml:space="preserve"> především váhově dominantní položk</w:t>
            </w:r>
            <w:r>
              <w:rPr>
                <w:rFonts w:cs="Arial"/>
                <w:color w:val="000000" w:themeColor="text1"/>
                <w:spacing w:val="-2"/>
              </w:rPr>
              <w:t>a sociálních dávek (+13,5 mld.). V</w:t>
            </w:r>
            <w:r w:rsidRPr="00751FC1">
              <w:rPr>
                <w:rFonts w:cs="Arial"/>
                <w:color w:val="000000" w:themeColor="text1"/>
                <w:spacing w:val="-2"/>
              </w:rPr>
              <w:t xml:space="preserve">ýrazně přispěly i neinvestiční výdaje podnikatelským subjektům, jež byly meziročně o bezmála třetinu vyšší. </w:t>
            </w:r>
            <w:r w:rsidRPr="00751FC1">
              <w:rPr>
                <w:spacing w:val="-2"/>
              </w:rPr>
              <w:t>Výdaje na platy zaměst</w:t>
            </w:r>
            <w:r>
              <w:rPr>
                <w:spacing w:val="-2"/>
              </w:rPr>
              <w:t>nanců státu se navýšily o 7,6 %</w:t>
            </w:r>
            <w:r w:rsidRPr="00751FC1">
              <w:rPr>
                <w:spacing w:val="-2"/>
              </w:rPr>
              <w:t xml:space="preserve"> </w:t>
            </w:r>
            <w:r>
              <w:rPr>
                <w:spacing w:val="-2"/>
              </w:rPr>
              <w:t>(</w:t>
            </w:r>
            <w:r w:rsidRPr="00751FC1">
              <w:rPr>
                <w:spacing w:val="-2"/>
              </w:rPr>
              <w:t>šlo o vyšší tempo než v předchozím roce, i než v 1. čtvrtletí 2017</w:t>
            </w:r>
            <w:r>
              <w:rPr>
                <w:spacing w:val="-2"/>
              </w:rPr>
              <w:t>)</w:t>
            </w:r>
            <w:r w:rsidRPr="00751FC1">
              <w:rPr>
                <w:spacing w:val="-2"/>
              </w:rPr>
              <w:t xml:space="preserve">. Růst výdělků pracovníků v regionálním školství se projevil ve vyšších </w:t>
            </w:r>
            <w:r w:rsidRPr="00751FC1">
              <w:rPr>
                <w:bCs/>
                <w:spacing w:val="-2"/>
                <w:szCs w:val="24"/>
              </w:rPr>
              <w:t xml:space="preserve">neinvestičních transferech veřejným rozpočtům územní úrovně (+9,1 %, za celý loňský rok +4,6 %). Méně prostředků bylo naopak meziročně vydáno na </w:t>
            </w:r>
            <w:r w:rsidRPr="00751FC1">
              <w:rPr>
                <w:rStyle w:val="tabulka"/>
                <w:spacing w:val="-2"/>
              </w:rPr>
              <w:t>neinvestiční trans</w:t>
            </w:r>
            <w:r>
              <w:rPr>
                <w:rStyle w:val="tabulka"/>
                <w:spacing w:val="-2"/>
              </w:rPr>
              <w:t>fery státním fondům (-5,5 mld.). Nadále pokračoval</w:t>
            </w:r>
            <w:r w:rsidRPr="00751FC1">
              <w:rPr>
                <w:rStyle w:val="tabulka"/>
                <w:spacing w:val="-2"/>
              </w:rPr>
              <w:t xml:space="preserve"> i dlouhodobější trend redukce čistých výdajů na státní dluh (-5 mld.). </w:t>
            </w:r>
          </w:p>
        </w:tc>
      </w:tr>
    </w:tbl>
    <w:p w:rsidR="001C3961" w:rsidRPr="001C6DE6" w:rsidRDefault="001C3961" w:rsidP="001C3961">
      <w:pPr>
        <w:pStyle w:val="Textpoznpodarou"/>
        <w:jc w:val="both"/>
        <w:rPr>
          <w:rFonts w:cs="Arial"/>
          <w:color w:val="000000"/>
          <w:spacing w:val="-2"/>
          <w:sz w:val="15"/>
          <w:szCs w:val="15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1C3961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1C3961" w:rsidRPr="00AA4A76" w:rsidRDefault="001C3961" w:rsidP="00853C0F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1C3961" w:rsidRPr="00AA4A76" w:rsidRDefault="001C3961" w:rsidP="00853C0F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1C3961" w:rsidRPr="00AA4A76" w:rsidRDefault="001C3961" w:rsidP="00853C0F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22</w:t>
            </w:r>
          </w:p>
        </w:tc>
        <w:tc>
          <w:tcPr>
            <w:tcW w:w="3262" w:type="pct"/>
          </w:tcPr>
          <w:p w:rsidR="001C3961" w:rsidRDefault="001C3961" w:rsidP="00853C0F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Vybrané výdaje státního rozpočtu v 1. polo</w:t>
            </w:r>
            <w:r w:rsidRPr="006808C5">
              <w:rPr>
                <w:rFonts w:cs="Arial"/>
                <w:b/>
                <w:bCs/>
              </w:rPr>
              <w:t>letích roku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C3961" w:rsidRPr="0007324C" w:rsidRDefault="001C3961" w:rsidP="00853C0F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(</w:t>
            </w:r>
            <w:r w:rsidRPr="00DB06E9">
              <w:rPr>
                <w:rFonts w:cs="Arial"/>
                <w:bCs/>
              </w:rPr>
              <w:t>v mld. korun</w:t>
            </w:r>
            <w:r>
              <w:rPr>
                <w:rFonts w:cs="Arial"/>
                <w:bCs/>
              </w:rPr>
              <w:t>)</w:t>
            </w:r>
          </w:p>
        </w:tc>
      </w:tr>
      <w:tr w:rsidR="001C3961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1C3961" w:rsidRPr="006D3F53" w:rsidRDefault="001C3961" w:rsidP="00853C0F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1C3961" w:rsidRPr="00A74192" w:rsidRDefault="001C3961" w:rsidP="00853C0F">
            <w:pPr>
              <w:pStyle w:val="Textpoznpodarou"/>
              <w:jc w:val="both"/>
            </w:pPr>
          </w:p>
        </w:tc>
        <w:tc>
          <w:tcPr>
            <w:tcW w:w="3833" w:type="pct"/>
            <w:gridSpan w:val="2"/>
          </w:tcPr>
          <w:p w:rsidR="001C3961" w:rsidRDefault="009C6215" w:rsidP="00853C0F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9C6215">
              <w:rPr>
                <w:noProof/>
                <w:sz w:val="16"/>
                <w:szCs w:val="16"/>
              </w:rPr>
              <w:drawing>
                <wp:inline distT="0" distB="0" distL="0" distR="0">
                  <wp:extent cx="4752000" cy="3528000"/>
                  <wp:effectExtent l="0" t="0" r="0" b="0"/>
                  <wp:docPr id="1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1C3961" w:rsidRDefault="001C3961" w:rsidP="00853C0F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*Vč. dávek pěstounské péče.</w:t>
            </w:r>
          </w:p>
          <w:p w:rsidR="001C3961" w:rsidRPr="007E5880" w:rsidRDefault="001C3961" w:rsidP="00853C0F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**D</w:t>
            </w:r>
            <w:r w:rsidRPr="007E5880">
              <w:rPr>
                <w:sz w:val="14"/>
                <w:szCs w:val="14"/>
              </w:rPr>
              <w:t>ávky pomoci</w:t>
            </w:r>
            <w:r>
              <w:rPr>
                <w:sz w:val="14"/>
                <w:szCs w:val="14"/>
              </w:rPr>
              <w:t xml:space="preserve"> v hmot.</w:t>
            </w:r>
            <w:r w:rsidRPr="007E5880">
              <w:rPr>
                <w:sz w:val="14"/>
                <w:szCs w:val="14"/>
              </w:rPr>
              <w:t xml:space="preserve"> nouzi,</w:t>
            </w:r>
            <w:r>
              <w:rPr>
                <w:sz w:val="14"/>
                <w:szCs w:val="14"/>
              </w:rPr>
              <w:t xml:space="preserve"> dávky osobám </w:t>
            </w:r>
            <w:proofErr w:type="gramStart"/>
            <w:r>
              <w:rPr>
                <w:sz w:val="14"/>
                <w:szCs w:val="14"/>
              </w:rPr>
              <w:t>se zdravot.</w:t>
            </w:r>
            <w:r w:rsidRPr="007E5880">
              <w:rPr>
                <w:sz w:val="14"/>
                <w:szCs w:val="14"/>
              </w:rPr>
              <w:t xml:space="preserve"> postižením</w:t>
            </w:r>
            <w:proofErr w:type="gramEnd"/>
            <w:r w:rsidRPr="007E5880">
              <w:rPr>
                <w:sz w:val="14"/>
                <w:szCs w:val="14"/>
              </w:rPr>
              <w:t xml:space="preserve">, příspěvek na péči dle zákona o </w:t>
            </w:r>
            <w:proofErr w:type="spellStart"/>
            <w:r w:rsidRPr="007E5880">
              <w:rPr>
                <w:sz w:val="14"/>
                <w:szCs w:val="14"/>
              </w:rPr>
              <w:t>soc</w:t>
            </w:r>
            <w:proofErr w:type="spellEnd"/>
            <w:r w:rsidRPr="007E5880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službách.</w:t>
            </w:r>
          </w:p>
          <w:p w:rsidR="001C3961" w:rsidRPr="007E5880" w:rsidRDefault="001C3961" w:rsidP="00853C0F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***Jde o čisté výdaje (</w:t>
            </w:r>
            <w:r w:rsidRPr="007E5880">
              <w:rPr>
                <w:sz w:val="14"/>
                <w:szCs w:val="14"/>
              </w:rPr>
              <w:t xml:space="preserve">jsou </w:t>
            </w:r>
            <w:r>
              <w:rPr>
                <w:sz w:val="14"/>
                <w:szCs w:val="14"/>
              </w:rPr>
              <w:t xml:space="preserve">v nich </w:t>
            </w:r>
            <w:r w:rsidRPr="007E5880">
              <w:rPr>
                <w:sz w:val="14"/>
                <w:szCs w:val="14"/>
              </w:rPr>
              <w:t>započteny i příjmy kapitoly Státní dluh</w:t>
            </w:r>
            <w:r>
              <w:rPr>
                <w:sz w:val="14"/>
                <w:szCs w:val="14"/>
              </w:rPr>
              <w:t xml:space="preserve">).                                     </w:t>
            </w:r>
            <w:r w:rsidR="00FB332E">
              <w:rPr>
                <w:rFonts w:cs="Arial"/>
                <w:sz w:val="14"/>
                <w:szCs w:val="14"/>
              </w:rPr>
              <w:t>Zdroj: MF</w:t>
            </w:r>
            <w:r w:rsidRPr="007E5880">
              <w:rPr>
                <w:rFonts w:cs="Arial"/>
                <w:sz w:val="14"/>
                <w:szCs w:val="14"/>
              </w:rPr>
              <w:t>, MPSV</w:t>
            </w:r>
          </w:p>
        </w:tc>
      </w:tr>
    </w:tbl>
    <w:p w:rsidR="001C3961" w:rsidRPr="0007324C" w:rsidRDefault="001C3961" w:rsidP="001C3961">
      <w:pPr>
        <w:pStyle w:val="Textpoznpodarou"/>
        <w:jc w:val="both"/>
        <w:rPr>
          <w:rFonts w:cs="Arial"/>
          <w:color w:val="000000"/>
          <w:spacing w:val="-2"/>
          <w:sz w:val="18"/>
          <w:szCs w:val="18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1C3961" w:rsidRPr="00AD0FC0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1C3961" w:rsidRPr="00674567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Navýšení výdajů na sociální dávky bylo primárně ovlivněno 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lastRenderedPageBreak/>
              <w:t>prostředky na důchody. Ty rostly v rámci prvních pololetí nejdynamičtěji za posledních šest let.</w:t>
            </w:r>
          </w:p>
        </w:tc>
        <w:tc>
          <w:tcPr>
            <w:tcW w:w="144" w:type="pct"/>
          </w:tcPr>
          <w:p w:rsidR="001C3961" w:rsidRPr="00A90EFD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1C3961" w:rsidRPr="00751FC1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751FC1">
              <w:rPr>
                <w:rFonts w:cs="Arial"/>
                <w:color w:val="0D0D0D" w:themeColor="text1" w:themeTint="F2"/>
                <w:spacing w:val="-4"/>
              </w:rPr>
              <w:t xml:space="preserve">Meziroční tempo růstu výdajů na sociální dávky </w:t>
            </w:r>
            <w:r w:rsidR="00B6493D">
              <w:rPr>
                <w:rFonts w:cs="Arial"/>
                <w:color w:val="0D0D0D" w:themeColor="text1" w:themeTint="F2"/>
                <w:spacing w:val="-4"/>
              </w:rPr>
              <w:t xml:space="preserve">se </w:t>
            </w:r>
            <w:r w:rsidRPr="00751FC1">
              <w:rPr>
                <w:rFonts w:cs="Arial"/>
                <w:color w:val="0D0D0D" w:themeColor="text1" w:themeTint="F2"/>
                <w:spacing w:val="-4"/>
              </w:rPr>
              <w:t xml:space="preserve">v rámci 1. pololetí zvyšovalo již počtvrté v řadě a v roce 2017 dosáhlo 5,3 %. Táhly je hlavně váhově dominantní výdaje na důchody (+6,0 %), neboť bylo využito nové legislativní úpravy umožňující </w:t>
            </w:r>
            <w:r w:rsidRPr="00751FC1">
              <w:rPr>
                <w:rFonts w:cs="Arial"/>
                <w:color w:val="0D0D0D" w:themeColor="text1" w:themeTint="F2"/>
                <w:spacing w:val="-4"/>
              </w:rPr>
              <w:lastRenderedPageBreak/>
              <w:t>zvýšit důchody nad rámec standardní valorizace. Důchody od státu pobíralo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na konci června 2,89 mil. lidí. J</w:t>
            </w:r>
            <w:r w:rsidRPr="00751FC1">
              <w:rPr>
                <w:rFonts w:cs="Arial"/>
                <w:color w:val="0D0D0D" w:themeColor="text1" w:themeTint="F2"/>
                <w:spacing w:val="-4"/>
              </w:rPr>
              <w:t>ejich počet meziročně stagnoval (mírný růst počtu vyplacených starobních důchodů o 0,7 % byl vyvážen redukcí ve všech ostatních kategorií</w:t>
            </w:r>
            <w:r w:rsidR="00D9640A">
              <w:rPr>
                <w:rFonts w:cs="Arial"/>
                <w:color w:val="0D0D0D" w:themeColor="text1" w:themeTint="F2"/>
                <w:spacing w:val="-4"/>
              </w:rPr>
              <w:t>ch</w:t>
            </w:r>
            <w:r w:rsidRPr="00751FC1">
              <w:rPr>
                <w:rFonts w:cs="Arial"/>
                <w:color w:val="0D0D0D" w:themeColor="text1" w:themeTint="F2"/>
                <w:spacing w:val="-4"/>
              </w:rPr>
              <w:t xml:space="preserve"> důchodů). Přestože růst výdajů na důchody byl letos nejvyšší za posledních šest let, deficit salda důchodového účtu</w:t>
            </w:r>
            <w:r w:rsidRPr="00751FC1">
              <w:rPr>
                <w:rStyle w:val="Znakapoznpodarou"/>
                <w:color w:val="0D0D0D" w:themeColor="text1" w:themeTint="F2"/>
                <w:spacing w:val="-4"/>
              </w:rPr>
              <w:footnoteReference w:id="9"/>
            </w:r>
            <w:r w:rsidRPr="00751FC1">
              <w:rPr>
                <w:rFonts w:cs="Arial"/>
                <w:color w:val="0D0D0D" w:themeColor="text1" w:themeTint="F2"/>
                <w:spacing w:val="-4"/>
              </w:rPr>
              <w:t xml:space="preserve"> se nadále snižoval (až na 6,8 mld. korun v 1. pololetí 2017).</w:t>
            </w:r>
            <w:r w:rsidRPr="00751FC1">
              <w:rPr>
                <w:rFonts w:cs="Arial"/>
                <w:color w:val="000000" w:themeColor="text1"/>
                <w:spacing w:val="-4"/>
              </w:rPr>
              <w:t xml:space="preserve"> Pozitivně působil sílící růst výběru pojistného, jehož tempo (+7,3 %) se blížilo hodnotám z konjunkturního období předchozí dekády.</w:t>
            </w:r>
          </w:p>
          <w:p w:rsidR="001C3961" w:rsidRPr="00751FC1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</w:p>
        </w:tc>
      </w:tr>
      <w:tr w:rsidR="001C3961" w:rsidRPr="00AD0FC0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1C3961" w:rsidRPr="00ED54D4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ED54D4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lastRenderedPageBreak/>
              <w:t>Pokračoval růst dávek nemocenského pojištění, legislativní úpravou posílily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příspěvky na péči.</w:t>
            </w:r>
          </w:p>
          <w:p w:rsidR="001C3961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1C3961" w:rsidRPr="00ED54D4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1C3961" w:rsidRPr="009A6353" w:rsidRDefault="001C3961" w:rsidP="00853C0F">
            <w:pPr>
              <w:spacing w:line="240" w:lineRule="auto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P</w:t>
            </w:r>
            <w:r w:rsidRPr="00ED54D4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říznivější finanční situace domácností se odrazila v redukci objemu dávek hmotné nouze i</w:t>
            </w:r>
            <w:r w:rsidR="00D9640A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 </w:t>
            </w:r>
            <w:r w:rsidRPr="00ED54D4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státní sociální podpory</w:t>
            </w:r>
            <w:r w:rsidR="00D9640A" w:rsidRPr="00D9640A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1C3961" w:rsidRPr="00A90EFD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1C3961" w:rsidRPr="00751FC1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751FC1">
              <w:rPr>
                <w:rFonts w:cs="Arial"/>
                <w:color w:val="0D0D0D" w:themeColor="text1" w:themeTint="F2"/>
                <w:spacing w:val="-4"/>
              </w:rPr>
              <w:t xml:space="preserve">Výdaje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na </w:t>
            </w:r>
            <w:r w:rsidRPr="00751FC1">
              <w:rPr>
                <w:rFonts w:cs="Arial"/>
                <w:color w:val="0D0D0D" w:themeColor="text1" w:themeTint="F2"/>
                <w:spacing w:val="-4"/>
              </w:rPr>
              <w:t xml:space="preserve">ostatní sociální dávky (mimo důchody) byly o 3,0 % vyšší. Jejich meziroční tempo rostlo již druhým rokem v řadě. Stály za tím vyšší výdaje na </w:t>
            </w:r>
            <w:r w:rsidRPr="00751FC1">
              <w:rPr>
                <w:color w:val="000000" w:themeColor="text1"/>
                <w:spacing w:val="-4"/>
              </w:rPr>
              <w:t xml:space="preserve">dávky nemocenského pojištění (již popáté v řadě, v úhrnu o 4,5 mld. více) vlivem rostoucí nemocnosti, ale i </w:t>
            </w:r>
            <w:r w:rsidRPr="00751FC1">
              <w:rPr>
                <w:spacing w:val="-4"/>
              </w:rPr>
              <w:t xml:space="preserve">vyššího čerpáním peněžité pomoci v mateřství. O 1,5 mld. korun vzrostly také příspěvky na péči dlouhodobě nemocným osobám (vlivem 10% plošné valorizace v srpnu 2016). Mírnějším tempem pokračoval i růst dávek pěstounské péče. </w:t>
            </w:r>
            <w:r>
              <w:rPr>
                <w:spacing w:val="-4"/>
              </w:rPr>
              <w:t>Stát vyplatil méně</w:t>
            </w:r>
            <w:r w:rsidRPr="00751FC1">
              <w:rPr>
                <w:spacing w:val="-4"/>
              </w:rPr>
              <w:t xml:space="preserve"> na podporách v nezaměstnanosti (-3,4 %), které pobírala čtvrtina všech registrovaných uchazečů o práci. Příznivější finanční situace domácností se odrazila v</w:t>
            </w:r>
            <w:r w:rsidRPr="00751FC1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51FC1">
              <w:rPr>
                <w:spacing w:val="-4"/>
              </w:rPr>
              <w:t>nižším objemu vyplacených dávek státní sociální podpory (-1,5 %) a</w:t>
            </w:r>
            <w:r w:rsidRPr="00751FC1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 xml:space="preserve">zejména v </w:t>
            </w:r>
            <w:r w:rsidRPr="00751FC1">
              <w:rPr>
                <w:spacing w:val="-4"/>
              </w:rPr>
              <w:t>prohloubení poklesu výdajů na d</w:t>
            </w:r>
            <w:r>
              <w:rPr>
                <w:spacing w:val="-4"/>
              </w:rPr>
              <w:t>ávky</w:t>
            </w:r>
            <w:r w:rsidRPr="00751FC1">
              <w:rPr>
                <w:spacing w:val="-4"/>
              </w:rPr>
              <w:t xml:space="preserve"> v hmotné nouzi (na -17 %, za tři roky činil pokles 30 %).</w:t>
            </w:r>
          </w:p>
        </w:tc>
      </w:tr>
    </w:tbl>
    <w:p w:rsidR="001C3961" w:rsidRDefault="001C3961" w:rsidP="00D9640A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1C3961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1C3961" w:rsidRPr="00AA4A76" w:rsidRDefault="001C3961" w:rsidP="00853C0F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1C3961" w:rsidRPr="00AA4A76" w:rsidRDefault="001C3961" w:rsidP="00853C0F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1C3961" w:rsidRPr="00AA4A76" w:rsidRDefault="001C3961" w:rsidP="00853C0F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23</w:t>
            </w:r>
          </w:p>
        </w:tc>
        <w:tc>
          <w:tcPr>
            <w:tcW w:w="3262" w:type="pct"/>
          </w:tcPr>
          <w:p w:rsidR="001C3961" w:rsidRPr="007E5880" w:rsidRDefault="001C3961" w:rsidP="00853C0F">
            <w:pPr>
              <w:pStyle w:val="Textpoznpodarou"/>
              <w:rPr>
                <w:spacing w:val="-2"/>
                <w:lang w:eastAsia="en-US"/>
              </w:rPr>
            </w:pPr>
            <w:r w:rsidRPr="007E5880">
              <w:rPr>
                <w:rFonts w:cs="Arial"/>
                <w:b/>
                <w:bCs/>
                <w:spacing w:val="-2"/>
              </w:rPr>
              <w:t>Příjemci důchodů</w:t>
            </w:r>
            <w:r w:rsidRPr="007E5880">
              <w:rPr>
                <w:rFonts w:cs="Arial"/>
                <w:bCs/>
                <w:spacing w:val="-2"/>
              </w:rPr>
              <w:t>,</w:t>
            </w:r>
            <w:r w:rsidRPr="007E5880">
              <w:rPr>
                <w:rFonts w:cs="Arial"/>
                <w:b/>
                <w:bCs/>
                <w:spacing w:val="-2"/>
              </w:rPr>
              <w:t xml:space="preserve"> příjmy i výdaje na důchody ze SR </w:t>
            </w:r>
            <w:r w:rsidRPr="007E5880">
              <w:rPr>
                <w:rFonts w:cs="Arial"/>
                <w:bCs/>
                <w:spacing w:val="-2"/>
              </w:rPr>
              <w:t>(</w:t>
            </w:r>
            <w:proofErr w:type="spellStart"/>
            <w:r w:rsidRPr="007E5880">
              <w:rPr>
                <w:spacing w:val="-2"/>
              </w:rPr>
              <w:t>meziroč</w:t>
            </w:r>
            <w:proofErr w:type="spellEnd"/>
            <w:r w:rsidRPr="007E5880">
              <w:rPr>
                <w:spacing w:val="-2"/>
              </w:rPr>
              <w:t>.</w:t>
            </w:r>
            <w:r w:rsidRPr="007E5880">
              <w:rPr>
                <w:bCs/>
                <w:spacing w:val="-2"/>
              </w:rPr>
              <w:t xml:space="preserve"> v %)</w:t>
            </w:r>
            <w:r w:rsidRPr="007E5880">
              <w:rPr>
                <w:rFonts w:cs="Arial"/>
                <w:bCs/>
                <w:spacing w:val="-2"/>
              </w:rPr>
              <w:t xml:space="preserve"> </w:t>
            </w:r>
            <w:r w:rsidRPr="007E5880">
              <w:rPr>
                <w:rFonts w:cs="Arial"/>
                <w:b/>
                <w:bCs/>
                <w:spacing w:val="-2"/>
              </w:rPr>
              <w:t xml:space="preserve">a bilance důchodového účtu </w:t>
            </w:r>
            <w:r w:rsidRPr="007E5880">
              <w:rPr>
                <w:rFonts w:cs="Arial"/>
                <w:bCs/>
                <w:spacing w:val="-2"/>
              </w:rPr>
              <w:t xml:space="preserve">(v mld. korun) </w:t>
            </w:r>
            <w:r>
              <w:rPr>
                <w:rFonts w:cs="Arial"/>
                <w:b/>
                <w:bCs/>
                <w:spacing w:val="-2"/>
              </w:rPr>
              <w:t>v 1. polo</w:t>
            </w:r>
            <w:r w:rsidRPr="007E5880">
              <w:rPr>
                <w:rFonts w:cs="Arial"/>
                <w:b/>
                <w:bCs/>
                <w:spacing w:val="-2"/>
              </w:rPr>
              <w:t>letích roku</w:t>
            </w:r>
          </w:p>
        </w:tc>
      </w:tr>
      <w:tr w:rsidR="001C3961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1C3961" w:rsidRPr="006D3F53" w:rsidRDefault="001C3961" w:rsidP="00853C0F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1C3961" w:rsidRPr="00A74192" w:rsidRDefault="001C3961" w:rsidP="00853C0F">
            <w:pPr>
              <w:pStyle w:val="Textpoznpodarou"/>
              <w:jc w:val="both"/>
            </w:pPr>
          </w:p>
        </w:tc>
        <w:tc>
          <w:tcPr>
            <w:tcW w:w="3833" w:type="pct"/>
            <w:gridSpan w:val="2"/>
          </w:tcPr>
          <w:p w:rsidR="001C3961" w:rsidRDefault="001C3961" w:rsidP="00853C0F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6D67AC">
              <w:rPr>
                <w:noProof/>
                <w:sz w:val="16"/>
                <w:szCs w:val="16"/>
              </w:rPr>
              <w:drawing>
                <wp:inline distT="0" distB="0" distL="0" distR="0">
                  <wp:extent cx="4752000" cy="3528000"/>
                  <wp:effectExtent l="0" t="0" r="0" b="0"/>
                  <wp:docPr id="3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1C3961" w:rsidRPr="006D67AC" w:rsidRDefault="001C3961" w:rsidP="00853C0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4"/>
                <w:szCs w:val="14"/>
              </w:rPr>
            </w:pPr>
            <w:r w:rsidRPr="006D67AC">
              <w:rPr>
                <w:rFonts w:cs="Arial"/>
                <w:sz w:val="14"/>
                <w:szCs w:val="14"/>
              </w:rPr>
              <w:t>Pozn.: Starobní důchod přiznaný před dosažením důchodového věku a krácený za předčasnost je po celou dobu pobírání důchodu. (zahrnuje důchodce.</w:t>
            </w:r>
            <w:r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</w:t>
            </w:r>
            <w:r w:rsidRPr="007E5880">
              <w:rPr>
                <w:sz w:val="14"/>
                <w:szCs w:val="14"/>
              </w:rPr>
              <w:t>Zdroj: MF, ČSSZ</w:t>
            </w:r>
          </w:p>
        </w:tc>
      </w:tr>
    </w:tbl>
    <w:p w:rsidR="001C3961" w:rsidRDefault="001C3961" w:rsidP="001C3961">
      <w:pPr>
        <w:pStyle w:val="Textpoznpodarou"/>
        <w:jc w:val="both"/>
        <w:rPr>
          <w:rFonts w:cs="Arial"/>
          <w:color w:val="000000"/>
          <w:spacing w:val="-2"/>
          <w:sz w:val="18"/>
          <w:szCs w:val="18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1C3961" w:rsidRPr="00F06A1D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1C3961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Výše státního dluhu se po jednorázovém navýšení v 1. čtvrtletí v následujících měsících stabilizovala. </w:t>
            </w:r>
          </w:p>
          <w:p w:rsidR="001C3961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1C3961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1C3961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1C3961" w:rsidRPr="00DB3D34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Podíl zahraničních investorů na celkové držbě českých státních dluhopisů zůstával nadále vysoký.  </w:t>
            </w:r>
          </w:p>
        </w:tc>
        <w:tc>
          <w:tcPr>
            <w:tcW w:w="144" w:type="pct"/>
          </w:tcPr>
          <w:p w:rsidR="001C3961" w:rsidRPr="00A90EFD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1C3961" w:rsidRPr="00BD5D88" w:rsidRDefault="001C3961" w:rsidP="00853C0F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D77546">
              <w:rPr>
                <w:spacing w:val="-4"/>
              </w:rPr>
              <w:t>Státní dluh dosáhl na konci června dosud rekordní výše 1</w:t>
            </w:r>
            <w:r w:rsidR="00D9640A">
              <w:rPr>
                <w:spacing w:val="-4"/>
              </w:rPr>
              <w:t xml:space="preserve"> </w:t>
            </w:r>
            <w:r w:rsidRPr="00D77546">
              <w:rPr>
                <w:spacing w:val="-4"/>
              </w:rPr>
              <w:t xml:space="preserve">789 mld. korun. K výraznějšímu růstu zadluženosti (o 10,9 %) došlo během 1. čtvrtletí, v následujícím kvartále se jeho úroveň stabilizovala. </w:t>
            </w:r>
            <w:r w:rsidRPr="00D77546">
              <w:rPr>
                <w:rFonts w:cs="Arial"/>
                <w:spacing w:val="-4"/>
              </w:rPr>
              <w:t>Prudký nárůst dluhu souvisel s větším objemem vydaných střednědobých a dlouhodobých státních dluhopisů (SDD) určených na krytí splátek SDD, které se očekává ve zbývající části letošního roku. Po celé pololetí docházelo k intenzivnější emisi státních pokladničních poukázek</w:t>
            </w:r>
            <w:r>
              <w:rPr>
                <w:rFonts w:cs="Arial"/>
                <w:spacing w:val="-4"/>
              </w:rPr>
              <w:t xml:space="preserve"> realizo</w:t>
            </w:r>
            <w:r w:rsidRPr="00DD4CFF">
              <w:rPr>
                <w:rFonts w:cs="Arial"/>
                <w:color w:val="0D0D0D" w:themeColor="text1" w:themeTint="F2"/>
                <w:spacing w:val="-4"/>
              </w:rPr>
              <w:t>vané z</w:t>
            </w:r>
            <w:r w:rsidRPr="00DD4CFF">
              <w:rPr>
                <w:color w:val="0D0D0D" w:themeColor="text1" w:themeTint="F2"/>
                <w:spacing w:val="-4"/>
              </w:rPr>
              <w:t> </w:t>
            </w:r>
            <w:r w:rsidRPr="00DD4CFF">
              <w:rPr>
                <w:rFonts w:cs="Arial"/>
                <w:color w:val="0D0D0D" w:themeColor="text1" w:themeTint="F2"/>
                <w:spacing w:val="-4"/>
              </w:rPr>
              <w:t>důvodu využití záporných výnosů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0"/>
            </w:r>
            <w:r w:rsidRPr="00DD4CFF">
              <w:rPr>
                <w:rFonts w:cs="Arial"/>
                <w:color w:val="0D0D0D" w:themeColor="text1" w:themeTint="F2"/>
                <w:spacing w:val="-4"/>
              </w:rPr>
              <w:t>. Tyto ope</w:t>
            </w:r>
            <w:r w:rsidRPr="00D77546">
              <w:rPr>
                <w:rFonts w:cs="Arial"/>
                <w:spacing w:val="-4"/>
              </w:rPr>
              <w:t xml:space="preserve">race </w:t>
            </w:r>
            <w:r>
              <w:rPr>
                <w:rFonts w:cs="Arial"/>
                <w:spacing w:val="-4"/>
              </w:rPr>
              <w:t>vedly</w:t>
            </w:r>
            <w:r w:rsidRPr="00D77546">
              <w:rPr>
                <w:rFonts w:cs="Arial"/>
                <w:spacing w:val="-4"/>
              </w:rPr>
              <w:t xml:space="preserve"> k růstu vnitřní zadluženosti. Naopak korunová hodnota vnějšího dluhu se od počátku roku mírně snížila (o 2,6 %). Podíl v</w:t>
            </w:r>
            <w:r w:rsidRPr="00D77546">
              <w:rPr>
                <w:color w:val="000000" w:themeColor="text1"/>
                <w:spacing w:val="-4"/>
              </w:rPr>
              <w:t>nějšího dluhu na celkové zadluženosti státu poklesl poprvé od počátku roku 2008 pod 15 %.</w:t>
            </w:r>
            <w:r>
              <w:rPr>
                <w:color w:val="000000" w:themeColor="text1"/>
                <w:spacing w:val="-4"/>
              </w:rPr>
              <w:t xml:space="preserve"> </w:t>
            </w:r>
            <w:r w:rsidRPr="00D77546">
              <w:rPr>
                <w:color w:val="000000" w:themeColor="text1"/>
                <w:spacing w:val="-4"/>
              </w:rPr>
              <w:t xml:space="preserve">V první třetině roku vrcholil příliv spekulativního kapitálu do ČR v souvislosti </w:t>
            </w:r>
            <w:r w:rsidRPr="00D77546">
              <w:rPr>
                <w:color w:val="000000" w:themeColor="text1"/>
                <w:spacing w:val="-4"/>
              </w:rPr>
              <w:lastRenderedPageBreak/>
              <w:t>s očekávaným ukončením režimu devizových</w:t>
            </w:r>
            <w:r>
              <w:rPr>
                <w:color w:val="000000" w:themeColor="text1"/>
                <w:spacing w:val="-4"/>
              </w:rPr>
              <w:t xml:space="preserve"> intervencí. Dokládal to</w:t>
            </w:r>
            <w:r w:rsidRPr="00D77546">
              <w:rPr>
                <w:color w:val="000000" w:themeColor="text1"/>
                <w:spacing w:val="-4"/>
              </w:rPr>
              <w:t xml:space="preserve"> i silný růst objemu českých dluhopisů v držbě zahraničních investorů. Zatímco ti na konci roku 2016 vlastnili korunové dluhopisy v hodnotě 424 mld. korun, na konci letošního dubna již za 718 mld. korun (47 % hodnoty všech korunových dluhopisů). V průběhu </w:t>
            </w:r>
            <w:r>
              <w:rPr>
                <w:color w:val="000000" w:themeColor="text1"/>
                <w:spacing w:val="-4"/>
              </w:rPr>
              <w:t>2.</w:t>
            </w:r>
            <w:r w:rsidRPr="00D77546">
              <w:rPr>
                <w:spacing w:val="-4"/>
              </w:rPr>
              <w:t> </w:t>
            </w:r>
            <w:r w:rsidRPr="00D77546">
              <w:rPr>
                <w:color w:val="000000" w:themeColor="text1"/>
                <w:spacing w:val="-4"/>
              </w:rPr>
              <w:t xml:space="preserve">čtvrtletí </w:t>
            </w:r>
            <w:r>
              <w:rPr>
                <w:color w:val="000000" w:themeColor="text1"/>
                <w:spacing w:val="-4"/>
              </w:rPr>
              <w:t>se tento objem fakti</w:t>
            </w:r>
            <w:r w:rsidRPr="00D77546">
              <w:rPr>
                <w:color w:val="000000" w:themeColor="text1"/>
                <w:spacing w:val="-4"/>
              </w:rPr>
              <w:t>cky nezměnil.</w:t>
            </w:r>
          </w:p>
          <w:p w:rsidR="001C3961" w:rsidRPr="00BF7F08" w:rsidRDefault="001C3961" w:rsidP="00853C0F">
            <w:pPr>
              <w:pStyle w:val="Textpoznpodarou"/>
              <w:jc w:val="both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1C3961" w:rsidRPr="0094422D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1C3961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lastRenderedPageBreak/>
              <w:t>Relativní zadluženost vládních institucí v ČR nedosahovala i přes navýšení v 1. čtvrtletí ani poloviny úrovně EU.</w:t>
            </w:r>
          </w:p>
          <w:p w:rsidR="001C3961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1C3961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1C3961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1C3961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1C3961" w:rsidRPr="00DB3D34" w:rsidRDefault="001C3961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Post</w:t>
            </w:r>
            <w:r w:rsidR="00C41A06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avení nejvíce zadlužených zemí U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nie se za poslední rok nezlepšilo.</w:t>
            </w:r>
          </w:p>
        </w:tc>
        <w:tc>
          <w:tcPr>
            <w:tcW w:w="144" w:type="pct"/>
          </w:tcPr>
          <w:p w:rsidR="001C3961" w:rsidRPr="00A90EFD" w:rsidRDefault="001C3961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1C3961" w:rsidRPr="00ED54D4" w:rsidRDefault="001C3961" w:rsidP="00853C0F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 xml:space="preserve">Dluh celého </w:t>
            </w:r>
            <w:r w:rsidRPr="00020A28">
              <w:rPr>
                <w:color w:val="000000" w:themeColor="text1"/>
                <w:spacing w:val="-4"/>
              </w:rPr>
              <w:t>sektoru vládních institucí</w:t>
            </w:r>
            <w:r>
              <w:rPr>
                <w:color w:val="000000" w:themeColor="text1"/>
                <w:spacing w:val="-4"/>
              </w:rPr>
              <w:t xml:space="preserve"> (zohledňující</w:t>
            </w:r>
            <w:r w:rsidRPr="00741F3C">
              <w:rPr>
                <w:color w:val="000000" w:themeColor="text1"/>
                <w:spacing w:val="-4"/>
              </w:rPr>
              <w:t xml:space="preserve"> i hospodaření územně správních celků</w:t>
            </w:r>
            <w:r>
              <w:rPr>
                <w:color w:val="000000" w:themeColor="text1"/>
                <w:spacing w:val="-4"/>
              </w:rPr>
              <w:t xml:space="preserve"> či zdravotních pojišťoven</w:t>
            </w:r>
            <w:r w:rsidRPr="00741F3C">
              <w:rPr>
                <w:color w:val="000000" w:themeColor="text1"/>
                <w:spacing w:val="-4"/>
              </w:rPr>
              <w:t>) dosáhl d</w:t>
            </w:r>
            <w:r>
              <w:rPr>
                <w:color w:val="000000" w:themeColor="text1"/>
                <w:spacing w:val="-4"/>
              </w:rPr>
              <w:t>le aktuálních dat ČSÚ na konci 1</w:t>
            </w:r>
            <w:r w:rsidRPr="00741F3C">
              <w:rPr>
                <w:color w:val="000000" w:themeColor="text1"/>
                <w:spacing w:val="-4"/>
              </w:rPr>
              <w:t>. čtvrtletí 201</w:t>
            </w:r>
            <w:r>
              <w:rPr>
                <w:color w:val="000000" w:themeColor="text1"/>
                <w:spacing w:val="-4"/>
              </w:rPr>
              <w:t>7</w:t>
            </w:r>
            <w:r w:rsidRPr="00741F3C">
              <w:rPr>
                <w:rStyle w:val="Znakapoznpodarou"/>
                <w:color w:val="000000" w:themeColor="text1"/>
                <w:spacing w:val="-4"/>
              </w:rPr>
              <w:footnoteReference w:id="11"/>
            </w:r>
            <w:r>
              <w:rPr>
                <w:color w:val="000000" w:themeColor="text1"/>
                <w:spacing w:val="-4"/>
              </w:rPr>
              <w:t xml:space="preserve"> výše 1 925</w:t>
            </w:r>
            <w:r w:rsidRPr="00741F3C">
              <w:rPr>
                <w:color w:val="000000" w:themeColor="text1"/>
                <w:spacing w:val="-4"/>
              </w:rPr>
              <w:t xml:space="preserve"> mld. </w:t>
            </w:r>
            <w:r>
              <w:rPr>
                <w:color w:val="000000" w:themeColor="text1"/>
                <w:spacing w:val="-4"/>
              </w:rPr>
              <w:t>korun a ve vztahu k HDP činil 39,9</w:t>
            </w:r>
            <w:r w:rsidRPr="00741F3C">
              <w:rPr>
                <w:color w:val="000000" w:themeColor="text1"/>
                <w:spacing w:val="-4"/>
              </w:rPr>
              <w:t xml:space="preserve"> %</w:t>
            </w:r>
            <w:r>
              <w:rPr>
                <w:color w:val="000000" w:themeColor="text1"/>
                <w:spacing w:val="-4"/>
              </w:rPr>
              <w:t xml:space="preserve">. V průběhu prvních třech měsíců roku 2017 narostla absolutní výše dluhu o 9,7 %. Jednalo se o nejvyšší </w:t>
            </w:r>
            <w:proofErr w:type="spellStart"/>
            <w:r>
              <w:rPr>
                <w:color w:val="000000" w:themeColor="text1"/>
                <w:spacing w:val="-4"/>
              </w:rPr>
              <w:t>mezičtvrtletní</w:t>
            </w:r>
            <w:proofErr w:type="spellEnd"/>
            <w:r>
              <w:rPr>
                <w:color w:val="000000" w:themeColor="text1"/>
                <w:spacing w:val="-4"/>
              </w:rPr>
              <w:t xml:space="preserve"> přírůstek od roku 2010, kdy se naplno projevily dopady hospodářské recese. Letošní navýšení dluhu ale </w:t>
            </w:r>
            <w:r w:rsidRPr="000572EB">
              <w:rPr>
                <w:rFonts w:cs="Arial"/>
                <w:bCs/>
                <w:iCs/>
                <w:color w:val="0D0D0D" w:themeColor="text1" w:themeTint="F2"/>
              </w:rPr>
              <w:t>souviselo se specifickou situací na dluhopisovém trhu odrážející očekávání blížícího se ukončení režimu devizových intervencí.</w:t>
            </w:r>
            <w:r>
              <w:rPr>
                <w:rFonts w:cs="Arial"/>
                <w:bCs/>
                <w:iCs/>
                <w:color w:val="0D0D0D" w:themeColor="text1" w:themeTint="F2"/>
              </w:rPr>
              <w:t xml:space="preserve"> Na růstu dluhu se podílely téměř výhradně jen ústřední vládní instituce, neboť zadluženost místních vládních institucí se meziročně i </w:t>
            </w:r>
            <w:proofErr w:type="spellStart"/>
            <w:r>
              <w:rPr>
                <w:rFonts w:cs="Arial"/>
                <w:bCs/>
                <w:iCs/>
                <w:color w:val="0D0D0D" w:themeColor="text1" w:themeTint="F2"/>
              </w:rPr>
              <w:t>mezičtvrtletně</w:t>
            </w:r>
            <w:proofErr w:type="spellEnd"/>
            <w:r>
              <w:rPr>
                <w:rFonts w:cs="Arial"/>
                <w:bCs/>
                <w:iCs/>
                <w:color w:val="0D0D0D" w:themeColor="text1" w:themeTint="F2"/>
              </w:rPr>
              <w:t xml:space="preserve"> snížila. Česko bylo na konci 1. čtvrtletí osmou relativně nejméně zadluženou zemí (výrazně nižší dluh než ČR měly přitom jen </w:t>
            </w:r>
            <w:r>
              <w:rPr>
                <w:color w:val="0D0D0D" w:themeColor="text1" w:themeTint="F2"/>
                <w:spacing w:val="-4"/>
              </w:rPr>
              <w:t>Estonsko, Lucembursko a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>Bulharsko) i</w:t>
            </w:r>
            <w:r w:rsidRPr="00D77546">
              <w:rPr>
                <w:color w:val="000000" w:themeColor="text1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 xml:space="preserve">přes mírné zhoršení pozice na začátku roku nedosahovala jeho zadluženost ani poloviny úrovně EU (84,1 %). Zadluženost v EU se meziročně snížila jen o 0,2 </w:t>
            </w:r>
            <w:proofErr w:type="spellStart"/>
            <w:proofErr w:type="gramStart"/>
            <w:r>
              <w:rPr>
                <w:color w:val="0D0D0D" w:themeColor="text1" w:themeTint="F2"/>
                <w:spacing w:val="-4"/>
              </w:rPr>
              <w:t>p.b</w:t>
            </w:r>
            <w:proofErr w:type="spellEnd"/>
            <w:r>
              <w:rPr>
                <w:color w:val="0D0D0D" w:themeColor="text1" w:themeTint="F2"/>
                <w:spacing w:val="-4"/>
              </w:rPr>
              <w:t>., neboť</w:t>
            </w:r>
            <w:proofErr w:type="gramEnd"/>
            <w:r>
              <w:rPr>
                <w:color w:val="0D0D0D" w:themeColor="text1" w:themeTint="F2"/>
                <w:spacing w:val="-4"/>
              </w:rPr>
              <w:t xml:space="preserve"> v nejvíce zasažených ekonomikách se situace nezlepšila.</w:t>
            </w:r>
          </w:p>
        </w:tc>
      </w:tr>
    </w:tbl>
    <w:p w:rsidR="001C3961" w:rsidRDefault="001C3961" w:rsidP="001C3961">
      <w:pPr>
        <w:pStyle w:val="Textpoznpodarou"/>
        <w:jc w:val="both"/>
        <w:rPr>
          <w:rFonts w:cs="Arial"/>
          <w:color w:val="000000"/>
          <w:sz w:val="15"/>
          <w:szCs w:val="15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1C3961" w:rsidRPr="007E5880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1C3961" w:rsidRPr="00AA4A76" w:rsidRDefault="001C3961" w:rsidP="00853C0F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1C3961" w:rsidRPr="00AA4A76" w:rsidRDefault="001C3961" w:rsidP="00853C0F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1C3961" w:rsidRPr="00AA4A76" w:rsidRDefault="001C3961" w:rsidP="00853C0F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24</w:t>
            </w:r>
          </w:p>
        </w:tc>
        <w:tc>
          <w:tcPr>
            <w:tcW w:w="3262" w:type="pct"/>
          </w:tcPr>
          <w:p w:rsidR="001C3961" w:rsidRPr="007E5880" w:rsidRDefault="001C3961" w:rsidP="00853C0F">
            <w:pPr>
              <w:pStyle w:val="Textpoznpodarou"/>
              <w:rPr>
                <w:spacing w:val="-2"/>
                <w:lang w:eastAsia="en-US"/>
              </w:rPr>
            </w:pPr>
            <w:r w:rsidRPr="006808C5">
              <w:rPr>
                <w:rFonts w:cs="Arial"/>
                <w:b/>
                <w:bCs/>
              </w:rPr>
              <w:t xml:space="preserve">Struktura státního dluh ČR </w:t>
            </w:r>
            <w:r w:rsidRPr="006808C5">
              <w:rPr>
                <w:rFonts w:cs="Arial"/>
                <w:bCs/>
              </w:rPr>
              <w:t xml:space="preserve">(stav na konci čtvrtletí, v mld. korun) </w:t>
            </w:r>
            <w:r w:rsidRPr="006808C5">
              <w:rPr>
                <w:rFonts w:cs="Arial"/>
                <w:b/>
                <w:bCs/>
              </w:rPr>
              <w:t xml:space="preserve">a podíl korunových dluhopisů v držbě nerezidentů </w:t>
            </w:r>
            <w:r w:rsidRPr="006808C5">
              <w:rPr>
                <w:rFonts w:cs="Arial"/>
                <w:bCs/>
              </w:rPr>
              <w:t>(v %</w:t>
            </w:r>
            <w:r>
              <w:rPr>
                <w:rFonts w:cs="Arial"/>
                <w:bCs/>
              </w:rPr>
              <w:t>, pravá osa</w:t>
            </w:r>
            <w:r w:rsidRPr="006808C5">
              <w:rPr>
                <w:rFonts w:cs="Arial"/>
                <w:bCs/>
              </w:rPr>
              <w:t>)</w:t>
            </w:r>
          </w:p>
        </w:tc>
      </w:tr>
      <w:tr w:rsidR="001C3961" w:rsidRPr="006D67AC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1C3961" w:rsidRPr="006D3F53" w:rsidRDefault="001C3961" w:rsidP="00853C0F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1C3961" w:rsidRPr="00A74192" w:rsidRDefault="001C3961" w:rsidP="00853C0F">
            <w:pPr>
              <w:pStyle w:val="Textpoznpodarou"/>
              <w:jc w:val="both"/>
            </w:pPr>
          </w:p>
        </w:tc>
        <w:tc>
          <w:tcPr>
            <w:tcW w:w="3833" w:type="pct"/>
            <w:gridSpan w:val="2"/>
          </w:tcPr>
          <w:p w:rsidR="001C3961" w:rsidRDefault="009C6215" w:rsidP="00853C0F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9C6215">
              <w:rPr>
                <w:noProof/>
                <w:sz w:val="16"/>
                <w:szCs w:val="16"/>
              </w:rPr>
              <w:drawing>
                <wp:inline distT="0" distB="0" distL="0" distR="0">
                  <wp:extent cx="4757384" cy="3528000"/>
                  <wp:effectExtent l="0" t="0" r="5116" b="0"/>
                  <wp:docPr id="1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1C3961" w:rsidRPr="006D67AC" w:rsidRDefault="001C3961" w:rsidP="00853C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Zdroj: MF</w:t>
            </w:r>
          </w:p>
        </w:tc>
      </w:tr>
    </w:tbl>
    <w:p w:rsidR="008A03DE" w:rsidRPr="00CE7158" w:rsidRDefault="008A03DE" w:rsidP="008A03DE">
      <w:pPr>
        <w:pStyle w:val="Textpoznpodarou"/>
        <w:jc w:val="both"/>
        <w:rPr>
          <w:rFonts w:cs="Arial"/>
          <w:color w:val="000000"/>
          <w:sz w:val="10"/>
          <w:szCs w:val="10"/>
        </w:rPr>
      </w:pPr>
    </w:p>
    <w:sectPr w:rsidR="008A03DE" w:rsidRPr="00CE7158" w:rsidSect="007B005A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 w:code="9"/>
      <w:pgMar w:top="1134" w:right="1134" w:bottom="1418" w:left="1134" w:header="680" w:footer="680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2E" w:rsidRDefault="00257C2E" w:rsidP="00E71A58">
      <w:r>
        <w:separator/>
      </w:r>
    </w:p>
  </w:endnote>
  <w:endnote w:type="continuationSeparator" w:id="0">
    <w:p w:rsidR="00257C2E" w:rsidRDefault="00257C2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Default="00F23F6C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ED2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6B1ED2" w:rsidRPr="005A21E0">
      <w:rPr>
        <w:rFonts w:ascii="Arial" w:hAnsi="Arial" w:cs="Arial"/>
        <w:sz w:val="16"/>
        <w:szCs w:val="16"/>
      </w:rPr>
      <w:fldChar w:fldCharType="separate"/>
    </w:r>
    <w:r w:rsidR="007B005A">
      <w:rPr>
        <w:rFonts w:ascii="Arial" w:hAnsi="Arial" w:cs="Arial"/>
        <w:noProof/>
        <w:sz w:val="16"/>
        <w:szCs w:val="16"/>
      </w:rPr>
      <w:t>28</w:t>
    </w:r>
    <w:r w:rsidR="006B1ED2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Default="00F23F6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F23F6C" w:rsidRPr="00223E00" w:rsidRDefault="00F23F6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6B1ED2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6B1ED2" w:rsidRPr="00223E00">
      <w:rPr>
        <w:rFonts w:ascii="Arial" w:hAnsi="Arial" w:cs="Arial"/>
        <w:sz w:val="16"/>
        <w:szCs w:val="16"/>
      </w:rPr>
      <w:fldChar w:fldCharType="separate"/>
    </w:r>
    <w:r w:rsidR="007B005A">
      <w:rPr>
        <w:rFonts w:ascii="Arial" w:hAnsi="Arial" w:cs="Arial"/>
        <w:noProof/>
        <w:sz w:val="16"/>
        <w:szCs w:val="16"/>
      </w:rPr>
      <w:t>29</w:t>
    </w:r>
    <w:r w:rsidR="006B1ED2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2E" w:rsidRDefault="00257C2E" w:rsidP="00E71A58">
      <w:r>
        <w:separator/>
      </w:r>
    </w:p>
  </w:footnote>
  <w:footnote w:type="continuationSeparator" w:id="0">
    <w:p w:rsidR="00257C2E" w:rsidRDefault="00257C2E" w:rsidP="00E71A58">
      <w:r>
        <w:continuationSeparator/>
      </w:r>
    </w:p>
  </w:footnote>
  <w:footnote w:id="1">
    <w:p w:rsidR="00F23F6C" w:rsidRPr="00E9220F" w:rsidRDefault="00F23F6C" w:rsidP="001C3961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E9220F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Dle propočtů MF by</w:t>
      </w:r>
      <w:r>
        <w:rPr>
          <w:color w:val="0D0D0D" w:themeColor="text1" w:themeTint="F2"/>
          <w:spacing w:val="-2"/>
          <w:sz w:val="16"/>
          <w:szCs w:val="16"/>
        </w:rPr>
        <w:t xml:space="preserve"> hospodaření SR</w:t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očištěné na příjmové i výdajové straně o prostředky z rozpočtu EU (a finančních mecha</w:t>
      </w:r>
      <w:r>
        <w:rPr>
          <w:color w:val="0D0D0D" w:themeColor="text1" w:themeTint="F2"/>
          <w:spacing w:val="-2"/>
          <w:sz w:val="16"/>
          <w:szCs w:val="16"/>
        </w:rPr>
        <w:t>nismů) skončilo letos schodkem 13,2 mld. korun (v 1. pololetí</w:t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roku 2016 by takto očištěný výsledek představoval scho</w:t>
      </w:r>
      <w:r>
        <w:rPr>
          <w:color w:val="0D0D0D" w:themeColor="text1" w:themeTint="F2"/>
          <w:spacing w:val="-2"/>
          <w:sz w:val="16"/>
          <w:szCs w:val="16"/>
        </w:rPr>
        <w:t>dek 30,8</w:t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mld.).</w:t>
      </w:r>
    </w:p>
  </w:footnote>
  <w:footnote w:id="2">
    <w:p w:rsidR="00F23F6C" w:rsidRPr="00E9220F" w:rsidRDefault="00F23F6C" w:rsidP="001C3961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E9220F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Od 1.</w:t>
      </w:r>
      <w:r>
        <w:rPr>
          <w:color w:val="0D0D0D" w:themeColor="text1" w:themeTint="F2"/>
          <w:spacing w:val="-2"/>
          <w:sz w:val="16"/>
          <w:szCs w:val="16"/>
        </w:rPr>
        <w:t xml:space="preserve"> 1. </w:t>
      </w:r>
      <w:r w:rsidRPr="00E9220F">
        <w:rPr>
          <w:color w:val="0D0D0D" w:themeColor="text1" w:themeTint="F2"/>
          <w:spacing w:val="-2"/>
          <w:sz w:val="16"/>
          <w:szCs w:val="16"/>
        </w:rPr>
        <w:t>2017 klesl změnou rozpočtového určení daní podíl SR na celostátním výnosu DPH ze 70,25 % na 69,68 % ve prospěch podílu obcí. Recipročně došlo k úpravě procentního podílu u výnosu daně z příjmu fyzických osob z přiznání, a to ve prospěch SR.</w:t>
      </w:r>
    </w:p>
  </w:footnote>
  <w:footnote w:id="3">
    <w:p w:rsidR="00F23F6C" w:rsidRPr="005006F3" w:rsidRDefault="00F23F6C" w:rsidP="001C3961">
      <w:pPr>
        <w:pStyle w:val="Textpoznpodarou"/>
        <w:jc w:val="both"/>
        <w:rPr>
          <w:sz w:val="16"/>
          <w:szCs w:val="16"/>
        </w:rPr>
      </w:pPr>
      <w:r w:rsidRPr="005006F3">
        <w:rPr>
          <w:rStyle w:val="Znakapoznpodarou"/>
          <w:sz w:val="16"/>
          <w:szCs w:val="16"/>
        </w:rPr>
        <w:footnoteRef/>
      </w:r>
      <w:r w:rsidRPr="005006F3">
        <w:rPr>
          <w:sz w:val="16"/>
          <w:szCs w:val="16"/>
        </w:rPr>
        <w:t xml:space="preserve"> Údaje jsou bez očištění o sezónní a kalendářní vlivy. V</w:t>
      </w:r>
      <w:r>
        <w:rPr>
          <w:sz w:val="16"/>
          <w:szCs w:val="16"/>
        </w:rPr>
        <w:t xml:space="preserve"> samotném</w:t>
      </w:r>
      <w:r w:rsidRPr="005006F3">
        <w:rPr>
          <w:sz w:val="16"/>
          <w:szCs w:val="16"/>
        </w:rPr>
        <w:t xml:space="preserve"> 2. čtvrtletí bylo meziročně i </w:t>
      </w:r>
      <w:proofErr w:type="spellStart"/>
      <w:r w:rsidRPr="005006F3">
        <w:rPr>
          <w:sz w:val="16"/>
          <w:szCs w:val="16"/>
        </w:rPr>
        <w:t>mezičtvrtletně</w:t>
      </w:r>
      <w:proofErr w:type="spellEnd"/>
      <w:r w:rsidRPr="005006F3">
        <w:rPr>
          <w:sz w:val="16"/>
          <w:szCs w:val="16"/>
        </w:rPr>
        <w:t xml:space="preserve"> o 4 pracovní dny méně. </w:t>
      </w:r>
      <w:r>
        <w:rPr>
          <w:sz w:val="16"/>
          <w:szCs w:val="16"/>
        </w:rPr>
        <w:t>Meziroční tempo růstu celkových nominálních výdajů na konečnou spotřebu v průběhu první poloviny roku 2017 stagnovalo, po očištění naopak vzrostlo (v 1. čtvrtletí činilo 5,4 %, ve 2. čtvrtletí 6,4 %).</w:t>
      </w:r>
    </w:p>
  </w:footnote>
  <w:footnote w:id="4">
    <w:p w:rsidR="00F23F6C" w:rsidRPr="002A52AF" w:rsidRDefault="00F23F6C" w:rsidP="001C3961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2A52AF">
        <w:rPr>
          <w:rStyle w:val="Znakapoznpodarou"/>
          <w:color w:val="0D0D0D" w:themeColor="text1" w:themeTint="F2"/>
          <w:sz w:val="16"/>
          <w:szCs w:val="16"/>
        </w:rPr>
        <w:footnoteRef/>
      </w:r>
      <w:r w:rsidRPr="002A52AF">
        <w:rPr>
          <w:color w:val="0D0D0D" w:themeColor="text1" w:themeTint="F2"/>
          <w:sz w:val="16"/>
          <w:szCs w:val="16"/>
        </w:rPr>
        <w:t xml:space="preserve"> Došlo k </w:t>
      </w:r>
      <w:r>
        <w:rPr>
          <w:rFonts w:cs="Arial"/>
          <w:color w:val="0D0D0D" w:themeColor="text1" w:themeTint="F2"/>
          <w:sz w:val="16"/>
          <w:szCs w:val="16"/>
        </w:rPr>
        <w:t xml:space="preserve">vrácení daně za </w:t>
      </w:r>
      <w:r w:rsidRPr="002A52AF">
        <w:rPr>
          <w:rFonts w:cs="Arial"/>
          <w:color w:val="0D0D0D" w:themeColor="text1" w:themeTint="F2"/>
          <w:sz w:val="16"/>
          <w:szCs w:val="16"/>
        </w:rPr>
        <w:t>cigaret</w:t>
      </w:r>
      <w:r>
        <w:rPr>
          <w:rFonts w:cs="Arial"/>
          <w:color w:val="0D0D0D" w:themeColor="text1" w:themeTint="F2"/>
          <w:sz w:val="16"/>
          <w:szCs w:val="16"/>
        </w:rPr>
        <w:t>y se starými obaly</w:t>
      </w:r>
      <w:r w:rsidRPr="002A52AF">
        <w:rPr>
          <w:rFonts w:cs="Arial"/>
          <w:color w:val="0D0D0D" w:themeColor="text1" w:themeTint="F2"/>
          <w:sz w:val="16"/>
          <w:szCs w:val="16"/>
        </w:rPr>
        <w:t>, jež bylo nutno stáhnout z oběhu.</w:t>
      </w:r>
      <w:r w:rsidRPr="002A52AF">
        <w:rPr>
          <w:color w:val="0D0D0D" w:themeColor="text1" w:themeTint="F2"/>
          <w:sz w:val="16"/>
          <w:szCs w:val="16"/>
        </w:rPr>
        <w:t xml:space="preserve"> Stažení cigaret souviselo s uvedením nových produktů zatížených vyšší sazbou daně a obsahujících důslednější zdravotní varování.</w:t>
      </w:r>
    </w:p>
  </w:footnote>
  <w:footnote w:id="5">
    <w:p w:rsidR="00F23F6C" w:rsidRPr="003455E4" w:rsidRDefault="00F23F6C" w:rsidP="001C3961">
      <w:pPr>
        <w:pStyle w:val="Textpoznpodarou"/>
        <w:rPr>
          <w:spacing w:val="-2"/>
          <w:sz w:val="16"/>
          <w:szCs w:val="16"/>
        </w:rPr>
      </w:pPr>
      <w:r w:rsidRPr="003455E4">
        <w:rPr>
          <w:rStyle w:val="Znakapoznpodarou"/>
          <w:spacing w:val="-2"/>
          <w:sz w:val="16"/>
          <w:szCs w:val="16"/>
        </w:rPr>
        <w:footnoteRef/>
      </w:r>
      <w:r w:rsidRPr="003455E4">
        <w:rPr>
          <w:spacing w:val="-2"/>
          <w:sz w:val="16"/>
          <w:szCs w:val="16"/>
        </w:rPr>
        <w:t xml:space="preserve"> Za prvních osm měsíců roku 2017 již převážil vliv navýšených sazeb a inkaso daní z tabákových výrobků již bylo meziročně o 0,8 % vyšší.</w:t>
      </w:r>
    </w:p>
  </w:footnote>
  <w:footnote w:id="6">
    <w:p w:rsidR="00F23F6C" w:rsidRPr="001D0079" w:rsidRDefault="00F23F6C" w:rsidP="001C3961">
      <w:pPr>
        <w:pStyle w:val="Textpoznpodarou"/>
        <w:rPr>
          <w:sz w:val="16"/>
          <w:szCs w:val="16"/>
        </w:rPr>
      </w:pPr>
      <w:r w:rsidRPr="001D0079">
        <w:rPr>
          <w:rStyle w:val="Znakapoznpodarou"/>
          <w:sz w:val="16"/>
          <w:szCs w:val="16"/>
        </w:rPr>
        <w:footnoteRef/>
      </w:r>
      <w:r w:rsidRPr="001D0079">
        <w:rPr>
          <w:sz w:val="16"/>
          <w:szCs w:val="16"/>
        </w:rPr>
        <w:t xml:space="preserve"> Tuto skutečnost ještě více odráží údaje za prvních osm měsíců roku (ve kterých již jsou plně zohledněny úhrady všech velkých plátců daně za rok 2016), kdy se meziroční růst inkasa </w:t>
      </w:r>
      <w:proofErr w:type="spellStart"/>
      <w:r w:rsidRPr="001D0079">
        <w:rPr>
          <w:sz w:val="16"/>
          <w:szCs w:val="16"/>
        </w:rPr>
        <w:t>korporátních</w:t>
      </w:r>
      <w:proofErr w:type="spellEnd"/>
      <w:r w:rsidRPr="001D0079">
        <w:rPr>
          <w:sz w:val="16"/>
          <w:szCs w:val="16"/>
        </w:rPr>
        <w:t xml:space="preserve"> daní snížil pod 2 %.</w:t>
      </w:r>
    </w:p>
  </w:footnote>
  <w:footnote w:id="7">
    <w:p w:rsidR="00F23F6C" w:rsidRPr="0074690B" w:rsidRDefault="00F23F6C" w:rsidP="001C3961">
      <w:pPr>
        <w:pStyle w:val="Textpoznpodarou"/>
        <w:rPr>
          <w:sz w:val="16"/>
          <w:szCs w:val="16"/>
        </w:rPr>
      </w:pPr>
      <w:r w:rsidRPr="0074690B">
        <w:rPr>
          <w:rStyle w:val="Znakapoznpodarou"/>
          <w:sz w:val="16"/>
          <w:szCs w:val="16"/>
        </w:rPr>
        <w:footnoteRef/>
      </w:r>
      <w:r w:rsidRPr="0074690B">
        <w:rPr>
          <w:sz w:val="16"/>
          <w:szCs w:val="16"/>
        </w:rPr>
        <w:t xml:space="preserve"> Dle podrobnějších údajů zveřejněných MF ČR na počátku srpna 2017.</w:t>
      </w:r>
    </w:p>
  </w:footnote>
  <w:footnote w:id="8">
    <w:p w:rsidR="00F23F6C" w:rsidRPr="009760E6" w:rsidRDefault="00F23F6C" w:rsidP="001C3961">
      <w:pPr>
        <w:pStyle w:val="Textpoznpodarou"/>
        <w:rPr>
          <w:sz w:val="16"/>
          <w:szCs w:val="16"/>
        </w:rPr>
      </w:pPr>
      <w:r w:rsidRPr="009760E6">
        <w:rPr>
          <w:rStyle w:val="Znakapoznpodarou"/>
          <w:sz w:val="16"/>
          <w:szCs w:val="16"/>
        </w:rPr>
        <w:footnoteRef/>
      </w:r>
      <w:r w:rsidRPr="009760E6">
        <w:rPr>
          <w:sz w:val="16"/>
          <w:szCs w:val="16"/>
        </w:rPr>
        <w:t xml:space="preserve"> Od ledna do srpna 2017 dosáhly celkové kapitálové výdaje SR 34,4 mld. korun, tvořily necelou třetinu celoroční rozpočtem očekávané částky. Výdaje na krytí společných programů EU a ČR z programového období 2014-2020 mírně stouply na 16,6 mld. korun.</w:t>
      </w:r>
    </w:p>
  </w:footnote>
  <w:footnote w:id="9">
    <w:p w:rsidR="00F23F6C" w:rsidRPr="00E82336" w:rsidRDefault="00F23F6C" w:rsidP="001C3961">
      <w:pPr>
        <w:pStyle w:val="Textpoznpodarou"/>
        <w:rPr>
          <w:sz w:val="16"/>
          <w:szCs w:val="16"/>
        </w:rPr>
      </w:pPr>
      <w:r w:rsidRPr="00E82336">
        <w:rPr>
          <w:rStyle w:val="Znakapoznpodarou"/>
          <w:sz w:val="16"/>
          <w:szCs w:val="16"/>
        </w:rPr>
        <w:footnoteRef/>
      </w:r>
      <w:r w:rsidRPr="00E82336">
        <w:rPr>
          <w:sz w:val="16"/>
          <w:szCs w:val="16"/>
        </w:rPr>
        <w:t xml:space="preserve"> </w:t>
      </w:r>
      <w:r>
        <w:rPr>
          <w:sz w:val="16"/>
          <w:szCs w:val="16"/>
        </w:rPr>
        <w:t>Je v</w:t>
      </w:r>
      <w:r w:rsidRPr="00E82336">
        <w:rPr>
          <w:sz w:val="16"/>
          <w:szCs w:val="16"/>
        </w:rPr>
        <w:t xml:space="preserve">yjádřený jako </w:t>
      </w:r>
      <w:r w:rsidRPr="00E82336">
        <w:rPr>
          <w:rFonts w:cs="Arial"/>
          <w:color w:val="000000" w:themeColor="text1"/>
          <w:spacing w:val="-4"/>
          <w:sz w:val="16"/>
          <w:szCs w:val="16"/>
        </w:rPr>
        <w:t>rozdíl mezi příjmy a výdaji na důchody ze SR</w:t>
      </w:r>
      <w:r>
        <w:rPr>
          <w:rFonts w:cs="Arial"/>
          <w:color w:val="000000" w:themeColor="text1"/>
          <w:spacing w:val="-4"/>
          <w:sz w:val="16"/>
          <w:szCs w:val="16"/>
        </w:rPr>
        <w:t xml:space="preserve"> (z předběžných údajů)</w:t>
      </w:r>
      <w:r w:rsidRPr="00E82336">
        <w:rPr>
          <w:rFonts w:cs="Arial"/>
          <w:color w:val="000000" w:themeColor="text1"/>
          <w:spacing w:val="-4"/>
          <w:sz w:val="16"/>
          <w:szCs w:val="16"/>
        </w:rPr>
        <w:t>.</w:t>
      </w:r>
    </w:p>
  </w:footnote>
  <w:footnote w:id="10">
    <w:p w:rsidR="00F23F6C" w:rsidRPr="00937DB8" w:rsidRDefault="00F23F6C" w:rsidP="001C3961">
      <w:pPr>
        <w:pStyle w:val="Textpoznpodarou"/>
        <w:rPr>
          <w:sz w:val="16"/>
          <w:szCs w:val="16"/>
        </w:rPr>
      </w:pPr>
      <w:r w:rsidRPr="00937DB8">
        <w:rPr>
          <w:rStyle w:val="Znakapoznpodarou"/>
          <w:sz w:val="16"/>
          <w:szCs w:val="16"/>
        </w:rPr>
        <w:footnoteRef/>
      </w:r>
      <w:r w:rsidRPr="00937DB8">
        <w:rPr>
          <w:sz w:val="16"/>
          <w:szCs w:val="16"/>
        </w:rPr>
        <w:t xml:space="preserve"> Vlivem těchto operací se zvýšil podíl krátkodobého dluhu. </w:t>
      </w:r>
      <w:r>
        <w:rPr>
          <w:sz w:val="16"/>
          <w:szCs w:val="16"/>
        </w:rPr>
        <w:t>Podíl hodnoty dluhopisů se splatností do 18 měsíců na všech dluhopisech činil na konci června 2017</w:t>
      </w:r>
      <w:r w:rsidRPr="00937DB8">
        <w:rPr>
          <w:sz w:val="16"/>
          <w:szCs w:val="16"/>
        </w:rPr>
        <w:t xml:space="preserve"> </w:t>
      </w:r>
      <w:r>
        <w:rPr>
          <w:sz w:val="16"/>
          <w:szCs w:val="16"/>
        </w:rPr>
        <w:t>více než</w:t>
      </w:r>
      <w:r w:rsidRPr="00937DB8">
        <w:rPr>
          <w:sz w:val="16"/>
          <w:szCs w:val="16"/>
        </w:rPr>
        <w:t xml:space="preserve"> 30 %</w:t>
      </w:r>
      <w:r>
        <w:rPr>
          <w:sz w:val="16"/>
          <w:szCs w:val="16"/>
        </w:rPr>
        <w:t>, o rok dříve by</w:t>
      </w:r>
      <w:r w:rsidR="00D9640A">
        <w:rPr>
          <w:sz w:val="16"/>
          <w:szCs w:val="16"/>
        </w:rPr>
        <w:t>l</w:t>
      </w:r>
      <w:r>
        <w:rPr>
          <w:sz w:val="16"/>
          <w:szCs w:val="16"/>
        </w:rPr>
        <w:t xml:space="preserve"> o 5 </w:t>
      </w:r>
      <w:proofErr w:type="spellStart"/>
      <w:proofErr w:type="gramStart"/>
      <w:r>
        <w:rPr>
          <w:sz w:val="16"/>
          <w:szCs w:val="16"/>
        </w:rPr>
        <w:t>p.b</w:t>
      </w:r>
      <w:proofErr w:type="spellEnd"/>
      <w:r>
        <w:rPr>
          <w:sz w:val="16"/>
          <w:szCs w:val="16"/>
        </w:rPr>
        <w:t>. nižší</w:t>
      </w:r>
      <w:proofErr w:type="gramEnd"/>
      <w:r>
        <w:rPr>
          <w:sz w:val="16"/>
          <w:szCs w:val="16"/>
        </w:rPr>
        <w:t>.</w:t>
      </w:r>
    </w:p>
  </w:footnote>
  <w:footnote w:id="11">
    <w:p w:rsidR="00F23F6C" w:rsidRPr="00E9220F" w:rsidRDefault="00F23F6C" w:rsidP="001C3961">
      <w:pPr>
        <w:pStyle w:val="Textpoznpodarou"/>
        <w:rPr>
          <w:color w:val="0D0D0D" w:themeColor="text1" w:themeTint="F2"/>
          <w:spacing w:val="-2"/>
          <w:sz w:val="16"/>
          <w:szCs w:val="16"/>
        </w:rPr>
      </w:pPr>
      <w:r w:rsidRPr="00E9220F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Předběžné údaje o dluhu a deficitu</w:t>
      </w:r>
      <w:r>
        <w:rPr>
          <w:color w:val="0D0D0D" w:themeColor="text1" w:themeTint="F2"/>
          <w:spacing w:val="-2"/>
          <w:sz w:val="16"/>
          <w:szCs w:val="16"/>
        </w:rPr>
        <w:t xml:space="preserve"> sektoru vládních institucí za 2. čtvrtletí 2017 zveřejní ČSÚ 4</w:t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. </w:t>
      </w:r>
      <w:r>
        <w:rPr>
          <w:color w:val="0D0D0D" w:themeColor="text1" w:themeTint="F2"/>
          <w:spacing w:val="-2"/>
          <w:sz w:val="16"/>
          <w:szCs w:val="16"/>
        </w:rPr>
        <w:t>října 2017</w:t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, </w:t>
      </w:r>
      <w:proofErr w:type="spellStart"/>
      <w:r w:rsidRPr="00E9220F">
        <w:rPr>
          <w:color w:val="0D0D0D" w:themeColor="text1" w:themeTint="F2"/>
          <w:spacing w:val="-2"/>
          <w:sz w:val="16"/>
          <w:szCs w:val="16"/>
        </w:rPr>
        <w:t>Eurostat</w:t>
      </w:r>
      <w:proofErr w:type="spellEnd"/>
      <w:r w:rsidRPr="00E9220F">
        <w:rPr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>pak 24</w:t>
      </w:r>
      <w:r w:rsidRPr="00E9220F">
        <w:rPr>
          <w:color w:val="0D0D0D" w:themeColor="text1" w:themeTint="F2"/>
          <w:spacing w:val="-2"/>
          <w:sz w:val="16"/>
          <w:szCs w:val="16"/>
        </w:rPr>
        <w:t>.</w:t>
      </w:r>
      <w:r w:rsidR="00FB332E">
        <w:rPr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>října</w:t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2017.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Pr="00C00831" w:rsidRDefault="00F23F6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Pr="0030768C" w:rsidRDefault="00F23F6C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EB20B6AC"/>
    <w:lvl w:ilvl="0" w:tplc="9E522E0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20"/>
  </w:num>
  <w:num w:numId="5">
    <w:abstractNumId w:val="14"/>
  </w:num>
  <w:num w:numId="6">
    <w:abstractNumId w:val="17"/>
  </w:num>
  <w:num w:numId="7">
    <w:abstractNumId w:val="5"/>
  </w:num>
  <w:num w:numId="8">
    <w:abstractNumId w:val="10"/>
  </w:num>
  <w:num w:numId="9">
    <w:abstractNumId w:val="19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8"/>
  </w:num>
  <w:num w:numId="16">
    <w:abstractNumId w:val="15"/>
  </w:num>
  <w:num w:numId="17">
    <w:abstractNumId w:val="6"/>
  </w:num>
  <w:num w:numId="18">
    <w:abstractNumId w:val="21"/>
  </w:num>
  <w:num w:numId="19">
    <w:abstractNumId w:val="9"/>
  </w:num>
  <w:num w:numId="20">
    <w:abstractNumId w:val="1"/>
  </w:num>
  <w:num w:numId="21">
    <w:abstractNumId w:val="11"/>
  </w:num>
  <w:num w:numId="22">
    <w:abstractNumId w:val="13"/>
  </w:num>
  <w:num w:numId="2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324C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6DB9"/>
    <w:rsid w:val="00116F28"/>
    <w:rsid w:val="00117CE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4DFD"/>
    <w:rsid w:val="00136561"/>
    <w:rsid w:val="00136AE8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961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B3B"/>
    <w:rsid w:val="002550D8"/>
    <w:rsid w:val="00257613"/>
    <w:rsid w:val="00257C2E"/>
    <w:rsid w:val="00261A0F"/>
    <w:rsid w:val="00261E5B"/>
    <w:rsid w:val="00262F34"/>
    <w:rsid w:val="002633E5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2084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937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7449"/>
    <w:rsid w:val="00357C28"/>
    <w:rsid w:val="00361F76"/>
    <w:rsid w:val="0036238B"/>
    <w:rsid w:val="00362408"/>
    <w:rsid w:val="003630B0"/>
    <w:rsid w:val="00364087"/>
    <w:rsid w:val="003649FC"/>
    <w:rsid w:val="003651A4"/>
    <w:rsid w:val="00365680"/>
    <w:rsid w:val="003657F3"/>
    <w:rsid w:val="00366D4D"/>
    <w:rsid w:val="00366F77"/>
    <w:rsid w:val="00367038"/>
    <w:rsid w:val="003670FE"/>
    <w:rsid w:val="0036710C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69A"/>
    <w:rsid w:val="004A26AF"/>
    <w:rsid w:val="004A26DB"/>
    <w:rsid w:val="004A30FB"/>
    <w:rsid w:val="004A35DD"/>
    <w:rsid w:val="004A37D3"/>
    <w:rsid w:val="004A3AD6"/>
    <w:rsid w:val="004A3BCE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628"/>
    <w:rsid w:val="005F5916"/>
    <w:rsid w:val="005F601D"/>
    <w:rsid w:val="005F6119"/>
    <w:rsid w:val="005F7940"/>
    <w:rsid w:val="00600712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1ED2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C6197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40C5"/>
    <w:rsid w:val="00724666"/>
    <w:rsid w:val="00724E80"/>
    <w:rsid w:val="00725492"/>
    <w:rsid w:val="007256B7"/>
    <w:rsid w:val="00726043"/>
    <w:rsid w:val="0072704A"/>
    <w:rsid w:val="007279B9"/>
    <w:rsid w:val="00730AE8"/>
    <w:rsid w:val="007315DA"/>
    <w:rsid w:val="00731963"/>
    <w:rsid w:val="00732706"/>
    <w:rsid w:val="0073325D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A5039"/>
    <w:rsid w:val="007B005A"/>
    <w:rsid w:val="007B04E8"/>
    <w:rsid w:val="007B0D67"/>
    <w:rsid w:val="007B0F90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C7BAC"/>
    <w:rsid w:val="007C7CC5"/>
    <w:rsid w:val="007D2A5A"/>
    <w:rsid w:val="007D2AD8"/>
    <w:rsid w:val="007D2C47"/>
    <w:rsid w:val="007D2C61"/>
    <w:rsid w:val="007D2DA3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18D8"/>
    <w:rsid w:val="008525F9"/>
    <w:rsid w:val="0085281A"/>
    <w:rsid w:val="00853C0F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EC6"/>
    <w:rsid w:val="008869D2"/>
    <w:rsid w:val="00886A8F"/>
    <w:rsid w:val="0088733A"/>
    <w:rsid w:val="008901C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0FBC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500F"/>
    <w:rsid w:val="009250D2"/>
    <w:rsid w:val="0092519D"/>
    <w:rsid w:val="0092540B"/>
    <w:rsid w:val="009256C5"/>
    <w:rsid w:val="00925A21"/>
    <w:rsid w:val="00926283"/>
    <w:rsid w:val="009306BE"/>
    <w:rsid w:val="0093161F"/>
    <w:rsid w:val="00934836"/>
    <w:rsid w:val="00934963"/>
    <w:rsid w:val="00936ECA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A4D"/>
    <w:rsid w:val="00980373"/>
    <w:rsid w:val="00980621"/>
    <w:rsid w:val="0098095B"/>
    <w:rsid w:val="00982072"/>
    <w:rsid w:val="009833FA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621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7754"/>
    <w:rsid w:val="00A2055B"/>
    <w:rsid w:val="00A20E22"/>
    <w:rsid w:val="00A219FE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766C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C69CA"/>
    <w:rsid w:val="00AD0B46"/>
    <w:rsid w:val="00AD1094"/>
    <w:rsid w:val="00AD2565"/>
    <w:rsid w:val="00AD2862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08F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493D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6D2C"/>
    <w:rsid w:val="00BB0274"/>
    <w:rsid w:val="00BB0B13"/>
    <w:rsid w:val="00BB1CFD"/>
    <w:rsid w:val="00BB2C53"/>
    <w:rsid w:val="00BB32DA"/>
    <w:rsid w:val="00BB3A54"/>
    <w:rsid w:val="00BB462A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7B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FDE"/>
    <w:rsid w:val="00C35C16"/>
    <w:rsid w:val="00C36EC3"/>
    <w:rsid w:val="00C40E09"/>
    <w:rsid w:val="00C40F81"/>
    <w:rsid w:val="00C41463"/>
    <w:rsid w:val="00C41A06"/>
    <w:rsid w:val="00C41A72"/>
    <w:rsid w:val="00C42D45"/>
    <w:rsid w:val="00C43CB1"/>
    <w:rsid w:val="00C4422D"/>
    <w:rsid w:val="00C466D1"/>
    <w:rsid w:val="00C476C5"/>
    <w:rsid w:val="00C503B0"/>
    <w:rsid w:val="00C511C2"/>
    <w:rsid w:val="00C527C6"/>
    <w:rsid w:val="00C538FC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953"/>
    <w:rsid w:val="00C80C9B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97D46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39F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62AD"/>
    <w:rsid w:val="00CC6CA2"/>
    <w:rsid w:val="00CC7086"/>
    <w:rsid w:val="00CC7B80"/>
    <w:rsid w:val="00CD0080"/>
    <w:rsid w:val="00CD0779"/>
    <w:rsid w:val="00CD2B3C"/>
    <w:rsid w:val="00CD30F6"/>
    <w:rsid w:val="00CD4B29"/>
    <w:rsid w:val="00CD5493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4DEB"/>
    <w:rsid w:val="00CE57D8"/>
    <w:rsid w:val="00CE5F03"/>
    <w:rsid w:val="00CE617A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773"/>
    <w:rsid w:val="00D85886"/>
    <w:rsid w:val="00D868CE"/>
    <w:rsid w:val="00D86DAE"/>
    <w:rsid w:val="00D90116"/>
    <w:rsid w:val="00D90C1E"/>
    <w:rsid w:val="00D91BDF"/>
    <w:rsid w:val="00D91F2C"/>
    <w:rsid w:val="00D9266B"/>
    <w:rsid w:val="00D93F09"/>
    <w:rsid w:val="00D94859"/>
    <w:rsid w:val="00D954C2"/>
    <w:rsid w:val="00D9640A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21FD"/>
    <w:rsid w:val="00DF2873"/>
    <w:rsid w:val="00DF293C"/>
    <w:rsid w:val="00DF34B2"/>
    <w:rsid w:val="00DF4C74"/>
    <w:rsid w:val="00DF5578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69C7"/>
    <w:rsid w:val="00E571F2"/>
    <w:rsid w:val="00E57429"/>
    <w:rsid w:val="00E60FCE"/>
    <w:rsid w:val="00E61EA8"/>
    <w:rsid w:val="00E62A33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1130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CE9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F5A"/>
    <w:rsid w:val="00EF3486"/>
    <w:rsid w:val="00EF3CF0"/>
    <w:rsid w:val="00EF4685"/>
    <w:rsid w:val="00EF5397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60EC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6C"/>
    <w:rsid w:val="00F23FFF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93B"/>
    <w:rsid w:val="00F759DC"/>
    <w:rsid w:val="00F76563"/>
    <w:rsid w:val="00F7717C"/>
    <w:rsid w:val="00F771A5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1.pololet&#237;\Rozpo&#269;et\Grafy-st&#225;tn&#237;%20rozpo&#269;et-1.pol-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1.pololet&#237;\Rozpo&#269;et\Grafy-st&#225;tn&#237;%20rozpo&#269;et-1.pol-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1.pololet&#237;-aktual\Rozpo&#269;et\Grafy-st&#225;tn&#237;%20rozpo&#269;et-1.pol-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1.pololet&#237;\Grafy-st&#225;tn&#237;%20rozpo&#269;et-1.pol-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1.pololet&#237;-aktual\Rozpo&#269;et\Grafy-st&#225;tn&#237;%20rozpo&#269;et-1.pol-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5577477727787412E-2"/>
          <c:y val="1.7107238390107429E-2"/>
          <c:w val="0.90191712370542232"/>
          <c:h val="0.80441990809425656"/>
        </c:manualLayout>
      </c:layout>
      <c:barChart>
        <c:barDir val="col"/>
        <c:grouping val="clustered"/>
        <c:ser>
          <c:idx val="2"/>
          <c:order val="4"/>
          <c:tx>
            <c:strRef>
              <c:f>'Státní rozpočet 1'!$A$40</c:f>
              <c:strCache>
                <c:ptCount val="1"/>
                <c:pt idx="0">
                  <c:v>Saldo státního rozpočtu (pravá osa)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cat>
            <c:strRef>
              <c:f>'Státní rozpočet 1'!$B$34:$N$35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'Státní rozpočet 1'!$B$40:$N$40</c:f>
              <c:numCache>
                <c:formatCode>#,##0.0</c:formatCode>
                <c:ptCount val="13"/>
                <c:pt idx="0">
                  <c:v>3.7600000000000002</c:v>
                </c:pt>
                <c:pt idx="1">
                  <c:v>7.64</c:v>
                </c:pt>
                <c:pt idx="2">
                  <c:v>1.2749999999999948</c:v>
                </c:pt>
                <c:pt idx="3">
                  <c:v>-5.6519999999999975</c:v>
                </c:pt>
                <c:pt idx="4">
                  <c:v>-68.259</c:v>
                </c:pt>
                <c:pt idx="5">
                  <c:v>-75.661999999999992</c:v>
                </c:pt>
                <c:pt idx="6">
                  <c:v>-62.855999999999995</c:v>
                </c:pt>
                <c:pt idx="7">
                  <c:v>-71.721999999999994</c:v>
                </c:pt>
                <c:pt idx="8">
                  <c:v>-31.52</c:v>
                </c:pt>
                <c:pt idx="9">
                  <c:v>1.45</c:v>
                </c:pt>
                <c:pt idx="10">
                  <c:v>22.650000000000031</c:v>
                </c:pt>
                <c:pt idx="11">
                  <c:v>40.65</c:v>
                </c:pt>
                <c:pt idx="12">
                  <c:v>4.6199999999999966</c:v>
                </c:pt>
              </c:numCache>
            </c:numRef>
          </c:val>
        </c:ser>
        <c:gapWidth val="43"/>
        <c:axId val="131311104"/>
        <c:axId val="131309568"/>
      </c:barChart>
      <c:lineChart>
        <c:grouping val="standard"/>
        <c:ser>
          <c:idx val="0"/>
          <c:order val="0"/>
          <c:tx>
            <c:strRef>
              <c:f>'Státní rozpočet 1'!$A$36</c:f>
              <c:strCache>
                <c:ptCount val="1"/>
                <c:pt idx="0">
                  <c:v>DPH</c:v>
                </c:pt>
              </c:strCache>
            </c:strRef>
          </c:tx>
          <c:spPr>
            <a:ln w="19050">
              <a:solidFill>
                <a:srgbClr val="BD1B25"/>
              </a:solidFill>
            </a:ln>
          </c:spPr>
          <c:marker>
            <c:symbol val="none"/>
          </c:marker>
          <c:cat>
            <c:strRef>
              <c:f>'Státní rozpočet 1'!$B$34:$N$35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'Státní rozpočet 1'!$B$36:$N$36</c:f>
              <c:numCache>
                <c:formatCode>0.0</c:formatCode>
                <c:ptCount val="13"/>
                <c:pt idx="0">
                  <c:v>20.770252324037173</c:v>
                </c:pt>
                <c:pt idx="1">
                  <c:v>11.996921046844065</c:v>
                </c:pt>
                <c:pt idx="2">
                  <c:v>11.958762886597954</c:v>
                </c:pt>
                <c:pt idx="3">
                  <c:v>4.9022187143734399</c:v>
                </c:pt>
                <c:pt idx="4">
                  <c:v>-1.4629660591874296</c:v>
                </c:pt>
                <c:pt idx="5">
                  <c:v>7.6355306693815006</c:v>
                </c:pt>
                <c:pt idx="6">
                  <c:v>6.9047056041617481</c:v>
                </c:pt>
                <c:pt idx="7">
                  <c:v>-5.419155054191549</c:v>
                </c:pt>
                <c:pt idx="8">
                  <c:v>13.88369192391643</c:v>
                </c:pt>
                <c:pt idx="9">
                  <c:v>6.8861660620165708</c:v>
                </c:pt>
                <c:pt idx="10">
                  <c:v>-4.828690361831562</c:v>
                </c:pt>
                <c:pt idx="11">
                  <c:v>6.0022878675728455</c:v>
                </c:pt>
                <c:pt idx="12">
                  <c:v>14.060813813241976</c:v>
                </c:pt>
              </c:numCache>
            </c:numRef>
          </c:val>
        </c:ser>
        <c:ser>
          <c:idx val="1"/>
          <c:order val="1"/>
          <c:tx>
            <c:strRef>
              <c:f>'Státní rozpočet 1'!$A$37</c:f>
              <c:strCache>
                <c:ptCount val="1"/>
                <c:pt idx="0">
                  <c:v>Spotřební daň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strRef>
              <c:f>'Státní rozpočet 1'!$B$34:$N$35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'Státní rozpočet 1'!$B$37:$N$37</c:f>
              <c:numCache>
                <c:formatCode>0.0</c:formatCode>
                <c:ptCount val="13"/>
                <c:pt idx="0">
                  <c:v>35.457324241711497</c:v>
                </c:pt>
                <c:pt idx="1">
                  <c:v>19.128623502863999</c:v>
                </c:pt>
                <c:pt idx="2">
                  <c:v>-13.434358152411432</c:v>
                </c:pt>
                <c:pt idx="3">
                  <c:v>3.3327722605622077</c:v>
                </c:pt>
                <c:pt idx="4">
                  <c:v>-4.5935820166150663</c:v>
                </c:pt>
                <c:pt idx="5">
                  <c:v>12.053952535427765</c:v>
                </c:pt>
                <c:pt idx="6">
                  <c:v>6.4604601554167402</c:v>
                </c:pt>
                <c:pt idx="7">
                  <c:v>-2.6334621439816743</c:v>
                </c:pt>
                <c:pt idx="8">
                  <c:v>-3.0721740408643292</c:v>
                </c:pt>
                <c:pt idx="9">
                  <c:v>10.646041856232927</c:v>
                </c:pt>
                <c:pt idx="10">
                  <c:v>-3.8240131578947247</c:v>
                </c:pt>
                <c:pt idx="11">
                  <c:v>7.7668519310246724</c:v>
                </c:pt>
                <c:pt idx="12">
                  <c:v>0.80666490346468123</c:v>
                </c:pt>
              </c:numCache>
            </c:numRef>
          </c:val>
        </c:ser>
        <c:ser>
          <c:idx val="3"/>
          <c:order val="2"/>
          <c:tx>
            <c:strRef>
              <c:f>'Státní rozpočet 1'!$A$38</c:f>
              <c:strCache>
                <c:ptCount val="1"/>
                <c:pt idx="0">
                  <c:v>Daně z příjmů FO ze závislé činnosti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strRef>
              <c:f>'Státní rozpočet 1'!$B$34:$N$35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'Státní rozpočet 1'!$B$38:$N$38</c:f>
              <c:numCache>
                <c:formatCode>0.0</c:formatCode>
                <c:ptCount val="13"/>
                <c:pt idx="0">
                  <c:v>7.2278911564625865</c:v>
                </c:pt>
                <c:pt idx="1">
                  <c:v>2.2997620935765468</c:v>
                </c:pt>
                <c:pt idx="2">
                  <c:v>12.20930232558139</c:v>
                </c:pt>
                <c:pt idx="3">
                  <c:v>-5.4749568221070746</c:v>
                </c:pt>
                <c:pt idx="4">
                  <c:v>-6.0661428832450213</c:v>
                </c:pt>
                <c:pt idx="5">
                  <c:v>-0.11670881151526658</c:v>
                </c:pt>
                <c:pt idx="6">
                  <c:v>6.6601752677701738</c:v>
                </c:pt>
                <c:pt idx="7">
                  <c:v>2.2092386342888268</c:v>
                </c:pt>
                <c:pt idx="8">
                  <c:v>5.4841014648088731</c:v>
                </c:pt>
                <c:pt idx="9">
                  <c:v>4.7417442845047013</c:v>
                </c:pt>
                <c:pt idx="10">
                  <c:v>1.0509296685529483</c:v>
                </c:pt>
                <c:pt idx="11">
                  <c:v>10.704000000000008</c:v>
                </c:pt>
                <c:pt idx="12">
                  <c:v>12.559618441971381</c:v>
                </c:pt>
              </c:numCache>
            </c:numRef>
          </c:val>
        </c:ser>
        <c:ser>
          <c:idx val="4"/>
          <c:order val="3"/>
          <c:tx>
            <c:strRef>
              <c:f>'Státní rozpočet 1'!$A$39</c:f>
              <c:strCache>
                <c:ptCount val="1"/>
                <c:pt idx="0">
                  <c:v>Daně z příjmů právnických osob (PO)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6"/>
            <c:spPr>
              <a:solidFill>
                <a:srgbClr val="984807"/>
              </a:solidFill>
              <a:ln>
                <a:noFill/>
              </a:ln>
            </c:spPr>
          </c:marker>
          <c:cat>
            <c:strRef>
              <c:f>'Státní rozpočet 1'!$B$34:$N$35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'Státní rozpočet 1'!$B$39:$N$39</c:f>
              <c:numCache>
                <c:formatCode>0.0</c:formatCode>
                <c:ptCount val="13"/>
                <c:pt idx="0">
                  <c:v>26.596315507064929</c:v>
                </c:pt>
                <c:pt idx="1">
                  <c:v>5.9197513421870553</c:v>
                </c:pt>
                <c:pt idx="2">
                  <c:v>-1.3872215552887752</c:v>
                </c:pt>
                <c:pt idx="3">
                  <c:v>26.565670228594588</c:v>
                </c:pt>
                <c:pt idx="4">
                  <c:v>-22.293470129314954</c:v>
                </c:pt>
                <c:pt idx="5">
                  <c:v>10.16366387016917</c:v>
                </c:pt>
                <c:pt idx="6">
                  <c:v>-13.50811485642947</c:v>
                </c:pt>
                <c:pt idx="7">
                  <c:v>-1.8042725173210101</c:v>
                </c:pt>
                <c:pt idx="8">
                  <c:v>-2.6458915184477512</c:v>
                </c:pt>
                <c:pt idx="9">
                  <c:v>8.3949871659368949</c:v>
                </c:pt>
                <c:pt idx="10">
                  <c:v>8.3855690207550246</c:v>
                </c:pt>
                <c:pt idx="11">
                  <c:v>11.425266675234539</c:v>
                </c:pt>
                <c:pt idx="12">
                  <c:v>7.5778546712802655</c:v>
                </c:pt>
              </c:numCache>
            </c:numRef>
          </c:val>
        </c:ser>
        <c:marker val="1"/>
        <c:axId val="130604416"/>
        <c:axId val="131290624"/>
      </c:lineChart>
      <c:catAx>
        <c:axId val="130604416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crossAx val="131290624"/>
        <c:crosses val="autoZero"/>
        <c:auto val="1"/>
        <c:lblAlgn val="ctr"/>
        <c:lblOffset val="0"/>
      </c:catAx>
      <c:valAx>
        <c:axId val="131290624"/>
        <c:scaling>
          <c:orientation val="minMax"/>
          <c:max val="35"/>
          <c:min val="-4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30604416"/>
        <c:crosses val="autoZero"/>
        <c:crossBetween val="between"/>
        <c:majorUnit val="5"/>
      </c:valAx>
      <c:valAx>
        <c:axId val="131309568"/>
        <c:scaling>
          <c:orientation val="minMax"/>
          <c:max val="70"/>
          <c:min val="-80"/>
        </c:scaling>
        <c:axPos val="r"/>
        <c:numFmt formatCode="#,##0" sourceLinked="0"/>
        <c:tickLblPos val="nextTo"/>
        <c:crossAx val="131311104"/>
        <c:crosses val="max"/>
        <c:crossBetween val="between"/>
        <c:majorUnit val="10"/>
      </c:valAx>
      <c:catAx>
        <c:axId val="131311104"/>
        <c:scaling>
          <c:orientation val="minMax"/>
        </c:scaling>
        <c:delete val="1"/>
        <c:axPos val="b"/>
        <c:tickLblPos val="none"/>
        <c:crossAx val="131309568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878156565656246E-2"/>
          <c:y val="0.87269019274376813"/>
          <c:w val="0.88910690235690248"/>
          <c:h val="0.1201102607709752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5885856591416561E-2"/>
          <c:y val="2.1967687074830006E-2"/>
          <c:w val="0.92164178636877503"/>
          <c:h val="0.79758786848072549"/>
        </c:manualLayout>
      </c:layout>
      <c:barChart>
        <c:barDir val="col"/>
        <c:grouping val="stacked"/>
        <c:ser>
          <c:idx val="0"/>
          <c:order val="0"/>
          <c:tx>
            <c:strRef>
              <c:f>'Státní rozpočet 2'!$A$77</c:f>
              <c:strCache>
                <c:ptCount val="1"/>
                <c:pt idx="0">
                  <c:v>Strukturální fondy</c:v>
                </c:pt>
              </c:strCache>
            </c:strRef>
          </c:tx>
          <c:spPr>
            <a:solidFill>
              <a:srgbClr val="BD1B25"/>
            </a:solidFill>
            <a:ln>
              <a:noFill/>
            </a:ln>
          </c:spPr>
          <c:cat>
            <c:numRef>
              <c:f>'Státní rozpočet 2'!$B$76:$N$76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2'!$B$77:$N$77</c:f>
              <c:numCache>
                <c:formatCode>#,##0.0</c:formatCode>
                <c:ptCount val="13"/>
                <c:pt idx="0">
                  <c:v>3.2596999999999987</c:v>
                </c:pt>
                <c:pt idx="1">
                  <c:v>0.76380000000000292</c:v>
                </c:pt>
                <c:pt idx="2">
                  <c:v>2.9116999999999904</c:v>
                </c:pt>
                <c:pt idx="3">
                  <c:v>18.781729999999875</c:v>
                </c:pt>
                <c:pt idx="4">
                  <c:v>19.819170000000035</c:v>
                </c:pt>
                <c:pt idx="5">
                  <c:v>15.15996</c:v>
                </c:pt>
                <c:pt idx="6">
                  <c:v>12.547209999999998</c:v>
                </c:pt>
                <c:pt idx="7">
                  <c:v>4.2539899999999955</c:v>
                </c:pt>
                <c:pt idx="8">
                  <c:v>11.90465</c:v>
                </c:pt>
                <c:pt idx="9">
                  <c:v>34.893100000000011</c:v>
                </c:pt>
                <c:pt idx="10">
                  <c:v>96.006079999999983</c:v>
                </c:pt>
                <c:pt idx="11">
                  <c:v>36.659170023613044</c:v>
                </c:pt>
                <c:pt idx="12">
                  <c:v>7.5708382493577409</c:v>
                </c:pt>
              </c:numCache>
            </c:numRef>
          </c:val>
        </c:ser>
        <c:ser>
          <c:idx val="1"/>
          <c:order val="1"/>
          <c:tx>
            <c:strRef>
              <c:f>'Státní rozpočet 2'!$A$78</c:f>
              <c:strCache>
                <c:ptCount val="1"/>
                <c:pt idx="0">
                  <c:v>Fond soudržnosti</c:v>
                </c:pt>
              </c:strCache>
            </c:strRef>
          </c:tx>
          <c:spPr>
            <a:solidFill>
              <a:srgbClr val="F8A124"/>
            </a:solidFill>
            <a:ln>
              <a:noFill/>
            </a:ln>
          </c:spPr>
          <c:cat>
            <c:numRef>
              <c:f>'Státní rozpočet 2'!$B$76:$N$76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2'!$B$78:$N$78</c:f>
              <c:numCache>
                <c:formatCode>#,##0.0</c:formatCode>
                <c:ptCount val="13"/>
                <c:pt idx="0">
                  <c:v>0.35230000000000117</c:v>
                </c:pt>
                <c:pt idx="1">
                  <c:v>3.6486000000000001</c:v>
                </c:pt>
                <c:pt idx="2">
                  <c:v>0.42590000000000117</c:v>
                </c:pt>
                <c:pt idx="3">
                  <c:v>13.973800000000002</c:v>
                </c:pt>
                <c:pt idx="4">
                  <c:v>11.58196</c:v>
                </c:pt>
                <c:pt idx="5">
                  <c:v>4.0828199999999955</c:v>
                </c:pt>
                <c:pt idx="6">
                  <c:v>0.86347000000000063</c:v>
                </c:pt>
                <c:pt idx="7">
                  <c:v>0.20305000000000001</c:v>
                </c:pt>
                <c:pt idx="8">
                  <c:v>0.47140000000000032</c:v>
                </c:pt>
                <c:pt idx="9">
                  <c:v>17.878209999999989</c:v>
                </c:pt>
                <c:pt idx="10">
                  <c:v>29.547130000000003</c:v>
                </c:pt>
                <c:pt idx="11">
                  <c:v>27.588253876318912</c:v>
                </c:pt>
                <c:pt idx="12">
                  <c:v>6.3277452996307</c:v>
                </c:pt>
              </c:numCache>
            </c:numRef>
          </c:val>
        </c:ser>
        <c:ser>
          <c:idx val="2"/>
          <c:order val="2"/>
          <c:tx>
            <c:strRef>
              <c:f>'Státní rozpočet 2'!$A$79</c:f>
              <c:strCache>
                <c:ptCount val="1"/>
                <c:pt idx="0">
                  <c:v>Přímé platby v zemědělství*</c:v>
                </c:pt>
              </c:strCache>
            </c:strRef>
          </c:tx>
          <c:spPr>
            <a:solidFill>
              <a:srgbClr val="47AEE7"/>
            </a:solidFill>
            <a:ln>
              <a:noFill/>
            </a:ln>
          </c:spPr>
          <c:cat>
            <c:numRef>
              <c:f>'Státní rozpočet 2'!$B$76:$N$76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2'!$B$79:$N$79</c:f>
              <c:numCache>
                <c:formatCode>#,##0.0</c:formatCode>
                <c:ptCount val="13"/>
                <c:pt idx="0">
                  <c:v>6.8854999999999995</c:v>
                </c:pt>
                <c:pt idx="1">
                  <c:v>8.5137550000000015</c:v>
                </c:pt>
                <c:pt idx="2">
                  <c:v>10.171150000000001</c:v>
                </c:pt>
                <c:pt idx="3">
                  <c:v>9.5222000000000016</c:v>
                </c:pt>
                <c:pt idx="4">
                  <c:v>13.3177</c:v>
                </c:pt>
                <c:pt idx="5">
                  <c:v>14.18098</c:v>
                </c:pt>
                <c:pt idx="6">
                  <c:v>15.741469999999998</c:v>
                </c:pt>
                <c:pt idx="7">
                  <c:v>18.786939999999898</c:v>
                </c:pt>
                <c:pt idx="8">
                  <c:v>21.01</c:v>
                </c:pt>
                <c:pt idx="9">
                  <c:v>24.16134999999991</c:v>
                </c:pt>
                <c:pt idx="10">
                  <c:v>23.599900000000005</c:v>
                </c:pt>
                <c:pt idx="11">
                  <c:v>18.645387208474506</c:v>
                </c:pt>
                <c:pt idx="12">
                  <c:v>21.912326264663861</c:v>
                </c:pt>
              </c:numCache>
            </c:numRef>
          </c:val>
        </c:ser>
        <c:ser>
          <c:idx val="3"/>
          <c:order val="3"/>
          <c:tx>
            <c:strRef>
              <c:f>'Státní rozpočet 2'!$A$80</c:f>
              <c:strCache>
                <c:ptCount val="1"/>
                <c:pt idx="0">
                  <c:v>Rozvoj venkova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cat>
            <c:numRef>
              <c:f>'Státní rozpočet 2'!$B$76:$N$76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2'!$B$80:$N$80</c:f>
              <c:numCache>
                <c:formatCode>#,##0.0</c:formatCode>
                <c:ptCount val="13"/>
                <c:pt idx="0">
                  <c:v>1.7181999999999953</c:v>
                </c:pt>
                <c:pt idx="1">
                  <c:v>2.2130999999999998</c:v>
                </c:pt>
                <c:pt idx="2">
                  <c:v>3.0166999999999904</c:v>
                </c:pt>
                <c:pt idx="3">
                  <c:v>2.1449900000000093</c:v>
                </c:pt>
                <c:pt idx="4">
                  <c:v>6.0011899999999985</c:v>
                </c:pt>
                <c:pt idx="5">
                  <c:v>7.4794200000000197</c:v>
                </c:pt>
                <c:pt idx="6">
                  <c:v>7.7303300000000004</c:v>
                </c:pt>
                <c:pt idx="7">
                  <c:v>7.6745099999999855</c:v>
                </c:pt>
                <c:pt idx="8">
                  <c:v>6.80227</c:v>
                </c:pt>
                <c:pt idx="9">
                  <c:v>6.2812100000000024</c:v>
                </c:pt>
                <c:pt idx="10">
                  <c:v>1.3738199999999998</c:v>
                </c:pt>
                <c:pt idx="11">
                  <c:v>3.0041342681294627</c:v>
                </c:pt>
                <c:pt idx="12">
                  <c:v>3.6522234276508767</c:v>
                </c:pt>
              </c:numCache>
            </c:numRef>
          </c:val>
        </c:ser>
        <c:ser>
          <c:idx val="4"/>
          <c:order val="4"/>
          <c:tx>
            <c:strRef>
              <c:f>'Státní rozpočet 2'!$A$81</c:f>
              <c:strCache>
                <c:ptCount val="1"/>
                <c:pt idx="0">
                  <c:v>Ostatní příjmy</c:v>
                </c:pt>
              </c:strCache>
            </c:strRef>
          </c:tx>
          <c:spPr>
            <a:solidFill>
              <a:srgbClr val="BFBFBF"/>
            </a:solidFill>
            <a:ln>
              <a:noFill/>
            </a:ln>
          </c:spPr>
          <c:cat>
            <c:numRef>
              <c:f>'Státní rozpočet 2'!$B$76:$N$76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2'!$B$81:$N$81</c:f>
              <c:numCache>
                <c:formatCode>#,##0.0</c:formatCode>
                <c:ptCount val="13"/>
                <c:pt idx="0">
                  <c:v>5.6441999999999855</c:v>
                </c:pt>
                <c:pt idx="1">
                  <c:v>3.1660999999999997</c:v>
                </c:pt>
                <c:pt idx="2">
                  <c:v>0.51729999999999998</c:v>
                </c:pt>
                <c:pt idx="3">
                  <c:v>0</c:v>
                </c:pt>
                <c:pt idx="4">
                  <c:v>0.58942999999999957</c:v>
                </c:pt>
                <c:pt idx="5">
                  <c:v>0.48283000000000031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gapWidth val="39"/>
        <c:overlap val="100"/>
        <c:axId val="150895616"/>
        <c:axId val="151053056"/>
      </c:barChart>
      <c:lineChart>
        <c:grouping val="standard"/>
        <c:ser>
          <c:idx val="5"/>
          <c:order val="5"/>
          <c:tx>
            <c:strRef>
              <c:f>'Státní rozpočet 2'!$A$82</c:f>
              <c:strCache>
                <c:ptCount val="1"/>
                <c:pt idx="0">
                  <c:v>Čistá pozice vůči rozpočtu EU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numRef>
              <c:f>'Státní rozpočet 2'!$B$76:$N$76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2'!$B$82:$N$82</c:f>
              <c:numCache>
                <c:formatCode>#,##0.0</c:formatCode>
                <c:ptCount val="13"/>
                <c:pt idx="0">
                  <c:v>2.6703000000000001</c:v>
                </c:pt>
                <c:pt idx="1">
                  <c:v>3.1989999999999998</c:v>
                </c:pt>
                <c:pt idx="2">
                  <c:v>2.1196999999999977</c:v>
                </c:pt>
                <c:pt idx="3">
                  <c:v>26.209389999999921</c:v>
                </c:pt>
                <c:pt idx="4">
                  <c:v>29.07404</c:v>
                </c:pt>
                <c:pt idx="5">
                  <c:v>22.706880000000005</c:v>
                </c:pt>
                <c:pt idx="6">
                  <c:v>17.385659999999906</c:v>
                </c:pt>
                <c:pt idx="7">
                  <c:v>6.8634399999999856</c:v>
                </c:pt>
                <c:pt idx="8">
                  <c:v>14.966500000000041</c:v>
                </c:pt>
                <c:pt idx="9">
                  <c:v>56.419000000000004</c:v>
                </c:pt>
                <c:pt idx="10">
                  <c:v>126.82836999999998</c:v>
                </c:pt>
                <c:pt idx="11">
                  <c:v>66.611208234866069</c:v>
                </c:pt>
                <c:pt idx="12">
                  <c:v>16.659537298133259</c:v>
                </c:pt>
              </c:numCache>
            </c:numRef>
          </c:val>
        </c:ser>
        <c:marker val="1"/>
        <c:axId val="150895616"/>
        <c:axId val="151053056"/>
      </c:lineChart>
      <c:catAx>
        <c:axId val="1508956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51053056"/>
        <c:crosses val="autoZero"/>
        <c:auto val="1"/>
        <c:lblAlgn val="ctr"/>
        <c:lblOffset val="20"/>
      </c:catAx>
      <c:valAx>
        <c:axId val="151053056"/>
        <c:scaling>
          <c:orientation val="minMax"/>
          <c:max val="160"/>
          <c:min val="0"/>
        </c:scaling>
        <c:axPos val="l"/>
        <c:majorGridlines>
          <c:spPr>
            <a:ln w="6350">
              <a:solidFill>
                <a:srgbClr val="BFBFBF"/>
              </a:solidFill>
            </a:ln>
          </c:spPr>
        </c:majorGridlines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50895616"/>
        <c:crosses val="autoZero"/>
        <c:crossBetween val="between"/>
        <c:majorUnit val="10"/>
      </c:valAx>
      <c:spPr>
        <a:ln>
          <a:solidFill>
            <a:schemeClr val="tx1">
              <a:lumMod val="95000"/>
              <a:lumOff val="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6.3517658206840313E-2"/>
          <c:y val="0.86898582766440657"/>
          <c:w val="0.92018571517242886"/>
          <c:h val="0.12237414965986392"/>
        </c:manualLayout>
      </c:layout>
      <c:spPr>
        <a:ln>
          <a:solidFill>
            <a:schemeClr val="tx1">
              <a:lumMod val="95000"/>
              <a:lumOff val="5000"/>
            </a:scheme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3654503640965086E-2"/>
          <c:y val="2.5575113378684816E-2"/>
          <c:w val="0.88571919735113291"/>
          <c:h val="0.75695549886621361"/>
        </c:manualLayout>
      </c:layout>
      <c:barChart>
        <c:barDir val="col"/>
        <c:grouping val="clustered"/>
        <c:ser>
          <c:idx val="0"/>
          <c:order val="0"/>
          <c:tx>
            <c:strRef>
              <c:f>'Státní rozpočet 3'!$B$31</c:f>
              <c:strCache>
                <c:ptCount val="1"/>
                <c:pt idx="0">
                  <c:v>Běžné výdaje (pravá osa)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</c:spPr>
          <c:cat>
            <c:numRef>
              <c:f>'Státní rozpočet 3'!$A$32:$A$44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20017</c:v>
                </c:pt>
              </c:numCache>
            </c:numRef>
          </c:cat>
          <c:val>
            <c:numRef>
              <c:f>'Státní rozpočet 3'!$B$32:$B$44</c:f>
              <c:numCache>
                <c:formatCode>0.0</c:formatCode>
                <c:ptCount val="13"/>
                <c:pt idx="0">
                  <c:v>402.04</c:v>
                </c:pt>
                <c:pt idx="1">
                  <c:v>437.53299999999962</c:v>
                </c:pt>
                <c:pt idx="2">
                  <c:v>455.274</c:v>
                </c:pt>
                <c:pt idx="3">
                  <c:v>488.71899999999948</c:v>
                </c:pt>
                <c:pt idx="4">
                  <c:v>523.79999999999995</c:v>
                </c:pt>
                <c:pt idx="5">
                  <c:v>527.73400000000004</c:v>
                </c:pt>
                <c:pt idx="6">
                  <c:v>523.22</c:v>
                </c:pt>
                <c:pt idx="7">
                  <c:v>534.42999999999938</c:v>
                </c:pt>
                <c:pt idx="8">
                  <c:v>544.65</c:v>
                </c:pt>
                <c:pt idx="9">
                  <c:v>552.71100000000001</c:v>
                </c:pt>
                <c:pt idx="10">
                  <c:v>564.13</c:v>
                </c:pt>
                <c:pt idx="11">
                  <c:v>575.57000000000005</c:v>
                </c:pt>
                <c:pt idx="12">
                  <c:v>609.57000000000005</c:v>
                </c:pt>
              </c:numCache>
            </c:numRef>
          </c:val>
        </c:ser>
        <c:gapWidth val="70"/>
        <c:axId val="156568576"/>
        <c:axId val="156567040"/>
      </c:barChart>
      <c:lineChart>
        <c:grouping val="standard"/>
        <c:ser>
          <c:idx val="1"/>
          <c:order val="1"/>
          <c:tx>
            <c:strRef>
              <c:f>'Státní rozpočet 3'!$C$31</c:f>
              <c:strCache>
                <c:ptCount val="1"/>
                <c:pt idx="0">
                  <c:v>Platy státních zaměstnanců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 3'!$A$32:$A$44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20017</c:v>
                </c:pt>
              </c:numCache>
            </c:numRef>
          </c:cat>
          <c:val>
            <c:numRef>
              <c:f>'Státní rozpočet 3'!$C$32:$C$44</c:f>
              <c:numCache>
                <c:formatCode>0.0</c:formatCode>
                <c:ptCount val="13"/>
                <c:pt idx="0">
                  <c:v>34.160000000000011</c:v>
                </c:pt>
                <c:pt idx="1">
                  <c:v>35.65</c:v>
                </c:pt>
                <c:pt idx="2">
                  <c:v>37.92</c:v>
                </c:pt>
                <c:pt idx="3">
                  <c:v>37.730000000000011</c:v>
                </c:pt>
                <c:pt idx="4">
                  <c:v>38.980000000000004</c:v>
                </c:pt>
                <c:pt idx="5">
                  <c:v>39.36</c:v>
                </c:pt>
                <c:pt idx="6">
                  <c:v>35.700000000000003</c:v>
                </c:pt>
                <c:pt idx="7">
                  <c:v>36.300000000000004</c:v>
                </c:pt>
                <c:pt idx="8">
                  <c:v>36.879999999999995</c:v>
                </c:pt>
                <c:pt idx="9">
                  <c:v>38.090000000000003</c:v>
                </c:pt>
                <c:pt idx="10">
                  <c:v>41.879999999999995</c:v>
                </c:pt>
                <c:pt idx="11">
                  <c:v>43.220000000000013</c:v>
                </c:pt>
                <c:pt idx="12">
                  <c:v>46.51</c:v>
                </c:pt>
              </c:numCache>
            </c:numRef>
          </c:val>
        </c:ser>
        <c:ser>
          <c:idx val="2"/>
          <c:order val="2"/>
          <c:tx>
            <c:strRef>
              <c:f>'Státní rozpočet 3'!$D$31</c:f>
              <c:strCache>
                <c:ptCount val="1"/>
                <c:pt idx="0">
                  <c:v>Podpora v nezaměstnanosti</c:v>
                </c:pt>
              </c:strCache>
            </c:strRef>
          </c:tx>
          <c:spPr>
            <a:ln w="19050">
              <a:solidFill>
                <a:srgbClr val="984807"/>
              </a:solidFill>
            </a:ln>
          </c:spPr>
          <c:marker>
            <c:symbol val="none"/>
          </c:marker>
          <c:cat>
            <c:numRef>
              <c:f>'Státní rozpočet 3'!$A$32:$A$44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20017</c:v>
                </c:pt>
              </c:numCache>
            </c:numRef>
          </c:cat>
          <c:val>
            <c:numRef>
              <c:f>'Státní rozpočet 3'!$D$32:$D$44</c:f>
              <c:numCache>
                <c:formatCode>0.0</c:formatCode>
                <c:ptCount val="13"/>
                <c:pt idx="0">
                  <c:v>3.69</c:v>
                </c:pt>
                <c:pt idx="1">
                  <c:v>3.8959999999999977</c:v>
                </c:pt>
                <c:pt idx="2">
                  <c:v>3.7800000000000002</c:v>
                </c:pt>
                <c:pt idx="3">
                  <c:v>3.56</c:v>
                </c:pt>
                <c:pt idx="4">
                  <c:v>7.3049999999999935</c:v>
                </c:pt>
                <c:pt idx="5">
                  <c:v>7.7700000000000014</c:v>
                </c:pt>
                <c:pt idx="6">
                  <c:v>6.2279999999999935</c:v>
                </c:pt>
                <c:pt idx="7">
                  <c:v>4.8410000000000002</c:v>
                </c:pt>
                <c:pt idx="8">
                  <c:v>5.3579999999999934</c:v>
                </c:pt>
                <c:pt idx="9">
                  <c:v>5.2690000000000001</c:v>
                </c:pt>
                <c:pt idx="10">
                  <c:v>4.6099999999999985</c:v>
                </c:pt>
                <c:pt idx="11">
                  <c:v>4.4700000000000024</c:v>
                </c:pt>
                <c:pt idx="12">
                  <c:v>4.3199999999999985</c:v>
                </c:pt>
              </c:numCache>
            </c:numRef>
          </c:val>
        </c:ser>
        <c:ser>
          <c:idx val="3"/>
          <c:order val="3"/>
          <c:tx>
            <c:strRef>
              <c:f>'Státní rozpočet 3'!$E$31</c:f>
              <c:strCache>
                <c:ptCount val="1"/>
                <c:pt idx="0">
                  <c:v>Státní sociální podpora*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numRef>
              <c:f>'Státní rozpočet 3'!$A$32:$A$44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20017</c:v>
                </c:pt>
              </c:numCache>
            </c:numRef>
          </c:cat>
          <c:val>
            <c:numRef>
              <c:f>'Státní rozpočet 3'!$E$32:$E$44</c:f>
              <c:numCache>
                <c:formatCode>General</c:formatCode>
                <c:ptCount val="13"/>
                <c:pt idx="0">
                  <c:v>16.649999999999999</c:v>
                </c:pt>
                <c:pt idx="1">
                  <c:v>17.04</c:v>
                </c:pt>
                <c:pt idx="2">
                  <c:v>23.830000000000005</c:v>
                </c:pt>
                <c:pt idx="3">
                  <c:v>21.52</c:v>
                </c:pt>
                <c:pt idx="4">
                  <c:v>20.594999999999999</c:v>
                </c:pt>
                <c:pt idx="5">
                  <c:v>20.64</c:v>
                </c:pt>
                <c:pt idx="6">
                  <c:v>18.40599999999997</c:v>
                </c:pt>
                <c:pt idx="7">
                  <c:v>17.881</c:v>
                </c:pt>
                <c:pt idx="8">
                  <c:v>18.681999999999999</c:v>
                </c:pt>
                <c:pt idx="9">
                  <c:v>18.91</c:v>
                </c:pt>
                <c:pt idx="10">
                  <c:v>18.91</c:v>
                </c:pt>
                <c:pt idx="11">
                  <c:v>18.979999999999986</c:v>
                </c:pt>
                <c:pt idx="12">
                  <c:v>18.760000000000002</c:v>
                </c:pt>
              </c:numCache>
            </c:numRef>
          </c:val>
        </c:ser>
        <c:ser>
          <c:idx val="4"/>
          <c:order val="4"/>
          <c:tx>
            <c:strRef>
              <c:f>'Státní rozpočet 3'!$F$31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numRef>
              <c:f>'Státní rozpočet 3'!$A$32:$A$44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20017</c:v>
                </c:pt>
              </c:numCache>
            </c:numRef>
          </c:cat>
          <c:val>
            <c:numRef>
              <c:f>'Státní rozpočet 3'!$F$32:$F$44</c:f>
              <c:numCache>
                <c:formatCode>0.00</c:formatCode>
                <c:ptCount val="13"/>
                <c:pt idx="0">
                  <c:v>17.497</c:v>
                </c:pt>
                <c:pt idx="1">
                  <c:v>17.936</c:v>
                </c:pt>
                <c:pt idx="2">
                  <c:v>18.398</c:v>
                </c:pt>
                <c:pt idx="3">
                  <c:v>16.734000000000005</c:v>
                </c:pt>
                <c:pt idx="4">
                  <c:v>14.089</c:v>
                </c:pt>
                <c:pt idx="5">
                  <c:v>11.56</c:v>
                </c:pt>
                <c:pt idx="6">
                  <c:v>11.773</c:v>
                </c:pt>
                <c:pt idx="7">
                  <c:v>10.243999999999998</c:v>
                </c:pt>
                <c:pt idx="8">
                  <c:v>10.609</c:v>
                </c:pt>
                <c:pt idx="9">
                  <c:v>11.201000000000001</c:v>
                </c:pt>
                <c:pt idx="10">
                  <c:v>12.43</c:v>
                </c:pt>
                <c:pt idx="11">
                  <c:v>13.57</c:v>
                </c:pt>
                <c:pt idx="12">
                  <c:v>14.75</c:v>
                </c:pt>
              </c:numCache>
            </c:numRef>
          </c:val>
        </c:ser>
        <c:ser>
          <c:idx val="5"/>
          <c:order val="5"/>
          <c:tx>
            <c:strRef>
              <c:f>'Státní rozpočet 3'!$G$31</c:f>
              <c:strCache>
                <c:ptCount val="1"/>
                <c:pt idx="0">
                  <c:v>Dávky sociální péče**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'Státní rozpočet 3'!$A$32:$A$44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20017</c:v>
                </c:pt>
              </c:numCache>
            </c:numRef>
          </c:cat>
          <c:val>
            <c:numRef>
              <c:f>'Státní rozpočet 3'!$G$32:$G$44</c:f>
              <c:numCache>
                <c:formatCode>General</c:formatCode>
                <c:ptCount val="13"/>
                <c:pt idx="2" formatCode="0.00">
                  <c:v>11.691000000000001</c:v>
                </c:pt>
                <c:pt idx="3" formatCode="0.00">
                  <c:v>13.246999999999998</c:v>
                </c:pt>
                <c:pt idx="4" formatCode="0.00">
                  <c:v>13.003</c:v>
                </c:pt>
                <c:pt idx="5" formatCode="0.00">
                  <c:v>13.486000000000002</c:v>
                </c:pt>
                <c:pt idx="6" formatCode="0.00">
                  <c:v>12.911000000000001</c:v>
                </c:pt>
                <c:pt idx="7" formatCode="0.00">
                  <c:v>13.282</c:v>
                </c:pt>
                <c:pt idx="8" formatCode="0.00">
                  <c:v>15.668000000000001</c:v>
                </c:pt>
                <c:pt idx="9" formatCode="0.00">
                  <c:v>16.734999999999999</c:v>
                </c:pt>
                <c:pt idx="10" formatCode="0.00">
                  <c:v>16.93</c:v>
                </c:pt>
                <c:pt idx="11" formatCode="0.00">
                  <c:v>16.779999999999987</c:v>
                </c:pt>
                <c:pt idx="12" formatCode="0.00">
                  <c:v>17.489999999999966</c:v>
                </c:pt>
              </c:numCache>
            </c:numRef>
          </c:val>
        </c:ser>
        <c:ser>
          <c:idx val="6"/>
          <c:order val="6"/>
          <c:tx>
            <c:strRef>
              <c:f>'Státní rozpočet 3'!$H$31</c:f>
              <c:strCache>
                <c:ptCount val="1"/>
                <c:pt idx="0">
                  <c:v>Státní dluh (čisté výdaje)***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'Státní rozpočet 3'!$A$32:$A$44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20017</c:v>
                </c:pt>
              </c:numCache>
            </c:numRef>
          </c:cat>
          <c:val>
            <c:numRef>
              <c:f>'Státní rozpočet 3'!$H$32:$H$44</c:f>
              <c:numCache>
                <c:formatCode>0.0</c:formatCode>
                <c:ptCount val="13"/>
                <c:pt idx="0">
                  <c:v>14.81</c:v>
                </c:pt>
                <c:pt idx="1">
                  <c:v>17.16</c:v>
                </c:pt>
                <c:pt idx="2">
                  <c:v>17.05</c:v>
                </c:pt>
                <c:pt idx="3">
                  <c:v>16.5</c:v>
                </c:pt>
                <c:pt idx="4">
                  <c:v>25.770000000000003</c:v>
                </c:pt>
                <c:pt idx="5">
                  <c:v>21.27</c:v>
                </c:pt>
                <c:pt idx="6">
                  <c:v>25.810000000000024</c:v>
                </c:pt>
                <c:pt idx="7">
                  <c:v>26.419999999999987</c:v>
                </c:pt>
                <c:pt idx="8">
                  <c:v>30.400000000000002</c:v>
                </c:pt>
                <c:pt idx="9">
                  <c:v>26.86</c:v>
                </c:pt>
                <c:pt idx="10">
                  <c:v>23.549999999999986</c:v>
                </c:pt>
                <c:pt idx="11">
                  <c:v>23.759999999999987</c:v>
                </c:pt>
                <c:pt idx="12">
                  <c:v>18.75</c:v>
                </c:pt>
              </c:numCache>
            </c:numRef>
          </c:val>
        </c:ser>
        <c:ser>
          <c:idx val="7"/>
          <c:order val="7"/>
          <c:tx>
            <c:strRef>
              <c:f>'Státní rozpočet 3'!$I$31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numRef>
              <c:f>'Státní rozpočet 3'!$A$32:$A$44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20017</c:v>
                </c:pt>
              </c:numCache>
            </c:numRef>
          </c:cat>
          <c:val>
            <c:numRef>
              <c:f>'Státní rozpočet 3'!$I$32:$I$44</c:f>
              <c:numCache>
                <c:formatCode>0.0</c:formatCode>
                <c:ptCount val="13"/>
                <c:pt idx="0">
                  <c:v>20.45</c:v>
                </c:pt>
                <c:pt idx="1">
                  <c:v>23.643000000000001</c:v>
                </c:pt>
                <c:pt idx="2">
                  <c:v>26.771000000000001</c:v>
                </c:pt>
                <c:pt idx="3">
                  <c:v>53.505000000000003</c:v>
                </c:pt>
                <c:pt idx="4">
                  <c:v>51.149000000000001</c:v>
                </c:pt>
                <c:pt idx="5">
                  <c:v>55.873000000000005</c:v>
                </c:pt>
                <c:pt idx="6">
                  <c:v>47.277000000000001</c:v>
                </c:pt>
                <c:pt idx="7">
                  <c:v>41.93</c:v>
                </c:pt>
                <c:pt idx="8">
                  <c:v>36.779000000000003</c:v>
                </c:pt>
                <c:pt idx="9">
                  <c:v>34.894000000000005</c:v>
                </c:pt>
                <c:pt idx="10">
                  <c:v>54.02</c:v>
                </c:pt>
                <c:pt idx="11">
                  <c:v>39.090000000000003</c:v>
                </c:pt>
                <c:pt idx="12">
                  <c:v>20.309999999999999</c:v>
                </c:pt>
              </c:numCache>
            </c:numRef>
          </c:val>
        </c:ser>
        <c:marker val="1"/>
        <c:axId val="156103040"/>
        <c:axId val="156104960"/>
      </c:lineChart>
      <c:catAx>
        <c:axId val="156103040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156104960"/>
        <c:crosses val="autoZero"/>
        <c:auto val="1"/>
        <c:lblAlgn val="ctr"/>
        <c:lblOffset val="20"/>
      </c:catAx>
      <c:valAx>
        <c:axId val="156104960"/>
        <c:scaling>
          <c:orientation val="minMax"/>
          <c:max val="60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56103040"/>
        <c:crosses val="autoZero"/>
        <c:crossBetween val="between"/>
        <c:majorUnit val="5"/>
      </c:valAx>
      <c:valAx>
        <c:axId val="156567040"/>
        <c:scaling>
          <c:orientation val="minMax"/>
          <c:max val="700"/>
          <c:min val="0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56568576"/>
        <c:crosses val="max"/>
        <c:crossBetween val="between"/>
        <c:majorUnit val="100"/>
      </c:valAx>
      <c:catAx>
        <c:axId val="156568576"/>
        <c:scaling>
          <c:orientation val="minMax"/>
        </c:scaling>
        <c:delete val="1"/>
        <c:axPos val="b"/>
        <c:numFmt formatCode="General" sourceLinked="1"/>
        <c:tickLblPos val="none"/>
        <c:crossAx val="156567040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07363802582319E-2"/>
          <c:y val="0.83424149659864255"/>
          <c:w val="0.88356227363294626"/>
          <c:h val="0.1568200113378684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1857900718404552E-2"/>
          <c:y val="1.544165056508486E-2"/>
          <c:w val="0.86855180193698733"/>
          <c:h val="0.79972056504783351"/>
        </c:manualLayout>
      </c:layout>
      <c:barChart>
        <c:barDir val="col"/>
        <c:grouping val="clustered"/>
        <c:ser>
          <c:idx val="4"/>
          <c:order val="4"/>
          <c:tx>
            <c:strRef>
              <c:f>'Státní rozpočet 4'!$F$22</c:f>
              <c:strCache>
                <c:ptCount val="1"/>
                <c:pt idx="0">
                  <c:v>Saldo příjmů a výdajů (pravá osa)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</c:spPr>
          <c:cat>
            <c:numRef>
              <c:f>'Státní rozpočet 4'!$A$23:$A$35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4'!$F$23:$F$35</c:f>
              <c:numCache>
                <c:formatCode>0.0</c:formatCode>
                <c:ptCount val="13"/>
                <c:pt idx="0">
                  <c:v>-5.289999999999992</c:v>
                </c:pt>
                <c:pt idx="1">
                  <c:v>-8.0400000000000187</c:v>
                </c:pt>
                <c:pt idx="2">
                  <c:v>0.15999999999999812</c:v>
                </c:pt>
                <c:pt idx="3">
                  <c:v>6.0900000000000025</c:v>
                </c:pt>
                <c:pt idx="4">
                  <c:v>-7.4699999999999989</c:v>
                </c:pt>
                <c:pt idx="5">
                  <c:v>-18.659999999999997</c:v>
                </c:pt>
                <c:pt idx="6">
                  <c:v>-24.669999999999987</c:v>
                </c:pt>
                <c:pt idx="7">
                  <c:v>-21.629999999999992</c:v>
                </c:pt>
                <c:pt idx="8">
                  <c:v>-19.550000000000011</c:v>
                </c:pt>
                <c:pt idx="9">
                  <c:v>-15.79</c:v>
                </c:pt>
                <c:pt idx="10">
                  <c:v>-11.490000000000002</c:v>
                </c:pt>
                <c:pt idx="11">
                  <c:v>-8.7700000000000102</c:v>
                </c:pt>
                <c:pt idx="12">
                  <c:v>-6.7800000000000011</c:v>
                </c:pt>
              </c:numCache>
            </c:numRef>
          </c:val>
        </c:ser>
        <c:gapWidth val="43"/>
        <c:axId val="151047552"/>
        <c:axId val="151046016"/>
      </c:barChart>
      <c:lineChart>
        <c:grouping val="standard"/>
        <c:ser>
          <c:idx val="0"/>
          <c:order val="0"/>
          <c:tx>
            <c:strRef>
              <c:f>'Státní rozpočet 4'!$B$22</c:f>
              <c:strCache>
                <c:ptCount val="1"/>
                <c:pt idx="0">
                  <c:v>Počet příjemců důchodů celkem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numRef>
              <c:f>'Státní rozpočet 4'!$A$23:$A$35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4'!$B$23:$B$35</c:f>
              <c:numCache>
                <c:formatCode>0.0</c:formatCode>
                <c:ptCount val="13"/>
                <c:pt idx="0">
                  <c:v>0.97119001180084363</c:v>
                </c:pt>
                <c:pt idx="1">
                  <c:v>1.7113420628585061</c:v>
                </c:pt>
                <c:pt idx="2">
                  <c:v>0.87203655500734056</c:v>
                </c:pt>
                <c:pt idx="3">
                  <c:v>1.3906623570156798</c:v>
                </c:pt>
                <c:pt idx="4">
                  <c:v>1.3478834471453638</c:v>
                </c:pt>
                <c:pt idx="5">
                  <c:v>1.2637169965881578</c:v>
                </c:pt>
                <c:pt idx="6">
                  <c:v>0.81439496394068567</c:v>
                </c:pt>
                <c:pt idx="7">
                  <c:v>1.2304166450441643</c:v>
                </c:pt>
                <c:pt idx="8">
                  <c:v>-0.21063254977326551</c:v>
                </c:pt>
                <c:pt idx="9">
                  <c:v>0.16190735460577343</c:v>
                </c:pt>
                <c:pt idx="10">
                  <c:v>-1.9049971634388086E-2</c:v>
                </c:pt>
                <c:pt idx="11">
                  <c:v>0.70327331099943535</c:v>
                </c:pt>
                <c:pt idx="12">
                  <c:v>0.24419969415261294</c:v>
                </c:pt>
              </c:numCache>
            </c:numRef>
          </c:val>
        </c:ser>
        <c:ser>
          <c:idx val="1"/>
          <c:order val="1"/>
          <c:tx>
            <c:strRef>
              <c:f>'Státní rozpočet 4'!$C$22</c:f>
              <c:strCache>
                <c:ptCount val="1"/>
                <c:pt idx="0">
                  <c:v>z toho starobních trvale krácených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6"/>
            <c:spPr>
              <a:solidFill>
                <a:srgbClr val="7DBB2D"/>
              </a:solidFill>
              <a:ln>
                <a:noFill/>
              </a:ln>
            </c:spPr>
          </c:marker>
          <c:cat>
            <c:numRef>
              <c:f>'Státní rozpočet 4'!$A$23:$A$35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4'!$C$23:$C$35</c:f>
              <c:numCache>
                <c:formatCode>0.0</c:formatCode>
                <c:ptCount val="13"/>
                <c:pt idx="0">
                  <c:v>1.8836726276404638</c:v>
                </c:pt>
                <c:pt idx="1">
                  <c:v>7.0013988339436244</c:v>
                </c:pt>
                <c:pt idx="2">
                  <c:v>9.0068878386914868</c:v>
                </c:pt>
                <c:pt idx="3">
                  <c:v>7.4826769799065405</c:v>
                </c:pt>
                <c:pt idx="4">
                  <c:v>8.0882140941880749</c:v>
                </c:pt>
                <c:pt idx="5">
                  <c:v>11.095225012070149</c:v>
                </c:pt>
                <c:pt idx="6">
                  <c:v>7.5647200626191449</c:v>
                </c:pt>
                <c:pt idx="7">
                  <c:v>14.971695923141496</c:v>
                </c:pt>
                <c:pt idx="8">
                  <c:v>3.4652004411102268</c:v>
                </c:pt>
                <c:pt idx="9">
                  <c:v>4.0094799891914734</c:v>
                </c:pt>
                <c:pt idx="10">
                  <c:v>3.9149958775273812</c:v>
                </c:pt>
                <c:pt idx="11">
                  <c:v>3.4372780952083177</c:v>
                </c:pt>
                <c:pt idx="12">
                  <c:v>2.6132260896274886</c:v>
                </c:pt>
              </c:numCache>
            </c:numRef>
          </c:val>
        </c:ser>
        <c:ser>
          <c:idx val="2"/>
          <c:order val="2"/>
          <c:tx>
            <c:strRef>
              <c:f>'Státní rozpočet 4'!$D$22</c:f>
              <c:strCache>
                <c:ptCount val="1"/>
                <c:pt idx="0">
                  <c:v>Příjmy na důchody</c:v>
                </c:pt>
              </c:strCache>
            </c:strRef>
          </c:tx>
          <c:spPr>
            <a:ln w="2222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 4'!$A$23:$A$35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4'!$D$23:$D$35</c:f>
              <c:numCache>
                <c:formatCode>0.0</c:formatCode>
                <c:ptCount val="13"/>
                <c:pt idx="0">
                  <c:v>5.7971014492753445</c:v>
                </c:pt>
                <c:pt idx="1">
                  <c:v>7.1573316041176867</c:v>
                </c:pt>
                <c:pt idx="2">
                  <c:v>10.325264750378224</c:v>
                </c:pt>
                <c:pt idx="3">
                  <c:v>8.1179293794994809</c:v>
                </c:pt>
                <c:pt idx="4">
                  <c:v>1.4839241549876265</c:v>
                </c:pt>
                <c:pt idx="5">
                  <c:v>-3.3243766793726053</c:v>
                </c:pt>
                <c:pt idx="6">
                  <c:v>3.7748044728847674</c:v>
                </c:pt>
                <c:pt idx="7">
                  <c:v>3.2949236997819895</c:v>
                </c:pt>
                <c:pt idx="8">
                  <c:v>-0.78991799324650469</c:v>
                </c:pt>
                <c:pt idx="9">
                  <c:v>2.5952713790797977</c:v>
                </c:pt>
                <c:pt idx="10">
                  <c:v>5.4798578199052059</c:v>
                </c:pt>
                <c:pt idx="11">
                  <c:v>5.9196854816062814</c:v>
                </c:pt>
                <c:pt idx="12">
                  <c:v>7.3068561429556098</c:v>
                </c:pt>
              </c:numCache>
            </c:numRef>
          </c:val>
        </c:ser>
        <c:ser>
          <c:idx val="3"/>
          <c:order val="3"/>
          <c:tx>
            <c:strRef>
              <c:f>'Státní rozpočet 4'!$E$22</c:f>
              <c:strCache>
                <c:ptCount val="1"/>
                <c:pt idx="0">
                  <c:v>Výdaje na důchody</c:v>
                </c:pt>
              </c:strCache>
            </c:strRef>
          </c:tx>
          <c:spPr>
            <a:ln w="22225">
              <a:solidFill>
                <a:srgbClr val="BD1B21"/>
              </a:solidFill>
            </a:ln>
          </c:spPr>
          <c:marker>
            <c:symbol val="none"/>
          </c:marker>
          <c:cat>
            <c:numRef>
              <c:f>'Státní rozpočet 4'!$A$23:$A$35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4'!$E$23:$E$35</c:f>
              <c:numCache>
                <c:formatCode>0.0</c:formatCode>
                <c:ptCount val="13"/>
                <c:pt idx="0">
                  <c:v>6.5772034459907607</c:v>
                </c:pt>
                <c:pt idx="1">
                  <c:v>9.0004663454065028</c:v>
                </c:pt>
                <c:pt idx="2">
                  <c:v>3.8861950941243597</c:v>
                </c:pt>
                <c:pt idx="3">
                  <c:v>4.0565584460154867</c:v>
                </c:pt>
                <c:pt idx="4">
                  <c:v>10.488126649076518</c:v>
                </c:pt>
                <c:pt idx="5">
                  <c:v>3.5044776119403052</c:v>
                </c:pt>
                <c:pt idx="6">
                  <c:v>6.8350925765703305</c:v>
                </c:pt>
                <c:pt idx="7">
                  <c:v>1.2147716229348846</c:v>
                </c:pt>
                <c:pt idx="8">
                  <c:v>-1.8082893262921971</c:v>
                </c:pt>
                <c:pt idx="9">
                  <c:v>0.27705345501955492</c:v>
                </c:pt>
                <c:pt idx="10">
                  <c:v>2.6816187225743602</c:v>
                </c:pt>
                <c:pt idx="11">
                  <c:v>4.1257781998522916</c:v>
                </c:pt>
                <c:pt idx="12">
                  <c:v>5.9738548844750596</c:v>
                </c:pt>
              </c:numCache>
            </c:numRef>
          </c:val>
        </c:ser>
        <c:marker val="1"/>
        <c:axId val="151018112"/>
        <c:axId val="151044480"/>
      </c:lineChart>
      <c:catAx>
        <c:axId val="151018112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151044480"/>
        <c:crossesAt val="0"/>
        <c:auto val="1"/>
        <c:lblAlgn val="ctr"/>
        <c:lblOffset val="0"/>
      </c:catAx>
      <c:valAx>
        <c:axId val="151044480"/>
        <c:scaling>
          <c:orientation val="minMax"/>
          <c:max val="18"/>
          <c:min val="-1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51018112"/>
        <c:crosses val="autoZero"/>
        <c:crossBetween val="between"/>
        <c:majorUnit val="3"/>
      </c:valAx>
      <c:valAx>
        <c:axId val="151046016"/>
        <c:scaling>
          <c:orientation val="minMax"/>
          <c:max val="30"/>
          <c:min val="-25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51047552"/>
        <c:crosses val="max"/>
        <c:crossBetween val="between"/>
        <c:majorUnit val="5"/>
      </c:valAx>
      <c:catAx>
        <c:axId val="151047552"/>
        <c:scaling>
          <c:orientation val="minMax"/>
        </c:scaling>
        <c:delete val="1"/>
        <c:axPos val="b"/>
        <c:numFmt formatCode="General" sourceLinked="1"/>
        <c:tickLblPos val="none"/>
        <c:crossAx val="151046016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2962331649832295E-2"/>
          <c:y val="0.8723506235827666"/>
          <c:w val="0.86057601724928789"/>
          <c:h val="0.12079648526077164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7.6118939099658112E-2"/>
          <c:y val="1.8967687074829931E-2"/>
          <c:w val="0.87842537233566564"/>
          <c:h val="0.73371428571428576"/>
        </c:manualLayout>
      </c:layout>
      <c:barChart>
        <c:barDir val="col"/>
        <c:grouping val="stacked"/>
        <c:ser>
          <c:idx val="0"/>
          <c:order val="0"/>
          <c:tx>
            <c:strRef>
              <c:f>'Státní rozpočet 5'!$B$31</c:f>
              <c:strCache>
                <c:ptCount val="1"/>
                <c:pt idx="0">
                  <c:v>Státní pokladniční poukázky</c:v>
                </c:pt>
              </c:strCache>
            </c:strRef>
          </c:tx>
          <c:spPr>
            <a:solidFill>
              <a:srgbClr val="BD1B21"/>
            </a:solidFill>
          </c:spPr>
          <c:cat>
            <c:multiLvlStrRef>
              <c:f>'Státní rozpočet 5'!$C$29:$AZ$30</c:f>
              <c:multiLvlStrCache>
                <c:ptCount val="5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  <c:pt idx="49">
                    <c:v>2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'Státní rozpočet 5'!$C$31:$AZ$31</c:f>
              <c:numCache>
                <c:formatCode>#,##0</c:formatCode>
                <c:ptCount val="50"/>
                <c:pt idx="0">
                  <c:v>126.545</c:v>
                </c:pt>
                <c:pt idx="1">
                  <c:v>109</c:v>
                </c:pt>
                <c:pt idx="2">
                  <c:v>98.034000000000006</c:v>
                </c:pt>
                <c:pt idx="3">
                  <c:v>94.248999999999995</c:v>
                </c:pt>
                <c:pt idx="4">
                  <c:v>86.825999999999979</c:v>
                </c:pt>
                <c:pt idx="5">
                  <c:v>79.324999999999989</c:v>
                </c:pt>
                <c:pt idx="6">
                  <c:v>71.884</c:v>
                </c:pt>
                <c:pt idx="7">
                  <c:v>89.568000000000012</c:v>
                </c:pt>
                <c:pt idx="8">
                  <c:v>78.144000000000005</c:v>
                </c:pt>
                <c:pt idx="9">
                  <c:v>66.144999999999996</c:v>
                </c:pt>
                <c:pt idx="10">
                  <c:v>54.649000000000001</c:v>
                </c:pt>
                <c:pt idx="11">
                  <c:v>82.167999999999992</c:v>
                </c:pt>
                <c:pt idx="12">
                  <c:v>46.833999999999996</c:v>
                </c:pt>
                <c:pt idx="13">
                  <c:v>32.875</c:v>
                </c:pt>
                <c:pt idx="14">
                  <c:v>45.340999999999994</c:v>
                </c:pt>
                <c:pt idx="15">
                  <c:v>78.748999999999995</c:v>
                </c:pt>
                <c:pt idx="16">
                  <c:v>60.950999999999993</c:v>
                </c:pt>
                <c:pt idx="17">
                  <c:v>79.837000000000003</c:v>
                </c:pt>
                <c:pt idx="18">
                  <c:v>79.491000000000099</c:v>
                </c:pt>
                <c:pt idx="19">
                  <c:v>88.183999999999983</c:v>
                </c:pt>
                <c:pt idx="20">
                  <c:v>87.545000000000002</c:v>
                </c:pt>
                <c:pt idx="21">
                  <c:v>89.194999999999993</c:v>
                </c:pt>
                <c:pt idx="22">
                  <c:v>128.47800000000001</c:v>
                </c:pt>
                <c:pt idx="23">
                  <c:v>113.331</c:v>
                </c:pt>
                <c:pt idx="24">
                  <c:v>137.54399999999998</c:v>
                </c:pt>
                <c:pt idx="25">
                  <c:v>141.077</c:v>
                </c:pt>
                <c:pt idx="26">
                  <c:v>143.268</c:v>
                </c:pt>
                <c:pt idx="27">
                  <c:v>162.60899999999998</c:v>
                </c:pt>
                <c:pt idx="28">
                  <c:v>177.10899999999998</c:v>
                </c:pt>
                <c:pt idx="29">
                  <c:v>163.38200000000026</c:v>
                </c:pt>
                <c:pt idx="30">
                  <c:v>172.06700000000001</c:v>
                </c:pt>
                <c:pt idx="31">
                  <c:v>189.13499999999999</c:v>
                </c:pt>
                <c:pt idx="32">
                  <c:v>185.86600000000001</c:v>
                </c:pt>
                <c:pt idx="33">
                  <c:v>161.66499999999999</c:v>
                </c:pt>
                <c:pt idx="34">
                  <c:v>137.51599999999999</c:v>
                </c:pt>
                <c:pt idx="35">
                  <c:v>120.89100000000002</c:v>
                </c:pt>
                <c:pt idx="36">
                  <c:v>97.57</c:v>
                </c:pt>
                <c:pt idx="37">
                  <c:v>98.149000000000001</c:v>
                </c:pt>
                <c:pt idx="38">
                  <c:v>90.838999999999999</c:v>
                </c:pt>
                <c:pt idx="39">
                  <c:v>107.627</c:v>
                </c:pt>
                <c:pt idx="40">
                  <c:v>81.661000000000001</c:v>
                </c:pt>
                <c:pt idx="41">
                  <c:v>88.458000000000013</c:v>
                </c:pt>
                <c:pt idx="42">
                  <c:v>104.687</c:v>
                </c:pt>
                <c:pt idx="43">
                  <c:v>84.432000000000002</c:v>
                </c:pt>
                <c:pt idx="44">
                  <c:v>79.186999999999998</c:v>
                </c:pt>
                <c:pt idx="45">
                  <c:v>58</c:v>
                </c:pt>
                <c:pt idx="46">
                  <c:v>17.7</c:v>
                </c:pt>
                <c:pt idx="47">
                  <c:v>4.22</c:v>
                </c:pt>
                <c:pt idx="48">
                  <c:v>70.343999999999994</c:v>
                </c:pt>
                <c:pt idx="49">
                  <c:v>147.8980000000002</c:v>
                </c:pt>
              </c:numCache>
            </c:numRef>
          </c:val>
        </c:ser>
        <c:ser>
          <c:idx val="1"/>
          <c:order val="1"/>
          <c:tx>
            <c:strRef>
              <c:f>'Státní rozpočet 5'!$B$32</c:f>
              <c:strCache>
                <c:ptCount val="1"/>
                <c:pt idx="0">
                  <c:v>Spořící státní dluhopisy</c:v>
                </c:pt>
              </c:strCache>
            </c:strRef>
          </c:tx>
          <c:spPr>
            <a:solidFill>
              <a:srgbClr val="E8AFB2"/>
            </a:solidFill>
          </c:spPr>
          <c:cat>
            <c:multiLvlStrRef>
              <c:f>'Státní rozpočet 5'!$C$29:$AZ$30</c:f>
              <c:multiLvlStrCache>
                <c:ptCount val="5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  <c:pt idx="49">
                    <c:v>2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'Státní rozpočet 5'!$C$32:$AZ$32</c:f>
              <c:numCache>
                <c:formatCode>#,##0</c:formatCode>
                <c:ptCount val="5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20.428999999999967</c:v>
                </c:pt>
                <c:pt idx="28">
                  <c:v>20.428999999999967</c:v>
                </c:pt>
                <c:pt idx="29">
                  <c:v>35.714000000000006</c:v>
                </c:pt>
                <c:pt idx="30">
                  <c:v>35.708000000000013</c:v>
                </c:pt>
                <c:pt idx="31">
                  <c:v>56.206000000000003</c:v>
                </c:pt>
                <c:pt idx="32">
                  <c:v>56.206000000000003</c:v>
                </c:pt>
                <c:pt idx="33">
                  <c:v>73.781999999999996</c:v>
                </c:pt>
                <c:pt idx="34">
                  <c:v>73.738</c:v>
                </c:pt>
                <c:pt idx="35">
                  <c:v>87.578999999999979</c:v>
                </c:pt>
                <c:pt idx="36">
                  <c:v>87.55</c:v>
                </c:pt>
                <c:pt idx="37">
                  <c:v>80.653999999999982</c:v>
                </c:pt>
                <c:pt idx="38">
                  <c:v>80.60899999999998</c:v>
                </c:pt>
                <c:pt idx="39">
                  <c:v>77.828999999999979</c:v>
                </c:pt>
                <c:pt idx="40">
                  <c:v>77.793000000000006</c:v>
                </c:pt>
                <c:pt idx="41">
                  <c:v>77.828999999999979</c:v>
                </c:pt>
                <c:pt idx="42">
                  <c:v>77.801000000000002</c:v>
                </c:pt>
                <c:pt idx="43">
                  <c:v>66.921999999999997</c:v>
                </c:pt>
                <c:pt idx="44">
                  <c:v>66.911000000000115</c:v>
                </c:pt>
                <c:pt idx="45">
                  <c:v>59.9</c:v>
                </c:pt>
                <c:pt idx="46">
                  <c:v>59.9</c:v>
                </c:pt>
                <c:pt idx="47">
                  <c:v>37.757373000000001</c:v>
                </c:pt>
                <c:pt idx="48">
                  <c:v>37.751000000000005</c:v>
                </c:pt>
                <c:pt idx="49">
                  <c:v>31.02</c:v>
                </c:pt>
              </c:numCache>
            </c:numRef>
          </c:val>
        </c:ser>
        <c:ser>
          <c:idx val="2"/>
          <c:order val="2"/>
          <c:tx>
            <c:strRef>
              <c:f>'Státní rozpočet 5'!$B$33</c:f>
              <c:strCache>
                <c:ptCount val="1"/>
                <c:pt idx="0">
                  <c:v>Dlouho-(středně-)dobé státní dluhopisy</c:v>
                </c:pt>
              </c:strCache>
            </c:strRef>
          </c:tx>
          <c:spPr>
            <a:solidFill>
              <a:srgbClr val="A6CDE8"/>
            </a:solidFill>
          </c:spPr>
          <c:cat>
            <c:multiLvlStrRef>
              <c:f>'Státní rozpočet 5'!$C$29:$AZ$30</c:f>
              <c:multiLvlStrCache>
                <c:ptCount val="5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  <c:pt idx="49">
                    <c:v>2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'Státní rozpočet 5'!$C$33:$AZ$33</c:f>
              <c:numCache>
                <c:formatCode>#,##0</c:formatCode>
                <c:ptCount val="50"/>
                <c:pt idx="0">
                  <c:v>391.274</c:v>
                </c:pt>
                <c:pt idx="1">
                  <c:v>428.77099999999962</c:v>
                </c:pt>
                <c:pt idx="2">
                  <c:v>456.56</c:v>
                </c:pt>
                <c:pt idx="3">
                  <c:v>487.50299999999999</c:v>
                </c:pt>
                <c:pt idx="4">
                  <c:v>495.72099999999955</c:v>
                </c:pt>
                <c:pt idx="5">
                  <c:v>532.05399999999997</c:v>
                </c:pt>
                <c:pt idx="6">
                  <c:v>554.8169999999991</c:v>
                </c:pt>
                <c:pt idx="7">
                  <c:v>588.93499999999949</c:v>
                </c:pt>
                <c:pt idx="8">
                  <c:v>612.06099999999947</c:v>
                </c:pt>
                <c:pt idx="9">
                  <c:v>666.81999999999948</c:v>
                </c:pt>
                <c:pt idx="10">
                  <c:v>664.79500000000053</c:v>
                </c:pt>
                <c:pt idx="11">
                  <c:v>692.19400000000053</c:v>
                </c:pt>
                <c:pt idx="12">
                  <c:v>693.11500000000001</c:v>
                </c:pt>
                <c:pt idx="13">
                  <c:v>728.61800000000005</c:v>
                </c:pt>
                <c:pt idx="14">
                  <c:v>700.70399999999995</c:v>
                </c:pt>
                <c:pt idx="15">
                  <c:v>735.55099999999948</c:v>
                </c:pt>
                <c:pt idx="16">
                  <c:v>753.09699999999998</c:v>
                </c:pt>
                <c:pt idx="17">
                  <c:v>830.01</c:v>
                </c:pt>
                <c:pt idx="18">
                  <c:v>861.48699999999997</c:v>
                </c:pt>
                <c:pt idx="19">
                  <c:v>838.5669999999991</c:v>
                </c:pt>
                <c:pt idx="20">
                  <c:v>878.78000000000054</c:v>
                </c:pt>
                <c:pt idx="21">
                  <c:v>903.13300000000004</c:v>
                </c:pt>
                <c:pt idx="22">
                  <c:v>956.30699999999922</c:v>
                </c:pt>
                <c:pt idx="23">
                  <c:v>922.95099999999923</c:v>
                </c:pt>
                <c:pt idx="24">
                  <c:v>962.34499999999946</c:v>
                </c:pt>
                <c:pt idx="25">
                  <c:v>967.24099999999999</c:v>
                </c:pt>
                <c:pt idx="26">
                  <c:v>1003.614</c:v>
                </c:pt>
                <c:pt idx="27">
                  <c:v>999.13199999999949</c:v>
                </c:pt>
                <c:pt idx="28">
                  <c:v>1055.951</c:v>
                </c:pt>
                <c:pt idx="29">
                  <c:v>1063.3779999999999</c:v>
                </c:pt>
                <c:pt idx="30">
                  <c:v>1085.259</c:v>
                </c:pt>
                <c:pt idx="31">
                  <c:v>1042.0029999999999</c:v>
                </c:pt>
                <c:pt idx="32">
                  <c:v>1090.1229999999998</c:v>
                </c:pt>
                <c:pt idx="33">
                  <c:v>1060.3129999999999</c:v>
                </c:pt>
                <c:pt idx="34">
                  <c:v>1059.616</c:v>
                </c:pt>
                <c:pt idx="35">
                  <c:v>1079.675</c:v>
                </c:pt>
                <c:pt idx="36">
                  <c:v>1100.798</c:v>
                </c:pt>
                <c:pt idx="37">
                  <c:v>1150.5329999999999</c:v>
                </c:pt>
                <c:pt idx="38">
                  <c:v>1159.375</c:v>
                </c:pt>
                <c:pt idx="39">
                  <c:v>1175.655</c:v>
                </c:pt>
                <c:pt idx="40">
                  <c:v>1200.799</c:v>
                </c:pt>
                <c:pt idx="41">
                  <c:v>1189.82</c:v>
                </c:pt>
                <c:pt idx="42">
                  <c:v>1177.1919999999998</c:v>
                </c:pt>
                <c:pt idx="43">
                  <c:v>1235.1969999999999</c:v>
                </c:pt>
                <c:pt idx="44">
                  <c:v>1263.7760000000001</c:v>
                </c:pt>
                <c:pt idx="45">
                  <c:v>1288.8</c:v>
                </c:pt>
                <c:pt idx="46">
                  <c:v>1298.0999999999999</c:v>
                </c:pt>
                <c:pt idx="47">
                  <c:v>1301.5999999999999</c:v>
                </c:pt>
                <c:pt idx="48">
                  <c:v>1410.3129999999999</c:v>
                </c:pt>
                <c:pt idx="49">
                  <c:v>1347.2118500000001</c:v>
                </c:pt>
              </c:numCache>
            </c:numRef>
          </c:val>
        </c:ser>
        <c:ser>
          <c:idx val="3"/>
          <c:order val="3"/>
          <c:tx>
            <c:strRef>
              <c:f>'Státní rozpočet 5'!$B$34</c:f>
              <c:strCache>
                <c:ptCount val="1"/>
                <c:pt idx="0">
                  <c:v>Krátkodobé zápůjčky a směnky</c:v>
                </c:pt>
              </c:strCache>
            </c:strRef>
          </c:tx>
          <c:spPr>
            <a:solidFill>
              <a:srgbClr val="0071BC"/>
            </a:solidFill>
          </c:spPr>
          <c:cat>
            <c:multiLvlStrRef>
              <c:f>'Státní rozpočet 5'!$C$29:$AZ$30</c:f>
              <c:multiLvlStrCache>
                <c:ptCount val="5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  <c:pt idx="49">
                    <c:v>2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'Státní rozpočet 5'!$C$34:$AZ$34</c:f>
              <c:numCache>
                <c:formatCode>#,##0</c:formatCode>
                <c:ptCount val="5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2.4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3.9000000000000014E-2</c:v>
                </c:pt>
                <c:pt idx="12">
                  <c:v>1.4E-2</c:v>
                </c:pt>
                <c:pt idx="13">
                  <c:v>0.79500000000000004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8.1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1.585</c:v>
                </c:pt>
                <c:pt idx="35">
                  <c:v>0</c:v>
                </c:pt>
                <c:pt idx="36">
                  <c:v>3.2600000000000002</c:v>
                </c:pt>
                <c:pt idx="37">
                  <c:v>11.620999999999999</c:v>
                </c:pt>
                <c:pt idx="38">
                  <c:v>12.352000000000015</c:v>
                </c:pt>
                <c:pt idx="39">
                  <c:v>2.5449999999999999</c:v>
                </c:pt>
                <c:pt idx="40">
                  <c:v>4.9930000000000003</c:v>
                </c:pt>
                <c:pt idx="41">
                  <c:v>11.764000000000001</c:v>
                </c:pt>
                <c:pt idx="42">
                  <c:v>10.553000000000004</c:v>
                </c:pt>
                <c:pt idx="43">
                  <c:v>2.8549999999999978</c:v>
                </c:pt>
                <c:pt idx="44">
                  <c:v>1.357</c:v>
                </c:pt>
                <c:pt idx="45">
                  <c:v>0</c:v>
                </c:pt>
                <c:pt idx="46">
                  <c:v>1.5</c:v>
                </c:pt>
                <c:pt idx="47">
                  <c:v>0</c:v>
                </c:pt>
                <c:pt idx="48">
                  <c:v>2.0000000000000031E-3</c:v>
                </c:pt>
              </c:numCache>
            </c:numRef>
          </c:val>
        </c:ser>
        <c:ser>
          <c:idx val="4"/>
          <c:order val="4"/>
          <c:tx>
            <c:strRef>
              <c:f>'Státní rozpočet 5'!$B$35</c:f>
              <c:strCache>
                <c:ptCount val="1"/>
                <c:pt idx="0">
                  <c:v>Zahraniční emise dluhopisů</c:v>
                </c:pt>
              </c:strCache>
            </c:strRef>
          </c:tx>
          <c:spPr>
            <a:solidFill>
              <a:srgbClr val="7DBB2D"/>
            </a:solidFill>
          </c:spPr>
          <c:cat>
            <c:multiLvlStrRef>
              <c:f>'Státní rozpočet 5'!$C$29:$AZ$30</c:f>
              <c:multiLvlStrCache>
                <c:ptCount val="5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  <c:pt idx="49">
                    <c:v>2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'Státní rozpočet 5'!$C$35:$AZ$35</c:f>
              <c:numCache>
                <c:formatCode>#,##0</c:formatCode>
                <c:ptCount val="50"/>
                <c:pt idx="0">
                  <c:v>78.884999999999991</c:v>
                </c:pt>
                <c:pt idx="1">
                  <c:v>78.885999999999981</c:v>
                </c:pt>
                <c:pt idx="2">
                  <c:v>78.88</c:v>
                </c:pt>
                <c:pt idx="3">
                  <c:v>78.873999999999981</c:v>
                </c:pt>
                <c:pt idx="4">
                  <c:v>84.891000000000005</c:v>
                </c:pt>
                <c:pt idx="5">
                  <c:v>84.733000000000004</c:v>
                </c:pt>
                <c:pt idx="6">
                  <c:v>84.557999999999993</c:v>
                </c:pt>
                <c:pt idx="7">
                  <c:v>84.111999999999995</c:v>
                </c:pt>
                <c:pt idx="8">
                  <c:v>84.200999999999993</c:v>
                </c:pt>
                <c:pt idx="9">
                  <c:v>84.04</c:v>
                </c:pt>
                <c:pt idx="10">
                  <c:v>83.929000000000002</c:v>
                </c:pt>
                <c:pt idx="11">
                  <c:v>83.685999999999979</c:v>
                </c:pt>
                <c:pt idx="12">
                  <c:v>83.658999999999978</c:v>
                </c:pt>
                <c:pt idx="13">
                  <c:v>131.55800000000019</c:v>
                </c:pt>
                <c:pt idx="14">
                  <c:v>133.07299999999998</c:v>
                </c:pt>
                <c:pt idx="15">
                  <c:v>137.87</c:v>
                </c:pt>
                <c:pt idx="16">
                  <c:v>138.38500000000019</c:v>
                </c:pt>
                <c:pt idx="17">
                  <c:v>175.62700000000001</c:v>
                </c:pt>
                <c:pt idx="18">
                  <c:v>173.05600000000001</c:v>
                </c:pt>
                <c:pt idx="19">
                  <c:v>193.018</c:v>
                </c:pt>
                <c:pt idx="20">
                  <c:v>189.80800000000019</c:v>
                </c:pt>
                <c:pt idx="21">
                  <c:v>192.506</c:v>
                </c:pt>
                <c:pt idx="22">
                  <c:v>237.06300000000002</c:v>
                </c:pt>
                <c:pt idx="23">
                  <c:v>240.29599999999999</c:v>
                </c:pt>
                <c:pt idx="24">
                  <c:v>237.41399999999999</c:v>
                </c:pt>
                <c:pt idx="25">
                  <c:v>237.08600000000001</c:v>
                </c:pt>
                <c:pt idx="26">
                  <c:v>240.11599999999999</c:v>
                </c:pt>
                <c:pt idx="27">
                  <c:v>245.74599999999998</c:v>
                </c:pt>
                <c:pt idx="28">
                  <c:v>288.46499999999969</c:v>
                </c:pt>
                <c:pt idx="29">
                  <c:v>295.37599999999969</c:v>
                </c:pt>
                <c:pt idx="30">
                  <c:v>290.82499999999999</c:v>
                </c:pt>
                <c:pt idx="31">
                  <c:v>310.28599999999955</c:v>
                </c:pt>
                <c:pt idx="32">
                  <c:v>313.73399999999924</c:v>
                </c:pt>
                <c:pt idx="33">
                  <c:v>314.565</c:v>
                </c:pt>
                <c:pt idx="34">
                  <c:v>313.14100000000002</c:v>
                </c:pt>
                <c:pt idx="35">
                  <c:v>323.68200000000002</c:v>
                </c:pt>
                <c:pt idx="36">
                  <c:v>323.94499999999999</c:v>
                </c:pt>
                <c:pt idx="37">
                  <c:v>275.38900000000001</c:v>
                </c:pt>
                <c:pt idx="38">
                  <c:v>275.81900000000002</c:v>
                </c:pt>
                <c:pt idx="39">
                  <c:v>239.57599999999999</c:v>
                </c:pt>
                <c:pt idx="40">
                  <c:v>238.19399999999999</c:v>
                </c:pt>
                <c:pt idx="41">
                  <c:v>235.67399999999998</c:v>
                </c:pt>
                <c:pt idx="42">
                  <c:v>234.67299999999997</c:v>
                </c:pt>
                <c:pt idx="43">
                  <c:v>225.61899999999997</c:v>
                </c:pt>
                <c:pt idx="44">
                  <c:v>225.89400000000001</c:v>
                </c:pt>
                <c:pt idx="45">
                  <c:v>227.3</c:v>
                </c:pt>
                <c:pt idx="46">
                  <c:v>226.5</c:v>
                </c:pt>
                <c:pt idx="47">
                  <c:v>213.524</c:v>
                </c:pt>
                <c:pt idx="48">
                  <c:v>213.786</c:v>
                </c:pt>
                <c:pt idx="49" formatCode="0">
                  <c:v>207.51715000000002</c:v>
                </c:pt>
              </c:numCache>
            </c:numRef>
          </c:val>
        </c:ser>
        <c:ser>
          <c:idx val="5"/>
          <c:order val="5"/>
          <c:tx>
            <c:strRef>
              <c:f>'Státní rozpočet 5'!$B$36</c:f>
              <c:strCache>
                <c:ptCount val="1"/>
                <c:pt idx="0">
                  <c:v>Úvěry od EIB</c:v>
                </c:pt>
              </c:strCache>
            </c:strRef>
          </c:tx>
          <c:spPr>
            <a:solidFill>
              <a:srgbClr val="D2E7B6"/>
            </a:solidFill>
          </c:spPr>
          <c:cat>
            <c:multiLvlStrRef>
              <c:f>'Státní rozpočet 5'!$C$29:$AZ$30</c:f>
              <c:multiLvlStrCache>
                <c:ptCount val="5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  <c:pt idx="49">
                    <c:v>2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'Státní rozpočet 5'!$C$36:$AZ$36</c:f>
              <c:numCache>
                <c:formatCode>#,##0</c:formatCode>
                <c:ptCount val="50"/>
                <c:pt idx="0">
                  <c:v>20.655000000000001</c:v>
                </c:pt>
                <c:pt idx="1">
                  <c:v>26.164000000000001</c:v>
                </c:pt>
                <c:pt idx="2">
                  <c:v>28.332000000000001</c:v>
                </c:pt>
                <c:pt idx="3">
                  <c:v>29.731999999999999</c:v>
                </c:pt>
                <c:pt idx="4">
                  <c:v>29.901999999999987</c:v>
                </c:pt>
                <c:pt idx="5">
                  <c:v>32.028000000000013</c:v>
                </c:pt>
                <c:pt idx="6">
                  <c:v>34.298000000000059</c:v>
                </c:pt>
                <c:pt idx="7">
                  <c:v>36.704000000000001</c:v>
                </c:pt>
                <c:pt idx="8">
                  <c:v>36.704000000000001</c:v>
                </c:pt>
                <c:pt idx="9">
                  <c:v>38.434000000000005</c:v>
                </c:pt>
                <c:pt idx="10">
                  <c:v>38.743000000000002</c:v>
                </c:pt>
                <c:pt idx="11">
                  <c:v>38.743000000000002</c:v>
                </c:pt>
                <c:pt idx="12">
                  <c:v>35.907000000000004</c:v>
                </c:pt>
                <c:pt idx="13">
                  <c:v>38.913999999999994</c:v>
                </c:pt>
                <c:pt idx="14">
                  <c:v>45.838000000000001</c:v>
                </c:pt>
                <c:pt idx="15">
                  <c:v>46.811999999999998</c:v>
                </c:pt>
                <c:pt idx="16">
                  <c:v>47.237000000000002</c:v>
                </c:pt>
                <c:pt idx="17">
                  <c:v>51.226000000000013</c:v>
                </c:pt>
                <c:pt idx="18">
                  <c:v>53.134</c:v>
                </c:pt>
                <c:pt idx="19">
                  <c:v>57.911999999999999</c:v>
                </c:pt>
                <c:pt idx="20">
                  <c:v>60.056999999999995</c:v>
                </c:pt>
                <c:pt idx="21">
                  <c:v>60.694000000000003</c:v>
                </c:pt>
                <c:pt idx="22">
                  <c:v>62.394000000000005</c:v>
                </c:pt>
                <c:pt idx="23">
                  <c:v>67.184999999999988</c:v>
                </c:pt>
                <c:pt idx="24">
                  <c:v>66.826999999999998</c:v>
                </c:pt>
                <c:pt idx="25">
                  <c:v>67.218000000000004</c:v>
                </c:pt>
                <c:pt idx="26">
                  <c:v>69.516000000000005</c:v>
                </c:pt>
                <c:pt idx="27">
                  <c:v>71.322999999999979</c:v>
                </c:pt>
                <c:pt idx="28">
                  <c:v>70.965000000000003</c:v>
                </c:pt>
                <c:pt idx="29">
                  <c:v>69.756</c:v>
                </c:pt>
                <c:pt idx="30">
                  <c:v>68.459000000000003</c:v>
                </c:pt>
                <c:pt idx="31">
                  <c:v>70.003</c:v>
                </c:pt>
                <c:pt idx="32">
                  <c:v>69.644999999999996</c:v>
                </c:pt>
                <c:pt idx="33">
                  <c:v>67.778999999999982</c:v>
                </c:pt>
                <c:pt idx="34">
                  <c:v>67.870999999999981</c:v>
                </c:pt>
                <c:pt idx="35">
                  <c:v>71.512</c:v>
                </c:pt>
                <c:pt idx="36">
                  <c:v>70.260999999999996</c:v>
                </c:pt>
                <c:pt idx="37">
                  <c:v>66.956999999999994</c:v>
                </c:pt>
                <c:pt idx="38">
                  <c:v>64.012</c:v>
                </c:pt>
                <c:pt idx="39">
                  <c:v>60.432000000000002</c:v>
                </c:pt>
                <c:pt idx="40">
                  <c:v>59.674000000000007</c:v>
                </c:pt>
                <c:pt idx="41">
                  <c:v>59.491</c:v>
                </c:pt>
                <c:pt idx="42">
                  <c:v>58.134</c:v>
                </c:pt>
                <c:pt idx="43">
                  <c:v>57.950999999999993</c:v>
                </c:pt>
                <c:pt idx="44">
                  <c:v>57.593000000000011</c:v>
                </c:pt>
                <c:pt idx="45">
                  <c:v>57.4</c:v>
                </c:pt>
                <c:pt idx="46">
                  <c:v>56.5</c:v>
                </c:pt>
                <c:pt idx="47">
                  <c:v>56.3</c:v>
                </c:pt>
                <c:pt idx="48">
                  <c:v>55.911999999999999</c:v>
                </c:pt>
                <c:pt idx="49">
                  <c:v>55.2</c:v>
                </c:pt>
              </c:numCache>
            </c:numRef>
          </c:val>
        </c:ser>
        <c:gapWidth val="53"/>
        <c:overlap val="100"/>
        <c:axId val="151347968"/>
        <c:axId val="151349504"/>
      </c:barChart>
      <c:lineChart>
        <c:grouping val="standard"/>
        <c:ser>
          <c:idx val="6"/>
          <c:order val="6"/>
          <c:tx>
            <c:strRef>
              <c:f>'Státní rozpočet 5'!$B$37</c:f>
              <c:strCache>
                <c:ptCount val="1"/>
                <c:pt idx="0">
                  <c:v>% korun. dluhopisů v držbě nerezidentů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'Státní rozpočet 5'!$C$29:$AZ$30</c:f>
              <c:multiLvlStrCache>
                <c:ptCount val="5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  <c:pt idx="49">
                    <c:v>2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'Státní rozpočet 5'!$C$37:$AZ$37</c:f>
              <c:numCache>
                <c:formatCode>0.0</c:formatCode>
                <c:ptCount val="50"/>
                <c:pt idx="0">
                  <c:v>10.265992704390317</c:v>
                </c:pt>
                <c:pt idx="1">
                  <c:v>10.923088048331014</c:v>
                </c:pt>
                <c:pt idx="2">
                  <c:v>13.145252386172809</c:v>
                </c:pt>
                <c:pt idx="3">
                  <c:v>13.001503685169766</c:v>
                </c:pt>
                <c:pt idx="4">
                  <c:v>13.304825460196529</c:v>
                </c:pt>
                <c:pt idx="5">
                  <c:v>13.130686728399851</c:v>
                </c:pt>
                <c:pt idx="6">
                  <c:v>12.754669045605075</c:v>
                </c:pt>
                <c:pt idx="7">
                  <c:v>14.023012638423248</c:v>
                </c:pt>
                <c:pt idx="8">
                  <c:v>14.540668674784499</c:v>
                </c:pt>
                <c:pt idx="9">
                  <c:v>16.01748563962855</c:v>
                </c:pt>
                <c:pt idx="10">
                  <c:v>14.915904603224822</c:v>
                </c:pt>
                <c:pt idx="11">
                  <c:v>15.636328283334825</c:v>
                </c:pt>
                <c:pt idx="12">
                  <c:v>18.071642557457089</c:v>
                </c:pt>
                <c:pt idx="13">
                  <c:v>17.908165316315252</c:v>
                </c:pt>
                <c:pt idx="14">
                  <c:v>16.786365018341076</c:v>
                </c:pt>
                <c:pt idx="15">
                  <c:v>11.3672591269615</c:v>
                </c:pt>
                <c:pt idx="16">
                  <c:v>9.6178712100545489</c:v>
                </c:pt>
                <c:pt idx="17">
                  <c:v>9.4410888328706157</c:v>
                </c:pt>
                <c:pt idx="18">
                  <c:v>10.794621127623028</c:v>
                </c:pt>
                <c:pt idx="19">
                  <c:v>10.410776619638698</c:v>
                </c:pt>
                <c:pt idx="20">
                  <c:v>11.225493284964054</c:v>
                </c:pt>
                <c:pt idx="21">
                  <c:v>11.79232663254435</c:v>
                </c:pt>
                <c:pt idx="22">
                  <c:v>12.641224199198586</c:v>
                </c:pt>
                <c:pt idx="23">
                  <c:v>12.83741347982785</c:v>
                </c:pt>
                <c:pt idx="24">
                  <c:v>13.318501834003582</c:v>
                </c:pt>
                <c:pt idx="25">
                  <c:v>14.830507060003551</c:v>
                </c:pt>
                <c:pt idx="26">
                  <c:v>14.66050980041847</c:v>
                </c:pt>
                <c:pt idx="27">
                  <c:v>14.171926415445183</c:v>
                </c:pt>
                <c:pt idx="28">
                  <c:v>12.926745930684422</c:v>
                </c:pt>
                <c:pt idx="29">
                  <c:v>12.792771834252662</c:v>
                </c:pt>
                <c:pt idx="30">
                  <c:v>12.77686883709845</c:v>
                </c:pt>
                <c:pt idx="31">
                  <c:v>12.215676084031044</c:v>
                </c:pt>
                <c:pt idx="32">
                  <c:v>13.255297631418395</c:v>
                </c:pt>
                <c:pt idx="33">
                  <c:v>13.350273439240414</c:v>
                </c:pt>
                <c:pt idx="34">
                  <c:v>13.057915258672836</c:v>
                </c:pt>
                <c:pt idx="35">
                  <c:v>14.997789266625245</c:v>
                </c:pt>
                <c:pt idx="36">
                  <c:v>14.974431008283176</c:v>
                </c:pt>
                <c:pt idx="37">
                  <c:v>14.162303131717232</c:v>
                </c:pt>
                <c:pt idx="38">
                  <c:v>14.49902531352434</c:v>
                </c:pt>
                <c:pt idx="39">
                  <c:v>14.49378333679272</c:v>
                </c:pt>
                <c:pt idx="40">
                  <c:v>17.111328570972969</c:v>
                </c:pt>
                <c:pt idx="41">
                  <c:v>17.385520699212726</c:v>
                </c:pt>
                <c:pt idx="42">
                  <c:v>18.843809422995427</c:v>
                </c:pt>
                <c:pt idx="43">
                  <c:v>21.274294138798233</c:v>
                </c:pt>
                <c:pt idx="44">
                  <c:v>24.684449907953098</c:v>
                </c:pt>
                <c:pt idx="45">
                  <c:v>26.121406197883733</c:v>
                </c:pt>
                <c:pt idx="46">
                  <c:v>28.36</c:v>
                </c:pt>
                <c:pt idx="47">
                  <c:v>31.557426806363615</c:v>
                </c:pt>
                <c:pt idx="48">
                  <c:v>47.262759844202343</c:v>
                </c:pt>
                <c:pt idx="49">
                  <c:v>47.618125585631624</c:v>
                </c:pt>
              </c:numCache>
            </c:numRef>
          </c:val>
        </c:ser>
        <c:marker val="1"/>
        <c:axId val="151369216"/>
        <c:axId val="151367680"/>
      </c:lineChart>
      <c:catAx>
        <c:axId val="151347968"/>
        <c:scaling>
          <c:orientation val="minMax"/>
        </c:scaling>
        <c:axPos val="b"/>
        <c:tickLblPos val="nextTo"/>
        <c:spPr>
          <a:ln>
            <a:solidFill>
              <a:schemeClr val="tx1"/>
            </a:solidFill>
          </a:ln>
        </c:spPr>
        <c:crossAx val="151349504"/>
        <c:crosses val="autoZero"/>
        <c:auto val="1"/>
        <c:lblAlgn val="ctr"/>
        <c:lblOffset val="10"/>
      </c:catAx>
      <c:valAx>
        <c:axId val="151349504"/>
        <c:scaling>
          <c:orientation val="minMax"/>
          <c:max val="180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1"/>
        <c:tickLblPos val="nextTo"/>
        <c:spPr>
          <a:ln>
            <a:solidFill>
              <a:schemeClr val="tx1"/>
            </a:solidFill>
          </a:ln>
        </c:spPr>
        <c:crossAx val="151347968"/>
        <c:crosses val="autoZero"/>
        <c:crossBetween val="between"/>
      </c:valAx>
      <c:valAx>
        <c:axId val="151367680"/>
        <c:scaling>
          <c:orientation val="minMax"/>
          <c:max val="60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51369216"/>
        <c:crosses val="max"/>
        <c:crossBetween val="between"/>
        <c:majorUnit val="5"/>
      </c:valAx>
      <c:catAx>
        <c:axId val="151369216"/>
        <c:scaling>
          <c:orientation val="minMax"/>
        </c:scaling>
        <c:delete val="1"/>
        <c:axPos val="b"/>
        <c:tickLblPos val="none"/>
        <c:crossAx val="151367680"/>
        <c:crosses val="autoZero"/>
        <c:auto val="1"/>
        <c:lblAlgn val="ctr"/>
        <c:lblOffset val="100"/>
      </c:catAx>
      <c:spPr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1917809656383364E-2"/>
          <c:y val="0.85316553287981989"/>
          <c:w val="0.88530576599326416"/>
          <c:h val="0.12993917070585131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2D199-3698-414B-ACF7-DE18B8371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2863A3-5C9F-4985-8D15-957F5074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3</TotalTime>
  <Pages>5</Pages>
  <Words>1915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13193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Karolína Súkupová</cp:lastModifiedBy>
  <cp:revision>3</cp:revision>
  <cp:lastPrinted>2017-03-16T10:07:00Z</cp:lastPrinted>
  <dcterms:created xsi:type="dcterms:W3CDTF">2017-09-20T13:13:00Z</dcterms:created>
  <dcterms:modified xsi:type="dcterms:W3CDTF">2017-09-20T13:29:00Z</dcterms:modified>
</cp:coreProperties>
</file>