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4BD1" w:rsidRDefault="00D84BD1" w:rsidP="00E57ED3">
      <w:pPr>
        <w:pStyle w:val="Nadpis1"/>
        <w:numPr>
          <w:ilvl w:val="0"/>
          <w:numId w:val="20"/>
        </w:numPr>
      </w:pPr>
      <w:bookmarkStart w:id="0" w:name="_Toc454185153"/>
      <w:bookmarkStart w:id="1" w:name="_Toc485271459"/>
      <w:r w:rsidRPr="0051593C">
        <w:t>Trh práce</w:t>
      </w:r>
      <w:bookmarkEnd w:id="0"/>
      <w:bookmarkEnd w:id="1"/>
    </w:p>
    <w:tbl>
      <w:tblPr>
        <w:tblW w:w="4963" w:type="pct"/>
        <w:tblInd w:w="108" w:type="dxa"/>
        <w:tblLayout w:type="fixed"/>
        <w:tblLook w:val="00A0"/>
      </w:tblPr>
      <w:tblGrid>
        <w:gridCol w:w="1932"/>
        <w:gridCol w:w="282"/>
        <w:gridCol w:w="7567"/>
      </w:tblGrid>
      <w:tr w:rsidR="003D6B55" w:rsidRPr="00893F0C" w:rsidTr="00A0172C">
        <w:tc>
          <w:tcPr>
            <w:tcW w:w="988" w:type="pct"/>
          </w:tcPr>
          <w:p w:rsidR="003D6B55" w:rsidRPr="003A34E8" w:rsidRDefault="003D6B55" w:rsidP="00A0172C">
            <w:pPr>
              <w:spacing w:line="240" w:lineRule="auto"/>
              <w:rPr>
                <w:rFonts w:cs="Arial"/>
                <w:bCs/>
                <w:iCs/>
                <w:color w:val="0D0D0D" w:themeColor="text1" w:themeTint="F2"/>
                <w:spacing w:val="-2"/>
                <w:sz w:val="16"/>
                <w:szCs w:val="16"/>
              </w:rPr>
            </w:pPr>
            <w:r>
              <w:rPr>
                <w:rFonts w:cs="Arial"/>
                <w:bCs/>
                <w:iCs/>
                <w:color w:val="0D0D0D" w:themeColor="text1" w:themeTint="F2"/>
                <w:spacing w:val="-2"/>
                <w:sz w:val="16"/>
                <w:szCs w:val="16"/>
              </w:rPr>
              <w:t>Na trhu práce nadále převládaly pozitivní tendence.</w:t>
            </w:r>
          </w:p>
        </w:tc>
        <w:tc>
          <w:tcPr>
            <w:tcW w:w="144" w:type="pct"/>
          </w:tcPr>
          <w:p w:rsidR="003D6B55" w:rsidRPr="009720D9" w:rsidRDefault="003D6B55" w:rsidP="00A0172C">
            <w:pPr>
              <w:pStyle w:val="Textpoznpodarou"/>
              <w:jc w:val="both"/>
              <w:rPr>
                <w:color w:val="0D0D0D" w:themeColor="text1" w:themeTint="F2"/>
              </w:rPr>
            </w:pPr>
          </w:p>
        </w:tc>
        <w:tc>
          <w:tcPr>
            <w:tcW w:w="3868" w:type="pct"/>
          </w:tcPr>
          <w:p w:rsidR="003D6B55" w:rsidRPr="00F02A72" w:rsidRDefault="003D6B55" w:rsidP="00A0172C">
            <w:pPr>
              <w:pStyle w:val="Textpoznpodarou"/>
              <w:jc w:val="both"/>
              <w:rPr>
                <w:rFonts w:cs="Arial"/>
                <w:color w:val="0D0D0D" w:themeColor="text1" w:themeTint="F2"/>
                <w:spacing w:val="-2"/>
              </w:rPr>
            </w:pPr>
            <w:r w:rsidRPr="00F02A72">
              <w:rPr>
                <w:rFonts w:cs="Arial"/>
                <w:color w:val="0D0D0D" w:themeColor="text1" w:themeTint="F2"/>
                <w:spacing w:val="-2"/>
              </w:rPr>
              <w:t>Přetrvávající růst ekonomiky se nadále výrazně pozitivně odrážel na trhu práce. Pokračoval svižný růst zaměstnanosti doprovázený další redukcí stavu nezaměstnaných. Počet volných pracovních míst evidovaných úřady práce (ÚP) dosáhl během jarního období historického rekordu. Větší redukci počtu evidovaných uchazečů o práci nadále bránil územní i kvalifikační nesoulad mezi nabízenými místy a nezaměstnanými žadateli. Česko si udrželo výsadní postavení mezi státy Unie, pokud jde o celkovou míru nezaměstnanosti, resp. míru zaměstnanosti mužů.</w:t>
            </w:r>
          </w:p>
          <w:p w:rsidR="003D6B55" w:rsidRPr="00F02A72" w:rsidRDefault="003D6B55" w:rsidP="00A0172C">
            <w:pPr>
              <w:pStyle w:val="Textpoznpodarou"/>
              <w:jc w:val="both"/>
              <w:rPr>
                <w:rFonts w:cs="Arial"/>
                <w:color w:val="0D0D0D" w:themeColor="text1" w:themeTint="F2"/>
                <w:spacing w:val="-2"/>
                <w:sz w:val="14"/>
                <w:szCs w:val="14"/>
              </w:rPr>
            </w:pPr>
          </w:p>
        </w:tc>
      </w:tr>
      <w:tr w:rsidR="003D6B55" w:rsidRPr="007D17B9" w:rsidTr="00A0172C">
        <w:tc>
          <w:tcPr>
            <w:tcW w:w="988" w:type="pct"/>
          </w:tcPr>
          <w:p w:rsidR="003D6B55" w:rsidRDefault="003D6B55" w:rsidP="00A0172C">
            <w:pPr>
              <w:spacing w:line="240" w:lineRule="auto"/>
              <w:rPr>
                <w:rFonts w:cs="Arial"/>
                <w:bCs/>
                <w:iCs/>
                <w:color w:val="0D0D0D" w:themeColor="text1" w:themeTint="F2"/>
                <w:spacing w:val="-2"/>
                <w:sz w:val="16"/>
                <w:szCs w:val="16"/>
              </w:rPr>
            </w:pPr>
            <w:r w:rsidRPr="00126FEA">
              <w:rPr>
                <w:rFonts w:cs="Arial"/>
                <w:bCs/>
                <w:iCs/>
                <w:color w:val="0D0D0D" w:themeColor="text1" w:themeTint="F2"/>
                <w:spacing w:val="-2"/>
                <w:sz w:val="16"/>
                <w:szCs w:val="16"/>
              </w:rPr>
              <w:t>Tempo růstu celkové zaměstnanosti oproti silném</w:t>
            </w:r>
            <w:r>
              <w:rPr>
                <w:rFonts w:cs="Arial"/>
                <w:bCs/>
                <w:iCs/>
                <w:color w:val="0D0D0D" w:themeColor="text1" w:themeTint="F2"/>
                <w:spacing w:val="-2"/>
                <w:sz w:val="16"/>
                <w:szCs w:val="16"/>
              </w:rPr>
              <w:t>u loňskému roku zatím výrazněji nepolevovalo.</w:t>
            </w:r>
          </w:p>
          <w:p w:rsidR="003D6B55" w:rsidRDefault="003D6B55" w:rsidP="00A0172C">
            <w:pPr>
              <w:spacing w:line="240" w:lineRule="auto"/>
              <w:rPr>
                <w:rFonts w:cs="Arial"/>
                <w:bCs/>
                <w:iCs/>
                <w:color w:val="0D0D0D" w:themeColor="text1" w:themeTint="F2"/>
                <w:spacing w:val="-2"/>
                <w:sz w:val="16"/>
                <w:szCs w:val="16"/>
              </w:rPr>
            </w:pPr>
          </w:p>
          <w:p w:rsidR="003D6B55" w:rsidRDefault="003D6B55" w:rsidP="00A0172C">
            <w:pPr>
              <w:spacing w:line="240" w:lineRule="auto"/>
              <w:rPr>
                <w:rFonts w:cs="Arial"/>
                <w:bCs/>
                <w:iCs/>
                <w:color w:val="0D0D0D" w:themeColor="text1" w:themeTint="F2"/>
                <w:spacing w:val="-2"/>
                <w:sz w:val="16"/>
                <w:szCs w:val="16"/>
              </w:rPr>
            </w:pPr>
          </w:p>
          <w:p w:rsidR="003D6B55" w:rsidRDefault="003D6B55" w:rsidP="00A0172C">
            <w:pPr>
              <w:spacing w:line="240" w:lineRule="auto"/>
              <w:rPr>
                <w:rFonts w:cs="Arial"/>
                <w:bCs/>
                <w:iCs/>
                <w:color w:val="0D0D0D" w:themeColor="text1" w:themeTint="F2"/>
                <w:spacing w:val="-2"/>
                <w:sz w:val="16"/>
                <w:szCs w:val="16"/>
              </w:rPr>
            </w:pPr>
          </w:p>
          <w:p w:rsidR="003D6B55" w:rsidRPr="00126FEA" w:rsidRDefault="003D6B55" w:rsidP="00A0172C">
            <w:pPr>
              <w:spacing w:line="240" w:lineRule="auto"/>
              <w:rPr>
                <w:rFonts w:cs="Arial"/>
                <w:bCs/>
                <w:iCs/>
                <w:color w:val="0D0D0D" w:themeColor="text1" w:themeTint="F2"/>
                <w:spacing w:val="-2"/>
                <w:sz w:val="16"/>
                <w:szCs w:val="16"/>
              </w:rPr>
            </w:pPr>
            <w:r>
              <w:rPr>
                <w:rFonts w:cs="Arial"/>
                <w:bCs/>
                <w:iCs/>
                <w:color w:val="0D0D0D" w:themeColor="text1" w:themeTint="F2"/>
                <w:spacing w:val="-2"/>
                <w:sz w:val="16"/>
                <w:szCs w:val="16"/>
              </w:rPr>
              <w:t>Podíl podniků považujících nedostatek pracovní sí</w:t>
            </w:r>
            <w:r w:rsidR="00B853DC">
              <w:rPr>
                <w:rFonts w:cs="Arial"/>
                <w:bCs/>
                <w:iCs/>
                <w:color w:val="0D0D0D" w:themeColor="text1" w:themeTint="F2"/>
                <w:spacing w:val="-2"/>
                <w:sz w:val="16"/>
                <w:szCs w:val="16"/>
              </w:rPr>
              <w:t xml:space="preserve">ly za bariéru růstu byl blízký </w:t>
            </w:r>
            <w:r>
              <w:rPr>
                <w:rFonts w:cs="Arial"/>
                <w:bCs/>
                <w:iCs/>
                <w:color w:val="0D0D0D" w:themeColor="text1" w:themeTint="F2"/>
                <w:spacing w:val="-2"/>
                <w:sz w:val="16"/>
                <w:szCs w:val="16"/>
              </w:rPr>
              <w:t>rekordním hodnotám z konjunkturních let minulé dekády.</w:t>
            </w:r>
          </w:p>
        </w:tc>
        <w:tc>
          <w:tcPr>
            <w:tcW w:w="144" w:type="pct"/>
          </w:tcPr>
          <w:p w:rsidR="003D6B55" w:rsidRPr="009720D9" w:rsidRDefault="003D6B55" w:rsidP="00A0172C">
            <w:pPr>
              <w:pStyle w:val="Textpoznpodarou"/>
              <w:jc w:val="both"/>
              <w:rPr>
                <w:color w:val="0D0D0D" w:themeColor="text1" w:themeTint="F2"/>
              </w:rPr>
            </w:pPr>
          </w:p>
        </w:tc>
        <w:tc>
          <w:tcPr>
            <w:tcW w:w="3868" w:type="pct"/>
          </w:tcPr>
          <w:p w:rsidR="003D6B55" w:rsidRPr="00365E26" w:rsidRDefault="003D6B55" w:rsidP="00A0172C">
            <w:pPr>
              <w:pStyle w:val="Textpoznpodarou"/>
              <w:jc w:val="both"/>
            </w:pPr>
            <w:r w:rsidRPr="00365E26">
              <w:rPr>
                <w:rFonts w:cs="Arial"/>
                <w:color w:val="0D0D0D" w:themeColor="text1" w:themeTint="F2"/>
              </w:rPr>
              <w:t>Celková zaměstnanost</w:t>
            </w:r>
            <w:r w:rsidRPr="00365E26">
              <w:rPr>
                <w:rStyle w:val="Znakapoznpodarou"/>
                <w:color w:val="0D0D0D" w:themeColor="text1" w:themeTint="F2"/>
              </w:rPr>
              <w:footnoteReference w:id="1"/>
            </w:r>
            <w:r w:rsidRPr="00365E26">
              <w:rPr>
                <w:rFonts w:cs="Arial"/>
                <w:color w:val="0D0D0D" w:themeColor="text1" w:themeTint="F2"/>
              </w:rPr>
              <w:t xml:space="preserve"> se v 1. čtvrtletí nadále navyšovala, meziročně narostla o 1,5 %. O tom, že tempo růstu zaměstnanosti zatím výrazně neoslabuje, svědčí skutečnost, že oproti 4. čtvrtletí 2016 byla letos o 0,6 % vyšší. Práci mělo 5,33 mil. lidí, nejvíce v historii samostatné ČR. Rekordním hodnotám se však blížil i podíl podniků, které považují nedostatek zaměstnanců za bariéru svého růstu (v průmyslu šlo na počátku 2. čtvrtletí o 35 % podniků, o rok dříve </w:t>
            </w:r>
            <w:r w:rsidR="00B853DC">
              <w:rPr>
                <w:rFonts w:cs="Arial"/>
                <w:color w:val="0D0D0D" w:themeColor="text1" w:themeTint="F2"/>
              </w:rPr>
              <w:t xml:space="preserve">o </w:t>
            </w:r>
            <w:r w:rsidRPr="00365E26">
              <w:rPr>
                <w:rFonts w:cs="Arial"/>
                <w:color w:val="0D0D0D" w:themeColor="text1" w:themeTint="F2"/>
              </w:rPr>
              <w:t>17 %). Podniky se snažily využívat práceschopných skupin nezaměstnaných i ekonomicky neaktivních, ve větší míře spoléhaly i na pracovní sílu ze zahraničí</w:t>
            </w:r>
            <w:r w:rsidRPr="00365E26">
              <w:rPr>
                <w:rStyle w:val="Znakapoznpodarou"/>
                <w:color w:val="0D0D0D" w:themeColor="text1" w:themeTint="F2"/>
              </w:rPr>
              <w:footnoteReference w:id="2"/>
            </w:r>
            <w:r w:rsidRPr="00365E26">
              <w:rPr>
                <w:rFonts w:cs="Arial"/>
                <w:color w:val="0D0D0D" w:themeColor="text1" w:themeTint="F2"/>
              </w:rPr>
              <w:t>. Nasávání nových lidí na pracovní trh se odrazilo v pokračujícím růstu</w:t>
            </w:r>
            <w:r w:rsidR="00B853DC">
              <w:rPr>
                <w:rFonts w:cs="Arial"/>
                <w:color w:val="0D0D0D" w:themeColor="text1" w:themeTint="F2"/>
              </w:rPr>
              <w:t xml:space="preserve"> míry zaměstnanosti. Ve věku 15 až </w:t>
            </w:r>
            <w:r w:rsidRPr="00365E26">
              <w:rPr>
                <w:rFonts w:cs="Arial"/>
                <w:color w:val="0D0D0D" w:themeColor="text1" w:themeTint="F2"/>
              </w:rPr>
              <w:t xml:space="preserve">64 let mělo dle údajů VŠPS práci 72,8 % osob, meziročně o 1,8 </w:t>
            </w:r>
            <w:proofErr w:type="spellStart"/>
            <w:proofErr w:type="gramStart"/>
            <w:r w:rsidRPr="00365E26">
              <w:rPr>
                <w:rFonts w:cs="Arial"/>
                <w:color w:val="0D0D0D" w:themeColor="text1" w:themeTint="F2"/>
              </w:rPr>
              <w:t>p.b</w:t>
            </w:r>
            <w:proofErr w:type="spellEnd"/>
            <w:r w:rsidRPr="00365E26">
              <w:rPr>
                <w:rFonts w:cs="Arial"/>
                <w:color w:val="0D0D0D" w:themeColor="text1" w:themeTint="F2"/>
              </w:rPr>
              <w:t>. více</w:t>
            </w:r>
            <w:proofErr w:type="gramEnd"/>
            <w:r w:rsidRPr="00365E26">
              <w:rPr>
                <w:rFonts w:cs="Arial"/>
                <w:color w:val="0D0D0D" w:themeColor="text1" w:themeTint="F2"/>
              </w:rPr>
              <w:t xml:space="preserve">. Míra zaměstnanosti se v trendu zvyšuje již více než osm let, výrazněji sílí u žen. V pozadí toho stojí rychlejší zvyšování důchodového věku i růst zaměstnanosti ve službách. </w:t>
            </w:r>
          </w:p>
          <w:p w:rsidR="003D6B55" w:rsidRPr="00F02A72" w:rsidRDefault="003D6B55" w:rsidP="00A0172C">
            <w:pPr>
              <w:pStyle w:val="Textpoznpodarou"/>
              <w:jc w:val="both"/>
              <w:rPr>
                <w:spacing w:val="-2"/>
                <w:sz w:val="14"/>
                <w:szCs w:val="14"/>
              </w:rPr>
            </w:pPr>
          </w:p>
        </w:tc>
      </w:tr>
      <w:tr w:rsidR="003D6B55" w:rsidRPr="00893F0C" w:rsidTr="003D6B55">
        <w:tc>
          <w:tcPr>
            <w:tcW w:w="988" w:type="pct"/>
          </w:tcPr>
          <w:p w:rsidR="003D6B55" w:rsidRDefault="003D6B55" w:rsidP="00A0172C">
            <w:pPr>
              <w:spacing w:line="240" w:lineRule="auto"/>
              <w:rPr>
                <w:rFonts w:cs="Arial"/>
                <w:bCs/>
                <w:iCs/>
                <w:color w:val="0D0D0D" w:themeColor="text1" w:themeTint="F2"/>
                <w:spacing w:val="-2"/>
                <w:sz w:val="16"/>
                <w:szCs w:val="16"/>
              </w:rPr>
            </w:pPr>
            <w:r>
              <w:rPr>
                <w:rFonts w:cs="Arial"/>
                <w:bCs/>
                <w:iCs/>
                <w:color w:val="0D0D0D" w:themeColor="text1" w:themeTint="F2"/>
                <w:spacing w:val="-2"/>
                <w:sz w:val="16"/>
                <w:szCs w:val="16"/>
              </w:rPr>
              <w:t>Těžiště tvorby nových pracovních míst se postupně přesunulo ze zpracovatelského průmyslu do sektoru služeb</w:t>
            </w:r>
            <w:r w:rsidR="00886DE2">
              <w:rPr>
                <w:rFonts w:cs="Arial"/>
                <w:bCs/>
                <w:iCs/>
                <w:color w:val="0D0D0D" w:themeColor="text1" w:themeTint="F2"/>
                <w:spacing w:val="-2"/>
                <w:sz w:val="16"/>
                <w:szCs w:val="16"/>
              </w:rPr>
              <w:t>,</w:t>
            </w:r>
            <w:r>
              <w:rPr>
                <w:rFonts w:cs="Arial"/>
                <w:bCs/>
                <w:iCs/>
                <w:color w:val="0D0D0D" w:themeColor="text1" w:themeTint="F2"/>
                <w:spacing w:val="-2"/>
                <w:sz w:val="16"/>
                <w:szCs w:val="16"/>
              </w:rPr>
              <w:t>…</w:t>
            </w:r>
          </w:p>
          <w:p w:rsidR="003D6B55" w:rsidRDefault="003D6B55" w:rsidP="00A0172C">
            <w:pPr>
              <w:spacing w:line="240" w:lineRule="auto"/>
              <w:rPr>
                <w:rFonts w:cs="Arial"/>
                <w:bCs/>
                <w:iCs/>
                <w:color w:val="0D0D0D" w:themeColor="text1" w:themeTint="F2"/>
                <w:spacing w:val="-2"/>
                <w:sz w:val="16"/>
                <w:szCs w:val="16"/>
              </w:rPr>
            </w:pPr>
          </w:p>
          <w:p w:rsidR="003D6B55" w:rsidRPr="00372465" w:rsidRDefault="003D6B55" w:rsidP="00A0172C">
            <w:pPr>
              <w:spacing w:line="240" w:lineRule="auto"/>
              <w:rPr>
                <w:rFonts w:cs="Arial"/>
                <w:bCs/>
                <w:iCs/>
                <w:color w:val="0D0D0D" w:themeColor="text1" w:themeTint="F2"/>
                <w:spacing w:val="-2"/>
                <w:sz w:val="16"/>
                <w:szCs w:val="16"/>
              </w:rPr>
            </w:pPr>
          </w:p>
        </w:tc>
        <w:tc>
          <w:tcPr>
            <w:tcW w:w="144" w:type="pct"/>
          </w:tcPr>
          <w:p w:rsidR="003D6B55" w:rsidRPr="009720D9" w:rsidRDefault="003D6B55" w:rsidP="00A0172C">
            <w:pPr>
              <w:pStyle w:val="Textpoznpodarou"/>
              <w:jc w:val="both"/>
              <w:rPr>
                <w:color w:val="0D0D0D" w:themeColor="text1" w:themeTint="F2"/>
              </w:rPr>
            </w:pPr>
          </w:p>
        </w:tc>
        <w:tc>
          <w:tcPr>
            <w:tcW w:w="3868" w:type="pct"/>
          </w:tcPr>
          <w:p w:rsidR="003D6B55" w:rsidRPr="00F02A72" w:rsidRDefault="003D6B55" w:rsidP="00A0172C">
            <w:pPr>
              <w:pStyle w:val="Textpoznpodarou"/>
              <w:jc w:val="both"/>
              <w:rPr>
                <w:rFonts w:cs="Arial"/>
                <w:color w:val="0D0D0D" w:themeColor="text1" w:themeTint="F2"/>
                <w:spacing w:val="-2"/>
              </w:rPr>
            </w:pPr>
            <w:r w:rsidRPr="00F02A72">
              <w:rPr>
                <w:rFonts w:cs="Arial"/>
                <w:color w:val="0D0D0D" w:themeColor="text1" w:themeTint="F2"/>
                <w:spacing w:val="-2"/>
              </w:rPr>
              <w:t>Na meziročně vyšší zaměstnanosti (+77 tis. os</w:t>
            </w:r>
            <w:r w:rsidR="00886DE2">
              <w:rPr>
                <w:rFonts w:cs="Arial"/>
                <w:color w:val="0D0D0D" w:themeColor="text1" w:themeTint="F2"/>
                <w:spacing w:val="-2"/>
              </w:rPr>
              <w:t>ob) měl dominantní vliv vývoj v</w:t>
            </w:r>
            <w:r w:rsidR="00886DE2" w:rsidRPr="00365E26">
              <w:rPr>
                <w:rFonts w:cs="Arial"/>
                <w:color w:val="0D0D0D" w:themeColor="text1" w:themeTint="F2"/>
              </w:rPr>
              <w:t> </w:t>
            </w:r>
            <w:r w:rsidRPr="00F02A72">
              <w:rPr>
                <w:rFonts w:cs="Arial"/>
                <w:color w:val="0D0D0D" w:themeColor="text1" w:themeTint="F2"/>
                <w:spacing w:val="-2"/>
              </w:rPr>
              <w:t xml:space="preserve">sektoru služeb. Již více než tři roky se však navyšovala zaměstnanost i ve zpracovatelském průmyslu, byť v posledních čtvrtletích růstová tempa oslabovala mj. i proto, že podniky zaplňovaly volná místa vhodnými uchazeči stále obtížněji. Těžiště tvorby nových pracovních míst </w:t>
            </w:r>
            <w:r w:rsidR="00886DE2">
              <w:rPr>
                <w:rFonts w:cs="Arial"/>
                <w:color w:val="0D0D0D" w:themeColor="text1" w:themeTint="F2"/>
                <w:spacing w:val="-2"/>
              </w:rPr>
              <w:t xml:space="preserve">v </w:t>
            </w:r>
            <w:r w:rsidRPr="00F02A72">
              <w:rPr>
                <w:rFonts w:cs="Arial"/>
                <w:color w:val="0D0D0D" w:themeColor="text1" w:themeTint="F2"/>
                <w:spacing w:val="-2"/>
              </w:rPr>
              <w:t>ekonomice se tak postupně přesunulo do služeb (na počátku roku 2016 byl přitom příspěvek služeb i zpracovatelského průmyslu k meziročnímu růstu celkové zaměstnanosti srovnatelný).</w:t>
            </w:r>
          </w:p>
          <w:p w:rsidR="003D6B55" w:rsidRPr="00F02A72" w:rsidRDefault="003D6B55" w:rsidP="00A0172C">
            <w:pPr>
              <w:pStyle w:val="Textpoznpodarou"/>
              <w:jc w:val="both"/>
              <w:rPr>
                <w:rFonts w:cs="Arial"/>
                <w:color w:val="0D0D0D" w:themeColor="text1" w:themeTint="F2"/>
                <w:spacing w:val="-2"/>
                <w:sz w:val="14"/>
                <w:szCs w:val="14"/>
              </w:rPr>
            </w:pPr>
          </w:p>
        </w:tc>
      </w:tr>
      <w:tr w:rsidR="003D6B55" w:rsidRPr="007D17B9" w:rsidTr="003D6B55">
        <w:tc>
          <w:tcPr>
            <w:tcW w:w="988" w:type="pct"/>
          </w:tcPr>
          <w:p w:rsidR="003D6B55" w:rsidRDefault="00886DE2" w:rsidP="003D6B55">
            <w:pPr>
              <w:spacing w:line="240" w:lineRule="auto"/>
              <w:rPr>
                <w:rFonts w:cs="Arial"/>
                <w:bCs/>
                <w:iCs/>
                <w:color w:val="0D0D0D" w:themeColor="text1" w:themeTint="F2"/>
                <w:spacing w:val="-2"/>
                <w:sz w:val="16"/>
                <w:szCs w:val="16"/>
              </w:rPr>
            </w:pPr>
            <w:r>
              <w:rPr>
                <w:rFonts w:cs="Arial"/>
                <w:bCs/>
                <w:iCs/>
                <w:color w:val="0D0D0D" w:themeColor="text1" w:themeTint="F2"/>
                <w:spacing w:val="-2"/>
                <w:sz w:val="16"/>
                <w:szCs w:val="16"/>
              </w:rPr>
              <w:t>…kde se dařilo informačním a </w:t>
            </w:r>
            <w:r w:rsidR="003D6B55">
              <w:rPr>
                <w:rFonts w:cs="Arial"/>
                <w:bCs/>
                <w:iCs/>
                <w:color w:val="0D0D0D" w:themeColor="text1" w:themeTint="F2"/>
                <w:spacing w:val="-2"/>
                <w:sz w:val="16"/>
                <w:szCs w:val="16"/>
              </w:rPr>
              <w:t>komunikačním činnostem</w:t>
            </w:r>
            <w:r>
              <w:rPr>
                <w:rFonts w:cs="Arial"/>
                <w:bCs/>
                <w:iCs/>
                <w:color w:val="0D0D0D" w:themeColor="text1" w:themeTint="F2"/>
                <w:spacing w:val="-2"/>
                <w:sz w:val="16"/>
                <w:szCs w:val="16"/>
              </w:rPr>
              <w:t>,</w:t>
            </w:r>
            <w:r w:rsidR="003D6B55">
              <w:rPr>
                <w:rFonts w:cs="Arial"/>
                <w:bCs/>
                <w:iCs/>
                <w:color w:val="0D0D0D" w:themeColor="text1" w:themeTint="F2"/>
                <w:spacing w:val="-2"/>
                <w:sz w:val="16"/>
                <w:szCs w:val="16"/>
              </w:rPr>
              <w:t xml:space="preserve"> podobně jako profesním, vědeckým, technickým a administrativním činnostem.</w:t>
            </w:r>
          </w:p>
          <w:p w:rsidR="003D6B55" w:rsidRDefault="003D6B55" w:rsidP="003D6B55">
            <w:pPr>
              <w:spacing w:line="240" w:lineRule="auto"/>
              <w:rPr>
                <w:rFonts w:cs="Arial"/>
                <w:bCs/>
                <w:iCs/>
                <w:color w:val="0D0D0D" w:themeColor="text1" w:themeTint="F2"/>
                <w:spacing w:val="-2"/>
                <w:sz w:val="16"/>
                <w:szCs w:val="16"/>
              </w:rPr>
            </w:pPr>
          </w:p>
          <w:p w:rsidR="003D6B55" w:rsidRDefault="003D6B55" w:rsidP="003D6B55">
            <w:pPr>
              <w:spacing w:line="240" w:lineRule="auto"/>
              <w:rPr>
                <w:rFonts w:cs="Arial"/>
                <w:bCs/>
                <w:iCs/>
                <w:color w:val="0D0D0D" w:themeColor="text1" w:themeTint="F2"/>
                <w:spacing w:val="-2"/>
                <w:sz w:val="16"/>
                <w:szCs w:val="16"/>
              </w:rPr>
            </w:pPr>
          </w:p>
          <w:p w:rsidR="003D6B55" w:rsidRDefault="003D6B55" w:rsidP="003D6B55">
            <w:pPr>
              <w:spacing w:line="240" w:lineRule="auto"/>
              <w:rPr>
                <w:rFonts w:cs="Arial"/>
                <w:bCs/>
                <w:iCs/>
                <w:color w:val="0D0D0D" w:themeColor="text1" w:themeTint="F2"/>
                <w:spacing w:val="-2"/>
                <w:sz w:val="16"/>
                <w:szCs w:val="16"/>
              </w:rPr>
            </w:pPr>
          </w:p>
          <w:p w:rsidR="003D6B55" w:rsidRPr="00A245E8" w:rsidRDefault="003D6B55" w:rsidP="003D6B55">
            <w:pPr>
              <w:spacing w:line="240" w:lineRule="auto"/>
              <w:rPr>
                <w:rFonts w:cs="Arial"/>
                <w:bCs/>
                <w:iCs/>
                <w:color w:val="0D0D0D" w:themeColor="text1" w:themeTint="F2"/>
                <w:spacing w:val="-4"/>
                <w:sz w:val="16"/>
                <w:szCs w:val="16"/>
              </w:rPr>
            </w:pPr>
            <w:r>
              <w:rPr>
                <w:rFonts w:cs="Arial"/>
                <w:bCs/>
                <w:iCs/>
                <w:color w:val="0D0D0D" w:themeColor="text1" w:themeTint="F2"/>
                <w:spacing w:val="-2"/>
                <w:sz w:val="16"/>
                <w:szCs w:val="16"/>
              </w:rPr>
              <w:t>Dlouhodobá stabilizace zaměstnanosti v odvětví zemědělství, lesnictví a rybářství, nově i ve stavebnictví.</w:t>
            </w:r>
          </w:p>
        </w:tc>
        <w:tc>
          <w:tcPr>
            <w:tcW w:w="144" w:type="pct"/>
          </w:tcPr>
          <w:p w:rsidR="003D6B55" w:rsidRPr="009720D9" w:rsidRDefault="003D6B55" w:rsidP="00A0172C">
            <w:pPr>
              <w:pStyle w:val="Textpoznpodarou"/>
              <w:jc w:val="both"/>
              <w:rPr>
                <w:color w:val="0D0D0D" w:themeColor="text1" w:themeTint="F2"/>
              </w:rPr>
            </w:pPr>
          </w:p>
        </w:tc>
        <w:tc>
          <w:tcPr>
            <w:tcW w:w="3868" w:type="pct"/>
          </w:tcPr>
          <w:p w:rsidR="003D6B55" w:rsidRPr="004464DC" w:rsidRDefault="003D6B55" w:rsidP="00A0172C">
            <w:pPr>
              <w:pStyle w:val="Textpoznpodarou"/>
              <w:jc w:val="both"/>
              <w:rPr>
                <w:rFonts w:cs="Arial"/>
                <w:color w:val="0D0D0D" w:themeColor="text1" w:themeTint="F2"/>
              </w:rPr>
            </w:pPr>
            <w:r w:rsidRPr="004464DC">
              <w:rPr>
                <w:rFonts w:cs="Arial"/>
                <w:color w:val="0D0D0D" w:themeColor="text1" w:themeTint="F2"/>
              </w:rPr>
              <w:t>V rámci služeb se počet pracovníků navýšil v drtivé většině odvětvových sekcí. Na silný loňský celoroční růst (+4,4 %) navázaly v 1. čtv</w:t>
            </w:r>
            <w:r w:rsidR="00886DE2" w:rsidRPr="004464DC">
              <w:rPr>
                <w:rFonts w:cs="Arial"/>
                <w:color w:val="0D0D0D" w:themeColor="text1" w:themeTint="F2"/>
              </w:rPr>
              <w:t>rtletí 2017 profesní, vědecké a </w:t>
            </w:r>
            <w:r w:rsidRPr="004464DC">
              <w:rPr>
                <w:rFonts w:cs="Arial"/>
                <w:color w:val="0D0D0D" w:themeColor="text1" w:themeTint="F2"/>
              </w:rPr>
              <w:t xml:space="preserve">technické činnosti (+5,7 %). Proti počátku konjunkturního roku 2008 </w:t>
            </w:r>
            <w:r w:rsidR="00886DE2" w:rsidRPr="004464DC">
              <w:rPr>
                <w:rFonts w:cs="Arial"/>
                <w:color w:val="0D0D0D" w:themeColor="text1" w:themeTint="F2"/>
              </w:rPr>
              <w:t xml:space="preserve">pracovalo </w:t>
            </w:r>
            <w:r w:rsidRPr="004464DC">
              <w:rPr>
                <w:rFonts w:cs="Arial"/>
                <w:color w:val="0D0D0D" w:themeColor="text1" w:themeTint="F2"/>
              </w:rPr>
              <w:t>v</w:t>
            </w:r>
            <w:r w:rsidR="00886DE2" w:rsidRPr="004464DC">
              <w:rPr>
                <w:rFonts w:cs="Arial"/>
                <w:color w:val="0D0D0D" w:themeColor="text1" w:themeTint="F2"/>
              </w:rPr>
              <w:t> </w:t>
            </w:r>
            <w:r w:rsidRPr="004464DC">
              <w:rPr>
                <w:rFonts w:cs="Arial"/>
                <w:color w:val="0D0D0D" w:themeColor="text1" w:themeTint="F2"/>
              </w:rPr>
              <w:t>tomto odvětví o sedminu lidí více (resp. 60 tis.). Střídmějších výsledků dosáhly v úhrnu obchod, doprava, ubytování a pohostinství (+2,2 % meziročně), vzhledem ke své váze však přispěly ze všech odvětvových uskupení k růstu zaměstnanosti v ekonomice nejvíce. Pokračoval rozvoj informačních a komunikačních činností (+4,3 %, od konce pos</w:t>
            </w:r>
            <w:r w:rsidR="00C16971" w:rsidRPr="004464DC">
              <w:rPr>
                <w:rFonts w:cs="Arial"/>
                <w:color w:val="0D0D0D" w:themeColor="text1" w:themeTint="F2"/>
              </w:rPr>
              <w:t>lední recese +14,2 %). Naopak podstatnějších pohybů nedoznala</w:t>
            </w:r>
            <w:r w:rsidRPr="004464DC">
              <w:rPr>
                <w:rFonts w:cs="Arial"/>
                <w:color w:val="0D0D0D" w:themeColor="text1" w:themeTint="F2"/>
              </w:rPr>
              <w:t xml:space="preserve"> zaměstnanost v peněžnictví a pojišťovnictví i v odvětvích s domina</w:t>
            </w:r>
            <w:r w:rsidR="002161D6" w:rsidRPr="004464DC">
              <w:rPr>
                <w:rFonts w:cs="Arial"/>
                <w:color w:val="0D0D0D" w:themeColor="text1" w:themeTint="F2"/>
              </w:rPr>
              <w:t>n</w:t>
            </w:r>
            <w:r w:rsidRPr="004464DC">
              <w:rPr>
                <w:rFonts w:cs="Arial"/>
                <w:color w:val="0D0D0D" w:themeColor="text1" w:themeTint="F2"/>
              </w:rPr>
              <w:t xml:space="preserve">cí státu (kde významnějšího růstu dosáhlo jen vzdělávání). Stabilizovaná zaměstnanost přetrvávala </w:t>
            </w:r>
            <w:r w:rsidR="00C16971" w:rsidRPr="004464DC">
              <w:rPr>
                <w:rFonts w:cs="Arial"/>
                <w:color w:val="0D0D0D" w:themeColor="text1" w:themeTint="F2"/>
              </w:rPr>
              <w:t>(</w:t>
            </w:r>
            <w:r w:rsidRPr="004464DC">
              <w:rPr>
                <w:rFonts w:cs="Arial"/>
                <w:color w:val="0D0D0D" w:themeColor="text1" w:themeTint="F2"/>
              </w:rPr>
              <w:t>po roce 2010</w:t>
            </w:r>
            <w:r w:rsidR="00C16971" w:rsidRPr="004464DC">
              <w:rPr>
                <w:rFonts w:cs="Arial"/>
                <w:color w:val="0D0D0D" w:themeColor="text1" w:themeTint="F2"/>
              </w:rPr>
              <w:t>)</w:t>
            </w:r>
            <w:r w:rsidRPr="004464DC">
              <w:rPr>
                <w:rFonts w:cs="Arial"/>
                <w:color w:val="0D0D0D" w:themeColor="text1" w:themeTint="F2"/>
              </w:rPr>
              <w:t xml:space="preserve"> </w:t>
            </w:r>
            <w:r w:rsidR="00C16971" w:rsidRPr="004464DC">
              <w:rPr>
                <w:rFonts w:cs="Arial"/>
                <w:color w:val="0D0D0D" w:themeColor="text1" w:themeTint="F2"/>
              </w:rPr>
              <w:t xml:space="preserve">i </w:t>
            </w:r>
            <w:r w:rsidRPr="004464DC">
              <w:rPr>
                <w:rFonts w:cs="Arial"/>
                <w:color w:val="0D0D0D" w:themeColor="text1" w:themeTint="F2"/>
              </w:rPr>
              <w:t>v o</w:t>
            </w:r>
            <w:r w:rsidR="004464DC">
              <w:rPr>
                <w:rFonts w:cs="Arial"/>
                <w:color w:val="0D0D0D" w:themeColor="text1" w:themeTint="F2"/>
              </w:rPr>
              <w:t>dvětví zemědělství, lesnictví a</w:t>
            </w:r>
            <w:r w:rsidR="004464DC" w:rsidRPr="004464DC">
              <w:rPr>
                <w:rFonts w:cs="Arial"/>
                <w:color w:val="0D0D0D" w:themeColor="text1" w:themeTint="F2"/>
              </w:rPr>
              <w:t> </w:t>
            </w:r>
            <w:r w:rsidRPr="004464DC">
              <w:rPr>
                <w:rFonts w:cs="Arial"/>
                <w:color w:val="0D0D0D" w:themeColor="text1" w:themeTint="F2"/>
              </w:rPr>
              <w:t>rybářství. Ve stavebnictví se o zastavení poklesu zaměstnanosti zasloužily vyšší počty podnikajících osob. Stavy zaměstnanců zde (stejně jako v primárním sektoru) ale nadále klesaly. Růst podnikatelské aktivity může souviset s oživením poptávky v pozemním stavitelství, zejm. menších zakázek (např. rekonstrukcí).</w:t>
            </w:r>
          </w:p>
          <w:p w:rsidR="003D6B55" w:rsidRPr="00F02A72" w:rsidRDefault="003D6B55" w:rsidP="00A0172C">
            <w:pPr>
              <w:pStyle w:val="Textpoznpodarou"/>
              <w:jc w:val="both"/>
              <w:rPr>
                <w:rFonts w:cs="Arial"/>
                <w:color w:val="0D0D0D" w:themeColor="text1" w:themeTint="F2"/>
                <w:spacing w:val="-2"/>
                <w:sz w:val="14"/>
                <w:szCs w:val="14"/>
              </w:rPr>
            </w:pPr>
          </w:p>
        </w:tc>
      </w:tr>
      <w:tr w:rsidR="003D6B55" w:rsidRPr="00893F0C" w:rsidTr="003D6B55">
        <w:tc>
          <w:tcPr>
            <w:tcW w:w="988" w:type="pct"/>
          </w:tcPr>
          <w:p w:rsidR="003D6B55" w:rsidRPr="00A245E8" w:rsidRDefault="003D6B55" w:rsidP="00A0172C">
            <w:pPr>
              <w:spacing w:line="240" w:lineRule="auto"/>
              <w:rPr>
                <w:rFonts w:cs="Arial"/>
                <w:bCs/>
                <w:iCs/>
                <w:color w:val="0D0D0D" w:themeColor="text1" w:themeTint="F2"/>
                <w:spacing w:val="-4"/>
                <w:sz w:val="16"/>
                <w:szCs w:val="16"/>
              </w:rPr>
            </w:pPr>
            <w:r>
              <w:rPr>
                <w:rFonts w:cs="Arial"/>
                <w:bCs/>
                <w:iCs/>
                <w:color w:val="0D0D0D" w:themeColor="text1" w:themeTint="F2"/>
                <w:spacing w:val="-4"/>
                <w:sz w:val="16"/>
                <w:szCs w:val="16"/>
              </w:rPr>
              <w:t>Počet podnikatelů bez zaměstnanců meziročně rostl již čtvrtý kvartál v řadě, zvyšoval se napříč většiny odvětví.</w:t>
            </w:r>
          </w:p>
        </w:tc>
        <w:tc>
          <w:tcPr>
            <w:tcW w:w="144" w:type="pct"/>
          </w:tcPr>
          <w:p w:rsidR="003D6B55" w:rsidRPr="009720D9" w:rsidRDefault="003D6B55" w:rsidP="00A0172C">
            <w:pPr>
              <w:pStyle w:val="Textpoznpodarou"/>
              <w:jc w:val="both"/>
              <w:rPr>
                <w:color w:val="0D0D0D" w:themeColor="text1" w:themeTint="F2"/>
              </w:rPr>
            </w:pPr>
          </w:p>
        </w:tc>
        <w:tc>
          <w:tcPr>
            <w:tcW w:w="3868" w:type="pct"/>
          </w:tcPr>
          <w:p w:rsidR="003D6B55" w:rsidRPr="00F02A72" w:rsidRDefault="003D6B55" w:rsidP="00A0172C">
            <w:pPr>
              <w:pStyle w:val="Textpoznpodarou"/>
              <w:jc w:val="both"/>
              <w:rPr>
                <w:rFonts w:cs="Arial"/>
                <w:color w:val="0D0D0D" w:themeColor="text1" w:themeTint="F2"/>
                <w:spacing w:val="-2"/>
              </w:rPr>
            </w:pPr>
            <w:r w:rsidRPr="00F02A72">
              <w:rPr>
                <w:rFonts w:cs="Arial"/>
                <w:color w:val="0D0D0D" w:themeColor="text1" w:themeTint="F2"/>
                <w:spacing w:val="-2"/>
              </w:rPr>
              <w:t>Na růstu celkové zaměstnanosti se tradičně nejvíce podíleli zaměstnanci. Podobně jako po většinu loň</w:t>
            </w:r>
            <w:r w:rsidR="004464DC">
              <w:rPr>
                <w:rFonts w:cs="Arial"/>
                <w:color w:val="0D0D0D" w:themeColor="text1" w:themeTint="F2"/>
                <w:spacing w:val="-2"/>
              </w:rPr>
              <w:t xml:space="preserve">ského roku však v úhrnu přispěly i </w:t>
            </w:r>
            <w:proofErr w:type="spellStart"/>
            <w:r w:rsidR="004464DC">
              <w:rPr>
                <w:rFonts w:cs="Arial"/>
                <w:color w:val="0D0D0D" w:themeColor="text1" w:themeTint="F2"/>
                <w:spacing w:val="-2"/>
              </w:rPr>
              <w:t>sebezaměstnané</w:t>
            </w:r>
            <w:proofErr w:type="spellEnd"/>
            <w:r w:rsidR="004464DC">
              <w:rPr>
                <w:rFonts w:cs="Arial"/>
                <w:color w:val="0D0D0D" w:themeColor="text1" w:themeTint="F2"/>
                <w:spacing w:val="-2"/>
              </w:rPr>
              <w:t xml:space="preserve"> osoby. Z</w:t>
            </w:r>
            <w:r w:rsidR="004464DC" w:rsidRPr="004464DC">
              <w:rPr>
                <w:rFonts w:cs="Arial"/>
                <w:color w:val="0D0D0D" w:themeColor="text1" w:themeTint="F2"/>
              </w:rPr>
              <w:t> </w:t>
            </w:r>
            <w:r w:rsidRPr="00F02A72">
              <w:rPr>
                <w:rFonts w:cs="Arial"/>
                <w:color w:val="0D0D0D" w:themeColor="text1" w:themeTint="F2"/>
                <w:spacing w:val="-2"/>
              </w:rPr>
              <w:t>detailnějších údajů VŠPS plyne, že se navyšovaly stavy podnikatelů bez zaměstnanců (již čtvrtý kvartál v řadě, v 1. čtvrtletí meziročně o 5,6 %). Počet podnikatelů se zaměstnanci na počátku roku stagnoval a na příznivější loňský vývoj tak nenavázal.</w:t>
            </w:r>
          </w:p>
          <w:p w:rsidR="003D6B55" w:rsidRPr="00F02A72" w:rsidRDefault="003D6B55" w:rsidP="00A0172C">
            <w:pPr>
              <w:pStyle w:val="Textpoznpodarou"/>
              <w:jc w:val="both"/>
              <w:rPr>
                <w:rFonts w:cs="Arial"/>
                <w:color w:val="0D0D0D" w:themeColor="text1" w:themeTint="F2"/>
                <w:spacing w:val="-2"/>
                <w:sz w:val="14"/>
                <w:szCs w:val="14"/>
              </w:rPr>
            </w:pPr>
          </w:p>
        </w:tc>
      </w:tr>
      <w:tr w:rsidR="003D6B55" w:rsidRPr="009330A5" w:rsidTr="003D6B55">
        <w:tc>
          <w:tcPr>
            <w:tcW w:w="988" w:type="pct"/>
          </w:tcPr>
          <w:p w:rsidR="003D6B55" w:rsidRPr="00F71F0F" w:rsidRDefault="003D6B55" w:rsidP="00A0172C">
            <w:pPr>
              <w:spacing w:line="240" w:lineRule="auto"/>
              <w:rPr>
                <w:rFonts w:cs="Arial"/>
                <w:bCs/>
                <w:iCs/>
                <w:color w:val="0D0D0D" w:themeColor="text1" w:themeTint="F2"/>
                <w:sz w:val="16"/>
                <w:szCs w:val="16"/>
              </w:rPr>
            </w:pPr>
            <w:r w:rsidRPr="00F71F0F">
              <w:rPr>
                <w:rFonts w:cs="Arial"/>
                <w:bCs/>
                <w:iCs/>
                <w:color w:val="0D0D0D" w:themeColor="text1" w:themeTint="F2"/>
                <w:sz w:val="16"/>
                <w:szCs w:val="16"/>
              </w:rPr>
              <w:t>Růst produktivit</w:t>
            </w:r>
            <w:r w:rsidR="00886DE2">
              <w:rPr>
                <w:rFonts w:cs="Arial"/>
                <w:bCs/>
                <w:iCs/>
                <w:color w:val="0D0D0D" w:themeColor="text1" w:themeTint="F2"/>
                <w:sz w:val="16"/>
                <w:szCs w:val="16"/>
              </w:rPr>
              <w:t>y práce se po méně příznivém výv</w:t>
            </w:r>
            <w:r w:rsidRPr="00F71F0F">
              <w:rPr>
                <w:rFonts w:cs="Arial"/>
                <w:bCs/>
                <w:iCs/>
                <w:color w:val="0D0D0D" w:themeColor="text1" w:themeTint="F2"/>
                <w:sz w:val="16"/>
                <w:szCs w:val="16"/>
              </w:rPr>
              <w:t xml:space="preserve">oji v průběhu loňského roku letos </w:t>
            </w:r>
            <w:r w:rsidRPr="00F71F0F">
              <w:rPr>
                <w:rFonts w:cs="Arial"/>
                <w:bCs/>
                <w:iCs/>
                <w:color w:val="0D0D0D" w:themeColor="text1" w:themeTint="F2"/>
                <w:sz w:val="16"/>
                <w:szCs w:val="16"/>
              </w:rPr>
              <w:lastRenderedPageBreak/>
              <w:t>opět obnovil.</w:t>
            </w:r>
          </w:p>
        </w:tc>
        <w:tc>
          <w:tcPr>
            <w:tcW w:w="144" w:type="pct"/>
          </w:tcPr>
          <w:p w:rsidR="003D6B55" w:rsidRPr="009720D9" w:rsidRDefault="003D6B55" w:rsidP="00A0172C">
            <w:pPr>
              <w:pStyle w:val="Textpoznpodarou"/>
              <w:jc w:val="both"/>
              <w:rPr>
                <w:color w:val="0D0D0D" w:themeColor="text1" w:themeTint="F2"/>
              </w:rPr>
            </w:pPr>
          </w:p>
        </w:tc>
        <w:tc>
          <w:tcPr>
            <w:tcW w:w="3868" w:type="pct"/>
          </w:tcPr>
          <w:p w:rsidR="003D6B55" w:rsidRPr="00F02A72" w:rsidRDefault="003D6B55" w:rsidP="00A0172C">
            <w:pPr>
              <w:pStyle w:val="Textpoznpodarou"/>
              <w:jc w:val="both"/>
              <w:rPr>
                <w:rFonts w:cs="Arial"/>
                <w:color w:val="0D0D0D" w:themeColor="text1" w:themeTint="F2"/>
                <w:spacing w:val="-2"/>
              </w:rPr>
            </w:pPr>
            <w:r w:rsidRPr="00F02A72">
              <w:rPr>
                <w:rFonts w:cs="Arial"/>
                <w:color w:val="0D0D0D" w:themeColor="text1" w:themeTint="F2"/>
                <w:spacing w:val="-2"/>
              </w:rPr>
              <w:t xml:space="preserve">V 1.čtvrtletí se příznivě vyvíjela produktivita práce. Zatímco v druhé polovině roku 2016 se její pozitivní vývoj po 11 čtvrtletích zastavil, situace na počátku letošního roku by mohla naznačovat návrat na růstovou trajektorii. Hrubá přidaná hodnota </w:t>
            </w:r>
            <w:r w:rsidRPr="00F02A72">
              <w:rPr>
                <w:rFonts w:cs="Arial"/>
                <w:color w:val="0D0D0D" w:themeColor="text1" w:themeTint="F2"/>
                <w:spacing w:val="-2"/>
              </w:rPr>
              <w:lastRenderedPageBreak/>
              <w:t>(HPH) meziročně vzrostla skoro dvojnásobným tempem než celková zaměstnanost. HPH v relaci na odpracovanou h</w:t>
            </w:r>
            <w:r w:rsidR="00FF54B4">
              <w:rPr>
                <w:rFonts w:cs="Arial"/>
                <w:color w:val="0D0D0D" w:themeColor="text1" w:themeTint="F2"/>
                <w:spacing w:val="-2"/>
              </w:rPr>
              <w:t>odinu jen stagnovala, i tak</w:t>
            </w:r>
            <w:r w:rsidRPr="00F02A72">
              <w:rPr>
                <w:rFonts w:cs="Arial"/>
                <w:color w:val="0D0D0D" w:themeColor="text1" w:themeTint="F2"/>
                <w:spacing w:val="-2"/>
              </w:rPr>
              <w:t xml:space="preserve"> šlo o lepší výsledek než za celý rok 2016 (-0,5 %). Pokračoval svižný růst hodinové produktivity v odvětví zemědělství, le</w:t>
            </w:r>
            <w:r w:rsidR="00FF54B4">
              <w:rPr>
                <w:rFonts w:cs="Arial"/>
                <w:color w:val="0D0D0D" w:themeColor="text1" w:themeTint="F2"/>
                <w:spacing w:val="-2"/>
              </w:rPr>
              <w:t xml:space="preserve">snictví a rybářství, zčásti </w:t>
            </w:r>
            <w:r w:rsidRPr="00F02A72">
              <w:rPr>
                <w:rFonts w:cs="Arial"/>
                <w:color w:val="0D0D0D" w:themeColor="text1" w:themeTint="F2"/>
                <w:spacing w:val="-2"/>
              </w:rPr>
              <w:t>i ve zpracovatelském průmyslu (+2,8 %).</w:t>
            </w:r>
          </w:p>
        </w:tc>
      </w:tr>
    </w:tbl>
    <w:p w:rsidR="00D84BD1" w:rsidRDefault="00D84BD1" w:rsidP="00D84BD1">
      <w:pPr>
        <w:rPr>
          <w:sz w:val="16"/>
          <w:szCs w:val="16"/>
          <w:lang w:eastAsia="ar-SA"/>
        </w:rPr>
      </w:pPr>
    </w:p>
    <w:tbl>
      <w:tblPr>
        <w:tblW w:w="4963" w:type="pct"/>
        <w:tblInd w:w="108" w:type="dxa"/>
        <w:tblLayout w:type="fixed"/>
        <w:tblLook w:val="00A0"/>
      </w:tblPr>
      <w:tblGrid>
        <w:gridCol w:w="1997"/>
        <w:gridCol w:w="284"/>
        <w:gridCol w:w="1119"/>
        <w:gridCol w:w="6381"/>
      </w:tblGrid>
      <w:tr w:rsidR="00D84BD1" w:rsidRPr="00AA4A76" w:rsidTr="003D6B55">
        <w:trPr>
          <w:trHeight w:val="145"/>
        </w:trPr>
        <w:tc>
          <w:tcPr>
            <w:tcW w:w="1021" w:type="pct"/>
            <w:shd w:val="clear" w:color="auto" w:fill="auto"/>
          </w:tcPr>
          <w:p w:rsidR="00D84BD1" w:rsidRPr="00AA4A76" w:rsidRDefault="00D84BD1" w:rsidP="00D84BD1">
            <w:pPr>
              <w:spacing w:line="240" w:lineRule="auto"/>
              <w:jc w:val="center"/>
              <w:rPr>
                <w:color w:val="000000"/>
                <w:szCs w:val="20"/>
              </w:rPr>
            </w:pPr>
          </w:p>
        </w:tc>
        <w:tc>
          <w:tcPr>
            <w:tcW w:w="145" w:type="pct"/>
          </w:tcPr>
          <w:p w:rsidR="00D84BD1" w:rsidRPr="00AA4A76" w:rsidRDefault="00D84BD1" w:rsidP="00D84BD1">
            <w:pPr>
              <w:pStyle w:val="Textpoznpodarou"/>
              <w:jc w:val="both"/>
              <w:rPr>
                <w:highlight w:val="yellow"/>
              </w:rPr>
            </w:pPr>
          </w:p>
        </w:tc>
        <w:tc>
          <w:tcPr>
            <w:tcW w:w="572" w:type="pct"/>
          </w:tcPr>
          <w:p w:rsidR="00D84BD1" w:rsidRPr="00AA4A76" w:rsidRDefault="00D84BD1" w:rsidP="00D84BD1">
            <w:pPr>
              <w:pStyle w:val="Textpoznpodarou"/>
              <w:jc w:val="both"/>
              <w:rPr>
                <w:highlight w:val="yellow"/>
              </w:rPr>
            </w:pPr>
            <w:r>
              <w:rPr>
                <w:color w:val="000000"/>
              </w:rPr>
              <w:t>Graf č. 15</w:t>
            </w:r>
          </w:p>
        </w:tc>
        <w:tc>
          <w:tcPr>
            <w:tcW w:w="3262" w:type="pct"/>
          </w:tcPr>
          <w:p w:rsidR="00D84BD1" w:rsidRPr="000117D0" w:rsidRDefault="00D84BD1" w:rsidP="00ED2B0B">
            <w:pPr>
              <w:pStyle w:val="Textpoznpodarou"/>
              <w:rPr>
                <w:b/>
                <w:lang w:eastAsia="en-US"/>
              </w:rPr>
            </w:pPr>
            <w:r>
              <w:rPr>
                <w:b/>
                <w:lang w:eastAsia="en-US"/>
              </w:rPr>
              <w:t>Poče</w:t>
            </w:r>
            <w:r w:rsidR="00535F78">
              <w:rPr>
                <w:b/>
                <w:lang w:eastAsia="en-US"/>
              </w:rPr>
              <w:t>t pracovníků</w:t>
            </w:r>
            <w:r>
              <w:rPr>
                <w:b/>
                <w:lang w:eastAsia="en-US"/>
              </w:rPr>
              <w:t xml:space="preserve"> ve vybraných odvětvích </w:t>
            </w:r>
            <w:r w:rsidRPr="00886A8F">
              <w:rPr>
                <w:b/>
                <w:lang w:eastAsia="en-US"/>
              </w:rPr>
              <w:t xml:space="preserve">a </w:t>
            </w:r>
            <w:r>
              <w:rPr>
                <w:b/>
                <w:lang w:eastAsia="en-US"/>
              </w:rPr>
              <w:t xml:space="preserve">celkový počet </w:t>
            </w:r>
            <w:r w:rsidRPr="00886A8F">
              <w:rPr>
                <w:b/>
                <w:lang w:eastAsia="en-US"/>
              </w:rPr>
              <w:t xml:space="preserve">zaměstnanců </w:t>
            </w:r>
            <w:r>
              <w:rPr>
                <w:spacing w:val="-4"/>
                <w:lang w:eastAsia="en-US"/>
              </w:rPr>
              <w:t>(</w:t>
            </w:r>
            <w:r w:rsidRPr="00582DA0">
              <w:rPr>
                <w:spacing w:val="-4"/>
                <w:lang w:eastAsia="en-US"/>
              </w:rPr>
              <w:t>dle</w:t>
            </w:r>
            <w:r>
              <w:rPr>
                <w:spacing w:val="-4"/>
                <w:lang w:eastAsia="en-US"/>
              </w:rPr>
              <w:t xml:space="preserve"> národních účtů</w:t>
            </w:r>
            <w:r w:rsidRPr="00582DA0">
              <w:rPr>
                <w:spacing w:val="-4"/>
                <w:lang w:eastAsia="en-US"/>
              </w:rPr>
              <w:t xml:space="preserve">, </w:t>
            </w:r>
            <w:r w:rsidR="00535F78">
              <w:rPr>
                <w:spacing w:val="-4"/>
                <w:lang w:eastAsia="en-US"/>
              </w:rPr>
              <w:t xml:space="preserve">sezónně očištěno, </w:t>
            </w:r>
            <w:r w:rsidR="00535F78" w:rsidRPr="00E62A33">
              <w:rPr>
                <w:spacing w:val="-2"/>
              </w:rPr>
              <w:t>meziročně</w:t>
            </w:r>
            <w:r w:rsidR="00535F78" w:rsidRPr="00E62A33">
              <w:rPr>
                <w:bCs/>
                <w:spacing w:val="-2"/>
              </w:rPr>
              <w:t xml:space="preserve"> v %)</w:t>
            </w:r>
          </w:p>
        </w:tc>
      </w:tr>
      <w:tr w:rsidR="00D84BD1" w:rsidRPr="00AA4A76" w:rsidTr="003D6B55">
        <w:trPr>
          <w:trHeight w:val="145"/>
        </w:trPr>
        <w:tc>
          <w:tcPr>
            <w:tcW w:w="1021" w:type="pct"/>
            <w:shd w:val="clear" w:color="auto" w:fill="auto"/>
          </w:tcPr>
          <w:p w:rsidR="00D84BD1" w:rsidRPr="006D3F53" w:rsidRDefault="00D84BD1" w:rsidP="00D84BD1">
            <w:pPr>
              <w:spacing w:line="240" w:lineRule="auto"/>
              <w:rPr>
                <w:color w:val="000000"/>
                <w:sz w:val="16"/>
                <w:szCs w:val="16"/>
                <w:highlight w:val="yellow"/>
              </w:rPr>
            </w:pPr>
          </w:p>
        </w:tc>
        <w:tc>
          <w:tcPr>
            <w:tcW w:w="145" w:type="pct"/>
          </w:tcPr>
          <w:p w:rsidR="00D84BD1" w:rsidRPr="00A74192" w:rsidRDefault="00D84BD1" w:rsidP="00D84BD1">
            <w:pPr>
              <w:pStyle w:val="Textpoznpodarou"/>
              <w:jc w:val="both"/>
            </w:pPr>
          </w:p>
        </w:tc>
        <w:tc>
          <w:tcPr>
            <w:tcW w:w="3834" w:type="pct"/>
            <w:gridSpan w:val="2"/>
          </w:tcPr>
          <w:p w:rsidR="00D84BD1" w:rsidRPr="00ED2B0B" w:rsidRDefault="00ED2B0B" w:rsidP="00ED2B0B">
            <w:pPr>
              <w:pStyle w:val="Textpoznpodarou"/>
              <w:ind w:left="-124"/>
              <w:jc w:val="right"/>
              <w:rPr>
                <w:sz w:val="16"/>
                <w:szCs w:val="16"/>
              </w:rPr>
            </w:pPr>
            <w:r w:rsidRPr="00ED2B0B">
              <w:rPr>
                <w:noProof/>
                <w:sz w:val="14"/>
                <w:szCs w:val="14"/>
              </w:rPr>
              <w:drawing>
                <wp:inline distT="0" distB="0" distL="0" distR="0">
                  <wp:extent cx="4737600" cy="3553200"/>
                  <wp:effectExtent l="0" t="0" r="0" b="0"/>
                  <wp:docPr id="8"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00D84BD1" w:rsidRPr="00ED2B0B">
              <w:rPr>
                <w:sz w:val="14"/>
                <w:szCs w:val="14"/>
              </w:rPr>
              <w:t>Zdroj: ČSÚ</w:t>
            </w:r>
          </w:p>
        </w:tc>
      </w:tr>
    </w:tbl>
    <w:p w:rsidR="00D84BD1" w:rsidRDefault="00D84BD1" w:rsidP="00D84BD1">
      <w:pPr>
        <w:rPr>
          <w:sz w:val="18"/>
          <w:szCs w:val="18"/>
          <w:lang w:eastAsia="ar-SA"/>
        </w:rPr>
      </w:pPr>
    </w:p>
    <w:tbl>
      <w:tblPr>
        <w:tblW w:w="4963" w:type="pct"/>
        <w:tblInd w:w="108" w:type="dxa"/>
        <w:tblLayout w:type="fixed"/>
        <w:tblLook w:val="00A0"/>
      </w:tblPr>
      <w:tblGrid>
        <w:gridCol w:w="1932"/>
        <w:gridCol w:w="282"/>
        <w:gridCol w:w="7567"/>
      </w:tblGrid>
      <w:tr w:rsidR="003D6B55" w:rsidRPr="007D17B9" w:rsidTr="00A0172C">
        <w:tc>
          <w:tcPr>
            <w:tcW w:w="988" w:type="pct"/>
          </w:tcPr>
          <w:p w:rsidR="003D6B55" w:rsidRDefault="003D6B55" w:rsidP="00A0172C">
            <w:pPr>
              <w:spacing w:line="240" w:lineRule="auto"/>
              <w:rPr>
                <w:rFonts w:cs="Arial"/>
                <w:bCs/>
                <w:iCs/>
                <w:color w:val="0D0D0D" w:themeColor="text1" w:themeTint="F2"/>
                <w:spacing w:val="-4"/>
                <w:sz w:val="16"/>
                <w:szCs w:val="16"/>
              </w:rPr>
            </w:pPr>
            <w:r>
              <w:rPr>
                <w:rFonts w:cs="Arial"/>
                <w:bCs/>
                <w:iCs/>
                <w:color w:val="0D0D0D" w:themeColor="text1" w:themeTint="F2"/>
                <w:spacing w:val="-4"/>
                <w:sz w:val="16"/>
                <w:szCs w:val="16"/>
              </w:rPr>
              <w:t>Obecná míra nezaměstnanosti se nadále redukovala na nové absolutní minimum, volných pracovních míst přibylo v rámci prvních čtvrtletí nejvíce v historii ČR.</w:t>
            </w:r>
          </w:p>
          <w:p w:rsidR="003D6B55" w:rsidRDefault="003D6B55" w:rsidP="00A0172C">
            <w:pPr>
              <w:spacing w:line="240" w:lineRule="auto"/>
              <w:rPr>
                <w:rFonts w:cs="Arial"/>
                <w:bCs/>
                <w:iCs/>
                <w:color w:val="0D0D0D" w:themeColor="text1" w:themeTint="F2"/>
                <w:spacing w:val="-4"/>
                <w:sz w:val="16"/>
                <w:szCs w:val="16"/>
              </w:rPr>
            </w:pPr>
          </w:p>
          <w:p w:rsidR="003D6B55" w:rsidRPr="00E23B96" w:rsidRDefault="003D6B55" w:rsidP="00F853A5">
            <w:pPr>
              <w:spacing w:line="240" w:lineRule="auto"/>
              <w:rPr>
                <w:rFonts w:cs="Arial"/>
                <w:bCs/>
                <w:iCs/>
                <w:color w:val="0D0D0D" w:themeColor="text1" w:themeTint="F2"/>
                <w:spacing w:val="-4"/>
                <w:sz w:val="16"/>
                <w:szCs w:val="16"/>
              </w:rPr>
            </w:pPr>
          </w:p>
        </w:tc>
        <w:tc>
          <w:tcPr>
            <w:tcW w:w="144" w:type="pct"/>
          </w:tcPr>
          <w:p w:rsidR="003D6B55" w:rsidRPr="009720D9" w:rsidRDefault="003D6B55" w:rsidP="00A0172C">
            <w:pPr>
              <w:pStyle w:val="Textpoznpodarou"/>
              <w:jc w:val="both"/>
              <w:rPr>
                <w:color w:val="0D0D0D" w:themeColor="text1" w:themeTint="F2"/>
              </w:rPr>
            </w:pPr>
          </w:p>
        </w:tc>
        <w:tc>
          <w:tcPr>
            <w:tcW w:w="3868" w:type="pct"/>
          </w:tcPr>
          <w:p w:rsidR="003D6B55" w:rsidRPr="00535F78" w:rsidRDefault="003D6B55" w:rsidP="00A0172C">
            <w:pPr>
              <w:pStyle w:val="Textpoznpodarou"/>
              <w:jc w:val="both"/>
              <w:rPr>
                <w:rFonts w:cs="Arial"/>
                <w:color w:val="0D0D0D" w:themeColor="text1" w:themeTint="F2"/>
              </w:rPr>
            </w:pPr>
            <w:r w:rsidRPr="00535F78">
              <w:rPr>
                <w:rFonts w:cs="Arial"/>
                <w:color w:val="0D0D0D" w:themeColor="text1" w:themeTint="F2"/>
              </w:rPr>
              <w:t>Obecná míra nezaměstnanosti nadále klesala a v březnu dosáhla dle sezónně očištěných údajů 3,4 % (u mužů 2,5 %). Nezaměstnanost byla rekordně nízká nejen v historii ČR, ale i v kontextu všech zemí EU (tento stav trval již více než rok, u mužů téměř tři roky). Redukci nezaměstnanosti doprovází neustále se rozšiřující nabídka neobsazených pracovních míst. Jejich počet v evidenci ÚP na počátku roku zrychlil. Zatímco ÚP nabízely na konci loňského roku 132,5 tis. volných pozic, na sklonku letošního března již 150,9 tis. (v květnu dokonce rekordních</w:t>
            </w:r>
            <w:r w:rsidR="00D875B6">
              <w:rPr>
                <w:rFonts w:cs="Arial"/>
                <w:color w:val="0D0D0D" w:themeColor="text1" w:themeTint="F2"/>
              </w:rPr>
              <w:t xml:space="preserve"> </w:t>
            </w:r>
            <w:r w:rsidRPr="00535F78">
              <w:rPr>
                <w:rFonts w:cs="Arial"/>
                <w:color w:val="0D0D0D" w:themeColor="text1" w:themeTint="F2"/>
              </w:rPr>
              <w:t xml:space="preserve">174,0 tis.). Letošní navýšení volných míst bylo v rámci 1. čtvrtletí rovněž nejvyšší od doby sledování. </w:t>
            </w:r>
          </w:p>
          <w:p w:rsidR="003D6B55" w:rsidRPr="00F02A72" w:rsidRDefault="003D6B55" w:rsidP="00A0172C">
            <w:pPr>
              <w:pStyle w:val="Textpoznpodarou"/>
              <w:jc w:val="both"/>
              <w:rPr>
                <w:rFonts w:cs="Arial"/>
                <w:color w:val="0D0D0D" w:themeColor="text1" w:themeTint="F2"/>
                <w:spacing w:val="-2"/>
                <w:sz w:val="14"/>
                <w:szCs w:val="14"/>
              </w:rPr>
            </w:pPr>
          </w:p>
        </w:tc>
      </w:tr>
      <w:tr w:rsidR="003D6B55" w:rsidRPr="00893F0C" w:rsidTr="00A0172C">
        <w:tc>
          <w:tcPr>
            <w:tcW w:w="988" w:type="pct"/>
          </w:tcPr>
          <w:p w:rsidR="00F853A5" w:rsidRDefault="00F853A5" w:rsidP="00F853A5">
            <w:pPr>
              <w:spacing w:line="240" w:lineRule="auto"/>
              <w:rPr>
                <w:rFonts w:cs="Arial"/>
                <w:bCs/>
                <w:iCs/>
                <w:color w:val="0D0D0D" w:themeColor="text1" w:themeTint="F2"/>
                <w:spacing w:val="-4"/>
                <w:sz w:val="16"/>
                <w:szCs w:val="16"/>
              </w:rPr>
            </w:pPr>
            <w:r>
              <w:rPr>
                <w:rFonts w:cs="Arial"/>
                <w:bCs/>
                <w:iCs/>
                <w:color w:val="0D0D0D" w:themeColor="text1" w:themeTint="F2"/>
                <w:spacing w:val="-4"/>
                <w:sz w:val="16"/>
                <w:szCs w:val="16"/>
              </w:rPr>
              <w:t>V šestině okresů evidovaly ÚP převis nabídky volných pozic nad počtem uchazečů.</w:t>
            </w:r>
          </w:p>
          <w:p w:rsidR="00F853A5" w:rsidRDefault="00F853A5" w:rsidP="00F853A5">
            <w:pPr>
              <w:spacing w:line="240" w:lineRule="auto"/>
              <w:rPr>
                <w:rFonts w:cs="Arial"/>
                <w:bCs/>
                <w:iCs/>
                <w:color w:val="0D0D0D" w:themeColor="text1" w:themeTint="F2"/>
                <w:spacing w:val="-4"/>
                <w:sz w:val="16"/>
                <w:szCs w:val="16"/>
              </w:rPr>
            </w:pPr>
          </w:p>
          <w:p w:rsidR="00F853A5" w:rsidRDefault="00F853A5" w:rsidP="00F853A5">
            <w:pPr>
              <w:spacing w:line="240" w:lineRule="auto"/>
              <w:rPr>
                <w:rFonts w:cs="Arial"/>
                <w:bCs/>
                <w:iCs/>
                <w:color w:val="0D0D0D" w:themeColor="text1" w:themeTint="F2"/>
                <w:spacing w:val="-4"/>
                <w:sz w:val="16"/>
                <w:szCs w:val="16"/>
              </w:rPr>
            </w:pPr>
          </w:p>
          <w:p w:rsidR="00F853A5" w:rsidRDefault="00F853A5" w:rsidP="00F853A5">
            <w:pPr>
              <w:spacing w:line="240" w:lineRule="auto"/>
              <w:rPr>
                <w:rFonts w:cs="Arial"/>
                <w:bCs/>
                <w:iCs/>
                <w:color w:val="0D0D0D" w:themeColor="text1" w:themeTint="F2"/>
                <w:spacing w:val="-4"/>
                <w:sz w:val="16"/>
                <w:szCs w:val="16"/>
              </w:rPr>
            </w:pPr>
            <w:r>
              <w:rPr>
                <w:rFonts w:cs="Arial"/>
                <w:bCs/>
                <w:iCs/>
                <w:color w:val="0D0D0D" w:themeColor="text1" w:themeTint="F2"/>
                <w:spacing w:val="-4"/>
                <w:sz w:val="16"/>
                <w:szCs w:val="16"/>
              </w:rPr>
              <w:t>Velmi dobré možnosti uplatnění prostř</w:t>
            </w:r>
            <w:r w:rsidR="00E0446B">
              <w:rPr>
                <w:rFonts w:cs="Arial"/>
                <w:bCs/>
                <w:iCs/>
                <w:color w:val="0D0D0D" w:themeColor="text1" w:themeTint="F2"/>
                <w:spacing w:val="-4"/>
                <w:sz w:val="16"/>
                <w:szCs w:val="16"/>
              </w:rPr>
              <w:t>ednictvím nabídky ÚP přetrvávaly</w:t>
            </w:r>
            <w:r>
              <w:rPr>
                <w:rFonts w:cs="Arial"/>
                <w:bCs/>
                <w:iCs/>
                <w:color w:val="0D0D0D" w:themeColor="text1" w:themeTint="F2"/>
                <w:spacing w:val="-4"/>
                <w:sz w:val="16"/>
                <w:szCs w:val="16"/>
              </w:rPr>
              <w:t xml:space="preserve"> u specialistů a kvalifikovaných manuálních pracovníků, výrazně se meziročně zlepšilo postavení lidí s nejnižší kvalifikací.</w:t>
            </w:r>
          </w:p>
          <w:p w:rsidR="003D6B55" w:rsidRPr="00B1163E" w:rsidRDefault="003D6B55" w:rsidP="00A0172C">
            <w:pPr>
              <w:spacing w:line="240" w:lineRule="auto"/>
              <w:rPr>
                <w:rFonts w:cs="Arial"/>
                <w:bCs/>
                <w:iCs/>
                <w:color w:val="0D0D0D" w:themeColor="text1" w:themeTint="F2"/>
                <w:spacing w:val="-4"/>
                <w:sz w:val="16"/>
                <w:szCs w:val="16"/>
              </w:rPr>
            </w:pPr>
          </w:p>
        </w:tc>
        <w:tc>
          <w:tcPr>
            <w:tcW w:w="144" w:type="pct"/>
          </w:tcPr>
          <w:p w:rsidR="003D6B55" w:rsidRPr="009720D9" w:rsidRDefault="003D6B55" w:rsidP="00A0172C">
            <w:pPr>
              <w:pStyle w:val="Textpoznpodarou"/>
              <w:jc w:val="both"/>
              <w:rPr>
                <w:color w:val="0D0D0D" w:themeColor="text1" w:themeTint="F2"/>
              </w:rPr>
            </w:pPr>
          </w:p>
        </w:tc>
        <w:tc>
          <w:tcPr>
            <w:tcW w:w="3868" w:type="pct"/>
          </w:tcPr>
          <w:p w:rsidR="003D6B55" w:rsidRPr="00F02A72" w:rsidRDefault="00F853A5" w:rsidP="003D6B55">
            <w:pPr>
              <w:pStyle w:val="Textpoznpodarou"/>
              <w:jc w:val="both"/>
              <w:rPr>
                <w:rFonts w:cs="Arial"/>
                <w:color w:val="0D0D0D" w:themeColor="text1" w:themeTint="F2"/>
                <w:spacing w:val="-2"/>
              </w:rPr>
            </w:pPr>
            <w:r w:rsidRPr="00F02A72">
              <w:rPr>
                <w:rFonts w:cs="Arial"/>
                <w:color w:val="0D0D0D" w:themeColor="text1" w:themeTint="F2"/>
                <w:spacing w:val="-2"/>
              </w:rPr>
              <w:t xml:space="preserve">Na konci března připadalo na jedno volné pracovní místo 2,4 uchazečů. Šestina okresů dokonce registrovala převis nabídky míst nad počtem uchazečů. Méně než 1,5 uchazeče na místo vykazovala téměř třetina okresů (v JZ </w:t>
            </w:r>
            <w:r w:rsidR="00D875B6">
              <w:rPr>
                <w:rFonts w:cs="Arial"/>
                <w:color w:val="0D0D0D" w:themeColor="text1" w:themeTint="F2"/>
                <w:spacing w:val="-2"/>
              </w:rPr>
              <w:t>Čechách, v Praze a</w:t>
            </w:r>
            <w:r w:rsidR="00D875B6" w:rsidRPr="00535F78">
              <w:rPr>
                <w:rFonts w:cs="Arial"/>
                <w:color w:val="0D0D0D" w:themeColor="text1" w:themeTint="F2"/>
              </w:rPr>
              <w:t> </w:t>
            </w:r>
            <w:r w:rsidRPr="00F02A72">
              <w:rPr>
                <w:rFonts w:cs="Arial"/>
                <w:color w:val="0D0D0D" w:themeColor="text1" w:themeTint="F2"/>
                <w:spacing w:val="-2"/>
              </w:rPr>
              <w:t>okolí a ve spádových oblastech silné koncentrace automobilového průmyslu). Z pohledu kvalifikace měli velmi dobré vyhlídky na uplatnění specialisté (1,4 volných míst na uchazeče v této skupině) a kvalifikovaní manuální pracovníci – řemeslníci a</w:t>
            </w:r>
            <w:r w:rsidR="00E0446B" w:rsidRPr="00535F78">
              <w:rPr>
                <w:rFonts w:cs="Arial"/>
                <w:color w:val="0D0D0D" w:themeColor="text1" w:themeTint="F2"/>
              </w:rPr>
              <w:t> </w:t>
            </w:r>
            <w:r w:rsidRPr="00F02A72">
              <w:rPr>
                <w:rFonts w:cs="Arial"/>
                <w:color w:val="0D0D0D" w:themeColor="text1" w:themeTint="F2"/>
                <w:spacing w:val="-2"/>
              </w:rPr>
              <w:t>opraváři (1,5) a zejména montéři a osoby obsluhující stroje a zařízení (1,0). Možnost uplatnění se proti loňskému březnu zlepšila ve všech kvalifikačních třídách, především v početně nejvýznamnější skupině pomocných a nekvalifikovaných pracovníků (z 5,7 na 3,3). Tato skutečnost se přirozeně odrazila i ve významném snížení počtu dlouhodobě nezaměstnaných uchazečů (dle VŠPS o 35 % proti 1.</w:t>
            </w:r>
            <w:r w:rsidR="00E0446B" w:rsidRPr="00535F78">
              <w:rPr>
                <w:rFonts w:cs="Arial"/>
                <w:color w:val="0D0D0D" w:themeColor="text1" w:themeTint="F2"/>
              </w:rPr>
              <w:t> </w:t>
            </w:r>
            <w:r w:rsidRPr="00F02A72">
              <w:rPr>
                <w:rFonts w:cs="Arial"/>
                <w:color w:val="0D0D0D" w:themeColor="text1" w:themeTint="F2"/>
                <w:spacing w:val="-2"/>
              </w:rPr>
              <w:t>čtvrtletí 2016), jakož míry nezaměstnanosti osob se základním vzděláním (z 22,2 % na 16,2 %).</w:t>
            </w:r>
          </w:p>
          <w:p w:rsidR="00F853A5" w:rsidRPr="00F02A72" w:rsidRDefault="00F853A5" w:rsidP="003D6B55">
            <w:pPr>
              <w:pStyle w:val="Textpoznpodarou"/>
              <w:jc w:val="both"/>
              <w:rPr>
                <w:rFonts w:cs="Arial"/>
                <w:color w:val="0D0D0D" w:themeColor="text1" w:themeTint="F2"/>
                <w:spacing w:val="-2"/>
                <w:sz w:val="14"/>
                <w:szCs w:val="14"/>
              </w:rPr>
            </w:pPr>
          </w:p>
        </w:tc>
      </w:tr>
      <w:tr w:rsidR="00F853A5" w:rsidRPr="007D17B9" w:rsidTr="00A0172C">
        <w:tc>
          <w:tcPr>
            <w:tcW w:w="988" w:type="pct"/>
          </w:tcPr>
          <w:p w:rsidR="00F853A5" w:rsidRDefault="00F853A5" w:rsidP="00A0172C">
            <w:pPr>
              <w:spacing w:line="240" w:lineRule="auto"/>
              <w:rPr>
                <w:rFonts w:cs="Arial"/>
                <w:bCs/>
                <w:iCs/>
                <w:color w:val="0D0D0D" w:themeColor="text1" w:themeTint="F2"/>
                <w:spacing w:val="-4"/>
                <w:sz w:val="16"/>
                <w:szCs w:val="16"/>
              </w:rPr>
            </w:pPr>
            <w:r>
              <w:rPr>
                <w:rFonts w:cs="Arial"/>
                <w:bCs/>
                <w:iCs/>
                <w:color w:val="0D0D0D" w:themeColor="text1" w:themeTint="F2"/>
                <w:spacing w:val="-4"/>
                <w:sz w:val="16"/>
                <w:szCs w:val="16"/>
              </w:rPr>
              <w:t xml:space="preserve">Meziroční růst průměrných mezd zrychlil </w:t>
            </w:r>
            <w:r w:rsidRPr="00B1163E">
              <w:rPr>
                <w:rFonts w:cs="Arial"/>
                <w:bCs/>
                <w:iCs/>
                <w:color w:val="0D0D0D" w:themeColor="text1" w:themeTint="F2"/>
                <w:spacing w:val="-4"/>
                <w:sz w:val="16"/>
                <w:szCs w:val="16"/>
              </w:rPr>
              <w:t xml:space="preserve">na 5,3 %, </w:t>
            </w:r>
            <w:r>
              <w:rPr>
                <w:rFonts w:cs="Arial"/>
                <w:bCs/>
                <w:iCs/>
                <w:color w:val="0D0D0D" w:themeColor="text1" w:themeTint="F2"/>
                <w:spacing w:val="-4"/>
                <w:sz w:val="16"/>
                <w:szCs w:val="16"/>
              </w:rPr>
              <w:t>šlo o nejvyšší tempo od konce roku 2008.</w:t>
            </w:r>
          </w:p>
          <w:p w:rsidR="00F853A5" w:rsidRPr="00B1163E" w:rsidRDefault="00F853A5" w:rsidP="00A0172C">
            <w:pPr>
              <w:spacing w:line="240" w:lineRule="auto"/>
              <w:rPr>
                <w:rFonts w:cs="Arial"/>
                <w:bCs/>
                <w:iCs/>
                <w:color w:val="0D0D0D" w:themeColor="text1" w:themeTint="F2"/>
                <w:spacing w:val="-4"/>
                <w:sz w:val="16"/>
                <w:szCs w:val="16"/>
              </w:rPr>
            </w:pPr>
          </w:p>
        </w:tc>
        <w:tc>
          <w:tcPr>
            <w:tcW w:w="144" w:type="pct"/>
          </w:tcPr>
          <w:p w:rsidR="00F853A5" w:rsidRPr="009720D9" w:rsidRDefault="00F853A5" w:rsidP="00A0172C">
            <w:pPr>
              <w:pStyle w:val="Textpoznpodarou"/>
              <w:jc w:val="both"/>
              <w:rPr>
                <w:color w:val="0D0D0D" w:themeColor="text1" w:themeTint="F2"/>
              </w:rPr>
            </w:pPr>
          </w:p>
        </w:tc>
        <w:tc>
          <w:tcPr>
            <w:tcW w:w="3868" w:type="pct"/>
          </w:tcPr>
          <w:p w:rsidR="00F853A5" w:rsidRPr="00F02A72" w:rsidRDefault="00F853A5" w:rsidP="00A0172C">
            <w:pPr>
              <w:pStyle w:val="Textpoznpodarou"/>
              <w:jc w:val="both"/>
              <w:rPr>
                <w:rFonts w:cs="Arial"/>
                <w:color w:val="0D0D0D" w:themeColor="text1" w:themeTint="F2"/>
                <w:spacing w:val="-2"/>
              </w:rPr>
            </w:pPr>
            <w:r w:rsidRPr="00F02A72">
              <w:rPr>
                <w:rFonts w:cs="Arial"/>
                <w:color w:val="0D0D0D" w:themeColor="text1" w:themeTint="F2"/>
                <w:spacing w:val="-2"/>
              </w:rPr>
              <w:t>Na mzdový vývoj působily v 1.</w:t>
            </w:r>
            <w:r w:rsidR="005914F2">
              <w:rPr>
                <w:rFonts w:cs="Arial"/>
                <w:color w:val="0D0D0D" w:themeColor="text1" w:themeTint="F2"/>
                <w:spacing w:val="-2"/>
              </w:rPr>
              <w:t xml:space="preserve"> </w:t>
            </w:r>
            <w:r w:rsidRPr="00F02A72">
              <w:rPr>
                <w:rFonts w:cs="Arial"/>
                <w:color w:val="0D0D0D" w:themeColor="text1" w:themeTint="F2"/>
                <w:spacing w:val="-2"/>
              </w:rPr>
              <w:t xml:space="preserve">čtvrtletí podobné faktory jako v předešlém roce. Pokračující pokles nezaměstnanosti dále redukoval zdroje využitelné pracovní síly, meziročně se snížil i počet neaktivních osob, které uváděly, že by chtěly pracovat. Podniky tak svůj růst musely stále častěji řešit přetahováním stávajících zaměstnanců na pracovním trhu. Meziroční tempo růstu průměrných mezd (při </w:t>
            </w:r>
            <w:r w:rsidRPr="00F02A72">
              <w:rPr>
                <w:rFonts w:cs="Arial"/>
                <w:color w:val="0D0D0D" w:themeColor="text1" w:themeTint="F2"/>
                <w:spacing w:val="-2"/>
              </w:rPr>
              <w:lastRenderedPageBreak/>
              <w:t xml:space="preserve">zohlednění délky úvazku) se v 1. čtvrtletí zvýšilo na 5,3 %, během loňského roku kolísalo mírně pod 4 %. Zrychlení růstu bylo letos ovlivněno i vyšším počtem odpracovaných hodin. </w:t>
            </w:r>
          </w:p>
          <w:p w:rsidR="00F853A5" w:rsidRPr="00365E26" w:rsidRDefault="00F853A5" w:rsidP="00A0172C">
            <w:pPr>
              <w:pStyle w:val="Textpoznpodarou"/>
              <w:jc w:val="both"/>
              <w:rPr>
                <w:rFonts w:cs="Arial"/>
                <w:color w:val="0D0D0D" w:themeColor="text1" w:themeTint="F2"/>
                <w:spacing w:val="-2"/>
                <w:sz w:val="14"/>
                <w:szCs w:val="14"/>
              </w:rPr>
            </w:pPr>
          </w:p>
        </w:tc>
      </w:tr>
      <w:tr w:rsidR="00F853A5" w:rsidRPr="007D17B9" w:rsidTr="003D6B55">
        <w:tc>
          <w:tcPr>
            <w:tcW w:w="988" w:type="pct"/>
          </w:tcPr>
          <w:p w:rsidR="00F853A5" w:rsidRDefault="00F853A5" w:rsidP="00F853A5">
            <w:pPr>
              <w:spacing w:line="240" w:lineRule="auto"/>
              <w:rPr>
                <w:rFonts w:cs="Arial"/>
                <w:bCs/>
                <w:iCs/>
                <w:color w:val="0D0D0D" w:themeColor="text1" w:themeTint="F2"/>
                <w:spacing w:val="-4"/>
                <w:sz w:val="16"/>
                <w:szCs w:val="16"/>
              </w:rPr>
            </w:pPr>
            <w:r>
              <w:rPr>
                <w:rFonts w:cs="Arial"/>
                <w:bCs/>
                <w:iCs/>
                <w:color w:val="0D0D0D" w:themeColor="text1" w:themeTint="F2"/>
                <w:spacing w:val="-4"/>
                <w:sz w:val="16"/>
                <w:szCs w:val="16"/>
              </w:rPr>
              <w:lastRenderedPageBreak/>
              <w:t xml:space="preserve">Za zrychlením </w:t>
            </w:r>
            <w:r w:rsidR="005914F2">
              <w:rPr>
                <w:rFonts w:cs="Arial"/>
                <w:bCs/>
                <w:iCs/>
                <w:color w:val="0D0D0D" w:themeColor="text1" w:themeTint="F2"/>
                <w:spacing w:val="-4"/>
                <w:sz w:val="16"/>
                <w:szCs w:val="16"/>
              </w:rPr>
              <w:t xml:space="preserve">růstu mezd </w:t>
            </w:r>
            <w:r>
              <w:rPr>
                <w:rFonts w:cs="Arial"/>
                <w:bCs/>
                <w:iCs/>
                <w:color w:val="0D0D0D" w:themeColor="text1" w:themeTint="F2"/>
                <w:spacing w:val="-4"/>
                <w:sz w:val="16"/>
                <w:szCs w:val="16"/>
              </w:rPr>
              <w:t>stály především sílící obtíže podniků při hledání nových zaměstnanců nejen v průmyslu, ale i napříč většinou odvětví služeb, dílčí vliv mělo také pokračující navyšování úrovně minimální mzdy.</w:t>
            </w:r>
          </w:p>
          <w:p w:rsidR="00F853A5" w:rsidRDefault="00F853A5" w:rsidP="00F853A5">
            <w:pPr>
              <w:spacing w:line="240" w:lineRule="auto"/>
              <w:rPr>
                <w:rFonts w:cs="Arial"/>
                <w:bCs/>
                <w:iCs/>
                <w:color w:val="0D0D0D" w:themeColor="text1" w:themeTint="F2"/>
                <w:spacing w:val="-4"/>
                <w:sz w:val="16"/>
                <w:szCs w:val="16"/>
              </w:rPr>
            </w:pPr>
          </w:p>
          <w:p w:rsidR="00F853A5" w:rsidRDefault="00F853A5" w:rsidP="00F853A5">
            <w:pPr>
              <w:spacing w:line="240" w:lineRule="auto"/>
              <w:rPr>
                <w:rFonts w:cs="Arial"/>
                <w:bCs/>
                <w:iCs/>
                <w:color w:val="0D0D0D" w:themeColor="text1" w:themeTint="F2"/>
                <w:spacing w:val="-4"/>
                <w:sz w:val="16"/>
                <w:szCs w:val="16"/>
              </w:rPr>
            </w:pPr>
          </w:p>
          <w:p w:rsidR="00F853A5" w:rsidRPr="00A74192" w:rsidRDefault="00F853A5" w:rsidP="00F853A5">
            <w:pPr>
              <w:spacing w:line="240" w:lineRule="auto"/>
              <w:ind w:right="-19"/>
              <w:rPr>
                <w:sz w:val="16"/>
                <w:szCs w:val="16"/>
              </w:rPr>
            </w:pPr>
            <w:r>
              <w:rPr>
                <w:rFonts w:cs="Arial"/>
                <w:bCs/>
                <w:iCs/>
                <w:color w:val="0D0D0D" w:themeColor="text1" w:themeTint="F2"/>
                <w:spacing w:val="-4"/>
                <w:sz w:val="16"/>
                <w:szCs w:val="16"/>
              </w:rPr>
              <w:t>Sílící inflace spotřebitelských cen zredukovala mzdový růst o téměř polovinu, reálně si zaměst</w:t>
            </w:r>
            <w:r w:rsidR="00F71F0F">
              <w:rPr>
                <w:rFonts w:cs="Arial"/>
                <w:bCs/>
                <w:iCs/>
                <w:color w:val="0D0D0D" w:themeColor="text1" w:themeTint="F2"/>
                <w:spacing w:val="-4"/>
                <w:sz w:val="16"/>
                <w:szCs w:val="16"/>
              </w:rPr>
              <w:t>nanci meziročně polepšili o 2,8 </w:t>
            </w:r>
            <w:r>
              <w:rPr>
                <w:rFonts w:cs="Arial"/>
                <w:bCs/>
                <w:iCs/>
                <w:color w:val="0D0D0D" w:themeColor="text1" w:themeTint="F2"/>
                <w:spacing w:val="-4"/>
                <w:sz w:val="16"/>
                <w:szCs w:val="16"/>
              </w:rPr>
              <w:t>%.</w:t>
            </w:r>
          </w:p>
        </w:tc>
        <w:tc>
          <w:tcPr>
            <w:tcW w:w="144" w:type="pct"/>
          </w:tcPr>
          <w:p w:rsidR="00F853A5" w:rsidRPr="00A74192" w:rsidRDefault="00F853A5" w:rsidP="00A0172C">
            <w:pPr>
              <w:pStyle w:val="Textpoznpodarou"/>
              <w:jc w:val="both"/>
            </w:pPr>
          </w:p>
        </w:tc>
        <w:tc>
          <w:tcPr>
            <w:tcW w:w="3868" w:type="pct"/>
          </w:tcPr>
          <w:p w:rsidR="00F853A5" w:rsidRPr="00F02A72" w:rsidRDefault="00F853A5" w:rsidP="00A0172C">
            <w:pPr>
              <w:pStyle w:val="Textpoznpodarou"/>
              <w:ind w:right="-35"/>
              <w:jc w:val="both"/>
              <w:rPr>
                <w:spacing w:val="-2"/>
                <w:sz w:val="16"/>
                <w:szCs w:val="16"/>
              </w:rPr>
            </w:pPr>
            <w:r w:rsidRPr="00F02A72">
              <w:rPr>
                <w:rFonts w:cs="Arial"/>
                <w:color w:val="0D0D0D" w:themeColor="text1" w:themeTint="F2"/>
                <w:spacing w:val="-2"/>
              </w:rPr>
              <w:t>Nejvyšší mzdovou dynamiku vykázalo stejně jako na počátku let 2015 i 2016 odvětví ubytování, stravování a pohostinství (+11,8 %). Dařilo se i administrativním a podpůrným činnostem (+7,2 %). Vysoká tempa v obou odvětvích reflektovala lednové navýšení minimální mzdy v ekonomice (z 9 900 na 11 000. korun), neboť jde o činnosti s dlouhodobě nejnižší úrovní průměrných mezd. Pozici odvětví s nejvyšší průměrnou mzdou (54,1 tis.) převzaly informační a komunikační činnosti (+4,7 %)</w:t>
            </w:r>
            <w:r w:rsidR="00AE6CDA">
              <w:rPr>
                <w:rFonts w:cs="Arial"/>
                <w:color w:val="0D0D0D" w:themeColor="text1" w:themeTint="F2"/>
                <w:spacing w:val="-2"/>
              </w:rPr>
              <w:t>,</w:t>
            </w:r>
            <w:r w:rsidRPr="00F02A72">
              <w:rPr>
                <w:rFonts w:cs="Arial"/>
                <w:color w:val="0D0D0D" w:themeColor="text1" w:themeTint="F2"/>
                <w:spacing w:val="-2"/>
              </w:rPr>
              <w:t xml:space="preserve"> a vystřídaly tak dříve dominantní peněžnictví a pojišťovnictví (+3,4 %). V odvětvích s dominancí státu se situace na rozdíl od počátku loňského roku příliš nelišila. Nejvíce se platy zvyšovaly ve zdravotnictví a sociální péči (+6,2 %). I přes výrazné zrychlení tempa (z loňských +1,8 % na </w:t>
            </w:r>
            <w:r w:rsidR="00AE6CDA">
              <w:rPr>
                <w:rFonts w:cs="Arial"/>
                <w:color w:val="0D0D0D" w:themeColor="text1" w:themeTint="F2"/>
                <w:spacing w:val="-2"/>
              </w:rPr>
              <w:t>4,9 %)</w:t>
            </w:r>
            <w:r w:rsidRPr="00F02A72">
              <w:rPr>
                <w:rFonts w:cs="Arial"/>
                <w:color w:val="0D0D0D" w:themeColor="text1" w:themeTint="F2"/>
                <w:spacing w:val="-2"/>
              </w:rPr>
              <w:t xml:space="preserve"> zůstával i letos růst platů ve vzdělávání pod úrovní celé ekonomiky. Nejnižší b</w:t>
            </w:r>
            <w:r w:rsidR="00F6260B">
              <w:rPr>
                <w:rFonts w:cs="Arial"/>
                <w:color w:val="0D0D0D" w:themeColor="text1" w:themeTint="F2"/>
                <w:spacing w:val="-2"/>
              </w:rPr>
              <w:t>yl mzdový růst mezi odvětvími v</w:t>
            </w:r>
            <w:r w:rsidR="00F6260B" w:rsidRPr="00F02A72">
              <w:rPr>
                <w:rFonts w:cs="Arial"/>
                <w:color w:val="0D0D0D" w:themeColor="text1" w:themeTint="F2"/>
                <w:spacing w:val="-2"/>
              </w:rPr>
              <w:t> </w:t>
            </w:r>
            <w:r w:rsidRPr="00F02A72">
              <w:rPr>
                <w:rFonts w:cs="Arial"/>
                <w:color w:val="0D0D0D" w:themeColor="text1" w:themeTint="F2"/>
                <w:spacing w:val="-2"/>
              </w:rPr>
              <w:t>těžbě a dobývání (+0,7 %), nepřízni</w:t>
            </w:r>
            <w:r w:rsidR="00F6260B">
              <w:rPr>
                <w:rFonts w:cs="Arial"/>
                <w:color w:val="0D0D0D" w:themeColor="text1" w:themeTint="F2"/>
                <w:spacing w:val="-2"/>
              </w:rPr>
              <w:t>vou situaci dokreslovala i dlouhodob</w:t>
            </w:r>
            <w:r w:rsidRPr="00F02A72">
              <w:rPr>
                <w:rFonts w:cs="Arial"/>
                <w:color w:val="0D0D0D" w:themeColor="text1" w:themeTint="F2"/>
                <w:spacing w:val="-2"/>
              </w:rPr>
              <w:t>á redukce počtu zaměstnanců (v 1. čtvrtletí o 6,9 % meziročně). Přestože celkový růst mezd byl letos nejvyšší od konce roku 2008, reálné se mzdy navýšily již jen o 2,8 %, tedy slabším tempem než na počátku loňského roku.</w:t>
            </w:r>
          </w:p>
        </w:tc>
      </w:tr>
    </w:tbl>
    <w:p w:rsidR="003D6B55" w:rsidRDefault="003D6B55" w:rsidP="00D84BD1">
      <w:pPr>
        <w:rPr>
          <w:sz w:val="18"/>
          <w:szCs w:val="18"/>
          <w:lang w:eastAsia="ar-SA"/>
        </w:rPr>
      </w:pPr>
    </w:p>
    <w:tbl>
      <w:tblPr>
        <w:tblW w:w="4963" w:type="pct"/>
        <w:tblInd w:w="108" w:type="dxa"/>
        <w:tblLayout w:type="fixed"/>
        <w:tblLook w:val="00A0"/>
      </w:tblPr>
      <w:tblGrid>
        <w:gridCol w:w="1997"/>
        <w:gridCol w:w="284"/>
        <w:gridCol w:w="1119"/>
        <w:gridCol w:w="6381"/>
      </w:tblGrid>
      <w:tr w:rsidR="003D6B55" w:rsidRPr="00AA4A76" w:rsidTr="003D6B55">
        <w:trPr>
          <w:trHeight w:val="145"/>
        </w:trPr>
        <w:tc>
          <w:tcPr>
            <w:tcW w:w="1021" w:type="pct"/>
            <w:shd w:val="clear" w:color="auto" w:fill="auto"/>
          </w:tcPr>
          <w:p w:rsidR="003D6B55" w:rsidRPr="00AA4A76" w:rsidRDefault="003D6B55" w:rsidP="00A0172C">
            <w:pPr>
              <w:spacing w:line="240" w:lineRule="auto"/>
              <w:jc w:val="center"/>
              <w:rPr>
                <w:color w:val="000000"/>
                <w:szCs w:val="20"/>
              </w:rPr>
            </w:pPr>
          </w:p>
        </w:tc>
        <w:tc>
          <w:tcPr>
            <w:tcW w:w="145" w:type="pct"/>
          </w:tcPr>
          <w:p w:rsidR="003D6B55" w:rsidRPr="00AA4A76" w:rsidRDefault="003D6B55" w:rsidP="00A0172C">
            <w:pPr>
              <w:pStyle w:val="Textpoznpodarou"/>
              <w:jc w:val="both"/>
              <w:rPr>
                <w:highlight w:val="yellow"/>
              </w:rPr>
            </w:pPr>
          </w:p>
        </w:tc>
        <w:tc>
          <w:tcPr>
            <w:tcW w:w="572" w:type="pct"/>
          </w:tcPr>
          <w:p w:rsidR="003D6B55" w:rsidRPr="00AA4A76" w:rsidRDefault="003D6B55" w:rsidP="00A0172C">
            <w:pPr>
              <w:pStyle w:val="Textpoznpodarou"/>
              <w:jc w:val="both"/>
              <w:rPr>
                <w:highlight w:val="yellow"/>
              </w:rPr>
            </w:pPr>
            <w:r>
              <w:rPr>
                <w:color w:val="000000"/>
              </w:rPr>
              <w:t>Graf č. 16</w:t>
            </w:r>
          </w:p>
        </w:tc>
        <w:tc>
          <w:tcPr>
            <w:tcW w:w="3262" w:type="pct"/>
          </w:tcPr>
          <w:p w:rsidR="003D6B55" w:rsidRDefault="003D6B55" w:rsidP="00A0172C">
            <w:pPr>
              <w:pStyle w:val="Textpoznpodarou"/>
              <w:rPr>
                <w:b/>
                <w:spacing w:val="-2"/>
                <w:lang w:eastAsia="en-US"/>
              </w:rPr>
            </w:pPr>
            <w:r>
              <w:rPr>
                <w:b/>
                <w:spacing w:val="-2"/>
                <w:lang w:eastAsia="en-US"/>
              </w:rPr>
              <w:t>Hrubá měsíční mzda nominálně,</w:t>
            </w:r>
            <w:r w:rsidRPr="00886A8F">
              <w:rPr>
                <w:b/>
                <w:spacing w:val="-2"/>
                <w:lang w:eastAsia="en-US"/>
              </w:rPr>
              <w:t xml:space="preserve"> reálně</w:t>
            </w:r>
            <w:r>
              <w:rPr>
                <w:b/>
                <w:spacing w:val="-2"/>
                <w:lang w:eastAsia="en-US"/>
              </w:rPr>
              <w:t xml:space="preserve"> mzdový medián</w:t>
            </w:r>
            <w:r w:rsidRPr="00886A8F">
              <w:rPr>
                <w:b/>
                <w:spacing w:val="-2"/>
                <w:lang w:eastAsia="en-US"/>
              </w:rPr>
              <w:t xml:space="preserve"> </w:t>
            </w:r>
          </w:p>
          <w:p w:rsidR="003D6B55" w:rsidRPr="00886A8F" w:rsidRDefault="003D6B55" w:rsidP="00A0172C">
            <w:pPr>
              <w:pStyle w:val="Textpoznpodarou"/>
              <w:rPr>
                <w:spacing w:val="-2"/>
                <w:lang w:eastAsia="en-US"/>
              </w:rPr>
            </w:pPr>
            <w:r w:rsidRPr="00582DA0">
              <w:rPr>
                <w:spacing w:val="-6"/>
                <w:lang w:eastAsia="en-US"/>
              </w:rPr>
              <w:t>(</w:t>
            </w:r>
            <w:r>
              <w:rPr>
                <w:spacing w:val="-6"/>
                <w:lang w:eastAsia="en-US"/>
              </w:rPr>
              <w:t xml:space="preserve">na </w:t>
            </w:r>
            <w:r w:rsidRPr="00582DA0">
              <w:rPr>
                <w:spacing w:val="-6"/>
                <w:lang w:eastAsia="en-US"/>
              </w:rPr>
              <w:t>přepo</w:t>
            </w:r>
            <w:r w:rsidR="00535F78">
              <w:rPr>
                <w:spacing w:val="-6"/>
                <w:lang w:eastAsia="en-US"/>
              </w:rPr>
              <w:t xml:space="preserve">čtené počty zaměstnanců, </w:t>
            </w:r>
            <w:r w:rsidR="00535F78" w:rsidRPr="00E62A33">
              <w:rPr>
                <w:spacing w:val="-2"/>
              </w:rPr>
              <w:t>meziročně</w:t>
            </w:r>
            <w:r w:rsidR="00535F78" w:rsidRPr="00E62A33">
              <w:rPr>
                <w:bCs/>
                <w:spacing w:val="-2"/>
              </w:rPr>
              <w:t xml:space="preserve"> v %)</w:t>
            </w:r>
          </w:p>
        </w:tc>
      </w:tr>
      <w:tr w:rsidR="003D6B55" w:rsidRPr="00AA4A76" w:rsidTr="003D6B55">
        <w:trPr>
          <w:trHeight w:val="145"/>
        </w:trPr>
        <w:tc>
          <w:tcPr>
            <w:tcW w:w="1021" w:type="pct"/>
            <w:shd w:val="clear" w:color="auto" w:fill="auto"/>
          </w:tcPr>
          <w:p w:rsidR="003D6B55" w:rsidRPr="006D3F53" w:rsidRDefault="003D6B55" w:rsidP="00A0172C">
            <w:pPr>
              <w:spacing w:line="240" w:lineRule="auto"/>
              <w:rPr>
                <w:color w:val="000000"/>
                <w:sz w:val="16"/>
                <w:szCs w:val="16"/>
                <w:highlight w:val="yellow"/>
              </w:rPr>
            </w:pPr>
          </w:p>
        </w:tc>
        <w:tc>
          <w:tcPr>
            <w:tcW w:w="145" w:type="pct"/>
          </w:tcPr>
          <w:p w:rsidR="003D6B55" w:rsidRPr="00A74192" w:rsidRDefault="003D6B55" w:rsidP="00A0172C">
            <w:pPr>
              <w:pStyle w:val="Textpoznpodarou"/>
              <w:jc w:val="both"/>
            </w:pPr>
          </w:p>
        </w:tc>
        <w:tc>
          <w:tcPr>
            <w:tcW w:w="3833" w:type="pct"/>
            <w:gridSpan w:val="2"/>
          </w:tcPr>
          <w:p w:rsidR="003D6B55" w:rsidRDefault="00535F78" w:rsidP="00A0172C">
            <w:pPr>
              <w:pStyle w:val="Textpoznpodarou"/>
              <w:ind w:left="-124"/>
              <w:jc w:val="both"/>
              <w:rPr>
                <w:sz w:val="16"/>
                <w:szCs w:val="16"/>
              </w:rPr>
            </w:pPr>
            <w:r w:rsidRPr="00535F78">
              <w:rPr>
                <w:noProof/>
                <w:sz w:val="16"/>
                <w:szCs w:val="16"/>
              </w:rPr>
              <w:drawing>
                <wp:inline distT="0" distB="0" distL="0" distR="0">
                  <wp:extent cx="4737600" cy="3553200"/>
                  <wp:effectExtent l="19050" t="0" r="5850" b="0"/>
                  <wp:docPr id="13"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D6B55" w:rsidRPr="00535F78" w:rsidRDefault="003D6B55" w:rsidP="00A0172C">
            <w:pPr>
              <w:pStyle w:val="Textpoznpodarou"/>
              <w:ind w:left="-124"/>
              <w:jc w:val="right"/>
              <w:rPr>
                <w:sz w:val="14"/>
                <w:szCs w:val="14"/>
              </w:rPr>
            </w:pPr>
            <w:r w:rsidRPr="00535F78">
              <w:rPr>
                <w:sz w:val="14"/>
                <w:szCs w:val="14"/>
              </w:rPr>
              <w:t>Zdroj: ČSÚ</w:t>
            </w:r>
          </w:p>
        </w:tc>
      </w:tr>
    </w:tbl>
    <w:p w:rsidR="00535F78" w:rsidRPr="00365E26" w:rsidRDefault="00535F78" w:rsidP="00D94859">
      <w:pPr>
        <w:rPr>
          <w:sz w:val="16"/>
          <w:szCs w:val="16"/>
          <w:lang w:eastAsia="ar-SA"/>
        </w:rPr>
      </w:pPr>
    </w:p>
    <w:sectPr w:rsidR="00535F78" w:rsidRPr="00365E26" w:rsidSect="00E57ED3">
      <w:headerReference w:type="even" r:id="rId11"/>
      <w:headerReference w:type="default" r:id="rId12"/>
      <w:footerReference w:type="even" r:id="rId13"/>
      <w:footerReference w:type="default" r:id="rId14"/>
      <w:type w:val="continuous"/>
      <w:pgSz w:w="11906" w:h="16838" w:code="9"/>
      <w:pgMar w:top="1134" w:right="1134" w:bottom="1418" w:left="1134" w:header="680" w:footer="680" w:gutter="0"/>
      <w:pgNumType w:start="2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778E" w:rsidRDefault="00B0778E" w:rsidP="00E71A58">
      <w:r>
        <w:separator/>
      </w:r>
    </w:p>
  </w:endnote>
  <w:endnote w:type="continuationSeparator" w:id="0">
    <w:p w:rsidR="00B0778E" w:rsidRDefault="00B0778E" w:rsidP="00E71A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Minion Pro">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67A0" w:rsidRDefault="00D667A0" w:rsidP="00357449">
    <w:pPr>
      <w:pStyle w:val="Zpat"/>
      <w:tabs>
        <w:tab w:val="clear" w:pos="4536"/>
        <w:tab w:val="clear" w:pos="9072"/>
        <w:tab w:val="center" w:pos="4820"/>
        <w:tab w:val="right" w:pos="9639"/>
      </w:tabs>
    </w:pPr>
    <w:r>
      <w:rPr>
        <w:noProof/>
        <w:lang w:eastAsia="cs-CZ"/>
      </w:rPr>
      <w:drawing>
        <wp:anchor distT="0" distB="0" distL="114300" distR="114300" simplePos="0" relativeHeight="251657728" behindDoc="0" locked="0" layoutInCell="1" allowOverlap="1">
          <wp:simplePos x="0" y="0"/>
          <wp:positionH relativeFrom="column">
            <wp:posOffset>5660390</wp:posOffset>
          </wp:positionH>
          <wp:positionV relativeFrom="paragraph">
            <wp:posOffset>-52070</wp:posOffset>
          </wp:positionV>
          <wp:extent cx="466725" cy="219075"/>
          <wp:effectExtent l="19050" t="0" r="9525" b="0"/>
          <wp:wrapNone/>
          <wp:docPr id="2" name="obrázek 4" descr="Descriptio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descr="Description: 3"/>
                  <pic:cNvPicPr>
                    <a:picLocks noChangeAspect="1" noChangeArrowheads="1"/>
                  </pic:cNvPicPr>
                </pic:nvPicPr>
                <pic:blipFill>
                  <a:blip r:embed="rId1"/>
                  <a:srcRect/>
                  <a:stretch>
                    <a:fillRect/>
                  </a:stretch>
                </pic:blipFill>
                <pic:spPr bwMode="auto">
                  <a:xfrm>
                    <a:off x="0" y="0"/>
                    <a:ext cx="466725" cy="219075"/>
                  </a:xfrm>
                  <a:prstGeom prst="rect">
                    <a:avLst/>
                  </a:prstGeom>
                  <a:noFill/>
                  <a:ln w="9525">
                    <a:noFill/>
                    <a:miter lim="800000"/>
                    <a:headEnd/>
                    <a:tailEnd/>
                  </a:ln>
                </pic:spPr>
              </pic:pic>
            </a:graphicData>
          </a:graphic>
        </wp:anchor>
      </w:drawing>
    </w:r>
    <w:r w:rsidR="00E33AD9" w:rsidRPr="005A21E0">
      <w:rPr>
        <w:rFonts w:ascii="Arial" w:hAnsi="Arial" w:cs="Arial"/>
        <w:sz w:val="16"/>
        <w:szCs w:val="16"/>
      </w:rPr>
      <w:fldChar w:fldCharType="begin"/>
    </w:r>
    <w:r w:rsidRPr="005A21E0">
      <w:rPr>
        <w:rFonts w:ascii="Arial" w:hAnsi="Arial" w:cs="Arial"/>
        <w:sz w:val="16"/>
        <w:szCs w:val="16"/>
      </w:rPr>
      <w:instrText>PAGE   \* MERGEFORMAT</w:instrText>
    </w:r>
    <w:r w:rsidR="00E33AD9" w:rsidRPr="005A21E0">
      <w:rPr>
        <w:rFonts w:ascii="Arial" w:hAnsi="Arial" w:cs="Arial"/>
        <w:sz w:val="16"/>
        <w:szCs w:val="16"/>
      </w:rPr>
      <w:fldChar w:fldCharType="separate"/>
    </w:r>
    <w:r w:rsidR="00E57ED3">
      <w:rPr>
        <w:rFonts w:ascii="Arial" w:hAnsi="Arial" w:cs="Arial"/>
        <w:noProof/>
        <w:sz w:val="16"/>
        <w:szCs w:val="16"/>
      </w:rPr>
      <w:t>22</w:t>
    </w:r>
    <w:r w:rsidR="00E33AD9" w:rsidRPr="005A21E0">
      <w:rPr>
        <w:rFonts w:ascii="Arial" w:hAnsi="Arial" w:cs="Arial"/>
        <w:sz w:val="16"/>
        <w:szCs w:val="16"/>
      </w:rPr>
      <w:fldChar w:fldCharType="end"/>
    </w:r>
    <w:r>
      <w:rPr>
        <w:rFonts w:ascii="Arial" w:hAnsi="Arial" w:cs="Arial"/>
        <w:sz w:val="16"/>
        <w:szCs w:val="16"/>
      </w:rPr>
      <w:tab/>
      <w:t>2017</w:t>
    </w:r>
    <w:r>
      <w:tab/>
    </w:r>
    <w: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67A0" w:rsidRDefault="00D667A0" w:rsidP="00357449">
    <w:pPr>
      <w:pStyle w:val="Zpat"/>
      <w:tabs>
        <w:tab w:val="clear" w:pos="4536"/>
        <w:tab w:val="clear" w:pos="9072"/>
        <w:tab w:val="left" w:pos="1134"/>
        <w:tab w:val="left" w:pos="1920"/>
        <w:tab w:val="center" w:pos="4820"/>
        <w:tab w:val="right" w:pos="9639"/>
      </w:tabs>
    </w:pPr>
    <w:r>
      <w:rPr>
        <w:noProof/>
        <w:lang w:eastAsia="cs-CZ"/>
      </w:rPr>
      <w:drawing>
        <wp:anchor distT="0" distB="0" distL="114300" distR="114300" simplePos="0" relativeHeight="251658752" behindDoc="0" locked="0" layoutInCell="1" allowOverlap="1">
          <wp:simplePos x="0" y="0"/>
          <wp:positionH relativeFrom="column">
            <wp:posOffset>3810</wp:posOffset>
          </wp:positionH>
          <wp:positionV relativeFrom="paragraph">
            <wp:posOffset>90170</wp:posOffset>
          </wp:positionV>
          <wp:extent cx="495300" cy="266700"/>
          <wp:effectExtent l="19050" t="0" r="0" b="0"/>
          <wp:wrapNone/>
          <wp:docPr id="3" name="obrázek 3" descr="Descriptio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Description: 3"/>
                  <pic:cNvPicPr>
                    <a:picLocks noChangeAspect="1" noChangeArrowheads="1"/>
                  </pic:cNvPicPr>
                </pic:nvPicPr>
                <pic:blipFill>
                  <a:blip r:embed="rId1"/>
                  <a:srcRect/>
                  <a:stretch>
                    <a:fillRect/>
                  </a:stretch>
                </pic:blipFill>
                <pic:spPr bwMode="auto">
                  <a:xfrm>
                    <a:off x="0" y="0"/>
                    <a:ext cx="495300" cy="266700"/>
                  </a:xfrm>
                  <a:prstGeom prst="rect">
                    <a:avLst/>
                  </a:prstGeom>
                  <a:noFill/>
                  <a:ln w="9525">
                    <a:noFill/>
                    <a:miter lim="800000"/>
                    <a:headEnd/>
                    <a:tailEnd/>
                  </a:ln>
                </pic:spPr>
              </pic:pic>
            </a:graphicData>
          </a:graphic>
        </wp:anchor>
      </w:drawing>
    </w:r>
    <w:r>
      <w:tab/>
    </w:r>
    <w:r>
      <w:tab/>
    </w:r>
    <w:r w:rsidRPr="00DC5B3B">
      <w:t xml:space="preserve">                              </w:t>
    </w:r>
  </w:p>
  <w:p w:rsidR="00D667A0" w:rsidRPr="00223E00" w:rsidRDefault="00D667A0" w:rsidP="00357449">
    <w:pPr>
      <w:pStyle w:val="Zpat"/>
      <w:tabs>
        <w:tab w:val="clear" w:pos="4536"/>
        <w:tab w:val="clear" w:pos="9072"/>
        <w:tab w:val="left" w:pos="1134"/>
        <w:tab w:val="left" w:pos="1920"/>
        <w:tab w:val="center" w:pos="4820"/>
        <w:tab w:val="left" w:pos="9262"/>
        <w:tab w:val="left" w:pos="9495"/>
        <w:tab w:val="right" w:pos="9639"/>
      </w:tabs>
    </w:pPr>
    <w:r>
      <w:rPr>
        <w:rFonts w:ascii="Arial" w:hAnsi="Arial" w:cs="Arial"/>
        <w:sz w:val="16"/>
        <w:szCs w:val="16"/>
      </w:rPr>
      <w:tab/>
    </w:r>
    <w:r>
      <w:rPr>
        <w:rFonts w:ascii="Arial" w:hAnsi="Arial" w:cs="Arial"/>
        <w:sz w:val="16"/>
        <w:szCs w:val="16"/>
      </w:rPr>
      <w:tab/>
    </w:r>
    <w:r>
      <w:rPr>
        <w:rFonts w:ascii="Arial" w:hAnsi="Arial" w:cs="Arial"/>
        <w:sz w:val="16"/>
        <w:szCs w:val="16"/>
      </w:rPr>
      <w:tab/>
      <w:t>2017</w:t>
    </w:r>
    <w:r>
      <w:rPr>
        <w:rFonts w:ascii="Arial" w:hAnsi="Arial" w:cs="Arial"/>
        <w:sz w:val="16"/>
        <w:szCs w:val="16"/>
      </w:rPr>
      <w:tab/>
    </w:r>
    <w:r w:rsidR="00E33AD9" w:rsidRPr="00223E00">
      <w:rPr>
        <w:rFonts w:ascii="Arial" w:hAnsi="Arial" w:cs="Arial"/>
        <w:sz w:val="16"/>
        <w:szCs w:val="16"/>
      </w:rPr>
      <w:fldChar w:fldCharType="begin"/>
    </w:r>
    <w:r w:rsidRPr="00223E00">
      <w:rPr>
        <w:rFonts w:ascii="Arial" w:hAnsi="Arial" w:cs="Arial"/>
        <w:sz w:val="16"/>
        <w:szCs w:val="16"/>
      </w:rPr>
      <w:instrText xml:space="preserve"> PAGE   \* MERGEFORMAT </w:instrText>
    </w:r>
    <w:r w:rsidR="00E33AD9" w:rsidRPr="00223E00">
      <w:rPr>
        <w:rFonts w:ascii="Arial" w:hAnsi="Arial" w:cs="Arial"/>
        <w:sz w:val="16"/>
        <w:szCs w:val="16"/>
      </w:rPr>
      <w:fldChar w:fldCharType="separate"/>
    </w:r>
    <w:r w:rsidR="00E57ED3">
      <w:rPr>
        <w:rFonts w:ascii="Arial" w:hAnsi="Arial" w:cs="Arial"/>
        <w:noProof/>
        <w:sz w:val="16"/>
        <w:szCs w:val="16"/>
      </w:rPr>
      <w:t>21</w:t>
    </w:r>
    <w:r w:rsidR="00E33AD9" w:rsidRPr="00223E00">
      <w:rPr>
        <w:rFonts w:ascii="Arial" w:hAnsi="Arial" w:cs="Arial"/>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778E" w:rsidRDefault="00B0778E" w:rsidP="00E71A58">
      <w:r>
        <w:separator/>
      </w:r>
    </w:p>
  </w:footnote>
  <w:footnote w:type="continuationSeparator" w:id="0">
    <w:p w:rsidR="00B0778E" w:rsidRDefault="00B0778E" w:rsidP="00E71A58">
      <w:r>
        <w:continuationSeparator/>
      </w:r>
    </w:p>
  </w:footnote>
  <w:footnote w:id="1">
    <w:p w:rsidR="00D667A0" w:rsidRPr="00B4223A" w:rsidRDefault="00D667A0" w:rsidP="00D84BD1">
      <w:pPr>
        <w:pStyle w:val="Textpoznpodarou"/>
        <w:jc w:val="both"/>
        <w:rPr>
          <w:sz w:val="16"/>
          <w:szCs w:val="16"/>
        </w:rPr>
      </w:pPr>
      <w:r w:rsidRPr="00B4223A">
        <w:rPr>
          <w:rStyle w:val="Znakapoznpodarou"/>
          <w:sz w:val="16"/>
          <w:szCs w:val="16"/>
        </w:rPr>
        <w:footnoteRef/>
      </w:r>
      <w:r w:rsidRPr="00B4223A">
        <w:rPr>
          <w:sz w:val="16"/>
          <w:szCs w:val="16"/>
        </w:rPr>
        <w:t xml:space="preserve"> Pok</w:t>
      </w:r>
      <w:r>
        <w:rPr>
          <w:sz w:val="16"/>
          <w:szCs w:val="16"/>
        </w:rPr>
        <w:t xml:space="preserve">ud není uvedeno jinak, jsou </w:t>
      </w:r>
      <w:r w:rsidRPr="00B4223A">
        <w:rPr>
          <w:sz w:val="16"/>
          <w:szCs w:val="16"/>
        </w:rPr>
        <w:t xml:space="preserve">v této kapitole </w:t>
      </w:r>
      <w:r>
        <w:rPr>
          <w:sz w:val="16"/>
          <w:szCs w:val="16"/>
        </w:rPr>
        <w:t>údaje o zaměstnanosti</w:t>
      </w:r>
      <w:r w:rsidRPr="00B4223A">
        <w:rPr>
          <w:sz w:val="16"/>
          <w:szCs w:val="16"/>
        </w:rPr>
        <w:t xml:space="preserve"> </w:t>
      </w:r>
      <w:r>
        <w:rPr>
          <w:sz w:val="16"/>
          <w:szCs w:val="16"/>
        </w:rPr>
        <w:t xml:space="preserve">uvedeny </w:t>
      </w:r>
      <w:r w:rsidRPr="00B4223A">
        <w:rPr>
          <w:sz w:val="16"/>
          <w:szCs w:val="16"/>
        </w:rPr>
        <w:t>v pojetí národních účtů v očištění o sezónní vlivy.</w:t>
      </w:r>
    </w:p>
  </w:footnote>
  <w:footnote w:id="2">
    <w:p w:rsidR="00D667A0" w:rsidRPr="00E85B0A" w:rsidRDefault="00D667A0" w:rsidP="00D84BD1">
      <w:pPr>
        <w:pStyle w:val="Textpoznpodarou"/>
        <w:jc w:val="both"/>
        <w:rPr>
          <w:sz w:val="16"/>
          <w:szCs w:val="16"/>
        </w:rPr>
      </w:pPr>
      <w:r w:rsidRPr="00E85B0A">
        <w:rPr>
          <w:rStyle w:val="Znakapoznpodarou"/>
          <w:sz w:val="16"/>
          <w:szCs w:val="16"/>
        </w:rPr>
        <w:footnoteRef/>
      </w:r>
      <w:r w:rsidRPr="00E85B0A">
        <w:rPr>
          <w:sz w:val="16"/>
          <w:szCs w:val="16"/>
        </w:rPr>
        <w:t xml:space="preserve"> Dle evidence Ředitelství služeb cizinecké policie přesáhl p</w:t>
      </w:r>
      <w:r>
        <w:rPr>
          <w:sz w:val="16"/>
          <w:szCs w:val="16"/>
        </w:rPr>
        <w:t>očet všech cizinců</w:t>
      </w:r>
      <w:r w:rsidRPr="00E85B0A">
        <w:rPr>
          <w:sz w:val="16"/>
          <w:szCs w:val="16"/>
        </w:rPr>
        <w:t xml:space="preserve"> v průběhu 1. čtvrtletí 2017 </w:t>
      </w:r>
      <w:r>
        <w:rPr>
          <w:sz w:val="16"/>
          <w:szCs w:val="16"/>
        </w:rPr>
        <w:t xml:space="preserve">poprvé v historii samostatné ČR </w:t>
      </w:r>
      <w:r w:rsidRPr="00E85B0A">
        <w:rPr>
          <w:sz w:val="16"/>
          <w:szCs w:val="16"/>
        </w:rPr>
        <w:t xml:space="preserve">půlmiliónovou hranici. S ohledem na jejich věkové složení </w:t>
      </w:r>
      <w:r>
        <w:rPr>
          <w:sz w:val="16"/>
          <w:szCs w:val="16"/>
        </w:rPr>
        <w:t xml:space="preserve">(čtyři z pěti cizinců byli ve věku 20 až 64 let) </w:t>
      </w:r>
      <w:r w:rsidRPr="00E85B0A">
        <w:rPr>
          <w:sz w:val="16"/>
          <w:szCs w:val="16"/>
        </w:rPr>
        <w:t>lze předpokládat, že se v drtivé v</w:t>
      </w:r>
      <w:r>
        <w:rPr>
          <w:sz w:val="16"/>
          <w:szCs w:val="16"/>
        </w:rPr>
        <w:t>ětšině jednalo</w:t>
      </w:r>
      <w:r w:rsidRPr="00E85B0A">
        <w:rPr>
          <w:sz w:val="16"/>
          <w:szCs w:val="16"/>
        </w:rPr>
        <w:t xml:space="preserve"> o </w:t>
      </w:r>
      <w:r>
        <w:rPr>
          <w:sz w:val="16"/>
          <w:szCs w:val="16"/>
        </w:rPr>
        <w:t>osoby intenzivně zapojené na trhu práce.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67A0" w:rsidRPr="00C00831" w:rsidRDefault="00D667A0" w:rsidP="00D766EF">
    <w:pPr>
      <w:pStyle w:val="Zhlav"/>
      <w:tabs>
        <w:tab w:val="clear" w:pos="4536"/>
        <w:tab w:val="clear" w:pos="9072"/>
        <w:tab w:val="left" w:pos="-6379"/>
        <w:tab w:val="center" w:pos="4820"/>
        <w:tab w:val="right" w:pos="9639"/>
      </w:tabs>
      <w:rPr>
        <w:rFonts w:ascii="Arial" w:hAnsi="Arial" w:cs="Arial"/>
        <w:sz w:val="16"/>
        <w:szCs w:val="16"/>
      </w:rPr>
    </w:pPr>
    <w:r>
      <w:rPr>
        <w:rFonts w:ascii="Arial" w:hAnsi="Arial" w:cs="Arial"/>
        <w:sz w:val="16"/>
        <w:szCs w:val="16"/>
      </w:rPr>
      <w:t>Vývoj ekonomiky České republiky v 1. čtvrtletí 2017</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67A0" w:rsidRPr="0030768C" w:rsidRDefault="00D667A0" w:rsidP="0030768C">
    <w:pPr>
      <w:pStyle w:val="Zhlav"/>
      <w:tabs>
        <w:tab w:val="clear" w:pos="4536"/>
        <w:tab w:val="clear" w:pos="9072"/>
        <w:tab w:val="left" w:pos="-6379"/>
        <w:tab w:val="center" w:pos="4820"/>
        <w:tab w:val="right" w:pos="9639"/>
      </w:tabs>
      <w:rPr>
        <w:rFonts w:ascii="Arial" w:hAnsi="Arial" w:cs="Arial"/>
        <w:sz w:val="16"/>
        <w:szCs w:val="16"/>
      </w:rPr>
    </w:pPr>
    <w:r>
      <w:rPr>
        <w:rFonts w:ascii="Arial" w:hAnsi="Arial" w:cs="Arial"/>
        <w:sz w:val="16"/>
        <w:szCs w:val="16"/>
      </w:rPr>
      <w:t>Vývoj ekonomiky České republiky v 1. čtvrtletí 2017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F5BAB"/>
    <w:multiLevelType w:val="hybridMultilevel"/>
    <w:tmpl w:val="4150E6BA"/>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
    <w:nsid w:val="145237E5"/>
    <w:multiLevelType w:val="hybridMultilevel"/>
    <w:tmpl w:val="DCC28300"/>
    <w:lvl w:ilvl="0" w:tplc="0405000F">
      <w:start w:val="6"/>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6FB457C"/>
    <w:multiLevelType w:val="hybridMultilevel"/>
    <w:tmpl w:val="991072CE"/>
    <w:lvl w:ilvl="0" w:tplc="0405000F">
      <w:start w:val="1"/>
      <w:numFmt w:val="decimal"/>
      <w:lvlText w:val="%1."/>
      <w:lvlJc w:val="left"/>
      <w:pPr>
        <w:ind w:left="927" w:hanging="360"/>
      </w:p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
    <w:nsid w:val="19714A0B"/>
    <w:multiLevelType w:val="hybridMultilevel"/>
    <w:tmpl w:val="11CE6D64"/>
    <w:lvl w:ilvl="0" w:tplc="0405000F">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9CF62C9"/>
    <w:multiLevelType w:val="hybridMultilevel"/>
    <w:tmpl w:val="FFCA852E"/>
    <w:lvl w:ilvl="0" w:tplc="04050001">
      <w:start w:val="1"/>
      <w:numFmt w:val="bullet"/>
      <w:lvlText w:val=""/>
      <w:lvlJc w:val="left"/>
      <w:pPr>
        <w:ind w:left="502" w:hanging="360"/>
      </w:pPr>
      <w:rPr>
        <w:rFonts w:ascii="Symbol" w:hAnsi="Symbol" w:hint="default"/>
      </w:rPr>
    </w:lvl>
    <w:lvl w:ilvl="1" w:tplc="04050003" w:tentative="1">
      <w:start w:val="1"/>
      <w:numFmt w:val="bullet"/>
      <w:lvlText w:val="o"/>
      <w:lvlJc w:val="left"/>
      <w:pPr>
        <w:ind w:left="1222" w:hanging="360"/>
      </w:pPr>
      <w:rPr>
        <w:rFonts w:ascii="Courier New" w:hAnsi="Courier New" w:hint="default"/>
      </w:rPr>
    </w:lvl>
    <w:lvl w:ilvl="2" w:tplc="04050005" w:tentative="1">
      <w:start w:val="1"/>
      <w:numFmt w:val="bullet"/>
      <w:lvlText w:val=""/>
      <w:lvlJc w:val="left"/>
      <w:pPr>
        <w:ind w:left="1942" w:hanging="360"/>
      </w:pPr>
      <w:rPr>
        <w:rFonts w:ascii="Wingdings" w:hAnsi="Wingdings" w:hint="default"/>
      </w:rPr>
    </w:lvl>
    <w:lvl w:ilvl="3" w:tplc="04050001" w:tentative="1">
      <w:start w:val="1"/>
      <w:numFmt w:val="bullet"/>
      <w:lvlText w:val=""/>
      <w:lvlJc w:val="left"/>
      <w:pPr>
        <w:ind w:left="2662" w:hanging="360"/>
      </w:pPr>
      <w:rPr>
        <w:rFonts w:ascii="Symbol" w:hAnsi="Symbol" w:hint="default"/>
      </w:rPr>
    </w:lvl>
    <w:lvl w:ilvl="4" w:tplc="04050003" w:tentative="1">
      <w:start w:val="1"/>
      <w:numFmt w:val="bullet"/>
      <w:lvlText w:val="o"/>
      <w:lvlJc w:val="left"/>
      <w:pPr>
        <w:ind w:left="3382" w:hanging="360"/>
      </w:pPr>
      <w:rPr>
        <w:rFonts w:ascii="Courier New" w:hAnsi="Courier New" w:hint="default"/>
      </w:rPr>
    </w:lvl>
    <w:lvl w:ilvl="5" w:tplc="04050005" w:tentative="1">
      <w:start w:val="1"/>
      <w:numFmt w:val="bullet"/>
      <w:lvlText w:val=""/>
      <w:lvlJc w:val="left"/>
      <w:pPr>
        <w:ind w:left="4102" w:hanging="360"/>
      </w:pPr>
      <w:rPr>
        <w:rFonts w:ascii="Wingdings" w:hAnsi="Wingdings" w:hint="default"/>
      </w:rPr>
    </w:lvl>
    <w:lvl w:ilvl="6" w:tplc="04050001" w:tentative="1">
      <w:start w:val="1"/>
      <w:numFmt w:val="bullet"/>
      <w:lvlText w:val=""/>
      <w:lvlJc w:val="left"/>
      <w:pPr>
        <w:ind w:left="4822" w:hanging="360"/>
      </w:pPr>
      <w:rPr>
        <w:rFonts w:ascii="Symbol" w:hAnsi="Symbol" w:hint="default"/>
      </w:rPr>
    </w:lvl>
    <w:lvl w:ilvl="7" w:tplc="04050003" w:tentative="1">
      <w:start w:val="1"/>
      <w:numFmt w:val="bullet"/>
      <w:lvlText w:val="o"/>
      <w:lvlJc w:val="left"/>
      <w:pPr>
        <w:ind w:left="5542" w:hanging="360"/>
      </w:pPr>
      <w:rPr>
        <w:rFonts w:ascii="Courier New" w:hAnsi="Courier New" w:hint="default"/>
      </w:rPr>
    </w:lvl>
    <w:lvl w:ilvl="8" w:tplc="04050005" w:tentative="1">
      <w:start w:val="1"/>
      <w:numFmt w:val="bullet"/>
      <w:lvlText w:val=""/>
      <w:lvlJc w:val="left"/>
      <w:pPr>
        <w:ind w:left="6262" w:hanging="360"/>
      </w:pPr>
      <w:rPr>
        <w:rFonts w:ascii="Wingdings" w:hAnsi="Wingdings" w:hint="default"/>
      </w:rPr>
    </w:lvl>
  </w:abstractNum>
  <w:abstractNum w:abstractNumId="5">
    <w:nsid w:val="23A7708B"/>
    <w:multiLevelType w:val="hybridMultilevel"/>
    <w:tmpl w:val="9CF6FB5C"/>
    <w:lvl w:ilvl="0" w:tplc="04050001">
      <w:start w:val="1"/>
      <w:numFmt w:val="bullet"/>
      <w:lvlText w:val=""/>
      <w:lvlJc w:val="left"/>
      <w:pPr>
        <w:ind w:left="1080" w:hanging="360"/>
      </w:pPr>
      <w:rPr>
        <w:rFonts w:ascii="Symbol" w:hAnsi="Symbol"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6">
    <w:nsid w:val="31AD014E"/>
    <w:multiLevelType w:val="hybridMultilevel"/>
    <w:tmpl w:val="5A5ABD9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333B18EA"/>
    <w:multiLevelType w:val="hybridMultilevel"/>
    <w:tmpl w:val="CFC2F5E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42E20C48"/>
    <w:multiLevelType w:val="hybridMultilevel"/>
    <w:tmpl w:val="991072C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nsid w:val="4C534B5E"/>
    <w:multiLevelType w:val="hybridMultilevel"/>
    <w:tmpl w:val="1180B778"/>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nsid w:val="5D4D0FE2"/>
    <w:multiLevelType w:val="hybridMultilevel"/>
    <w:tmpl w:val="ECDE864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60393E7F"/>
    <w:multiLevelType w:val="hybridMultilevel"/>
    <w:tmpl w:val="CEA2AC42"/>
    <w:lvl w:ilvl="0" w:tplc="0405000F">
      <w:start w:val="6"/>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63690D45"/>
    <w:multiLevelType w:val="hybridMultilevel"/>
    <w:tmpl w:val="7810A39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696F0669"/>
    <w:multiLevelType w:val="hybridMultilevel"/>
    <w:tmpl w:val="6B980916"/>
    <w:lvl w:ilvl="0" w:tplc="0405000F">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4">
    <w:nsid w:val="69C501C8"/>
    <w:multiLevelType w:val="hybridMultilevel"/>
    <w:tmpl w:val="0C043EB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6F805D16"/>
    <w:multiLevelType w:val="hybridMultilevel"/>
    <w:tmpl w:val="A124802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735261EC"/>
    <w:multiLevelType w:val="hybridMultilevel"/>
    <w:tmpl w:val="BFC0B07E"/>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nsid w:val="76C940DA"/>
    <w:multiLevelType w:val="hybridMultilevel"/>
    <w:tmpl w:val="D2C67DD0"/>
    <w:lvl w:ilvl="0" w:tplc="0405000F">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7ABC47DB"/>
    <w:multiLevelType w:val="hybridMultilevel"/>
    <w:tmpl w:val="AA506508"/>
    <w:lvl w:ilvl="0" w:tplc="04050001">
      <w:start w:val="1"/>
      <w:numFmt w:val="bullet"/>
      <w:lvlText w:val=""/>
      <w:lvlJc w:val="left"/>
      <w:pPr>
        <w:ind w:left="1080" w:hanging="360"/>
      </w:pPr>
      <w:rPr>
        <w:rFonts w:ascii="Symbol" w:hAnsi="Symbol"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9">
    <w:nsid w:val="7C550A0F"/>
    <w:multiLevelType w:val="hybridMultilevel"/>
    <w:tmpl w:val="A6E66A4C"/>
    <w:lvl w:ilvl="0" w:tplc="04050001">
      <w:start w:val="1"/>
      <w:numFmt w:val="bullet"/>
      <w:lvlText w:val=""/>
      <w:lvlJc w:val="left"/>
      <w:pPr>
        <w:ind w:left="502" w:hanging="360"/>
      </w:pPr>
      <w:rPr>
        <w:rFonts w:ascii="Symbol" w:hAnsi="Symbol" w:hint="default"/>
      </w:rPr>
    </w:lvl>
    <w:lvl w:ilvl="1" w:tplc="04050003" w:tentative="1">
      <w:start w:val="1"/>
      <w:numFmt w:val="bullet"/>
      <w:lvlText w:val="o"/>
      <w:lvlJc w:val="left"/>
      <w:pPr>
        <w:ind w:left="1222" w:hanging="360"/>
      </w:pPr>
      <w:rPr>
        <w:rFonts w:ascii="Courier New" w:hAnsi="Courier New" w:hint="default"/>
      </w:rPr>
    </w:lvl>
    <w:lvl w:ilvl="2" w:tplc="04050005" w:tentative="1">
      <w:start w:val="1"/>
      <w:numFmt w:val="bullet"/>
      <w:lvlText w:val=""/>
      <w:lvlJc w:val="left"/>
      <w:pPr>
        <w:ind w:left="1942" w:hanging="360"/>
      </w:pPr>
      <w:rPr>
        <w:rFonts w:ascii="Wingdings" w:hAnsi="Wingdings" w:hint="default"/>
      </w:rPr>
    </w:lvl>
    <w:lvl w:ilvl="3" w:tplc="04050001" w:tentative="1">
      <w:start w:val="1"/>
      <w:numFmt w:val="bullet"/>
      <w:lvlText w:val=""/>
      <w:lvlJc w:val="left"/>
      <w:pPr>
        <w:ind w:left="2662" w:hanging="360"/>
      </w:pPr>
      <w:rPr>
        <w:rFonts w:ascii="Symbol" w:hAnsi="Symbol" w:hint="default"/>
      </w:rPr>
    </w:lvl>
    <w:lvl w:ilvl="4" w:tplc="04050003" w:tentative="1">
      <w:start w:val="1"/>
      <w:numFmt w:val="bullet"/>
      <w:lvlText w:val="o"/>
      <w:lvlJc w:val="left"/>
      <w:pPr>
        <w:ind w:left="3382" w:hanging="360"/>
      </w:pPr>
      <w:rPr>
        <w:rFonts w:ascii="Courier New" w:hAnsi="Courier New" w:hint="default"/>
      </w:rPr>
    </w:lvl>
    <w:lvl w:ilvl="5" w:tplc="04050005" w:tentative="1">
      <w:start w:val="1"/>
      <w:numFmt w:val="bullet"/>
      <w:lvlText w:val=""/>
      <w:lvlJc w:val="left"/>
      <w:pPr>
        <w:ind w:left="4102" w:hanging="360"/>
      </w:pPr>
      <w:rPr>
        <w:rFonts w:ascii="Wingdings" w:hAnsi="Wingdings" w:hint="default"/>
      </w:rPr>
    </w:lvl>
    <w:lvl w:ilvl="6" w:tplc="04050001" w:tentative="1">
      <w:start w:val="1"/>
      <w:numFmt w:val="bullet"/>
      <w:lvlText w:val=""/>
      <w:lvlJc w:val="left"/>
      <w:pPr>
        <w:ind w:left="4822" w:hanging="360"/>
      </w:pPr>
      <w:rPr>
        <w:rFonts w:ascii="Symbol" w:hAnsi="Symbol" w:hint="default"/>
      </w:rPr>
    </w:lvl>
    <w:lvl w:ilvl="7" w:tplc="04050003" w:tentative="1">
      <w:start w:val="1"/>
      <w:numFmt w:val="bullet"/>
      <w:lvlText w:val="o"/>
      <w:lvlJc w:val="left"/>
      <w:pPr>
        <w:ind w:left="5542" w:hanging="360"/>
      </w:pPr>
      <w:rPr>
        <w:rFonts w:ascii="Courier New" w:hAnsi="Courier New" w:hint="default"/>
      </w:rPr>
    </w:lvl>
    <w:lvl w:ilvl="8" w:tplc="04050005" w:tentative="1">
      <w:start w:val="1"/>
      <w:numFmt w:val="bullet"/>
      <w:lvlText w:val=""/>
      <w:lvlJc w:val="left"/>
      <w:pPr>
        <w:ind w:left="6262" w:hanging="360"/>
      </w:pPr>
      <w:rPr>
        <w:rFonts w:ascii="Wingdings" w:hAnsi="Wingdings" w:hint="default"/>
      </w:rPr>
    </w:lvl>
  </w:abstractNum>
  <w:num w:numId="1">
    <w:abstractNumId w:val="13"/>
  </w:num>
  <w:num w:numId="2">
    <w:abstractNumId w:val="19"/>
  </w:num>
  <w:num w:numId="3">
    <w:abstractNumId w:val="10"/>
  </w:num>
  <w:num w:numId="4">
    <w:abstractNumId w:val="17"/>
  </w:num>
  <w:num w:numId="5">
    <w:abstractNumId w:val="11"/>
  </w:num>
  <w:num w:numId="6">
    <w:abstractNumId w:val="14"/>
  </w:num>
  <w:num w:numId="7">
    <w:abstractNumId w:val="4"/>
  </w:num>
  <w:num w:numId="8">
    <w:abstractNumId w:val="9"/>
  </w:num>
  <w:num w:numId="9">
    <w:abstractNumId w:val="16"/>
  </w:num>
  <w:num w:numId="10">
    <w:abstractNumId w:val="3"/>
  </w:num>
  <w:num w:numId="11">
    <w:abstractNumId w:val="7"/>
  </w:num>
  <w:num w:numId="12">
    <w:abstractNumId w:val="2"/>
  </w:num>
  <w:num w:numId="13">
    <w:abstractNumId w:val="6"/>
  </w:num>
  <w:num w:numId="14">
    <w:abstractNumId w:val="0"/>
  </w:num>
  <w:num w:numId="15">
    <w:abstractNumId w:val="15"/>
  </w:num>
  <w:num w:numId="16">
    <w:abstractNumId w:val="12"/>
  </w:num>
  <w:num w:numId="17">
    <w:abstractNumId w:val="5"/>
  </w:num>
  <w:num w:numId="18">
    <w:abstractNumId w:val="18"/>
  </w:num>
  <w:num w:numId="19">
    <w:abstractNumId w:val="8"/>
  </w:num>
  <w:num w:numId="20">
    <w:abstractNumId w:val="1"/>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attachedTemplate r:id="rId1"/>
  <w:stylePaneFormatFilter w:val="1024"/>
  <w:defaultTabStop w:val="708"/>
  <w:hyphenationZone w:val="425"/>
  <w:evenAndOddHeaders/>
  <w:drawingGridHorizontalSpacing w:val="100"/>
  <w:displayHorizontalDrawingGridEvery w:val="2"/>
  <w:characterSpacingControl w:val="doNotCompress"/>
  <w:hdrShapeDefaults>
    <o:shapedefaults v:ext="edit" spidmax="41986"/>
  </w:hdrShapeDefaults>
  <w:footnotePr>
    <w:footnote w:id="-1"/>
    <w:footnote w:id="0"/>
  </w:footnotePr>
  <w:endnotePr>
    <w:endnote w:id="-1"/>
    <w:endnote w:id="0"/>
  </w:endnotePr>
  <w:compat/>
  <w:rsids>
    <w:rsidRoot w:val="009B70BD"/>
    <w:rsid w:val="00000FA7"/>
    <w:rsid w:val="00001EFF"/>
    <w:rsid w:val="00003687"/>
    <w:rsid w:val="00003C43"/>
    <w:rsid w:val="00004C5D"/>
    <w:rsid w:val="00004EB0"/>
    <w:rsid w:val="00007498"/>
    <w:rsid w:val="0000767A"/>
    <w:rsid w:val="000101F5"/>
    <w:rsid w:val="000104B9"/>
    <w:rsid w:val="00010702"/>
    <w:rsid w:val="00010770"/>
    <w:rsid w:val="00010982"/>
    <w:rsid w:val="00011191"/>
    <w:rsid w:val="0001159B"/>
    <w:rsid w:val="000117CA"/>
    <w:rsid w:val="00012986"/>
    <w:rsid w:val="00014028"/>
    <w:rsid w:val="00015195"/>
    <w:rsid w:val="0001519F"/>
    <w:rsid w:val="0001572B"/>
    <w:rsid w:val="0001573E"/>
    <w:rsid w:val="000157DA"/>
    <w:rsid w:val="0001589D"/>
    <w:rsid w:val="00016033"/>
    <w:rsid w:val="000162DB"/>
    <w:rsid w:val="00017F05"/>
    <w:rsid w:val="000202C6"/>
    <w:rsid w:val="000208B1"/>
    <w:rsid w:val="00020946"/>
    <w:rsid w:val="00022081"/>
    <w:rsid w:val="0002292C"/>
    <w:rsid w:val="00022B41"/>
    <w:rsid w:val="00023FB5"/>
    <w:rsid w:val="0002434F"/>
    <w:rsid w:val="00024887"/>
    <w:rsid w:val="00024CBA"/>
    <w:rsid w:val="00025501"/>
    <w:rsid w:val="00026998"/>
    <w:rsid w:val="00026B06"/>
    <w:rsid w:val="000304C4"/>
    <w:rsid w:val="0003066A"/>
    <w:rsid w:val="00030F14"/>
    <w:rsid w:val="000311C5"/>
    <w:rsid w:val="00032838"/>
    <w:rsid w:val="00032C12"/>
    <w:rsid w:val="00032E0C"/>
    <w:rsid w:val="00035CCF"/>
    <w:rsid w:val="00035FC6"/>
    <w:rsid w:val="0003705E"/>
    <w:rsid w:val="00037667"/>
    <w:rsid w:val="0003780E"/>
    <w:rsid w:val="0004075D"/>
    <w:rsid w:val="000411E1"/>
    <w:rsid w:val="00041E9C"/>
    <w:rsid w:val="00043C68"/>
    <w:rsid w:val="00043E05"/>
    <w:rsid w:val="00045681"/>
    <w:rsid w:val="0004694F"/>
    <w:rsid w:val="00046E43"/>
    <w:rsid w:val="000500DC"/>
    <w:rsid w:val="000509FD"/>
    <w:rsid w:val="00051ADE"/>
    <w:rsid w:val="00052052"/>
    <w:rsid w:val="00052172"/>
    <w:rsid w:val="000534FD"/>
    <w:rsid w:val="00053CBA"/>
    <w:rsid w:val="00054E43"/>
    <w:rsid w:val="00055059"/>
    <w:rsid w:val="000553E4"/>
    <w:rsid w:val="0005619C"/>
    <w:rsid w:val="000567FA"/>
    <w:rsid w:val="00056B26"/>
    <w:rsid w:val="00057C16"/>
    <w:rsid w:val="00060F26"/>
    <w:rsid w:val="00062D43"/>
    <w:rsid w:val="00062EC5"/>
    <w:rsid w:val="00064256"/>
    <w:rsid w:val="000706A4"/>
    <w:rsid w:val="00070A0C"/>
    <w:rsid w:val="00071F80"/>
    <w:rsid w:val="00072118"/>
    <w:rsid w:val="00073173"/>
    <w:rsid w:val="0007324C"/>
    <w:rsid w:val="000779AC"/>
    <w:rsid w:val="00080A41"/>
    <w:rsid w:val="00080AA8"/>
    <w:rsid w:val="00081851"/>
    <w:rsid w:val="00083803"/>
    <w:rsid w:val="00083D7F"/>
    <w:rsid w:val="00084393"/>
    <w:rsid w:val="0008716A"/>
    <w:rsid w:val="00087634"/>
    <w:rsid w:val="00091237"/>
    <w:rsid w:val="000916B1"/>
    <w:rsid w:val="0009191B"/>
    <w:rsid w:val="000920EC"/>
    <w:rsid w:val="000921B6"/>
    <w:rsid w:val="00092208"/>
    <w:rsid w:val="00092505"/>
    <w:rsid w:val="000927EB"/>
    <w:rsid w:val="00092C9A"/>
    <w:rsid w:val="00093F4B"/>
    <w:rsid w:val="000973B6"/>
    <w:rsid w:val="00097BFC"/>
    <w:rsid w:val="00097D02"/>
    <w:rsid w:val="000A1183"/>
    <w:rsid w:val="000A2121"/>
    <w:rsid w:val="000A2484"/>
    <w:rsid w:val="000A2929"/>
    <w:rsid w:val="000A36CE"/>
    <w:rsid w:val="000A59BF"/>
    <w:rsid w:val="000A66C2"/>
    <w:rsid w:val="000A68A7"/>
    <w:rsid w:val="000B1CFE"/>
    <w:rsid w:val="000B210A"/>
    <w:rsid w:val="000B249B"/>
    <w:rsid w:val="000B2ADE"/>
    <w:rsid w:val="000B3B01"/>
    <w:rsid w:val="000B3DB9"/>
    <w:rsid w:val="000B3F02"/>
    <w:rsid w:val="000B48A2"/>
    <w:rsid w:val="000B48E7"/>
    <w:rsid w:val="000B4F41"/>
    <w:rsid w:val="000B7663"/>
    <w:rsid w:val="000C1106"/>
    <w:rsid w:val="000C11D3"/>
    <w:rsid w:val="000C12F5"/>
    <w:rsid w:val="000C3408"/>
    <w:rsid w:val="000C54AF"/>
    <w:rsid w:val="000C5C0F"/>
    <w:rsid w:val="000C5D56"/>
    <w:rsid w:val="000C60D8"/>
    <w:rsid w:val="000C6498"/>
    <w:rsid w:val="000D0B22"/>
    <w:rsid w:val="000D0D51"/>
    <w:rsid w:val="000D14B3"/>
    <w:rsid w:val="000D1BFB"/>
    <w:rsid w:val="000D1F52"/>
    <w:rsid w:val="000D208B"/>
    <w:rsid w:val="000D263E"/>
    <w:rsid w:val="000D2B8D"/>
    <w:rsid w:val="000D2E41"/>
    <w:rsid w:val="000D342A"/>
    <w:rsid w:val="000D43CB"/>
    <w:rsid w:val="000D5E7A"/>
    <w:rsid w:val="000D5FAA"/>
    <w:rsid w:val="000D65A4"/>
    <w:rsid w:val="000D6AEF"/>
    <w:rsid w:val="000D7414"/>
    <w:rsid w:val="000E025B"/>
    <w:rsid w:val="000E0ECB"/>
    <w:rsid w:val="000E153A"/>
    <w:rsid w:val="000E19A8"/>
    <w:rsid w:val="000E1EEA"/>
    <w:rsid w:val="000E4241"/>
    <w:rsid w:val="000E4A42"/>
    <w:rsid w:val="000E6184"/>
    <w:rsid w:val="000E6476"/>
    <w:rsid w:val="000E70F7"/>
    <w:rsid w:val="000E78D2"/>
    <w:rsid w:val="000F3332"/>
    <w:rsid w:val="000F33EE"/>
    <w:rsid w:val="000F401E"/>
    <w:rsid w:val="000F5445"/>
    <w:rsid w:val="000F5598"/>
    <w:rsid w:val="000F5673"/>
    <w:rsid w:val="000F67B2"/>
    <w:rsid w:val="000F6CFB"/>
    <w:rsid w:val="000F74B6"/>
    <w:rsid w:val="000F790F"/>
    <w:rsid w:val="000F7E1B"/>
    <w:rsid w:val="00100014"/>
    <w:rsid w:val="0010039A"/>
    <w:rsid w:val="00101E94"/>
    <w:rsid w:val="00101FB2"/>
    <w:rsid w:val="00102CB8"/>
    <w:rsid w:val="00102F02"/>
    <w:rsid w:val="0010385D"/>
    <w:rsid w:val="00103E41"/>
    <w:rsid w:val="001041B6"/>
    <w:rsid w:val="001070EA"/>
    <w:rsid w:val="0011002A"/>
    <w:rsid w:val="001107CE"/>
    <w:rsid w:val="001109F0"/>
    <w:rsid w:val="0011110A"/>
    <w:rsid w:val="001118AF"/>
    <w:rsid w:val="00111CA5"/>
    <w:rsid w:val="0011256E"/>
    <w:rsid w:val="0011352E"/>
    <w:rsid w:val="00114FC0"/>
    <w:rsid w:val="00115496"/>
    <w:rsid w:val="00116DB9"/>
    <w:rsid w:val="00116F28"/>
    <w:rsid w:val="00117CE8"/>
    <w:rsid w:val="00121C39"/>
    <w:rsid w:val="00123255"/>
    <w:rsid w:val="00124D2D"/>
    <w:rsid w:val="00124DA1"/>
    <w:rsid w:val="00125326"/>
    <w:rsid w:val="00125CB5"/>
    <w:rsid w:val="00127535"/>
    <w:rsid w:val="001307BE"/>
    <w:rsid w:val="00130C8F"/>
    <w:rsid w:val="001314F2"/>
    <w:rsid w:val="001317DA"/>
    <w:rsid w:val="001323BA"/>
    <w:rsid w:val="0013254D"/>
    <w:rsid w:val="00133AAC"/>
    <w:rsid w:val="00133FBD"/>
    <w:rsid w:val="00134DFD"/>
    <w:rsid w:val="00136561"/>
    <w:rsid w:val="001400E1"/>
    <w:rsid w:val="001405FA"/>
    <w:rsid w:val="001413B3"/>
    <w:rsid w:val="001425C3"/>
    <w:rsid w:val="00142F16"/>
    <w:rsid w:val="00143E03"/>
    <w:rsid w:val="00143E93"/>
    <w:rsid w:val="00143FA3"/>
    <w:rsid w:val="0014428D"/>
    <w:rsid w:val="0014731B"/>
    <w:rsid w:val="00147E55"/>
    <w:rsid w:val="001500FC"/>
    <w:rsid w:val="00151AC0"/>
    <w:rsid w:val="00151B27"/>
    <w:rsid w:val="00152046"/>
    <w:rsid w:val="00152488"/>
    <w:rsid w:val="00152E53"/>
    <w:rsid w:val="00154147"/>
    <w:rsid w:val="001550F3"/>
    <w:rsid w:val="00155746"/>
    <w:rsid w:val="00156318"/>
    <w:rsid w:val="0015639A"/>
    <w:rsid w:val="0016081D"/>
    <w:rsid w:val="00160CF3"/>
    <w:rsid w:val="00160E61"/>
    <w:rsid w:val="00161300"/>
    <w:rsid w:val="001620FA"/>
    <w:rsid w:val="00162853"/>
    <w:rsid w:val="00163793"/>
    <w:rsid w:val="00167FB2"/>
    <w:rsid w:val="001707DE"/>
    <w:rsid w:val="00170B04"/>
    <w:rsid w:val="00170F47"/>
    <w:rsid w:val="001711F2"/>
    <w:rsid w:val="001714F2"/>
    <w:rsid w:val="001718C2"/>
    <w:rsid w:val="00173642"/>
    <w:rsid w:val="00173AF4"/>
    <w:rsid w:val="00173CB0"/>
    <w:rsid w:val="00174CE8"/>
    <w:rsid w:val="00174E7D"/>
    <w:rsid w:val="001752CB"/>
    <w:rsid w:val="00175351"/>
    <w:rsid w:val="00175F60"/>
    <w:rsid w:val="00176050"/>
    <w:rsid w:val="001764D8"/>
    <w:rsid w:val="00176A8F"/>
    <w:rsid w:val="00180D58"/>
    <w:rsid w:val="00181938"/>
    <w:rsid w:val="00182981"/>
    <w:rsid w:val="00184CF9"/>
    <w:rsid w:val="00185010"/>
    <w:rsid w:val="001852EC"/>
    <w:rsid w:val="00186447"/>
    <w:rsid w:val="001874CF"/>
    <w:rsid w:val="00190214"/>
    <w:rsid w:val="00190D9B"/>
    <w:rsid w:val="00191BAE"/>
    <w:rsid w:val="00193432"/>
    <w:rsid w:val="0019346C"/>
    <w:rsid w:val="00194AE3"/>
    <w:rsid w:val="00195335"/>
    <w:rsid w:val="00195444"/>
    <w:rsid w:val="0019579E"/>
    <w:rsid w:val="00197806"/>
    <w:rsid w:val="001A199D"/>
    <w:rsid w:val="001A2855"/>
    <w:rsid w:val="001A2BDB"/>
    <w:rsid w:val="001A30F4"/>
    <w:rsid w:val="001A47AB"/>
    <w:rsid w:val="001A4C0D"/>
    <w:rsid w:val="001A552F"/>
    <w:rsid w:val="001A56F3"/>
    <w:rsid w:val="001A737B"/>
    <w:rsid w:val="001A750C"/>
    <w:rsid w:val="001B1D89"/>
    <w:rsid w:val="001B2143"/>
    <w:rsid w:val="001B3110"/>
    <w:rsid w:val="001B4198"/>
    <w:rsid w:val="001B44BC"/>
    <w:rsid w:val="001B5215"/>
    <w:rsid w:val="001B5888"/>
    <w:rsid w:val="001B5A75"/>
    <w:rsid w:val="001B618F"/>
    <w:rsid w:val="001B6277"/>
    <w:rsid w:val="001B6545"/>
    <w:rsid w:val="001B681B"/>
    <w:rsid w:val="001B6A49"/>
    <w:rsid w:val="001B7231"/>
    <w:rsid w:val="001B74FB"/>
    <w:rsid w:val="001B77A1"/>
    <w:rsid w:val="001C0422"/>
    <w:rsid w:val="001C0E0E"/>
    <w:rsid w:val="001C0E66"/>
    <w:rsid w:val="001C0EB9"/>
    <w:rsid w:val="001C1219"/>
    <w:rsid w:val="001C357A"/>
    <w:rsid w:val="001C3A37"/>
    <w:rsid w:val="001C4384"/>
    <w:rsid w:val="001C55F5"/>
    <w:rsid w:val="001C65FF"/>
    <w:rsid w:val="001C6747"/>
    <w:rsid w:val="001D3787"/>
    <w:rsid w:val="001D47E5"/>
    <w:rsid w:val="001D584C"/>
    <w:rsid w:val="001D5E1B"/>
    <w:rsid w:val="001D66C1"/>
    <w:rsid w:val="001D6EF6"/>
    <w:rsid w:val="001D7C6F"/>
    <w:rsid w:val="001E0024"/>
    <w:rsid w:val="001E0C65"/>
    <w:rsid w:val="001E23E3"/>
    <w:rsid w:val="001E29AF"/>
    <w:rsid w:val="001E387A"/>
    <w:rsid w:val="001E3DA4"/>
    <w:rsid w:val="001E5469"/>
    <w:rsid w:val="001E5830"/>
    <w:rsid w:val="001E684C"/>
    <w:rsid w:val="001E701C"/>
    <w:rsid w:val="001E7552"/>
    <w:rsid w:val="001E7C03"/>
    <w:rsid w:val="001F02AF"/>
    <w:rsid w:val="001F0649"/>
    <w:rsid w:val="001F28F4"/>
    <w:rsid w:val="001F2902"/>
    <w:rsid w:val="001F2CC6"/>
    <w:rsid w:val="001F3055"/>
    <w:rsid w:val="001F31BC"/>
    <w:rsid w:val="001F378E"/>
    <w:rsid w:val="001F3C79"/>
    <w:rsid w:val="001F3E68"/>
    <w:rsid w:val="001F4597"/>
    <w:rsid w:val="001F56A9"/>
    <w:rsid w:val="001F5C6A"/>
    <w:rsid w:val="001F63A7"/>
    <w:rsid w:val="001F670A"/>
    <w:rsid w:val="00200D15"/>
    <w:rsid w:val="0020223B"/>
    <w:rsid w:val="0020294A"/>
    <w:rsid w:val="00203074"/>
    <w:rsid w:val="00203B46"/>
    <w:rsid w:val="00203FCB"/>
    <w:rsid w:val="002048E1"/>
    <w:rsid w:val="002070AB"/>
    <w:rsid w:val="00207DB6"/>
    <w:rsid w:val="00210278"/>
    <w:rsid w:val="00210CC2"/>
    <w:rsid w:val="00210F5B"/>
    <w:rsid w:val="00210FFA"/>
    <w:rsid w:val="00211262"/>
    <w:rsid w:val="0021139C"/>
    <w:rsid w:val="002115F5"/>
    <w:rsid w:val="00211AC9"/>
    <w:rsid w:val="0021329E"/>
    <w:rsid w:val="0021355B"/>
    <w:rsid w:val="00215061"/>
    <w:rsid w:val="00215A2C"/>
    <w:rsid w:val="002161D6"/>
    <w:rsid w:val="00217980"/>
    <w:rsid w:val="002179F9"/>
    <w:rsid w:val="002205F2"/>
    <w:rsid w:val="0022080E"/>
    <w:rsid w:val="00220895"/>
    <w:rsid w:val="00220B20"/>
    <w:rsid w:val="0022139E"/>
    <w:rsid w:val="0022272B"/>
    <w:rsid w:val="00222A99"/>
    <w:rsid w:val="00223678"/>
    <w:rsid w:val="002236F7"/>
    <w:rsid w:val="00223E00"/>
    <w:rsid w:val="002252E0"/>
    <w:rsid w:val="002255F6"/>
    <w:rsid w:val="00225F36"/>
    <w:rsid w:val="00226466"/>
    <w:rsid w:val="002266D0"/>
    <w:rsid w:val="00226887"/>
    <w:rsid w:val="00227991"/>
    <w:rsid w:val="00230DAD"/>
    <w:rsid w:val="0023229C"/>
    <w:rsid w:val="0023301B"/>
    <w:rsid w:val="002334DF"/>
    <w:rsid w:val="0023355C"/>
    <w:rsid w:val="00234280"/>
    <w:rsid w:val="00234DD5"/>
    <w:rsid w:val="00235000"/>
    <w:rsid w:val="002350E3"/>
    <w:rsid w:val="00235330"/>
    <w:rsid w:val="00236443"/>
    <w:rsid w:val="00240773"/>
    <w:rsid w:val="00240815"/>
    <w:rsid w:val="00240A5B"/>
    <w:rsid w:val="00240C76"/>
    <w:rsid w:val="002411EF"/>
    <w:rsid w:val="00241446"/>
    <w:rsid w:val="00242730"/>
    <w:rsid w:val="002436BA"/>
    <w:rsid w:val="002444ED"/>
    <w:rsid w:val="00244A15"/>
    <w:rsid w:val="00244D40"/>
    <w:rsid w:val="00246AE9"/>
    <w:rsid w:val="0024799E"/>
    <w:rsid w:val="00250C59"/>
    <w:rsid w:val="00250E0D"/>
    <w:rsid w:val="002518F6"/>
    <w:rsid w:val="00251D59"/>
    <w:rsid w:val="00252602"/>
    <w:rsid w:val="00252609"/>
    <w:rsid w:val="00252FDC"/>
    <w:rsid w:val="002532E2"/>
    <w:rsid w:val="002550D8"/>
    <w:rsid w:val="00257613"/>
    <w:rsid w:val="00261A0F"/>
    <w:rsid w:val="00261E5B"/>
    <w:rsid w:val="00262F34"/>
    <w:rsid w:val="00263470"/>
    <w:rsid w:val="00263733"/>
    <w:rsid w:val="00264676"/>
    <w:rsid w:val="00265536"/>
    <w:rsid w:val="00265E54"/>
    <w:rsid w:val="00266F3E"/>
    <w:rsid w:val="00270785"/>
    <w:rsid w:val="00272464"/>
    <w:rsid w:val="00272B0B"/>
    <w:rsid w:val="00272CC5"/>
    <w:rsid w:val="00273C60"/>
    <w:rsid w:val="00273DCD"/>
    <w:rsid w:val="00274291"/>
    <w:rsid w:val="00276C09"/>
    <w:rsid w:val="00276CFE"/>
    <w:rsid w:val="00277071"/>
    <w:rsid w:val="0027786C"/>
    <w:rsid w:val="00277BF7"/>
    <w:rsid w:val="00281416"/>
    <w:rsid w:val="00283C61"/>
    <w:rsid w:val="00284C6F"/>
    <w:rsid w:val="00285CD3"/>
    <w:rsid w:val="0028633E"/>
    <w:rsid w:val="0028686A"/>
    <w:rsid w:val="00286E66"/>
    <w:rsid w:val="002870B7"/>
    <w:rsid w:val="002919B5"/>
    <w:rsid w:val="00293441"/>
    <w:rsid w:val="00294238"/>
    <w:rsid w:val="0029493E"/>
    <w:rsid w:val="002962E0"/>
    <w:rsid w:val="00296C2E"/>
    <w:rsid w:val="002A1B05"/>
    <w:rsid w:val="002A267F"/>
    <w:rsid w:val="002A3354"/>
    <w:rsid w:val="002A35EA"/>
    <w:rsid w:val="002A37B6"/>
    <w:rsid w:val="002A3BD5"/>
    <w:rsid w:val="002A43A2"/>
    <w:rsid w:val="002A44ED"/>
    <w:rsid w:val="002A4612"/>
    <w:rsid w:val="002A4F70"/>
    <w:rsid w:val="002A5263"/>
    <w:rsid w:val="002A63B9"/>
    <w:rsid w:val="002A6821"/>
    <w:rsid w:val="002A74D2"/>
    <w:rsid w:val="002A7CDA"/>
    <w:rsid w:val="002A7F47"/>
    <w:rsid w:val="002B1544"/>
    <w:rsid w:val="002B1DC1"/>
    <w:rsid w:val="002B36C8"/>
    <w:rsid w:val="002B385B"/>
    <w:rsid w:val="002B6B7A"/>
    <w:rsid w:val="002B71B4"/>
    <w:rsid w:val="002B7240"/>
    <w:rsid w:val="002C0FF4"/>
    <w:rsid w:val="002C125A"/>
    <w:rsid w:val="002C2668"/>
    <w:rsid w:val="002C43BD"/>
    <w:rsid w:val="002C493D"/>
    <w:rsid w:val="002C5261"/>
    <w:rsid w:val="002C6091"/>
    <w:rsid w:val="002C63C1"/>
    <w:rsid w:val="002D0562"/>
    <w:rsid w:val="002D1B5A"/>
    <w:rsid w:val="002D2500"/>
    <w:rsid w:val="002D338A"/>
    <w:rsid w:val="002D3F00"/>
    <w:rsid w:val="002D4D59"/>
    <w:rsid w:val="002D54BF"/>
    <w:rsid w:val="002D5C3D"/>
    <w:rsid w:val="002D5E94"/>
    <w:rsid w:val="002D632D"/>
    <w:rsid w:val="002D6B01"/>
    <w:rsid w:val="002D6B11"/>
    <w:rsid w:val="002D6FC7"/>
    <w:rsid w:val="002D7EF4"/>
    <w:rsid w:val="002E02A1"/>
    <w:rsid w:val="002E0982"/>
    <w:rsid w:val="002E0DB9"/>
    <w:rsid w:val="002E2CE4"/>
    <w:rsid w:val="002E34F3"/>
    <w:rsid w:val="002E4217"/>
    <w:rsid w:val="002E435E"/>
    <w:rsid w:val="002E73F2"/>
    <w:rsid w:val="002F33FB"/>
    <w:rsid w:val="002F663A"/>
    <w:rsid w:val="002F68A4"/>
    <w:rsid w:val="002F7594"/>
    <w:rsid w:val="002F7902"/>
    <w:rsid w:val="003003E7"/>
    <w:rsid w:val="00300D6F"/>
    <w:rsid w:val="00301357"/>
    <w:rsid w:val="0030192C"/>
    <w:rsid w:val="00301D04"/>
    <w:rsid w:val="00302A94"/>
    <w:rsid w:val="003035D4"/>
    <w:rsid w:val="00303A3C"/>
    <w:rsid w:val="00303DCB"/>
    <w:rsid w:val="00304771"/>
    <w:rsid w:val="00305736"/>
    <w:rsid w:val="00305C33"/>
    <w:rsid w:val="00306C5B"/>
    <w:rsid w:val="00306E3B"/>
    <w:rsid w:val="0030768C"/>
    <w:rsid w:val="00310ADB"/>
    <w:rsid w:val="003119B6"/>
    <w:rsid w:val="00312C3D"/>
    <w:rsid w:val="00314331"/>
    <w:rsid w:val="00317E31"/>
    <w:rsid w:val="00320214"/>
    <w:rsid w:val="003209D6"/>
    <w:rsid w:val="0032109A"/>
    <w:rsid w:val="0032214F"/>
    <w:rsid w:val="00322164"/>
    <w:rsid w:val="00323CF7"/>
    <w:rsid w:val="00323E61"/>
    <w:rsid w:val="0032513D"/>
    <w:rsid w:val="00326251"/>
    <w:rsid w:val="0032739C"/>
    <w:rsid w:val="003276D1"/>
    <w:rsid w:val="00327DEE"/>
    <w:rsid w:val="003302DA"/>
    <w:rsid w:val="00330EB0"/>
    <w:rsid w:val="00331574"/>
    <w:rsid w:val="0033229B"/>
    <w:rsid w:val="003329F3"/>
    <w:rsid w:val="0033352E"/>
    <w:rsid w:val="00333690"/>
    <w:rsid w:val="00333D20"/>
    <w:rsid w:val="00333F53"/>
    <w:rsid w:val="003340EF"/>
    <w:rsid w:val="00334A49"/>
    <w:rsid w:val="0033536F"/>
    <w:rsid w:val="00335BB0"/>
    <w:rsid w:val="0033627B"/>
    <w:rsid w:val="003406BD"/>
    <w:rsid w:val="00343474"/>
    <w:rsid w:val="00343F84"/>
    <w:rsid w:val="00344135"/>
    <w:rsid w:val="003450E2"/>
    <w:rsid w:val="00351B63"/>
    <w:rsid w:val="00352E57"/>
    <w:rsid w:val="003541B0"/>
    <w:rsid w:val="0035457E"/>
    <w:rsid w:val="00355885"/>
    <w:rsid w:val="00355CAA"/>
    <w:rsid w:val="0035605E"/>
    <w:rsid w:val="00356244"/>
    <w:rsid w:val="00357449"/>
    <w:rsid w:val="00357C28"/>
    <w:rsid w:val="00361F76"/>
    <w:rsid w:val="0036238B"/>
    <w:rsid w:val="00362408"/>
    <w:rsid w:val="003630B0"/>
    <w:rsid w:val="003649FC"/>
    <w:rsid w:val="003651A4"/>
    <w:rsid w:val="00365680"/>
    <w:rsid w:val="003657F3"/>
    <w:rsid w:val="00365E26"/>
    <w:rsid w:val="00366D4D"/>
    <w:rsid w:val="00366F77"/>
    <w:rsid w:val="00367038"/>
    <w:rsid w:val="00370963"/>
    <w:rsid w:val="0037144E"/>
    <w:rsid w:val="00372272"/>
    <w:rsid w:val="0037290D"/>
    <w:rsid w:val="003736B5"/>
    <w:rsid w:val="00374F1E"/>
    <w:rsid w:val="003750CF"/>
    <w:rsid w:val="003769F0"/>
    <w:rsid w:val="00376DEC"/>
    <w:rsid w:val="00377200"/>
    <w:rsid w:val="00377666"/>
    <w:rsid w:val="0038034A"/>
    <w:rsid w:val="00380E04"/>
    <w:rsid w:val="00380E6C"/>
    <w:rsid w:val="00383227"/>
    <w:rsid w:val="003839C9"/>
    <w:rsid w:val="0038422D"/>
    <w:rsid w:val="00384D8F"/>
    <w:rsid w:val="003857A2"/>
    <w:rsid w:val="00385D98"/>
    <w:rsid w:val="00385EC5"/>
    <w:rsid w:val="0038658E"/>
    <w:rsid w:val="003875C2"/>
    <w:rsid w:val="0039066E"/>
    <w:rsid w:val="00391C95"/>
    <w:rsid w:val="00392110"/>
    <w:rsid w:val="00393D74"/>
    <w:rsid w:val="003948D7"/>
    <w:rsid w:val="00394D49"/>
    <w:rsid w:val="00396DAC"/>
    <w:rsid w:val="003971D0"/>
    <w:rsid w:val="003A0214"/>
    <w:rsid w:val="003A027D"/>
    <w:rsid w:val="003A1D74"/>
    <w:rsid w:val="003A2B4D"/>
    <w:rsid w:val="003A2D2B"/>
    <w:rsid w:val="003A2DD4"/>
    <w:rsid w:val="003A3982"/>
    <w:rsid w:val="003A3B1C"/>
    <w:rsid w:val="003A4088"/>
    <w:rsid w:val="003A478C"/>
    <w:rsid w:val="003A4F82"/>
    <w:rsid w:val="003A5525"/>
    <w:rsid w:val="003A6B38"/>
    <w:rsid w:val="003B2142"/>
    <w:rsid w:val="003B2580"/>
    <w:rsid w:val="003B293F"/>
    <w:rsid w:val="003B2E63"/>
    <w:rsid w:val="003B3189"/>
    <w:rsid w:val="003B3A9D"/>
    <w:rsid w:val="003B3DDD"/>
    <w:rsid w:val="003B5031"/>
    <w:rsid w:val="003B5A32"/>
    <w:rsid w:val="003B6105"/>
    <w:rsid w:val="003C03CC"/>
    <w:rsid w:val="003C04C4"/>
    <w:rsid w:val="003C0B96"/>
    <w:rsid w:val="003C26F4"/>
    <w:rsid w:val="003C3686"/>
    <w:rsid w:val="003C4852"/>
    <w:rsid w:val="003C5BC7"/>
    <w:rsid w:val="003C601E"/>
    <w:rsid w:val="003C66C4"/>
    <w:rsid w:val="003C6DB9"/>
    <w:rsid w:val="003D2393"/>
    <w:rsid w:val="003D2C4E"/>
    <w:rsid w:val="003D3600"/>
    <w:rsid w:val="003D3825"/>
    <w:rsid w:val="003D3EC4"/>
    <w:rsid w:val="003D44E2"/>
    <w:rsid w:val="003D4760"/>
    <w:rsid w:val="003D49DC"/>
    <w:rsid w:val="003D4DD9"/>
    <w:rsid w:val="003D4FB5"/>
    <w:rsid w:val="003D59BE"/>
    <w:rsid w:val="003D5D7A"/>
    <w:rsid w:val="003D5E4B"/>
    <w:rsid w:val="003D653F"/>
    <w:rsid w:val="003D6B55"/>
    <w:rsid w:val="003E0663"/>
    <w:rsid w:val="003E133F"/>
    <w:rsid w:val="003E49F6"/>
    <w:rsid w:val="003E699C"/>
    <w:rsid w:val="003E69F3"/>
    <w:rsid w:val="003E782E"/>
    <w:rsid w:val="003E7A0B"/>
    <w:rsid w:val="003E7B2B"/>
    <w:rsid w:val="003F0293"/>
    <w:rsid w:val="003F116D"/>
    <w:rsid w:val="003F181F"/>
    <w:rsid w:val="003F1A48"/>
    <w:rsid w:val="003F1E23"/>
    <w:rsid w:val="003F22F6"/>
    <w:rsid w:val="003F2B0A"/>
    <w:rsid w:val="003F313C"/>
    <w:rsid w:val="003F32AB"/>
    <w:rsid w:val="003F341B"/>
    <w:rsid w:val="003F37FC"/>
    <w:rsid w:val="003F3A26"/>
    <w:rsid w:val="003F49A6"/>
    <w:rsid w:val="003F5047"/>
    <w:rsid w:val="003F5098"/>
    <w:rsid w:val="003F5568"/>
    <w:rsid w:val="003F5A95"/>
    <w:rsid w:val="003F6D19"/>
    <w:rsid w:val="004000D5"/>
    <w:rsid w:val="00400244"/>
    <w:rsid w:val="004005C1"/>
    <w:rsid w:val="00400BBD"/>
    <w:rsid w:val="00401716"/>
    <w:rsid w:val="004018F7"/>
    <w:rsid w:val="00401A09"/>
    <w:rsid w:val="0040273A"/>
    <w:rsid w:val="00402C25"/>
    <w:rsid w:val="004036FB"/>
    <w:rsid w:val="004050D7"/>
    <w:rsid w:val="004078BD"/>
    <w:rsid w:val="00410132"/>
    <w:rsid w:val="004104E4"/>
    <w:rsid w:val="00410A97"/>
    <w:rsid w:val="00410BCD"/>
    <w:rsid w:val="00410DE5"/>
    <w:rsid w:val="0041175D"/>
    <w:rsid w:val="004117CE"/>
    <w:rsid w:val="004123BE"/>
    <w:rsid w:val="00414CE5"/>
    <w:rsid w:val="00416673"/>
    <w:rsid w:val="00420AE6"/>
    <w:rsid w:val="0042160D"/>
    <w:rsid w:val="00423A3C"/>
    <w:rsid w:val="00423C04"/>
    <w:rsid w:val="00424D9B"/>
    <w:rsid w:val="0042681B"/>
    <w:rsid w:val="00427193"/>
    <w:rsid w:val="0043068A"/>
    <w:rsid w:val="004306E0"/>
    <w:rsid w:val="00431D54"/>
    <w:rsid w:val="00431F98"/>
    <w:rsid w:val="004329BE"/>
    <w:rsid w:val="00432C38"/>
    <w:rsid w:val="004342EC"/>
    <w:rsid w:val="00437C76"/>
    <w:rsid w:val="00437F4A"/>
    <w:rsid w:val="0044105C"/>
    <w:rsid w:val="00442197"/>
    <w:rsid w:val="00443E95"/>
    <w:rsid w:val="004441A0"/>
    <w:rsid w:val="00444268"/>
    <w:rsid w:val="00444326"/>
    <w:rsid w:val="004443BF"/>
    <w:rsid w:val="00444C19"/>
    <w:rsid w:val="00445218"/>
    <w:rsid w:val="00445CDD"/>
    <w:rsid w:val="004464DC"/>
    <w:rsid w:val="00446892"/>
    <w:rsid w:val="00447267"/>
    <w:rsid w:val="00447E36"/>
    <w:rsid w:val="00450700"/>
    <w:rsid w:val="00450C30"/>
    <w:rsid w:val="004529C7"/>
    <w:rsid w:val="004540FF"/>
    <w:rsid w:val="004541F1"/>
    <w:rsid w:val="00455ECA"/>
    <w:rsid w:val="00457296"/>
    <w:rsid w:val="00457320"/>
    <w:rsid w:val="00460164"/>
    <w:rsid w:val="0046039A"/>
    <w:rsid w:val="00460A6B"/>
    <w:rsid w:val="00461977"/>
    <w:rsid w:val="00461A3F"/>
    <w:rsid w:val="004620C7"/>
    <w:rsid w:val="004629FD"/>
    <w:rsid w:val="00462AD2"/>
    <w:rsid w:val="00463B4B"/>
    <w:rsid w:val="00463F4D"/>
    <w:rsid w:val="00464658"/>
    <w:rsid w:val="0046471F"/>
    <w:rsid w:val="00464BE8"/>
    <w:rsid w:val="00465019"/>
    <w:rsid w:val="00465FA4"/>
    <w:rsid w:val="0046613F"/>
    <w:rsid w:val="0046655D"/>
    <w:rsid w:val="00466808"/>
    <w:rsid w:val="00466AAE"/>
    <w:rsid w:val="0046765E"/>
    <w:rsid w:val="004676E2"/>
    <w:rsid w:val="00471EDD"/>
    <w:rsid w:val="00473E94"/>
    <w:rsid w:val="0047400C"/>
    <w:rsid w:val="00474471"/>
    <w:rsid w:val="004745D9"/>
    <w:rsid w:val="00474B94"/>
    <w:rsid w:val="004761D2"/>
    <w:rsid w:val="004762D8"/>
    <w:rsid w:val="004765B3"/>
    <w:rsid w:val="00476D29"/>
    <w:rsid w:val="00477241"/>
    <w:rsid w:val="0047728F"/>
    <w:rsid w:val="004774F5"/>
    <w:rsid w:val="00477EAF"/>
    <w:rsid w:val="00477EE0"/>
    <w:rsid w:val="00480AB8"/>
    <w:rsid w:val="0048139F"/>
    <w:rsid w:val="00481C00"/>
    <w:rsid w:val="00483053"/>
    <w:rsid w:val="00484874"/>
    <w:rsid w:val="00485230"/>
    <w:rsid w:val="00487127"/>
    <w:rsid w:val="004879E9"/>
    <w:rsid w:val="00487F81"/>
    <w:rsid w:val="00490082"/>
    <w:rsid w:val="00490247"/>
    <w:rsid w:val="0049104F"/>
    <w:rsid w:val="00491218"/>
    <w:rsid w:val="00491CFD"/>
    <w:rsid w:val="00492991"/>
    <w:rsid w:val="00493362"/>
    <w:rsid w:val="00494343"/>
    <w:rsid w:val="00494AAB"/>
    <w:rsid w:val="00496C2F"/>
    <w:rsid w:val="0049740D"/>
    <w:rsid w:val="004978D3"/>
    <w:rsid w:val="004A06A6"/>
    <w:rsid w:val="004A11F8"/>
    <w:rsid w:val="004A22BD"/>
    <w:rsid w:val="004A22FA"/>
    <w:rsid w:val="004A269A"/>
    <w:rsid w:val="004A26DB"/>
    <w:rsid w:val="004A30FB"/>
    <w:rsid w:val="004A35DD"/>
    <w:rsid w:val="004A37D3"/>
    <w:rsid w:val="004A3AD6"/>
    <w:rsid w:val="004A3BCE"/>
    <w:rsid w:val="004A5865"/>
    <w:rsid w:val="004A7670"/>
    <w:rsid w:val="004A77DF"/>
    <w:rsid w:val="004B0295"/>
    <w:rsid w:val="004B0803"/>
    <w:rsid w:val="004B10A8"/>
    <w:rsid w:val="004B1F58"/>
    <w:rsid w:val="004B1F9D"/>
    <w:rsid w:val="004B22DA"/>
    <w:rsid w:val="004B3CB7"/>
    <w:rsid w:val="004B3D55"/>
    <w:rsid w:val="004B55B7"/>
    <w:rsid w:val="004B5836"/>
    <w:rsid w:val="004B5F05"/>
    <w:rsid w:val="004C00A6"/>
    <w:rsid w:val="004C0243"/>
    <w:rsid w:val="004C0BBB"/>
    <w:rsid w:val="004C1AD6"/>
    <w:rsid w:val="004C1B86"/>
    <w:rsid w:val="004C1DEE"/>
    <w:rsid w:val="004C3382"/>
    <w:rsid w:val="004C3867"/>
    <w:rsid w:val="004C4AB7"/>
    <w:rsid w:val="004C4B88"/>
    <w:rsid w:val="004C4CD0"/>
    <w:rsid w:val="004C57B5"/>
    <w:rsid w:val="004C5C25"/>
    <w:rsid w:val="004C6717"/>
    <w:rsid w:val="004C6CFF"/>
    <w:rsid w:val="004C70DC"/>
    <w:rsid w:val="004C7268"/>
    <w:rsid w:val="004C7C50"/>
    <w:rsid w:val="004D0211"/>
    <w:rsid w:val="004D1C9C"/>
    <w:rsid w:val="004D2A0E"/>
    <w:rsid w:val="004D458D"/>
    <w:rsid w:val="004D4F13"/>
    <w:rsid w:val="004D504B"/>
    <w:rsid w:val="004D536E"/>
    <w:rsid w:val="004D58CE"/>
    <w:rsid w:val="004D70B1"/>
    <w:rsid w:val="004D76CC"/>
    <w:rsid w:val="004E1415"/>
    <w:rsid w:val="004E1839"/>
    <w:rsid w:val="004E4A75"/>
    <w:rsid w:val="004E541A"/>
    <w:rsid w:val="004E5A5C"/>
    <w:rsid w:val="004E7007"/>
    <w:rsid w:val="004E76D6"/>
    <w:rsid w:val="004E7F57"/>
    <w:rsid w:val="004F06F5"/>
    <w:rsid w:val="004F191F"/>
    <w:rsid w:val="004F2A4D"/>
    <w:rsid w:val="004F2A73"/>
    <w:rsid w:val="004F33A0"/>
    <w:rsid w:val="004F353A"/>
    <w:rsid w:val="004F4353"/>
    <w:rsid w:val="004F447D"/>
    <w:rsid w:val="004F4C28"/>
    <w:rsid w:val="004F4E82"/>
    <w:rsid w:val="004F5470"/>
    <w:rsid w:val="004F5CC5"/>
    <w:rsid w:val="004F6350"/>
    <w:rsid w:val="004F7170"/>
    <w:rsid w:val="005028E1"/>
    <w:rsid w:val="00505493"/>
    <w:rsid w:val="00505989"/>
    <w:rsid w:val="00506309"/>
    <w:rsid w:val="0050692E"/>
    <w:rsid w:val="00507040"/>
    <w:rsid w:val="005079F8"/>
    <w:rsid w:val="00510189"/>
    <w:rsid w:val="005108C0"/>
    <w:rsid w:val="00511873"/>
    <w:rsid w:val="00512603"/>
    <w:rsid w:val="0051367B"/>
    <w:rsid w:val="00513A89"/>
    <w:rsid w:val="00513B7E"/>
    <w:rsid w:val="005140DE"/>
    <w:rsid w:val="00514474"/>
    <w:rsid w:val="005147E9"/>
    <w:rsid w:val="0051507D"/>
    <w:rsid w:val="0051593C"/>
    <w:rsid w:val="00517567"/>
    <w:rsid w:val="0051778E"/>
    <w:rsid w:val="005215EF"/>
    <w:rsid w:val="00524637"/>
    <w:rsid w:val="00524FDD"/>
    <w:rsid w:val="00525137"/>
    <w:rsid w:val="005251DD"/>
    <w:rsid w:val="00526DB6"/>
    <w:rsid w:val="0053017A"/>
    <w:rsid w:val="00530492"/>
    <w:rsid w:val="005308E4"/>
    <w:rsid w:val="005325A8"/>
    <w:rsid w:val="00532854"/>
    <w:rsid w:val="005350F2"/>
    <w:rsid w:val="00535152"/>
    <w:rsid w:val="00535359"/>
    <w:rsid w:val="005357A2"/>
    <w:rsid w:val="005359E3"/>
    <w:rsid w:val="00535D87"/>
    <w:rsid w:val="00535EF0"/>
    <w:rsid w:val="00535F78"/>
    <w:rsid w:val="005363DF"/>
    <w:rsid w:val="0053734B"/>
    <w:rsid w:val="005375B1"/>
    <w:rsid w:val="00537AFD"/>
    <w:rsid w:val="00537CB4"/>
    <w:rsid w:val="00540CB3"/>
    <w:rsid w:val="00541822"/>
    <w:rsid w:val="00542D19"/>
    <w:rsid w:val="0054516B"/>
    <w:rsid w:val="0054559E"/>
    <w:rsid w:val="005459BD"/>
    <w:rsid w:val="00546833"/>
    <w:rsid w:val="0054787A"/>
    <w:rsid w:val="005513D5"/>
    <w:rsid w:val="005523B9"/>
    <w:rsid w:val="00553C88"/>
    <w:rsid w:val="005545E0"/>
    <w:rsid w:val="00554865"/>
    <w:rsid w:val="00554E57"/>
    <w:rsid w:val="00557E6A"/>
    <w:rsid w:val="00562749"/>
    <w:rsid w:val="00562DE9"/>
    <w:rsid w:val="005638A5"/>
    <w:rsid w:val="00564137"/>
    <w:rsid w:val="00566381"/>
    <w:rsid w:val="00566A03"/>
    <w:rsid w:val="00571932"/>
    <w:rsid w:val="00573C97"/>
    <w:rsid w:val="00574240"/>
    <w:rsid w:val="0057454C"/>
    <w:rsid w:val="005752EB"/>
    <w:rsid w:val="005755FE"/>
    <w:rsid w:val="00575CDC"/>
    <w:rsid w:val="005765D5"/>
    <w:rsid w:val="00576A3E"/>
    <w:rsid w:val="0057703D"/>
    <w:rsid w:val="00581892"/>
    <w:rsid w:val="0058366F"/>
    <w:rsid w:val="00583D5B"/>
    <w:rsid w:val="00583FFD"/>
    <w:rsid w:val="00587CCD"/>
    <w:rsid w:val="005908AE"/>
    <w:rsid w:val="005914F2"/>
    <w:rsid w:val="0059176E"/>
    <w:rsid w:val="00592854"/>
    <w:rsid w:val="00593152"/>
    <w:rsid w:val="005934CE"/>
    <w:rsid w:val="00593CA3"/>
    <w:rsid w:val="00594161"/>
    <w:rsid w:val="00594969"/>
    <w:rsid w:val="00594B91"/>
    <w:rsid w:val="00595035"/>
    <w:rsid w:val="00596C5E"/>
    <w:rsid w:val="005A2194"/>
    <w:rsid w:val="005A21E0"/>
    <w:rsid w:val="005A3210"/>
    <w:rsid w:val="005A33A1"/>
    <w:rsid w:val="005A3687"/>
    <w:rsid w:val="005A54EE"/>
    <w:rsid w:val="005A563B"/>
    <w:rsid w:val="005A5F82"/>
    <w:rsid w:val="005A61D1"/>
    <w:rsid w:val="005A6E85"/>
    <w:rsid w:val="005A7500"/>
    <w:rsid w:val="005A77E4"/>
    <w:rsid w:val="005B0262"/>
    <w:rsid w:val="005B0B8F"/>
    <w:rsid w:val="005B1BDB"/>
    <w:rsid w:val="005B22A7"/>
    <w:rsid w:val="005B2BAA"/>
    <w:rsid w:val="005B2D53"/>
    <w:rsid w:val="005B3247"/>
    <w:rsid w:val="005B3409"/>
    <w:rsid w:val="005B498A"/>
    <w:rsid w:val="005B7B12"/>
    <w:rsid w:val="005C16CB"/>
    <w:rsid w:val="005C21D6"/>
    <w:rsid w:val="005C3F9F"/>
    <w:rsid w:val="005C406F"/>
    <w:rsid w:val="005C40BA"/>
    <w:rsid w:val="005C4A23"/>
    <w:rsid w:val="005C562C"/>
    <w:rsid w:val="005C5812"/>
    <w:rsid w:val="005C6400"/>
    <w:rsid w:val="005C7B4D"/>
    <w:rsid w:val="005C7F1E"/>
    <w:rsid w:val="005D073B"/>
    <w:rsid w:val="005D25B4"/>
    <w:rsid w:val="005D374F"/>
    <w:rsid w:val="005D5802"/>
    <w:rsid w:val="005D6CFC"/>
    <w:rsid w:val="005D73E2"/>
    <w:rsid w:val="005D757A"/>
    <w:rsid w:val="005D7C4B"/>
    <w:rsid w:val="005E1871"/>
    <w:rsid w:val="005E1E4B"/>
    <w:rsid w:val="005E362D"/>
    <w:rsid w:val="005E3A0C"/>
    <w:rsid w:val="005E3FAC"/>
    <w:rsid w:val="005E4483"/>
    <w:rsid w:val="005E492C"/>
    <w:rsid w:val="005E4BAA"/>
    <w:rsid w:val="005E52EF"/>
    <w:rsid w:val="005E5B56"/>
    <w:rsid w:val="005E6088"/>
    <w:rsid w:val="005E61DF"/>
    <w:rsid w:val="005E6AB8"/>
    <w:rsid w:val="005E6B65"/>
    <w:rsid w:val="005E6B78"/>
    <w:rsid w:val="005E75B8"/>
    <w:rsid w:val="005F0976"/>
    <w:rsid w:val="005F26CE"/>
    <w:rsid w:val="005F38D3"/>
    <w:rsid w:val="005F3F04"/>
    <w:rsid w:val="005F4057"/>
    <w:rsid w:val="005F4088"/>
    <w:rsid w:val="005F42F4"/>
    <w:rsid w:val="005F4C83"/>
    <w:rsid w:val="005F5916"/>
    <w:rsid w:val="005F601D"/>
    <w:rsid w:val="005F6119"/>
    <w:rsid w:val="005F7940"/>
    <w:rsid w:val="00600712"/>
    <w:rsid w:val="0060107A"/>
    <w:rsid w:val="00601AFF"/>
    <w:rsid w:val="00602D1D"/>
    <w:rsid w:val="00604307"/>
    <w:rsid w:val="0060487F"/>
    <w:rsid w:val="00605814"/>
    <w:rsid w:val="00606B93"/>
    <w:rsid w:val="00607727"/>
    <w:rsid w:val="00607934"/>
    <w:rsid w:val="00610BD5"/>
    <w:rsid w:val="00611363"/>
    <w:rsid w:val="00611531"/>
    <w:rsid w:val="006118AA"/>
    <w:rsid w:val="00611C28"/>
    <w:rsid w:val="006139C7"/>
    <w:rsid w:val="006150EA"/>
    <w:rsid w:val="006153E3"/>
    <w:rsid w:val="006167AB"/>
    <w:rsid w:val="0061718A"/>
    <w:rsid w:val="00617D2D"/>
    <w:rsid w:val="00617D83"/>
    <w:rsid w:val="00620430"/>
    <w:rsid w:val="00620AC5"/>
    <w:rsid w:val="00621575"/>
    <w:rsid w:val="006215FC"/>
    <w:rsid w:val="00624093"/>
    <w:rsid w:val="006260B8"/>
    <w:rsid w:val="00630F66"/>
    <w:rsid w:val="00631FC2"/>
    <w:rsid w:val="00632171"/>
    <w:rsid w:val="0063332A"/>
    <w:rsid w:val="006347F9"/>
    <w:rsid w:val="0063494E"/>
    <w:rsid w:val="00634C90"/>
    <w:rsid w:val="00635818"/>
    <w:rsid w:val="00635E79"/>
    <w:rsid w:val="00636E5E"/>
    <w:rsid w:val="006379E0"/>
    <w:rsid w:val="00637D0E"/>
    <w:rsid w:val="006404A7"/>
    <w:rsid w:val="006407F3"/>
    <w:rsid w:val="006408EC"/>
    <w:rsid w:val="0064129B"/>
    <w:rsid w:val="00641DF7"/>
    <w:rsid w:val="00643497"/>
    <w:rsid w:val="00643735"/>
    <w:rsid w:val="00643A80"/>
    <w:rsid w:val="00644DFC"/>
    <w:rsid w:val="006451E4"/>
    <w:rsid w:val="006454B4"/>
    <w:rsid w:val="00645A9C"/>
    <w:rsid w:val="006460B8"/>
    <w:rsid w:val="00646448"/>
    <w:rsid w:val="006467D0"/>
    <w:rsid w:val="006504A0"/>
    <w:rsid w:val="00650784"/>
    <w:rsid w:val="006520C7"/>
    <w:rsid w:val="006520D5"/>
    <w:rsid w:val="00652179"/>
    <w:rsid w:val="00652CBB"/>
    <w:rsid w:val="006530B8"/>
    <w:rsid w:val="006535D6"/>
    <w:rsid w:val="00656716"/>
    <w:rsid w:val="006572ED"/>
    <w:rsid w:val="00657E87"/>
    <w:rsid w:val="0066026B"/>
    <w:rsid w:val="00660457"/>
    <w:rsid w:val="00660CB4"/>
    <w:rsid w:val="00660E1E"/>
    <w:rsid w:val="006637B1"/>
    <w:rsid w:val="00663CFD"/>
    <w:rsid w:val="006647AD"/>
    <w:rsid w:val="00664B64"/>
    <w:rsid w:val="00665691"/>
    <w:rsid w:val="00665D67"/>
    <w:rsid w:val="00665D77"/>
    <w:rsid w:val="006660CD"/>
    <w:rsid w:val="00666883"/>
    <w:rsid w:val="00666EC8"/>
    <w:rsid w:val="00666F4B"/>
    <w:rsid w:val="006676D0"/>
    <w:rsid w:val="0066796E"/>
    <w:rsid w:val="00670FAC"/>
    <w:rsid w:val="006710C9"/>
    <w:rsid w:val="006716A5"/>
    <w:rsid w:val="006717CC"/>
    <w:rsid w:val="006743E8"/>
    <w:rsid w:val="00675E37"/>
    <w:rsid w:val="00675F0F"/>
    <w:rsid w:val="006764ED"/>
    <w:rsid w:val="00676AFC"/>
    <w:rsid w:val="00676F11"/>
    <w:rsid w:val="00680079"/>
    <w:rsid w:val="00680ECC"/>
    <w:rsid w:val="00680F68"/>
    <w:rsid w:val="0068260E"/>
    <w:rsid w:val="00682D98"/>
    <w:rsid w:val="0068373D"/>
    <w:rsid w:val="00683B2A"/>
    <w:rsid w:val="00683BFE"/>
    <w:rsid w:val="0068437D"/>
    <w:rsid w:val="006857DF"/>
    <w:rsid w:val="00685E66"/>
    <w:rsid w:val="00686B72"/>
    <w:rsid w:val="00686BF1"/>
    <w:rsid w:val="00687AE5"/>
    <w:rsid w:val="00690A09"/>
    <w:rsid w:val="00690A25"/>
    <w:rsid w:val="006936AD"/>
    <w:rsid w:val="00693EA1"/>
    <w:rsid w:val="00693FEA"/>
    <w:rsid w:val="00694930"/>
    <w:rsid w:val="00695170"/>
    <w:rsid w:val="00695BEF"/>
    <w:rsid w:val="006960D6"/>
    <w:rsid w:val="006963FB"/>
    <w:rsid w:val="00696AA5"/>
    <w:rsid w:val="006977F6"/>
    <w:rsid w:val="0069789D"/>
    <w:rsid w:val="00697A13"/>
    <w:rsid w:val="006A109C"/>
    <w:rsid w:val="006A18AE"/>
    <w:rsid w:val="006A2EE8"/>
    <w:rsid w:val="006A3CF3"/>
    <w:rsid w:val="006A568F"/>
    <w:rsid w:val="006A65EF"/>
    <w:rsid w:val="006A672B"/>
    <w:rsid w:val="006B1781"/>
    <w:rsid w:val="006B23A9"/>
    <w:rsid w:val="006B23D8"/>
    <w:rsid w:val="006B281D"/>
    <w:rsid w:val="006B3F8A"/>
    <w:rsid w:val="006B59D7"/>
    <w:rsid w:val="006B5CA3"/>
    <w:rsid w:val="006B6B3B"/>
    <w:rsid w:val="006B7248"/>
    <w:rsid w:val="006B7714"/>
    <w:rsid w:val="006B78D8"/>
    <w:rsid w:val="006B7CCE"/>
    <w:rsid w:val="006C090F"/>
    <w:rsid w:val="006C0935"/>
    <w:rsid w:val="006C0BCE"/>
    <w:rsid w:val="006C113F"/>
    <w:rsid w:val="006C2AED"/>
    <w:rsid w:val="006C38DD"/>
    <w:rsid w:val="006C457F"/>
    <w:rsid w:val="006C53C7"/>
    <w:rsid w:val="006C5577"/>
    <w:rsid w:val="006C559A"/>
    <w:rsid w:val="006C58FA"/>
    <w:rsid w:val="006C6197"/>
    <w:rsid w:val="006D004F"/>
    <w:rsid w:val="006D042D"/>
    <w:rsid w:val="006D06EF"/>
    <w:rsid w:val="006D142E"/>
    <w:rsid w:val="006D3B87"/>
    <w:rsid w:val="006D4497"/>
    <w:rsid w:val="006D4E6F"/>
    <w:rsid w:val="006D61F6"/>
    <w:rsid w:val="006D710C"/>
    <w:rsid w:val="006E0EB0"/>
    <w:rsid w:val="006E182C"/>
    <w:rsid w:val="006E1F4C"/>
    <w:rsid w:val="006E22C8"/>
    <w:rsid w:val="006E279A"/>
    <w:rsid w:val="006E2C28"/>
    <w:rsid w:val="006E2F3F"/>
    <w:rsid w:val="006E313B"/>
    <w:rsid w:val="006E442A"/>
    <w:rsid w:val="006E4434"/>
    <w:rsid w:val="006E4A1B"/>
    <w:rsid w:val="006E59FC"/>
    <w:rsid w:val="006E5CFD"/>
    <w:rsid w:val="006E7E2C"/>
    <w:rsid w:val="006F1326"/>
    <w:rsid w:val="006F2280"/>
    <w:rsid w:val="006F2BEE"/>
    <w:rsid w:val="006F3708"/>
    <w:rsid w:val="006F376C"/>
    <w:rsid w:val="006F3A90"/>
    <w:rsid w:val="006F3E6B"/>
    <w:rsid w:val="006F4619"/>
    <w:rsid w:val="006F4A59"/>
    <w:rsid w:val="006F6968"/>
    <w:rsid w:val="00700232"/>
    <w:rsid w:val="00701382"/>
    <w:rsid w:val="007014C7"/>
    <w:rsid w:val="00702100"/>
    <w:rsid w:val="00702D6F"/>
    <w:rsid w:val="007031C6"/>
    <w:rsid w:val="00703B6C"/>
    <w:rsid w:val="00703C6B"/>
    <w:rsid w:val="007047D5"/>
    <w:rsid w:val="00705D98"/>
    <w:rsid w:val="00707891"/>
    <w:rsid w:val="00707D43"/>
    <w:rsid w:val="00710F7C"/>
    <w:rsid w:val="00711EF1"/>
    <w:rsid w:val="0071229A"/>
    <w:rsid w:val="00712572"/>
    <w:rsid w:val="00713495"/>
    <w:rsid w:val="00713EEB"/>
    <w:rsid w:val="007142C1"/>
    <w:rsid w:val="00715487"/>
    <w:rsid w:val="007159D2"/>
    <w:rsid w:val="00716DCC"/>
    <w:rsid w:val="00717726"/>
    <w:rsid w:val="0072050E"/>
    <w:rsid w:val="00720958"/>
    <w:rsid w:val="00720FA2"/>
    <w:rsid w:val="007211F5"/>
    <w:rsid w:val="007240C5"/>
    <w:rsid w:val="00724666"/>
    <w:rsid w:val="00724ADE"/>
    <w:rsid w:val="00724E80"/>
    <w:rsid w:val="00725492"/>
    <w:rsid w:val="007256B7"/>
    <w:rsid w:val="00726043"/>
    <w:rsid w:val="0072704A"/>
    <w:rsid w:val="007279B9"/>
    <w:rsid w:val="00730AE8"/>
    <w:rsid w:val="007315DA"/>
    <w:rsid w:val="00731963"/>
    <w:rsid w:val="00732706"/>
    <w:rsid w:val="00734321"/>
    <w:rsid w:val="00734597"/>
    <w:rsid w:val="00735044"/>
    <w:rsid w:val="0073532E"/>
    <w:rsid w:val="00735B01"/>
    <w:rsid w:val="007367F6"/>
    <w:rsid w:val="00740310"/>
    <w:rsid w:val="00740652"/>
    <w:rsid w:val="00740F02"/>
    <w:rsid w:val="00740FEC"/>
    <w:rsid w:val="0074132E"/>
    <w:rsid w:val="00741493"/>
    <w:rsid w:val="007426B3"/>
    <w:rsid w:val="007426FD"/>
    <w:rsid w:val="007430AB"/>
    <w:rsid w:val="0074329D"/>
    <w:rsid w:val="00744376"/>
    <w:rsid w:val="007449EA"/>
    <w:rsid w:val="00744D00"/>
    <w:rsid w:val="00744D2B"/>
    <w:rsid w:val="00745273"/>
    <w:rsid w:val="00745F3C"/>
    <w:rsid w:val="00746DD9"/>
    <w:rsid w:val="0075057A"/>
    <w:rsid w:val="00751771"/>
    <w:rsid w:val="00751C1C"/>
    <w:rsid w:val="00752180"/>
    <w:rsid w:val="007521A1"/>
    <w:rsid w:val="00752BC3"/>
    <w:rsid w:val="0075315D"/>
    <w:rsid w:val="007538F9"/>
    <w:rsid w:val="00754253"/>
    <w:rsid w:val="007552BB"/>
    <w:rsid w:val="007558D3"/>
    <w:rsid w:val="007559D7"/>
    <w:rsid w:val="00755D3A"/>
    <w:rsid w:val="00760141"/>
    <w:rsid w:val="007609C6"/>
    <w:rsid w:val="007610A0"/>
    <w:rsid w:val="00762036"/>
    <w:rsid w:val="007620F2"/>
    <w:rsid w:val="00762EBA"/>
    <w:rsid w:val="0076359D"/>
    <w:rsid w:val="00763A13"/>
    <w:rsid w:val="00763D86"/>
    <w:rsid w:val="0077058D"/>
    <w:rsid w:val="00770931"/>
    <w:rsid w:val="00772536"/>
    <w:rsid w:val="00773613"/>
    <w:rsid w:val="0077430F"/>
    <w:rsid w:val="00774782"/>
    <w:rsid w:val="00776476"/>
    <w:rsid w:val="00776527"/>
    <w:rsid w:val="00777DB1"/>
    <w:rsid w:val="007805E1"/>
    <w:rsid w:val="00780DDF"/>
    <w:rsid w:val="0078113E"/>
    <w:rsid w:val="00781834"/>
    <w:rsid w:val="007821DB"/>
    <w:rsid w:val="00782818"/>
    <w:rsid w:val="007838F1"/>
    <w:rsid w:val="007841BB"/>
    <w:rsid w:val="00784C4A"/>
    <w:rsid w:val="00787432"/>
    <w:rsid w:val="00787507"/>
    <w:rsid w:val="0078778C"/>
    <w:rsid w:val="007879F2"/>
    <w:rsid w:val="00790393"/>
    <w:rsid w:val="00791804"/>
    <w:rsid w:val="0079197F"/>
    <w:rsid w:val="00791CF8"/>
    <w:rsid w:val="00791EF9"/>
    <w:rsid w:val="00792262"/>
    <w:rsid w:val="00793387"/>
    <w:rsid w:val="00793BAE"/>
    <w:rsid w:val="007941C3"/>
    <w:rsid w:val="00794870"/>
    <w:rsid w:val="00794E0A"/>
    <w:rsid w:val="00795B04"/>
    <w:rsid w:val="00796642"/>
    <w:rsid w:val="007A11D9"/>
    <w:rsid w:val="007A327B"/>
    <w:rsid w:val="007A4048"/>
    <w:rsid w:val="007A45B1"/>
    <w:rsid w:val="007A4606"/>
    <w:rsid w:val="007A4D58"/>
    <w:rsid w:val="007A5039"/>
    <w:rsid w:val="007B04E8"/>
    <w:rsid w:val="007B0D67"/>
    <w:rsid w:val="007B0F90"/>
    <w:rsid w:val="007B1966"/>
    <w:rsid w:val="007B2257"/>
    <w:rsid w:val="007B2779"/>
    <w:rsid w:val="007B2AF7"/>
    <w:rsid w:val="007B3DCC"/>
    <w:rsid w:val="007B4518"/>
    <w:rsid w:val="007B5031"/>
    <w:rsid w:val="007B573F"/>
    <w:rsid w:val="007B72AC"/>
    <w:rsid w:val="007B78F8"/>
    <w:rsid w:val="007C0065"/>
    <w:rsid w:val="007C010B"/>
    <w:rsid w:val="007C32B6"/>
    <w:rsid w:val="007C3AE3"/>
    <w:rsid w:val="007C605B"/>
    <w:rsid w:val="007C6EBA"/>
    <w:rsid w:val="007D2A5A"/>
    <w:rsid w:val="007D2AD8"/>
    <w:rsid w:val="007D2C47"/>
    <w:rsid w:val="007D2C61"/>
    <w:rsid w:val="007D2DA3"/>
    <w:rsid w:val="007D2F81"/>
    <w:rsid w:val="007D3167"/>
    <w:rsid w:val="007D3CF7"/>
    <w:rsid w:val="007D4128"/>
    <w:rsid w:val="007D4281"/>
    <w:rsid w:val="007D42F5"/>
    <w:rsid w:val="007D44C3"/>
    <w:rsid w:val="007D5947"/>
    <w:rsid w:val="007D65C1"/>
    <w:rsid w:val="007E030F"/>
    <w:rsid w:val="007E0D49"/>
    <w:rsid w:val="007E0E59"/>
    <w:rsid w:val="007E0F4B"/>
    <w:rsid w:val="007E12C1"/>
    <w:rsid w:val="007E1EF7"/>
    <w:rsid w:val="007E3715"/>
    <w:rsid w:val="007E5880"/>
    <w:rsid w:val="007E5F3D"/>
    <w:rsid w:val="007E6588"/>
    <w:rsid w:val="007E7063"/>
    <w:rsid w:val="007E7E61"/>
    <w:rsid w:val="007F0316"/>
    <w:rsid w:val="007F0845"/>
    <w:rsid w:val="007F1092"/>
    <w:rsid w:val="007F16F9"/>
    <w:rsid w:val="007F2801"/>
    <w:rsid w:val="007F3E3E"/>
    <w:rsid w:val="007F42E0"/>
    <w:rsid w:val="007F500D"/>
    <w:rsid w:val="007F5F14"/>
    <w:rsid w:val="007F7B54"/>
    <w:rsid w:val="007F7C60"/>
    <w:rsid w:val="00800073"/>
    <w:rsid w:val="008005D7"/>
    <w:rsid w:val="00801FDD"/>
    <w:rsid w:val="008020C2"/>
    <w:rsid w:val="0080255C"/>
    <w:rsid w:val="008054FB"/>
    <w:rsid w:val="00806088"/>
    <w:rsid w:val="00806D07"/>
    <w:rsid w:val="0081019B"/>
    <w:rsid w:val="0081187C"/>
    <w:rsid w:val="00811E24"/>
    <w:rsid w:val="008120C5"/>
    <w:rsid w:val="00812386"/>
    <w:rsid w:val="00812E2B"/>
    <w:rsid w:val="00813A70"/>
    <w:rsid w:val="00813CB4"/>
    <w:rsid w:val="00813DB0"/>
    <w:rsid w:val="00813FE6"/>
    <w:rsid w:val="00815B82"/>
    <w:rsid w:val="00815C6E"/>
    <w:rsid w:val="00815DD0"/>
    <w:rsid w:val="00815F10"/>
    <w:rsid w:val="0081645F"/>
    <w:rsid w:val="00816A28"/>
    <w:rsid w:val="008174A3"/>
    <w:rsid w:val="00817755"/>
    <w:rsid w:val="008178C2"/>
    <w:rsid w:val="008178CF"/>
    <w:rsid w:val="00817C98"/>
    <w:rsid w:val="00820C9F"/>
    <w:rsid w:val="00821AAE"/>
    <w:rsid w:val="00821FF6"/>
    <w:rsid w:val="00823AAF"/>
    <w:rsid w:val="00824081"/>
    <w:rsid w:val="0082409A"/>
    <w:rsid w:val="008252D7"/>
    <w:rsid w:val="00825C0F"/>
    <w:rsid w:val="00826376"/>
    <w:rsid w:val="00826ED1"/>
    <w:rsid w:val="00827181"/>
    <w:rsid w:val="0082733C"/>
    <w:rsid w:val="00827746"/>
    <w:rsid w:val="0083102D"/>
    <w:rsid w:val="0083143E"/>
    <w:rsid w:val="0083159D"/>
    <w:rsid w:val="008318FF"/>
    <w:rsid w:val="00832187"/>
    <w:rsid w:val="00832493"/>
    <w:rsid w:val="008329BD"/>
    <w:rsid w:val="008334C3"/>
    <w:rsid w:val="008336D8"/>
    <w:rsid w:val="008339C4"/>
    <w:rsid w:val="00834F0A"/>
    <w:rsid w:val="00834FAA"/>
    <w:rsid w:val="00835181"/>
    <w:rsid w:val="00835991"/>
    <w:rsid w:val="00836086"/>
    <w:rsid w:val="00840699"/>
    <w:rsid w:val="00841D9F"/>
    <w:rsid w:val="00842078"/>
    <w:rsid w:val="00842604"/>
    <w:rsid w:val="00843ECF"/>
    <w:rsid w:val="00845AB1"/>
    <w:rsid w:val="00846673"/>
    <w:rsid w:val="008508A9"/>
    <w:rsid w:val="0085188D"/>
    <w:rsid w:val="008518D8"/>
    <w:rsid w:val="008525F9"/>
    <w:rsid w:val="0085281A"/>
    <w:rsid w:val="00853F33"/>
    <w:rsid w:val="008548EA"/>
    <w:rsid w:val="008550EA"/>
    <w:rsid w:val="008559FE"/>
    <w:rsid w:val="0085686D"/>
    <w:rsid w:val="00857339"/>
    <w:rsid w:val="00860706"/>
    <w:rsid w:val="00862A7A"/>
    <w:rsid w:val="00862FBD"/>
    <w:rsid w:val="00863104"/>
    <w:rsid w:val="008636CD"/>
    <w:rsid w:val="00863702"/>
    <w:rsid w:val="00863D9E"/>
    <w:rsid w:val="00863FDC"/>
    <w:rsid w:val="008642AF"/>
    <w:rsid w:val="00865286"/>
    <w:rsid w:val="00865729"/>
    <w:rsid w:val="00865EA8"/>
    <w:rsid w:val="00865ED4"/>
    <w:rsid w:val="008669A7"/>
    <w:rsid w:val="00867464"/>
    <w:rsid w:val="00867D15"/>
    <w:rsid w:val="00867E29"/>
    <w:rsid w:val="00870F2B"/>
    <w:rsid w:val="00873B2E"/>
    <w:rsid w:val="00874097"/>
    <w:rsid w:val="008746E6"/>
    <w:rsid w:val="0087515D"/>
    <w:rsid w:val="0087594C"/>
    <w:rsid w:val="00876086"/>
    <w:rsid w:val="008765FA"/>
    <w:rsid w:val="008768D6"/>
    <w:rsid w:val="008775D1"/>
    <w:rsid w:val="008777BB"/>
    <w:rsid w:val="00877D68"/>
    <w:rsid w:val="00877E5D"/>
    <w:rsid w:val="00880150"/>
    <w:rsid w:val="00880ABA"/>
    <w:rsid w:val="00883A67"/>
    <w:rsid w:val="00883D45"/>
    <w:rsid w:val="00884D69"/>
    <w:rsid w:val="0088503D"/>
    <w:rsid w:val="00885EC6"/>
    <w:rsid w:val="008869D2"/>
    <w:rsid w:val="00886A8F"/>
    <w:rsid w:val="00886DE2"/>
    <w:rsid w:val="0088733A"/>
    <w:rsid w:val="008901CC"/>
    <w:rsid w:val="00891BE0"/>
    <w:rsid w:val="00893302"/>
    <w:rsid w:val="00893648"/>
    <w:rsid w:val="00893D83"/>
    <w:rsid w:val="00893F0C"/>
    <w:rsid w:val="00893F3C"/>
    <w:rsid w:val="008945A1"/>
    <w:rsid w:val="00894A63"/>
    <w:rsid w:val="00894F71"/>
    <w:rsid w:val="00895A54"/>
    <w:rsid w:val="00896776"/>
    <w:rsid w:val="00896916"/>
    <w:rsid w:val="00896BDE"/>
    <w:rsid w:val="0089763E"/>
    <w:rsid w:val="008A03DE"/>
    <w:rsid w:val="008A0861"/>
    <w:rsid w:val="008A0BB2"/>
    <w:rsid w:val="008A1AB3"/>
    <w:rsid w:val="008A1D5C"/>
    <w:rsid w:val="008A3292"/>
    <w:rsid w:val="008A3A85"/>
    <w:rsid w:val="008A43E9"/>
    <w:rsid w:val="008A4CB1"/>
    <w:rsid w:val="008A615E"/>
    <w:rsid w:val="008A632B"/>
    <w:rsid w:val="008A6BFE"/>
    <w:rsid w:val="008A6F21"/>
    <w:rsid w:val="008A73DA"/>
    <w:rsid w:val="008B00C2"/>
    <w:rsid w:val="008B05E8"/>
    <w:rsid w:val="008B07EF"/>
    <w:rsid w:val="008B16DE"/>
    <w:rsid w:val="008B190E"/>
    <w:rsid w:val="008B1A8A"/>
    <w:rsid w:val="008B1FC9"/>
    <w:rsid w:val="008B531F"/>
    <w:rsid w:val="008B54A3"/>
    <w:rsid w:val="008B634C"/>
    <w:rsid w:val="008B6B67"/>
    <w:rsid w:val="008B7306"/>
    <w:rsid w:val="008B775F"/>
    <w:rsid w:val="008B7C02"/>
    <w:rsid w:val="008B7D13"/>
    <w:rsid w:val="008B7F9E"/>
    <w:rsid w:val="008C034E"/>
    <w:rsid w:val="008C0E88"/>
    <w:rsid w:val="008C1399"/>
    <w:rsid w:val="008C17B8"/>
    <w:rsid w:val="008C18A5"/>
    <w:rsid w:val="008C1AA8"/>
    <w:rsid w:val="008C22A8"/>
    <w:rsid w:val="008C5B43"/>
    <w:rsid w:val="008C63FD"/>
    <w:rsid w:val="008C6C4B"/>
    <w:rsid w:val="008C6CB8"/>
    <w:rsid w:val="008C6D92"/>
    <w:rsid w:val="008C777A"/>
    <w:rsid w:val="008C7815"/>
    <w:rsid w:val="008C7A07"/>
    <w:rsid w:val="008C7E90"/>
    <w:rsid w:val="008C7EB3"/>
    <w:rsid w:val="008D0171"/>
    <w:rsid w:val="008D0632"/>
    <w:rsid w:val="008D0E3B"/>
    <w:rsid w:val="008D13EA"/>
    <w:rsid w:val="008D2671"/>
    <w:rsid w:val="008D2A16"/>
    <w:rsid w:val="008D2ECF"/>
    <w:rsid w:val="008D347D"/>
    <w:rsid w:val="008D3F3D"/>
    <w:rsid w:val="008D4376"/>
    <w:rsid w:val="008E0367"/>
    <w:rsid w:val="008E2DCD"/>
    <w:rsid w:val="008E308D"/>
    <w:rsid w:val="008E31FF"/>
    <w:rsid w:val="008E46A3"/>
    <w:rsid w:val="008E5DE6"/>
    <w:rsid w:val="008E6113"/>
    <w:rsid w:val="008E6AB3"/>
    <w:rsid w:val="008E6AD3"/>
    <w:rsid w:val="008E6EBD"/>
    <w:rsid w:val="008E71A6"/>
    <w:rsid w:val="008E77B6"/>
    <w:rsid w:val="008E7C55"/>
    <w:rsid w:val="008F032E"/>
    <w:rsid w:val="008F0F14"/>
    <w:rsid w:val="008F1638"/>
    <w:rsid w:val="008F2097"/>
    <w:rsid w:val="008F2F44"/>
    <w:rsid w:val="008F4FCE"/>
    <w:rsid w:val="008F5301"/>
    <w:rsid w:val="008F6967"/>
    <w:rsid w:val="008F6A0C"/>
    <w:rsid w:val="008F6F38"/>
    <w:rsid w:val="008F7721"/>
    <w:rsid w:val="008F7D28"/>
    <w:rsid w:val="009003A8"/>
    <w:rsid w:val="009010A7"/>
    <w:rsid w:val="009010E3"/>
    <w:rsid w:val="00901703"/>
    <w:rsid w:val="00901AF3"/>
    <w:rsid w:val="00902CBE"/>
    <w:rsid w:val="00902D74"/>
    <w:rsid w:val="00902EFF"/>
    <w:rsid w:val="00902FAC"/>
    <w:rsid w:val="00903E06"/>
    <w:rsid w:val="009045D1"/>
    <w:rsid w:val="00904B9D"/>
    <w:rsid w:val="00905A11"/>
    <w:rsid w:val="00905FE8"/>
    <w:rsid w:val="009066E1"/>
    <w:rsid w:val="00906F67"/>
    <w:rsid w:val="00907A41"/>
    <w:rsid w:val="009102BD"/>
    <w:rsid w:val="00910F93"/>
    <w:rsid w:val="0091255A"/>
    <w:rsid w:val="00914426"/>
    <w:rsid w:val="0091675F"/>
    <w:rsid w:val="00917709"/>
    <w:rsid w:val="00917918"/>
    <w:rsid w:val="00920874"/>
    <w:rsid w:val="00921F14"/>
    <w:rsid w:val="00923750"/>
    <w:rsid w:val="009243A5"/>
    <w:rsid w:val="0092500F"/>
    <w:rsid w:val="009250D2"/>
    <w:rsid w:val="0092519D"/>
    <w:rsid w:val="0092540B"/>
    <w:rsid w:val="009256C5"/>
    <w:rsid w:val="00926283"/>
    <w:rsid w:val="009306BE"/>
    <w:rsid w:val="00934836"/>
    <w:rsid w:val="00934963"/>
    <w:rsid w:val="00937B11"/>
    <w:rsid w:val="00940F1F"/>
    <w:rsid w:val="00941250"/>
    <w:rsid w:val="00941339"/>
    <w:rsid w:val="0094396E"/>
    <w:rsid w:val="0094427A"/>
    <w:rsid w:val="00944380"/>
    <w:rsid w:val="009459C5"/>
    <w:rsid w:val="00945E5E"/>
    <w:rsid w:val="0094626C"/>
    <w:rsid w:val="0095013A"/>
    <w:rsid w:val="00953AEF"/>
    <w:rsid w:val="009551E2"/>
    <w:rsid w:val="00955783"/>
    <w:rsid w:val="009558A6"/>
    <w:rsid w:val="00955E5F"/>
    <w:rsid w:val="009560B0"/>
    <w:rsid w:val="00956F23"/>
    <w:rsid w:val="009576AC"/>
    <w:rsid w:val="00957871"/>
    <w:rsid w:val="00960077"/>
    <w:rsid w:val="00960769"/>
    <w:rsid w:val="00962D2E"/>
    <w:rsid w:val="00963724"/>
    <w:rsid w:val="00964498"/>
    <w:rsid w:val="0096504D"/>
    <w:rsid w:val="00965795"/>
    <w:rsid w:val="00965A2D"/>
    <w:rsid w:val="009663EB"/>
    <w:rsid w:val="0096650F"/>
    <w:rsid w:val="00967801"/>
    <w:rsid w:val="00967AD2"/>
    <w:rsid w:val="009700DB"/>
    <w:rsid w:val="00971DC6"/>
    <w:rsid w:val="00972263"/>
    <w:rsid w:val="00972502"/>
    <w:rsid w:val="00972D8D"/>
    <w:rsid w:val="00973AAE"/>
    <w:rsid w:val="009742F7"/>
    <w:rsid w:val="0097476C"/>
    <w:rsid w:val="00974923"/>
    <w:rsid w:val="00974D48"/>
    <w:rsid w:val="00974D5F"/>
    <w:rsid w:val="00975017"/>
    <w:rsid w:val="009759DF"/>
    <w:rsid w:val="00980373"/>
    <w:rsid w:val="00980621"/>
    <w:rsid w:val="0098095B"/>
    <w:rsid w:val="00982072"/>
    <w:rsid w:val="009833FA"/>
    <w:rsid w:val="00983DBB"/>
    <w:rsid w:val="00983ECF"/>
    <w:rsid w:val="00985157"/>
    <w:rsid w:val="00986745"/>
    <w:rsid w:val="009867BC"/>
    <w:rsid w:val="00987109"/>
    <w:rsid w:val="00987309"/>
    <w:rsid w:val="0099012D"/>
    <w:rsid w:val="00990363"/>
    <w:rsid w:val="00991266"/>
    <w:rsid w:val="009928AE"/>
    <w:rsid w:val="00993BE6"/>
    <w:rsid w:val="00993D9C"/>
    <w:rsid w:val="00993F56"/>
    <w:rsid w:val="009954FF"/>
    <w:rsid w:val="0099571E"/>
    <w:rsid w:val="00995E2F"/>
    <w:rsid w:val="009961BC"/>
    <w:rsid w:val="00996355"/>
    <w:rsid w:val="0099788F"/>
    <w:rsid w:val="00997ADD"/>
    <w:rsid w:val="009A05A2"/>
    <w:rsid w:val="009A0979"/>
    <w:rsid w:val="009A1374"/>
    <w:rsid w:val="009A13FA"/>
    <w:rsid w:val="009A2014"/>
    <w:rsid w:val="009A2030"/>
    <w:rsid w:val="009A3A87"/>
    <w:rsid w:val="009A4E12"/>
    <w:rsid w:val="009A5C68"/>
    <w:rsid w:val="009A5DE2"/>
    <w:rsid w:val="009A6EF7"/>
    <w:rsid w:val="009B04D0"/>
    <w:rsid w:val="009B052C"/>
    <w:rsid w:val="009B0975"/>
    <w:rsid w:val="009B0EF2"/>
    <w:rsid w:val="009B23A3"/>
    <w:rsid w:val="009B2C0E"/>
    <w:rsid w:val="009B4925"/>
    <w:rsid w:val="009B4B4B"/>
    <w:rsid w:val="009B4CE3"/>
    <w:rsid w:val="009B6FD3"/>
    <w:rsid w:val="009B70BD"/>
    <w:rsid w:val="009C07A5"/>
    <w:rsid w:val="009C24A3"/>
    <w:rsid w:val="009C3705"/>
    <w:rsid w:val="009C7388"/>
    <w:rsid w:val="009C74C2"/>
    <w:rsid w:val="009D0CFF"/>
    <w:rsid w:val="009D1551"/>
    <w:rsid w:val="009D2859"/>
    <w:rsid w:val="009D36EC"/>
    <w:rsid w:val="009D3CD0"/>
    <w:rsid w:val="009D4173"/>
    <w:rsid w:val="009D51CA"/>
    <w:rsid w:val="009D6095"/>
    <w:rsid w:val="009D6306"/>
    <w:rsid w:val="009E048A"/>
    <w:rsid w:val="009E1124"/>
    <w:rsid w:val="009E1FBA"/>
    <w:rsid w:val="009E2C54"/>
    <w:rsid w:val="009E3710"/>
    <w:rsid w:val="009E6F65"/>
    <w:rsid w:val="009E7340"/>
    <w:rsid w:val="009E7B1F"/>
    <w:rsid w:val="009F346F"/>
    <w:rsid w:val="009F371A"/>
    <w:rsid w:val="009F3F25"/>
    <w:rsid w:val="009F3FC3"/>
    <w:rsid w:val="009F41C4"/>
    <w:rsid w:val="009F5846"/>
    <w:rsid w:val="009F63D2"/>
    <w:rsid w:val="009F777A"/>
    <w:rsid w:val="009F7B52"/>
    <w:rsid w:val="009F7D77"/>
    <w:rsid w:val="00A004D2"/>
    <w:rsid w:val="00A015EA"/>
    <w:rsid w:val="00A0172C"/>
    <w:rsid w:val="00A05B91"/>
    <w:rsid w:val="00A10D66"/>
    <w:rsid w:val="00A12BA8"/>
    <w:rsid w:val="00A133F2"/>
    <w:rsid w:val="00A13993"/>
    <w:rsid w:val="00A1420C"/>
    <w:rsid w:val="00A1456C"/>
    <w:rsid w:val="00A14821"/>
    <w:rsid w:val="00A14C9D"/>
    <w:rsid w:val="00A17754"/>
    <w:rsid w:val="00A2055B"/>
    <w:rsid w:val="00A20E22"/>
    <w:rsid w:val="00A2253C"/>
    <w:rsid w:val="00A23545"/>
    <w:rsid w:val="00A23A55"/>
    <w:rsid w:val="00A23E43"/>
    <w:rsid w:val="00A23EF0"/>
    <w:rsid w:val="00A24F8C"/>
    <w:rsid w:val="00A262BF"/>
    <w:rsid w:val="00A271AD"/>
    <w:rsid w:val="00A276D5"/>
    <w:rsid w:val="00A30336"/>
    <w:rsid w:val="00A30BB5"/>
    <w:rsid w:val="00A3128F"/>
    <w:rsid w:val="00A326D0"/>
    <w:rsid w:val="00A35287"/>
    <w:rsid w:val="00A355F2"/>
    <w:rsid w:val="00A378F8"/>
    <w:rsid w:val="00A40965"/>
    <w:rsid w:val="00A40B19"/>
    <w:rsid w:val="00A41D07"/>
    <w:rsid w:val="00A424F8"/>
    <w:rsid w:val="00A42883"/>
    <w:rsid w:val="00A437B7"/>
    <w:rsid w:val="00A43EA2"/>
    <w:rsid w:val="00A46C70"/>
    <w:rsid w:val="00A46D48"/>
    <w:rsid w:val="00A46DE0"/>
    <w:rsid w:val="00A4778A"/>
    <w:rsid w:val="00A47C94"/>
    <w:rsid w:val="00A504C0"/>
    <w:rsid w:val="00A5067F"/>
    <w:rsid w:val="00A517C1"/>
    <w:rsid w:val="00A518E0"/>
    <w:rsid w:val="00A5408A"/>
    <w:rsid w:val="00A55301"/>
    <w:rsid w:val="00A572FB"/>
    <w:rsid w:val="00A57B3C"/>
    <w:rsid w:val="00A57F1B"/>
    <w:rsid w:val="00A600D2"/>
    <w:rsid w:val="00A6128E"/>
    <w:rsid w:val="00A62CE1"/>
    <w:rsid w:val="00A631FA"/>
    <w:rsid w:val="00A64203"/>
    <w:rsid w:val="00A64348"/>
    <w:rsid w:val="00A644E1"/>
    <w:rsid w:val="00A6766C"/>
    <w:rsid w:val="00A711B0"/>
    <w:rsid w:val="00A71279"/>
    <w:rsid w:val="00A721FB"/>
    <w:rsid w:val="00A727BA"/>
    <w:rsid w:val="00A72D4B"/>
    <w:rsid w:val="00A732AE"/>
    <w:rsid w:val="00A74192"/>
    <w:rsid w:val="00A75837"/>
    <w:rsid w:val="00A75E40"/>
    <w:rsid w:val="00A76B12"/>
    <w:rsid w:val="00A76EF2"/>
    <w:rsid w:val="00A7727E"/>
    <w:rsid w:val="00A77EB2"/>
    <w:rsid w:val="00A81094"/>
    <w:rsid w:val="00A82B66"/>
    <w:rsid w:val="00A82C52"/>
    <w:rsid w:val="00A83B58"/>
    <w:rsid w:val="00A84D7D"/>
    <w:rsid w:val="00A84FAF"/>
    <w:rsid w:val="00A851B6"/>
    <w:rsid w:val="00A85729"/>
    <w:rsid w:val="00A8574B"/>
    <w:rsid w:val="00A857C0"/>
    <w:rsid w:val="00A85F5E"/>
    <w:rsid w:val="00A90343"/>
    <w:rsid w:val="00A91336"/>
    <w:rsid w:val="00A9221C"/>
    <w:rsid w:val="00A92277"/>
    <w:rsid w:val="00A92916"/>
    <w:rsid w:val="00A929D1"/>
    <w:rsid w:val="00A94628"/>
    <w:rsid w:val="00A94954"/>
    <w:rsid w:val="00A9497A"/>
    <w:rsid w:val="00A949A6"/>
    <w:rsid w:val="00A96463"/>
    <w:rsid w:val="00A97E3F"/>
    <w:rsid w:val="00AA09D3"/>
    <w:rsid w:val="00AA1356"/>
    <w:rsid w:val="00AA220F"/>
    <w:rsid w:val="00AA23FB"/>
    <w:rsid w:val="00AA34FE"/>
    <w:rsid w:val="00AA42AB"/>
    <w:rsid w:val="00AA4A76"/>
    <w:rsid w:val="00AA559A"/>
    <w:rsid w:val="00AA57A4"/>
    <w:rsid w:val="00AA5F10"/>
    <w:rsid w:val="00AB0BB9"/>
    <w:rsid w:val="00AB104D"/>
    <w:rsid w:val="00AB1441"/>
    <w:rsid w:val="00AB1653"/>
    <w:rsid w:val="00AB2AF1"/>
    <w:rsid w:val="00AB440B"/>
    <w:rsid w:val="00AB47E3"/>
    <w:rsid w:val="00AB74C5"/>
    <w:rsid w:val="00AB7BEE"/>
    <w:rsid w:val="00AB7DF2"/>
    <w:rsid w:val="00AC1E3F"/>
    <w:rsid w:val="00AC219A"/>
    <w:rsid w:val="00AC3D02"/>
    <w:rsid w:val="00AC4F18"/>
    <w:rsid w:val="00AD0B46"/>
    <w:rsid w:val="00AD1094"/>
    <w:rsid w:val="00AD2565"/>
    <w:rsid w:val="00AD306C"/>
    <w:rsid w:val="00AD3424"/>
    <w:rsid w:val="00AD3E3F"/>
    <w:rsid w:val="00AD4FEF"/>
    <w:rsid w:val="00AD50D1"/>
    <w:rsid w:val="00AD59BB"/>
    <w:rsid w:val="00AD5D68"/>
    <w:rsid w:val="00AD6C73"/>
    <w:rsid w:val="00AD7D49"/>
    <w:rsid w:val="00AE06D0"/>
    <w:rsid w:val="00AE1B8A"/>
    <w:rsid w:val="00AE39DC"/>
    <w:rsid w:val="00AE3CDA"/>
    <w:rsid w:val="00AE481D"/>
    <w:rsid w:val="00AE6734"/>
    <w:rsid w:val="00AE6CDA"/>
    <w:rsid w:val="00AE7968"/>
    <w:rsid w:val="00AE7B2B"/>
    <w:rsid w:val="00AE7DFF"/>
    <w:rsid w:val="00AF128B"/>
    <w:rsid w:val="00AF1AEA"/>
    <w:rsid w:val="00AF2536"/>
    <w:rsid w:val="00AF2852"/>
    <w:rsid w:val="00AF3225"/>
    <w:rsid w:val="00AF4983"/>
    <w:rsid w:val="00AF4CA7"/>
    <w:rsid w:val="00AF518B"/>
    <w:rsid w:val="00AF5275"/>
    <w:rsid w:val="00AF5D62"/>
    <w:rsid w:val="00AF6367"/>
    <w:rsid w:val="00AF6A79"/>
    <w:rsid w:val="00AF6B7C"/>
    <w:rsid w:val="00AF724E"/>
    <w:rsid w:val="00AF73A9"/>
    <w:rsid w:val="00B01436"/>
    <w:rsid w:val="00B01C2C"/>
    <w:rsid w:val="00B0231C"/>
    <w:rsid w:val="00B07372"/>
    <w:rsid w:val="00B0778E"/>
    <w:rsid w:val="00B07C2A"/>
    <w:rsid w:val="00B128E5"/>
    <w:rsid w:val="00B13681"/>
    <w:rsid w:val="00B13BCE"/>
    <w:rsid w:val="00B15DCD"/>
    <w:rsid w:val="00B16201"/>
    <w:rsid w:val="00B17E71"/>
    <w:rsid w:val="00B17FDE"/>
    <w:rsid w:val="00B208FC"/>
    <w:rsid w:val="00B20C65"/>
    <w:rsid w:val="00B22E17"/>
    <w:rsid w:val="00B25567"/>
    <w:rsid w:val="00B25E31"/>
    <w:rsid w:val="00B266C5"/>
    <w:rsid w:val="00B27293"/>
    <w:rsid w:val="00B300E8"/>
    <w:rsid w:val="00B301BB"/>
    <w:rsid w:val="00B321E3"/>
    <w:rsid w:val="00B3229E"/>
    <w:rsid w:val="00B32DDB"/>
    <w:rsid w:val="00B3447A"/>
    <w:rsid w:val="00B3448C"/>
    <w:rsid w:val="00B34931"/>
    <w:rsid w:val="00B35174"/>
    <w:rsid w:val="00B35BEA"/>
    <w:rsid w:val="00B37915"/>
    <w:rsid w:val="00B3793D"/>
    <w:rsid w:val="00B41BE6"/>
    <w:rsid w:val="00B42831"/>
    <w:rsid w:val="00B428A4"/>
    <w:rsid w:val="00B457E7"/>
    <w:rsid w:val="00B45D1B"/>
    <w:rsid w:val="00B45DE5"/>
    <w:rsid w:val="00B46D25"/>
    <w:rsid w:val="00B47430"/>
    <w:rsid w:val="00B47AC6"/>
    <w:rsid w:val="00B52D2D"/>
    <w:rsid w:val="00B534EF"/>
    <w:rsid w:val="00B548DA"/>
    <w:rsid w:val="00B55BA8"/>
    <w:rsid w:val="00B55F15"/>
    <w:rsid w:val="00B561A6"/>
    <w:rsid w:val="00B57CC4"/>
    <w:rsid w:val="00B60062"/>
    <w:rsid w:val="00B62960"/>
    <w:rsid w:val="00B63A11"/>
    <w:rsid w:val="00B63FD0"/>
    <w:rsid w:val="00B6553E"/>
    <w:rsid w:val="00B65C84"/>
    <w:rsid w:val="00B6608F"/>
    <w:rsid w:val="00B73180"/>
    <w:rsid w:val="00B74317"/>
    <w:rsid w:val="00B75700"/>
    <w:rsid w:val="00B760C1"/>
    <w:rsid w:val="00B76D1E"/>
    <w:rsid w:val="00B77BC8"/>
    <w:rsid w:val="00B800EB"/>
    <w:rsid w:val="00B822D2"/>
    <w:rsid w:val="00B823F1"/>
    <w:rsid w:val="00B831B4"/>
    <w:rsid w:val="00B83D46"/>
    <w:rsid w:val="00B848B8"/>
    <w:rsid w:val="00B84A41"/>
    <w:rsid w:val="00B84D57"/>
    <w:rsid w:val="00B8504B"/>
    <w:rsid w:val="00B853C2"/>
    <w:rsid w:val="00B853DC"/>
    <w:rsid w:val="00B85689"/>
    <w:rsid w:val="00B86748"/>
    <w:rsid w:val="00B907EA"/>
    <w:rsid w:val="00B91EC9"/>
    <w:rsid w:val="00B924CA"/>
    <w:rsid w:val="00B92A4B"/>
    <w:rsid w:val="00B93384"/>
    <w:rsid w:val="00B93616"/>
    <w:rsid w:val="00B94417"/>
    <w:rsid w:val="00B95566"/>
    <w:rsid w:val="00B95940"/>
    <w:rsid w:val="00B95EF8"/>
    <w:rsid w:val="00B95F50"/>
    <w:rsid w:val="00B96BD9"/>
    <w:rsid w:val="00B979A0"/>
    <w:rsid w:val="00BA094F"/>
    <w:rsid w:val="00BA0DED"/>
    <w:rsid w:val="00BA0F99"/>
    <w:rsid w:val="00BA56C9"/>
    <w:rsid w:val="00BB0274"/>
    <w:rsid w:val="00BB0B13"/>
    <w:rsid w:val="00BB1CFD"/>
    <w:rsid w:val="00BB2C53"/>
    <w:rsid w:val="00BB32DA"/>
    <w:rsid w:val="00BB3A54"/>
    <w:rsid w:val="00BB462A"/>
    <w:rsid w:val="00BB4D26"/>
    <w:rsid w:val="00BB4E21"/>
    <w:rsid w:val="00BB7746"/>
    <w:rsid w:val="00BC22EB"/>
    <w:rsid w:val="00BC682B"/>
    <w:rsid w:val="00BC68BA"/>
    <w:rsid w:val="00BC6B04"/>
    <w:rsid w:val="00BC6D27"/>
    <w:rsid w:val="00BD059A"/>
    <w:rsid w:val="00BD0CBB"/>
    <w:rsid w:val="00BD186B"/>
    <w:rsid w:val="00BD1EAC"/>
    <w:rsid w:val="00BD254C"/>
    <w:rsid w:val="00BD3428"/>
    <w:rsid w:val="00BD366B"/>
    <w:rsid w:val="00BD5298"/>
    <w:rsid w:val="00BD534C"/>
    <w:rsid w:val="00BD55A9"/>
    <w:rsid w:val="00BD56BC"/>
    <w:rsid w:val="00BD5D91"/>
    <w:rsid w:val="00BD6445"/>
    <w:rsid w:val="00BD6615"/>
    <w:rsid w:val="00BD6D50"/>
    <w:rsid w:val="00BE0D79"/>
    <w:rsid w:val="00BE0DB0"/>
    <w:rsid w:val="00BE15B9"/>
    <w:rsid w:val="00BE2C15"/>
    <w:rsid w:val="00BE3381"/>
    <w:rsid w:val="00BE3F09"/>
    <w:rsid w:val="00BE670A"/>
    <w:rsid w:val="00BE6906"/>
    <w:rsid w:val="00BF18F4"/>
    <w:rsid w:val="00BF1A69"/>
    <w:rsid w:val="00BF3BC8"/>
    <w:rsid w:val="00BF3DF1"/>
    <w:rsid w:val="00BF4C31"/>
    <w:rsid w:val="00BF4E57"/>
    <w:rsid w:val="00BF53B8"/>
    <w:rsid w:val="00BF786A"/>
    <w:rsid w:val="00BF7CB8"/>
    <w:rsid w:val="00BF7F08"/>
    <w:rsid w:val="00C00831"/>
    <w:rsid w:val="00C00F20"/>
    <w:rsid w:val="00C01354"/>
    <w:rsid w:val="00C01700"/>
    <w:rsid w:val="00C01B84"/>
    <w:rsid w:val="00C034E6"/>
    <w:rsid w:val="00C05715"/>
    <w:rsid w:val="00C05926"/>
    <w:rsid w:val="00C0784A"/>
    <w:rsid w:val="00C10B28"/>
    <w:rsid w:val="00C10D62"/>
    <w:rsid w:val="00C10FAE"/>
    <w:rsid w:val="00C1135D"/>
    <w:rsid w:val="00C11DAF"/>
    <w:rsid w:val="00C123B4"/>
    <w:rsid w:val="00C12A69"/>
    <w:rsid w:val="00C13150"/>
    <w:rsid w:val="00C13737"/>
    <w:rsid w:val="00C150BE"/>
    <w:rsid w:val="00C158B0"/>
    <w:rsid w:val="00C15A0C"/>
    <w:rsid w:val="00C15CEB"/>
    <w:rsid w:val="00C15DCB"/>
    <w:rsid w:val="00C16208"/>
    <w:rsid w:val="00C16971"/>
    <w:rsid w:val="00C1711F"/>
    <w:rsid w:val="00C17E38"/>
    <w:rsid w:val="00C2038A"/>
    <w:rsid w:val="00C205BF"/>
    <w:rsid w:val="00C20744"/>
    <w:rsid w:val="00C20B1C"/>
    <w:rsid w:val="00C20C4D"/>
    <w:rsid w:val="00C21D46"/>
    <w:rsid w:val="00C21F94"/>
    <w:rsid w:val="00C222A1"/>
    <w:rsid w:val="00C22C59"/>
    <w:rsid w:val="00C23371"/>
    <w:rsid w:val="00C23CBD"/>
    <w:rsid w:val="00C23D22"/>
    <w:rsid w:val="00C2463B"/>
    <w:rsid w:val="00C24E77"/>
    <w:rsid w:val="00C2732D"/>
    <w:rsid w:val="00C273C6"/>
    <w:rsid w:val="00C27913"/>
    <w:rsid w:val="00C300C6"/>
    <w:rsid w:val="00C30828"/>
    <w:rsid w:val="00C30924"/>
    <w:rsid w:val="00C31DD8"/>
    <w:rsid w:val="00C3271C"/>
    <w:rsid w:val="00C34FDE"/>
    <w:rsid w:val="00C35C16"/>
    <w:rsid w:val="00C36EC3"/>
    <w:rsid w:val="00C40E09"/>
    <w:rsid w:val="00C40F81"/>
    <w:rsid w:val="00C41463"/>
    <w:rsid w:val="00C41A72"/>
    <w:rsid w:val="00C42D45"/>
    <w:rsid w:val="00C43CB1"/>
    <w:rsid w:val="00C4422D"/>
    <w:rsid w:val="00C476C5"/>
    <w:rsid w:val="00C503B0"/>
    <w:rsid w:val="00C511C2"/>
    <w:rsid w:val="00C527C6"/>
    <w:rsid w:val="00C53CDB"/>
    <w:rsid w:val="00C53D82"/>
    <w:rsid w:val="00C54748"/>
    <w:rsid w:val="00C574CF"/>
    <w:rsid w:val="00C575FB"/>
    <w:rsid w:val="00C60696"/>
    <w:rsid w:val="00C60943"/>
    <w:rsid w:val="00C60EEF"/>
    <w:rsid w:val="00C610C5"/>
    <w:rsid w:val="00C6121D"/>
    <w:rsid w:val="00C615F1"/>
    <w:rsid w:val="00C61627"/>
    <w:rsid w:val="00C63B1A"/>
    <w:rsid w:val="00C64E60"/>
    <w:rsid w:val="00C657A4"/>
    <w:rsid w:val="00C66589"/>
    <w:rsid w:val="00C6736C"/>
    <w:rsid w:val="00C7179C"/>
    <w:rsid w:val="00C71A1D"/>
    <w:rsid w:val="00C71EC4"/>
    <w:rsid w:val="00C7410A"/>
    <w:rsid w:val="00C74791"/>
    <w:rsid w:val="00C7591E"/>
    <w:rsid w:val="00C75C7E"/>
    <w:rsid w:val="00C75C9B"/>
    <w:rsid w:val="00C76D8E"/>
    <w:rsid w:val="00C77833"/>
    <w:rsid w:val="00C80C9B"/>
    <w:rsid w:val="00C8180B"/>
    <w:rsid w:val="00C8335E"/>
    <w:rsid w:val="00C83F9C"/>
    <w:rsid w:val="00C84CE3"/>
    <w:rsid w:val="00C85614"/>
    <w:rsid w:val="00C86127"/>
    <w:rsid w:val="00C9003C"/>
    <w:rsid w:val="00C90CF4"/>
    <w:rsid w:val="00C91C19"/>
    <w:rsid w:val="00C929A0"/>
    <w:rsid w:val="00C930FB"/>
    <w:rsid w:val="00C93389"/>
    <w:rsid w:val="00C937DB"/>
    <w:rsid w:val="00C94519"/>
    <w:rsid w:val="00C94E11"/>
    <w:rsid w:val="00C94E83"/>
    <w:rsid w:val="00C9567E"/>
    <w:rsid w:val="00C97038"/>
    <w:rsid w:val="00CA02B2"/>
    <w:rsid w:val="00CA0883"/>
    <w:rsid w:val="00CA1085"/>
    <w:rsid w:val="00CA140F"/>
    <w:rsid w:val="00CA25C2"/>
    <w:rsid w:val="00CA37BB"/>
    <w:rsid w:val="00CA37CA"/>
    <w:rsid w:val="00CA39E1"/>
    <w:rsid w:val="00CA5016"/>
    <w:rsid w:val="00CA5724"/>
    <w:rsid w:val="00CA6508"/>
    <w:rsid w:val="00CA6BA1"/>
    <w:rsid w:val="00CA6CD5"/>
    <w:rsid w:val="00CA6D0B"/>
    <w:rsid w:val="00CB1910"/>
    <w:rsid w:val="00CB2150"/>
    <w:rsid w:val="00CB28EE"/>
    <w:rsid w:val="00CB2B15"/>
    <w:rsid w:val="00CB2EEA"/>
    <w:rsid w:val="00CB43A7"/>
    <w:rsid w:val="00CB4DF1"/>
    <w:rsid w:val="00CB5996"/>
    <w:rsid w:val="00CB6809"/>
    <w:rsid w:val="00CB7452"/>
    <w:rsid w:val="00CC0E10"/>
    <w:rsid w:val="00CC1DAF"/>
    <w:rsid w:val="00CC2642"/>
    <w:rsid w:val="00CC2967"/>
    <w:rsid w:val="00CC2A1E"/>
    <w:rsid w:val="00CC2A36"/>
    <w:rsid w:val="00CC2E15"/>
    <w:rsid w:val="00CC3440"/>
    <w:rsid w:val="00CC351B"/>
    <w:rsid w:val="00CC3908"/>
    <w:rsid w:val="00CC4F3D"/>
    <w:rsid w:val="00CC62AD"/>
    <w:rsid w:val="00CC6CA2"/>
    <w:rsid w:val="00CC7086"/>
    <w:rsid w:val="00CC7B80"/>
    <w:rsid w:val="00CD0779"/>
    <w:rsid w:val="00CD2B3C"/>
    <w:rsid w:val="00CD30F6"/>
    <w:rsid w:val="00CD4B29"/>
    <w:rsid w:val="00CD5493"/>
    <w:rsid w:val="00CD67CA"/>
    <w:rsid w:val="00CD6954"/>
    <w:rsid w:val="00CD6DA3"/>
    <w:rsid w:val="00CD6EF1"/>
    <w:rsid w:val="00CD7E35"/>
    <w:rsid w:val="00CE21C7"/>
    <w:rsid w:val="00CE2682"/>
    <w:rsid w:val="00CE2756"/>
    <w:rsid w:val="00CE442A"/>
    <w:rsid w:val="00CE4DEB"/>
    <w:rsid w:val="00CE57D8"/>
    <w:rsid w:val="00CE5F03"/>
    <w:rsid w:val="00CE617A"/>
    <w:rsid w:val="00CE6E3C"/>
    <w:rsid w:val="00CE7158"/>
    <w:rsid w:val="00CE797F"/>
    <w:rsid w:val="00CF107E"/>
    <w:rsid w:val="00CF15BF"/>
    <w:rsid w:val="00CF25D2"/>
    <w:rsid w:val="00CF28C2"/>
    <w:rsid w:val="00CF3D3A"/>
    <w:rsid w:val="00CF42BD"/>
    <w:rsid w:val="00CF51EC"/>
    <w:rsid w:val="00CF6A9D"/>
    <w:rsid w:val="00CF6CD7"/>
    <w:rsid w:val="00CF7276"/>
    <w:rsid w:val="00CF75EC"/>
    <w:rsid w:val="00D002DF"/>
    <w:rsid w:val="00D0037A"/>
    <w:rsid w:val="00D0061E"/>
    <w:rsid w:val="00D00DAF"/>
    <w:rsid w:val="00D017EC"/>
    <w:rsid w:val="00D01CDA"/>
    <w:rsid w:val="00D020FC"/>
    <w:rsid w:val="00D03866"/>
    <w:rsid w:val="00D040DD"/>
    <w:rsid w:val="00D04E1B"/>
    <w:rsid w:val="00D0547B"/>
    <w:rsid w:val="00D076DB"/>
    <w:rsid w:val="00D07EFF"/>
    <w:rsid w:val="00D1067C"/>
    <w:rsid w:val="00D11CBB"/>
    <w:rsid w:val="00D136D4"/>
    <w:rsid w:val="00D13830"/>
    <w:rsid w:val="00D13ECF"/>
    <w:rsid w:val="00D142E5"/>
    <w:rsid w:val="00D148CD"/>
    <w:rsid w:val="00D1611E"/>
    <w:rsid w:val="00D163CC"/>
    <w:rsid w:val="00D16E69"/>
    <w:rsid w:val="00D17F4A"/>
    <w:rsid w:val="00D205A9"/>
    <w:rsid w:val="00D217EE"/>
    <w:rsid w:val="00D24299"/>
    <w:rsid w:val="00D245BA"/>
    <w:rsid w:val="00D26923"/>
    <w:rsid w:val="00D27856"/>
    <w:rsid w:val="00D27D34"/>
    <w:rsid w:val="00D3006B"/>
    <w:rsid w:val="00D301CA"/>
    <w:rsid w:val="00D30740"/>
    <w:rsid w:val="00D31075"/>
    <w:rsid w:val="00D31445"/>
    <w:rsid w:val="00D31932"/>
    <w:rsid w:val="00D32AE0"/>
    <w:rsid w:val="00D360DA"/>
    <w:rsid w:val="00D374B3"/>
    <w:rsid w:val="00D37689"/>
    <w:rsid w:val="00D378CC"/>
    <w:rsid w:val="00D4042C"/>
    <w:rsid w:val="00D40B9E"/>
    <w:rsid w:val="00D41281"/>
    <w:rsid w:val="00D42312"/>
    <w:rsid w:val="00D42E15"/>
    <w:rsid w:val="00D433F5"/>
    <w:rsid w:val="00D43998"/>
    <w:rsid w:val="00D439C2"/>
    <w:rsid w:val="00D451E0"/>
    <w:rsid w:val="00D45A1D"/>
    <w:rsid w:val="00D4615E"/>
    <w:rsid w:val="00D4651F"/>
    <w:rsid w:val="00D478E2"/>
    <w:rsid w:val="00D5264C"/>
    <w:rsid w:val="00D547BA"/>
    <w:rsid w:val="00D55626"/>
    <w:rsid w:val="00D556BC"/>
    <w:rsid w:val="00D5626D"/>
    <w:rsid w:val="00D56631"/>
    <w:rsid w:val="00D577A4"/>
    <w:rsid w:val="00D57E4B"/>
    <w:rsid w:val="00D60277"/>
    <w:rsid w:val="00D60336"/>
    <w:rsid w:val="00D61B06"/>
    <w:rsid w:val="00D61F88"/>
    <w:rsid w:val="00D62688"/>
    <w:rsid w:val="00D62901"/>
    <w:rsid w:val="00D6345E"/>
    <w:rsid w:val="00D6470C"/>
    <w:rsid w:val="00D64853"/>
    <w:rsid w:val="00D64CB5"/>
    <w:rsid w:val="00D667A0"/>
    <w:rsid w:val="00D66D48"/>
    <w:rsid w:val="00D7162F"/>
    <w:rsid w:val="00D72897"/>
    <w:rsid w:val="00D72948"/>
    <w:rsid w:val="00D73256"/>
    <w:rsid w:val="00D73A30"/>
    <w:rsid w:val="00D73E6F"/>
    <w:rsid w:val="00D74ABF"/>
    <w:rsid w:val="00D74C65"/>
    <w:rsid w:val="00D74E97"/>
    <w:rsid w:val="00D74F21"/>
    <w:rsid w:val="00D758D0"/>
    <w:rsid w:val="00D75DC2"/>
    <w:rsid w:val="00D75DC3"/>
    <w:rsid w:val="00D766EF"/>
    <w:rsid w:val="00D76C03"/>
    <w:rsid w:val="00D77F8D"/>
    <w:rsid w:val="00D80E07"/>
    <w:rsid w:val="00D8119B"/>
    <w:rsid w:val="00D81B44"/>
    <w:rsid w:val="00D82462"/>
    <w:rsid w:val="00D831C6"/>
    <w:rsid w:val="00D83EF3"/>
    <w:rsid w:val="00D84BD1"/>
    <w:rsid w:val="00D85886"/>
    <w:rsid w:val="00D868CE"/>
    <w:rsid w:val="00D86DAE"/>
    <w:rsid w:val="00D875B6"/>
    <w:rsid w:val="00D90116"/>
    <w:rsid w:val="00D90C1E"/>
    <w:rsid w:val="00D91BDF"/>
    <w:rsid w:val="00D91F2C"/>
    <w:rsid w:val="00D93F09"/>
    <w:rsid w:val="00D94859"/>
    <w:rsid w:val="00D954C2"/>
    <w:rsid w:val="00D97BB8"/>
    <w:rsid w:val="00DA1318"/>
    <w:rsid w:val="00DA1382"/>
    <w:rsid w:val="00DA28B7"/>
    <w:rsid w:val="00DA2FE8"/>
    <w:rsid w:val="00DA4AF6"/>
    <w:rsid w:val="00DA7AB2"/>
    <w:rsid w:val="00DB016E"/>
    <w:rsid w:val="00DB06E9"/>
    <w:rsid w:val="00DB0BF3"/>
    <w:rsid w:val="00DB19BD"/>
    <w:rsid w:val="00DB1D55"/>
    <w:rsid w:val="00DB378E"/>
    <w:rsid w:val="00DB3C0D"/>
    <w:rsid w:val="00DB3E9D"/>
    <w:rsid w:val="00DB47B9"/>
    <w:rsid w:val="00DB4FB8"/>
    <w:rsid w:val="00DB53CE"/>
    <w:rsid w:val="00DB549D"/>
    <w:rsid w:val="00DB5792"/>
    <w:rsid w:val="00DB6A88"/>
    <w:rsid w:val="00DB7BA4"/>
    <w:rsid w:val="00DB7D77"/>
    <w:rsid w:val="00DC08D7"/>
    <w:rsid w:val="00DC0B8D"/>
    <w:rsid w:val="00DC226A"/>
    <w:rsid w:val="00DC257F"/>
    <w:rsid w:val="00DC2A9F"/>
    <w:rsid w:val="00DC2FA9"/>
    <w:rsid w:val="00DC350B"/>
    <w:rsid w:val="00DC3790"/>
    <w:rsid w:val="00DC408A"/>
    <w:rsid w:val="00DC436D"/>
    <w:rsid w:val="00DC519B"/>
    <w:rsid w:val="00DC5B3B"/>
    <w:rsid w:val="00DC6796"/>
    <w:rsid w:val="00DC6CC6"/>
    <w:rsid w:val="00DC78DF"/>
    <w:rsid w:val="00DC7D4C"/>
    <w:rsid w:val="00DD0821"/>
    <w:rsid w:val="00DD0E32"/>
    <w:rsid w:val="00DD1878"/>
    <w:rsid w:val="00DD2872"/>
    <w:rsid w:val="00DD2A62"/>
    <w:rsid w:val="00DD2BD0"/>
    <w:rsid w:val="00DD2BFE"/>
    <w:rsid w:val="00DD373E"/>
    <w:rsid w:val="00DD3867"/>
    <w:rsid w:val="00DD57AD"/>
    <w:rsid w:val="00DD7435"/>
    <w:rsid w:val="00DD7C6D"/>
    <w:rsid w:val="00DE009B"/>
    <w:rsid w:val="00DE08F8"/>
    <w:rsid w:val="00DE0C31"/>
    <w:rsid w:val="00DE0E40"/>
    <w:rsid w:val="00DE1460"/>
    <w:rsid w:val="00DE2ED9"/>
    <w:rsid w:val="00DE319A"/>
    <w:rsid w:val="00DF0615"/>
    <w:rsid w:val="00DF0DC3"/>
    <w:rsid w:val="00DF21FD"/>
    <w:rsid w:val="00DF2873"/>
    <w:rsid w:val="00DF293C"/>
    <w:rsid w:val="00DF34B2"/>
    <w:rsid w:val="00DF4C74"/>
    <w:rsid w:val="00DF5578"/>
    <w:rsid w:val="00DF6CF8"/>
    <w:rsid w:val="00DF78DD"/>
    <w:rsid w:val="00DF7FEC"/>
    <w:rsid w:val="00E01B16"/>
    <w:rsid w:val="00E01C0E"/>
    <w:rsid w:val="00E02086"/>
    <w:rsid w:val="00E023BE"/>
    <w:rsid w:val="00E02740"/>
    <w:rsid w:val="00E03B27"/>
    <w:rsid w:val="00E0446B"/>
    <w:rsid w:val="00E04694"/>
    <w:rsid w:val="00E049F6"/>
    <w:rsid w:val="00E04CA9"/>
    <w:rsid w:val="00E05B2B"/>
    <w:rsid w:val="00E05EAD"/>
    <w:rsid w:val="00E06A2A"/>
    <w:rsid w:val="00E06E17"/>
    <w:rsid w:val="00E07F05"/>
    <w:rsid w:val="00E106A2"/>
    <w:rsid w:val="00E127E1"/>
    <w:rsid w:val="00E12BCE"/>
    <w:rsid w:val="00E144D2"/>
    <w:rsid w:val="00E144D6"/>
    <w:rsid w:val="00E15346"/>
    <w:rsid w:val="00E15B7D"/>
    <w:rsid w:val="00E16D20"/>
    <w:rsid w:val="00E17C5F"/>
    <w:rsid w:val="00E2097E"/>
    <w:rsid w:val="00E215EA"/>
    <w:rsid w:val="00E21CAB"/>
    <w:rsid w:val="00E221FC"/>
    <w:rsid w:val="00E22E78"/>
    <w:rsid w:val="00E24619"/>
    <w:rsid w:val="00E25223"/>
    <w:rsid w:val="00E25999"/>
    <w:rsid w:val="00E263A8"/>
    <w:rsid w:val="00E30BEA"/>
    <w:rsid w:val="00E31764"/>
    <w:rsid w:val="00E3288A"/>
    <w:rsid w:val="00E32BC2"/>
    <w:rsid w:val="00E33AD9"/>
    <w:rsid w:val="00E34985"/>
    <w:rsid w:val="00E34E4A"/>
    <w:rsid w:val="00E365B3"/>
    <w:rsid w:val="00E366BB"/>
    <w:rsid w:val="00E372FD"/>
    <w:rsid w:val="00E37C45"/>
    <w:rsid w:val="00E40AAA"/>
    <w:rsid w:val="00E41A59"/>
    <w:rsid w:val="00E42444"/>
    <w:rsid w:val="00E438CF"/>
    <w:rsid w:val="00E43B06"/>
    <w:rsid w:val="00E43C41"/>
    <w:rsid w:val="00E4500E"/>
    <w:rsid w:val="00E450CE"/>
    <w:rsid w:val="00E45A00"/>
    <w:rsid w:val="00E45CE7"/>
    <w:rsid w:val="00E4631F"/>
    <w:rsid w:val="00E46A4A"/>
    <w:rsid w:val="00E4793B"/>
    <w:rsid w:val="00E47CB8"/>
    <w:rsid w:val="00E522BB"/>
    <w:rsid w:val="00E52A3D"/>
    <w:rsid w:val="00E533B7"/>
    <w:rsid w:val="00E539E4"/>
    <w:rsid w:val="00E53C14"/>
    <w:rsid w:val="00E569C7"/>
    <w:rsid w:val="00E571F2"/>
    <w:rsid w:val="00E57429"/>
    <w:rsid w:val="00E57ED3"/>
    <w:rsid w:val="00E60FCE"/>
    <w:rsid w:val="00E61EA8"/>
    <w:rsid w:val="00E62A33"/>
    <w:rsid w:val="00E63221"/>
    <w:rsid w:val="00E63EC6"/>
    <w:rsid w:val="00E64AE4"/>
    <w:rsid w:val="00E64CFF"/>
    <w:rsid w:val="00E64EA1"/>
    <w:rsid w:val="00E6582D"/>
    <w:rsid w:val="00E669C7"/>
    <w:rsid w:val="00E67611"/>
    <w:rsid w:val="00E70510"/>
    <w:rsid w:val="00E71262"/>
    <w:rsid w:val="00E71A58"/>
    <w:rsid w:val="00E737F6"/>
    <w:rsid w:val="00E7568F"/>
    <w:rsid w:val="00E764AE"/>
    <w:rsid w:val="00E7724B"/>
    <w:rsid w:val="00E77FEA"/>
    <w:rsid w:val="00E80E31"/>
    <w:rsid w:val="00E83DAB"/>
    <w:rsid w:val="00E84F21"/>
    <w:rsid w:val="00E8618A"/>
    <w:rsid w:val="00E90A4B"/>
    <w:rsid w:val="00E90D67"/>
    <w:rsid w:val="00E90F73"/>
    <w:rsid w:val="00E910A7"/>
    <w:rsid w:val="00E91607"/>
    <w:rsid w:val="00E921C7"/>
    <w:rsid w:val="00E92995"/>
    <w:rsid w:val="00E9446C"/>
    <w:rsid w:val="00E94612"/>
    <w:rsid w:val="00E95797"/>
    <w:rsid w:val="00E9682F"/>
    <w:rsid w:val="00E96A8D"/>
    <w:rsid w:val="00E972BA"/>
    <w:rsid w:val="00E97FA2"/>
    <w:rsid w:val="00EA06CB"/>
    <w:rsid w:val="00EA0AF3"/>
    <w:rsid w:val="00EA0C68"/>
    <w:rsid w:val="00EA19E2"/>
    <w:rsid w:val="00EA2169"/>
    <w:rsid w:val="00EA3EBE"/>
    <w:rsid w:val="00EA3FAC"/>
    <w:rsid w:val="00EA4153"/>
    <w:rsid w:val="00EA421A"/>
    <w:rsid w:val="00EA5CD6"/>
    <w:rsid w:val="00EA76FD"/>
    <w:rsid w:val="00EA77CA"/>
    <w:rsid w:val="00EA78FE"/>
    <w:rsid w:val="00EB03D4"/>
    <w:rsid w:val="00EB0555"/>
    <w:rsid w:val="00EB20A0"/>
    <w:rsid w:val="00EB2CE9"/>
    <w:rsid w:val="00EB30B6"/>
    <w:rsid w:val="00EB4FA4"/>
    <w:rsid w:val="00EB5146"/>
    <w:rsid w:val="00EB522B"/>
    <w:rsid w:val="00EB55E9"/>
    <w:rsid w:val="00EB5641"/>
    <w:rsid w:val="00EB5CA9"/>
    <w:rsid w:val="00EB5ED4"/>
    <w:rsid w:val="00EB6537"/>
    <w:rsid w:val="00EB70E1"/>
    <w:rsid w:val="00EB7EB5"/>
    <w:rsid w:val="00EC0860"/>
    <w:rsid w:val="00EC0EC1"/>
    <w:rsid w:val="00EC424C"/>
    <w:rsid w:val="00EC454B"/>
    <w:rsid w:val="00EC4941"/>
    <w:rsid w:val="00EC6153"/>
    <w:rsid w:val="00EC7F92"/>
    <w:rsid w:val="00ED00A8"/>
    <w:rsid w:val="00ED0A79"/>
    <w:rsid w:val="00ED2989"/>
    <w:rsid w:val="00ED2B0B"/>
    <w:rsid w:val="00ED2CA5"/>
    <w:rsid w:val="00ED336F"/>
    <w:rsid w:val="00ED3A94"/>
    <w:rsid w:val="00ED40F0"/>
    <w:rsid w:val="00ED4AC0"/>
    <w:rsid w:val="00ED54D6"/>
    <w:rsid w:val="00ED5726"/>
    <w:rsid w:val="00EE0113"/>
    <w:rsid w:val="00EE0298"/>
    <w:rsid w:val="00EE0384"/>
    <w:rsid w:val="00EE043A"/>
    <w:rsid w:val="00EE0473"/>
    <w:rsid w:val="00EE1057"/>
    <w:rsid w:val="00EE10AA"/>
    <w:rsid w:val="00EE1637"/>
    <w:rsid w:val="00EE3547"/>
    <w:rsid w:val="00EE3B7A"/>
    <w:rsid w:val="00EE3E78"/>
    <w:rsid w:val="00EE4534"/>
    <w:rsid w:val="00EE495A"/>
    <w:rsid w:val="00EE5E02"/>
    <w:rsid w:val="00EE617D"/>
    <w:rsid w:val="00EE61BF"/>
    <w:rsid w:val="00EE6538"/>
    <w:rsid w:val="00EE6748"/>
    <w:rsid w:val="00EE6C6B"/>
    <w:rsid w:val="00EF0E75"/>
    <w:rsid w:val="00EF1D92"/>
    <w:rsid w:val="00EF1F5A"/>
    <w:rsid w:val="00EF3486"/>
    <w:rsid w:val="00EF3CF0"/>
    <w:rsid w:val="00EF4685"/>
    <w:rsid w:val="00EF5397"/>
    <w:rsid w:val="00EF6BE3"/>
    <w:rsid w:val="00F00D0E"/>
    <w:rsid w:val="00F00D3C"/>
    <w:rsid w:val="00F020EA"/>
    <w:rsid w:val="00F02A72"/>
    <w:rsid w:val="00F04811"/>
    <w:rsid w:val="00F0488C"/>
    <w:rsid w:val="00F0496E"/>
    <w:rsid w:val="00F04D10"/>
    <w:rsid w:val="00F053EA"/>
    <w:rsid w:val="00F0625B"/>
    <w:rsid w:val="00F06944"/>
    <w:rsid w:val="00F06C6F"/>
    <w:rsid w:val="00F0732D"/>
    <w:rsid w:val="00F101FF"/>
    <w:rsid w:val="00F104DF"/>
    <w:rsid w:val="00F10A33"/>
    <w:rsid w:val="00F10B64"/>
    <w:rsid w:val="00F1186C"/>
    <w:rsid w:val="00F11AD5"/>
    <w:rsid w:val="00F126D0"/>
    <w:rsid w:val="00F12A83"/>
    <w:rsid w:val="00F14ACD"/>
    <w:rsid w:val="00F15309"/>
    <w:rsid w:val="00F15BEF"/>
    <w:rsid w:val="00F172BE"/>
    <w:rsid w:val="00F1776C"/>
    <w:rsid w:val="00F2037E"/>
    <w:rsid w:val="00F20D17"/>
    <w:rsid w:val="00F2103E"/>
    <w:rsid w:val="00F214FC"/>
    <w:rsid w:val="00F21C31"/>
    <w:rsid w:val="00F23825"/>
    <w:rsid w:val="00F2389A"/>
    <w:rsid w:val="00F23FFF"/>
    <w:rsid w:val="00F2441D"/>
    <w:rsid w:val="00F24FAA"/>
    <w:rsid w:val="00F25226"/>
    <w:rsid w:val="00F25860"/>
    <w:rsid w:val="00F26197"/>
    <w:rsid w:val="00F273D4"/>
    <w:rsid w:val="00F307DD"/>
    <w:rsid w:val="00F30C2E"/>
    <w:rsid w:val="00F30CB4"/>
    <w:rsid w:val="00F30EBF"/>
    <w:rsid w:val="00F318FC"/>
    <w:rsid w:val="00F31D53"/>
    <w:rsid w:val="00F31F76"/>
    <w:rsid w:val="00F325A3"/>
    <w:rsid w:val="00F3364D"/>
    <w:rsid w:val="00F339D0"/>
    <w:rsid w:val="00F353AE"/>
    <w:rsid w:val="00F35ACD"/>
    <w:rsid w:val="00F365BF"/>
    <w:rsid w:val="00F36BF8"/>
    <w:rsid w:val="00F375BA"/>
    <w:rsid w:val="00F37760"/>
    <w:rsid w:val="00F403D1"/>
    <w:rsid w:val="00F4351C"/>
    <w:rsid w:val="00F43921"/>
    <w:rsid w:val="00F44E1B"/>
    <w:rsid w:val="00F4524F"/>
    <w:rsid w:val="00F45530"/>
    <w:rsid w:val="00F4591F"/>
    <w:rsid w:val="00F47321"/>
    <w:rsid w:val="00F4736B"/>
    <w:rsid w:val="00F47804"/>
    <w:rsid w:val="00F47997"/>
    <w:rsid w:val="00F47D05"/>
    <w:rsid w:val="00F50030"/>
    <w:rsid w:val="00F502F5"/>
    <w:rsid w:val="00F50B9D"/>
    <w:rsid w:val="00F51FC9"/>
    <w:rsid w:val="00F52AE1"/>
    <w:rsid w:val="00F53243"/>
    <w:rsid w:val="00F541ED"/>
    <w:rsid w:val="00F54B31"/>
    <w:rsid w:val="00F54FD3"/>
    <w:rsid w:val="00F554F9"/>
    <w:rsid w:val="00F55605"/>
    <w:rsid w:val="00F56375"/>
    <w:rsid w:val="00F57CD7"/>
    <w:rsid w:val="00F6080A"/>
    <w:rsid w:val="00F61BFE"/>
    <w:rsid w:val="00F6260B"/>
    <w:rsid w:val="00F62F02"/>
    <w:rsid w:val="00F6339F"/>
    <w:rsid w:val="00F63DDE"/>
    <w:rsid w:val="00F63FB7"/>
    <w:rsid w:val="00F64726"/>
    <w:rsid w:val="00F64F44"/>
    <w:rsid w:val="00F6561A"/>
    <w:rsid w:val="00F66243"/>
    <w:rsid w:val="00F67BDA"/>
    <w:rsid w:val="00F70309"/>
    <w:rsid w:val="00F7078A"/>
    <w:rsid w:val="00F70E45"/>
    <w:rsid w:val="00F71F0F"/>
    <w:rsid w:val="00F727D5"/>
    <w:rsid w:val="00F72F44"/>
    <w:rsid w:val="00F73A0C"/>
    <w:rsid w:val="00F7593B"/>
    <w:rsid w:val="00F759DC"/>
    <w:rsid w:val="00F76563"/>
    <w:rsid w:val="00F7717C"/>
    <w:rsid w:val="00F771A5"/>
    <w:rsid w:val="00F80D1E"/>
    <w:rsid w:val="00F817A4"/>
    <w:rsid w:val="00F81C3A"/>
    <w:rsid w:val="00F835E1"/>
    <w:rsid w:val="00F835FC"/>
    <w:rsid w:val="00F8373A"/>
    <w:rsid w:val="00F83E21"/>
    <w:rsid w:val="00F83FA4"/>
    <w:rsid w:val="00F8410C"/>
    <w:rsid w:val="00F84E18"/>
    <w:rsid w:val="00F852E5"/>
    <w:rsid w:val="00F853A5"/>
    <w:rsid w:val="00F90350"/>
    <w:rsid w:val="00F91EAF"/>
    <w:rsid w:val="00F9310A"/>
    <w:rsid w:val="00F94681"/>
    <w:rsid w:val="00F95117"/>
    <w:rsid w:val="00F97ED2"/>
    <w:rsid w:val="00FA05D7"/>
    <w:rsid w:val="00FA16BD"/>
    <w:rsid w:val="00FA1992"/>
    <w:rsid w:val="00FA1C6C"/>
    <w:rsid w:val="00FA2447"/>
    <w:rsid w:val="00FA2A4A"/>
    <w:rsid w:val="00FA2BDE"/>
    <w:rsid w:val="00FA2C2A"/>
    <w:rsid w:val="00FA309A"/>
    <w:rsid w:val="00FA6B3F"/>
    <w:rsid w:val="00FA7644"/>
    <w:rsid w:val="00FB0A9A"/>
    <w:rsid w:val="00FB16AD"/>
    <w:rsid w:val="00FB1F21"/>
    <w:rsid w:val="00FB3763"/>
    <w:rsid w:val="00FB483B"/>
    <w:rsid w:val="00FB56F1"/>
    <w:rsid w:val="00FB5FD4"/>
    <w:rsid w:val="00FB6398"/>
    <w:rsid w:val="00FB67F3"/>
    <w:rsid w:val="00FB6AF4"/>
    <w:rsid w:val="00FC0D8A"/>
    <w:rsid w:val="00FC0E5F"/>
    <w:rsid w:val="00FC135D"/>
    <w:rsid w:val="00FC26FB"/>
    <w:rsid w:val="00FC2CF4"/>
    <w:rsid w:val="00FC3C84"/>
    <w:rsid w:val="00FC4660"/>
    <w:rsid w:val="00FC56DE"/>
    <w:rsid w:val="00FC5E01"/>
    <w:rsid w:val="00FC6140"/>
    <w:rsid w:val="00FC6DB5"/>
    <w:rsid w:val="00FD1261"/>
    <w:rsid w:val="00FD1627"/>
    <w:rsid w:val="00FD1BBD"/>
    <w:rsid w:val="00FD38B2"/>
    <w:rsid w:val="00FD43A0"/>
    <w:rsid w:val="00FD473D"/>
    <w:rsid w:val="00FD55BA"/>
    <w:rsid w:val="00FD61C8"/>
    <w:rsid w:val="00FD63CE"/>
    <w:rsid w:val="00FD7D49"/>
    <w:rsid w:val="00FE1251"/>
    <w:rsid w:val="00FE16E6"/>
    <w:rsid w:val="00FE2F78"/>
    <w:rsid w:val="00FE3510"/>
    <w:rsid w:val="00FE371D"/>
    <w:rsid w:val="00FE375F"/>
    <w:rsid w:val="00FE3D8B"/>
    <w:rsid w:val="00FE4FCB"/>
    <w:rsid w:val="00FE688F"/>
    <w:rsid w:val="00FE705E"/>
    <w:rsid w:val="00FF02EB"/>
    <w:rsid w:val="00FF28E0"/>
    <w:rsid w:val="00FF2FB4"/>
    <w:rsid w:val="00FF30B3"/>
    <w:rsid w:val="00FF3DF3"/>
    <w:rsid w:val="00FF4027"/>
    <w:rsid w:val="00FF45A2"/>
    <w:rsid w:val="00FF54B4"/>
    <w:rsid w:val="00FF55B1"/>
    <w:rsid w:val="00FF65DF"/>
    <w:rsid w:val="00FF7D9E"/>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nhideWhenUsed="0" w:qFormat="1"/>
  </w:latentStyles>
  <w:style w:type="paragraph" w:default="1" w:styleId="Normln">
    <w:name w:val="Normal"/>
    <w:qFormat/>
    <w:rsid w:val="005E492C"/>
    <w:pPr>
      <w:spacing w:line="288" w:lineRule="auto"/>
    </w:pPr>
    <w:rPr>
      <w:rFonts w:ascii="Arial" w:hAnsi="Arial"/>
      <w:szCs w:val="24"/>
    </w:rPr>
  </w:style>
  <w:style w:type="paragraph" w:styleId="Nadpis1">
    <w:name w:val="heading 1"/>
    <w:basedOn w:val="Normln"/>
    <w:next w:val="Normln"/>
    <w:link w:val="Nadpis1Char"/>
    <w:uiPriority w:val="9"/>
    <w:qFormat/>
    <w:rsid w:val="005E492C"/>
    <w:pPr>
      <w:keepNext/>
      <w:keepLines/>
      <w:spacing w:after="200"/>
      <w:outlineLvl w:val="0"/>
    </w:pPr>
    <w:rPr>
      <w:rFonts w:eastAsia="MS Gothic"/>
      <w:b/>
      <w:bCs/>
      <w:color w:val="71818C"/>
      <w:sz w:val="32"/>
      <w:szCs w:val="28"/>
    </w:rPr>
  </w:style>
  <w:style w:type="paragraph" w:styleId="Nadpis2">
    <w:name w:val="heading 2"/>
    <w:basedOn w:val="Normln"/>
    <w:next w:val="Normln"/>
    <w:link w:val="Nadpis2Char"/>
    <w:uiPriority w:val="99"/>
    <w:qFormat/>
    <w:rsid w:val="005E492C"/>
    <w:pPr>
      <w:keepNext/>
      <w:keepLines/>
      <w:outlineLvl w:val="1"/>
    </w:pPr>
    <w:rPr>
      <w:rFonts w:eastAsia="MS Gothic"/>
      <w:b/>
      <w:bCs/>
      <w:color w:val="71818C"/>
      <w:sz w:val="28"/>
      <w:szCs w:val="26"/>
    </w:rPr>
  </w:style>
  <w:style w:type="paragraph" w:styleId="Nadpis3">
    <w:name w:val="heading 3"/>
    <w:basedOn w:val="Normln"/>
    <w:next w:val="Normln"/>
    <w:link w:val="Nadpis3Char"/>
    <w:uiPriority w:val="99"/>
    <w:qFormat/>
    <w:rsid w:val="005E492C"/>
    <w:pPr>
      <w:keepNext/>
      <w:keepLines/>
      <w:outlineLvl w:val="2"/>
    </w:pPr>
    <w:rPr>
      <w:rFonts w:eastAsia="MS Gothic"/>
      <w:b/>
      <w:bCs/>
      <w:color w:val="71818C"/>
      <w:sz w:val="24"/>
    </w:rPr>
  </w:style>
  <w:style w:type="paragraph" w:styleId="Nadpis4">
    <w:name w:val="heading 4"/>
    <w:basedOn w:val="Normln"/>
    <w:next w:val="Normln"/>
    <w:link w:val="Nadpis4Char"/>
    <w:uiPriority w:val="99"/>
    <w:qFormat/>
    <w:rsid w:val="005E492C"/>
    <w:pPr>
      <w:keepNext/>
      <w:keepLines/>
      <w:outlineLvl w:val="3"/>
    </w:pPr>
    <w:rPr>
      <w:rFonts w:eastAsia="MS Gothic"/>
      <w:b/>
      <w:bCs/>
      <w:iCs/>
    </w:rPr>
  </w:style>
  <w:style w:type="paragraph" w:styleId="Nadpis5">
    <w:name w:val="heading 5"/>
    <w:basedOn w:val="Normln"/>
    <w:next w:val="Normln"/>
    <w:link w:val="Nadpis5Char"/>
    <w:uiPriority w:val="99"/>
    <w:qFormat/>
    <w:rsid w:val="007521A1"/>
    <w:pPr>
      <w:spacing w:before="240" w:after="60"/>
      <w:outlineLvl w:val="4"/>
    </w:pPr>
    <w:rPr>
      <w:rFonts w:ascii="Calibri" w:eastAsia="Times New Roman" w:hAnsi="Calibri"/>
      <w:b/>
      <w:bCs/>
      <w:i/>
      <w:iCs/>
      <w:sz w:val="26"/>
      <w:szCs w:val="26"/>
    </w:rPr>
  </w:style>
  <w:style w:type="paragraph" w:styleId="Nadpis6">
    <w:name w:val="heading 6"/>
    <w:basedOn w:val="Normln"/>
    <w:next w:val="Normln"/>
    <w:link w:val="Nadpis6Char"/>
    <w:uiPriority w:val="99"/>
    <w:qFormat/>
    <w:rsid w:val="007521A1"/>
    <w:pPr>
      <w:spacing w:before="240" w:after="60"/>
      <w:outlineLvl w:val="5"/>
    </w:pPr>
    <w:rPr>
      <w:rFonts w:ascii="Calibri" w:eastAsia="Times New Roman" w:hAnsi="Calibri"/>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sid w:val="005E492C"/>
    <w:rPr>
      <w:rFonts w:ascii="Arial" w:eastAsia="MS Gothic" w:hAnsi="Arial" w:cs="Times New Roman"/>
      <w:b/>
      <w:color w:val="71818C"/>
      <w:sz w:val="28"/>
    </w:rPr>
  </w:style>
  <w:style w:type="character" w:customStyle="1" w:styleId="Nadpis2Char">
    <w:name w:val="Nadpis 2 Char"/>
    <w:basedOn w:val="Standardnpsmoodstavce"/>
    <w:link w:val="Nadpis2"/>
    <w:uiPriority w:val="99"/>
    <w:locked/>
    <w:rsid w:val="005E492C"/>
    <w:rPr>
      <w:rFonts w:ascii="Arial" w:eastAsia="MS Gothic" w:hAnsi="Arial" w:cs="Times New Roman"/>
      <w:b/>
      <w:color w:val="71818C"/>
      <w:sz w:val="26"/>
    </w:rPr>
  </w:style>
  <w:style w:type="character" w:customStyle="1" w:styleId="Nadpis3Char">
    <w:name w:val="Nadpis 3 Char"/>
    <w:basedOn w:val="Standardnpsmoodstavce"/>
    <w:link w:val="Nadpis3"/>
    <w:uiPriority w:val="99"/>
    <w:locked/>
    <w:rsid w:val="005E492C"/>
    <w:rPr>
      <w:rFonts w:ascii="Arial" w:eastAsia="MS Gothic" w:hAnsi="Arial" w:cs="Times New Roman"/>
      <w:b/>
      <w:color w:val="71818C"/>
      <w:sz w:val="24"/>
    </w:rPr>
  </w:style>
  <w:style w:type="character" w:customStyle="1" w:styleId="Nadpis4Char">
    <w:name w:val="Nadpis 4 Char"/>
    <w:basedOn w:val="Standardnpsmoodstavce"/>
    <w:link w:val="Nadpis4"/>
    <w:uiPriority w:val="99"/>
    <w:locked/>
    <w:rsid w:val="005E492C"/>
    <w:rPr>
      <w:rFonts w:ascii="Arial" w:eastAsia="MS Gothic" w:hAnsi="Arial" w:cs="Times New Roman"/>
      <w:b/>
      <w:sz w:val="24"/>
    </w:rPr>
  </w:style>
  <w:style w:type="character" w:customStyle="1" w:styleId="Nadpis5Char">
    <w:name w:val="Nadpis 5 Char"/>
    <w:basedOn w:val="Standardnpsmoodstavce"/>
    <w:link w:val="Nadpis5"/>
    <w:uiPriority w:val="99"/>
    <w:semiHidden/>
    <w:locked/>
    <w:rsid w:val="007521A1"/>
    <w:rPr>
      <w:rFonts w:ascii="Calibri" w:hAnsi="Calibri" w:cs="Times New Roman"/>
      <w:b/>
      <w:bCs/>
      <w:i/>
      <w:iCs/>
      <w:sz w:val="26"/>
      <w:szCs w:val="26"/>
    </w:rPr>
  </w:style>
  <w:style w:type="character" w:customStyle="1" w:styleId="Nadpis6Char">
    <w:name w:val="Nadpis 6 Char"/>
    <w:basedOn w:val="Standardnpsmoodstavce"/>
    <w:link w:val="Nadpis6"/>
    <w:uiPriority w:val="99"/>
    <w:semiHidden/>
    <w:locked/>
    <w:rsid w:val="007521A1"/>
    <w:rPr>
      <w:rFonts w:ascii="Calibri" w:hAnsi="Calibri" w:cs="Times New Roman"/>
      <w:b/>
      <w:bCs/>
      <w:sz w:val="22"/>
      <w:szCs w:val="22"/>
    </w:rPr>
  </w:style>
  <w:style w:type="character" w:styleId="Hypertextovodkaz">
    <w:name w:val="Hyperlink"/>
    <w:basedOn w:val="Standardnpsmoodstavce"/>
    <w:uiPriority w:val="99"/>
    <w:rsid w:val="00E71A58"/>
    <w:rPr>
      <w:rFonts w:cs="Times New Roman"/>
      <w:color w:val="0000FF"/>
      <w:u w:val="single"/>
    </w:rPr>
  </w:style>
  <w:style w:type="paragraph" w:customStyle="1" w:styleId="Styl1">
    <w:name w:val="Styl1"/>
    <w:uiPriority w:val="99"/>
    <w:rsid w:val="00E71A58"/>
    <w:pPr>
      <w:suppressAutoHyphens/>
      <w:autoSpaceDE w:val="0"/>
    </w:pPr>
    <w:rPr>
      <w:rFonts w:ascii="Arial" w:eastAsia="Times New Roman" w:hAnsi="Arial"/>
      <w:sz w:val="24"/>
      <w:szCs w:val="24"/>
      <w:lang w:eastAsia="ar-SA"/>
    </w:rPr>
  </w:style>
  <w:style w:type="paragraph" w:styleId="Zhlav">
    <w:name w:val="header"/>
    <w:basedOn w:val="Normln"/>
    <w:link w:val="ZhlavChar"/>
    <w:uiPriority w:val="99"/>
    <w:rsid w:val="00E71A58"/>
    <w:pPr>
      <w:tabs>
        <w:tab w:val="center" w:pos="4536"/>
        <w:tab w:val="right" w:pos="9072"/>
      </w:tabs>
    </w:pPr>
    <w:rPr>
      <w:rFonts w:ascii="Calibri" w:hAnsi="Calibri"/>
      <w:sz w:val="22"/>
      <w:szCs w:val="22"/>
      <w:lang w:eastAsia="en-US"/>
    </w:rPr>
  </w:style>
  <w:style w:type="character" w:customStyle="1" w:styleId="ZhlavChar">
    <w:name w:val="Záhlaví Char"/>
    <w:basedOn w:val="Standardnpsmoodstavce"/>
    <w:link w:val="Zhlav"/>
    <w:uiPriority w:val="99"/>
    <w:locked/>
    <w:rsid w:val="00E71A58"/>
    <w:rPr>
      <w:rFonts w:cs="Times New Roman"/>
    </w:rPr>
  </w:style>
  <w:style w:type="paragraph" w:styleId="Zpat">
    <w:name w:val="footer"/>
    <w:basedOn w:val="Normln"/>
    <w:link w:val="ZpatChar"/>
    <w:uiPriority w:val="99"/>
    <w:rsid w:val="00E71A58"/>
    <w:pPr>
      <w:tabs>
        <w:tab w:val="center" w:pos="4536"/>
        <w:tab w:val="right" w:pos="9072"/>
      </w:tabs>
    </w:pPr>
    <w:rPr>
      <w:rFonts w:ascii="Calibri" w:hAnsi="Calibri"/>
      <w:sz w:val="22"/>
      <w:szCs w:val="22"/>
      <w:lang w:eastAsia="en-US"/>
    </w:rPr>
  </w:style>
  <w:style w:type="character" w:customStyle="1" w:styleId="ZpatChar">
    <w:name w:val="Zápatí Char"/>
    <w:basedOn w:val="Standardnpsmoodstavce"/>
    <w:link w:val="Zpat"/>
    <w:uiPriority w:val="99"/>
    <w:locked/>
    <w:rsid w:val="00E71A58"/>
    <w:rPr>
      <w:rFonts w:cs="Times New Roman"/>
    </w:rPr>
  </w:style>
  <w:style w:type="paragraph" w:styleId="Textbubliny">
    <w:name w:val="Balloon Text"/>
    <w:basedOn w:val="Normln"/>
    <w:link w:val="TextbublinyChar"/>
    <w:uiPriority w:val="99"/>
    <w:rsid w:val="00E71A58"/>
    <w:rPr>
      <w:rFonts w:ascii="Tahoma" w:hAnsi="Tahoma"/>
      <w:sz w:val="16"/>
      <w:szCs w:val="16"/>
    </w:rPr>
  </w:style>
  <w:style w:type="character" w:customStyle="1" w:styleId="TextbublinyChar">
    <w:name w:val="Text bubliny Char"/>
    <w:basedOn w:val="Standardnpsmoodstavce"/>
    <w:link w:val="Textbubliny"/>
    <w:uiPriority w:val="99"/>
    <w:semiHidden/>
    <w:locked/>
    <w:rsid w:val="00E71A58"/>
    <w:rPr>
      <w:rFonts w:ascii="Tahoma" w:hAnsi="Tahoma" w:cs="Times New Roman"/>
      <w:sz w:val="16"/>
    </w:rPr>
  </w:style>
  <w:style w:type="paragraph" w:customStyle="1" w:styleId="Zkladnodstavec">
    <w:name w:val="[Základní odstavec]"/>
    <w:basedOn w:val="Normln"/>
    <w:link w:val="ZkladnodstavecChar"/>
    <w:uiPriority w:val="99"/>
    <w:rsid w:val="001714F2"/>
    <w:pPr>
      <w:autoSpaceDE w:val="0"/>
      <w:autoSpaceDN w:val="0"/>
      <w:adjustRightInd w:val="0"/>
      <w:textAlignment w:val="center"/>
    </w:pPr>
    <w:rPr>
      <w:rFonts w:ascii="Minion Pro" w:hAnsi="Minion Pro"/>
      <w:color w:val="000000"/>
      <w:sz w:val="24"/>
      <w:szCs w:val="20"/>
    </w:rPr>
  </w:style>
  <w:style w:type="paragraph" w:styleId="Nzev">
    <w:name w:val="Title"/>
    <w:basedOn w:val="Normln"/>
    <w:next w:val="Normln"/>
    <w:link w:val="NzevChar"/>
    <w:uiPriority w:val="99"/>
    <w:qFormat/>
    <w:rsid w:val="005E492C"/>
    <w:pPr>
      <w:contextualSpacing/>
      <w:outlineLvl w:val="0"/>
    </w:pPr>
    <w:rPr>
      <w:rFonts w:eastAsia="MS Gothic"/>
      <w:b/>
      <w:caps/>
      <w:color w:val="71818C"/>
      <w:sz w:val="56"/>
      <w:szCs w:val="52"/>
    </w:rPr>
  </w:style>
  <w:style w:type="character" w:customStyle="1" w:styleId="NzevChar">
    <w:name w:val="Název Char"/>
    <w:basedOn w:val="Standardnpsmoodstavce"/>
    <w:link w:val="Nzev"/>
    <w:uiPriority w:val="99"/>
    <w:locked/>
    <w:rsid w:val="005E492C"/>
    <w:rPr>
      <w:rFonts w:ascii="Arial" w:eastAsia="MS Gothic" w:hAnsi="Arial" w:cs="Times New Roman"/>
      <w:b/>
      <w:caps/>
      <w:color w:val="71818C"/>
      <w:sz w:val="52"/>
    </w:rPr>
  </w:style>
  <w:style w:type="paragraph" w:styleId="Podtitul">
    <w:name w:val="Subtitle"/>
    <w:basedOn w:val="Normln"/>
    <w:next w:val="Normln"/>
    <w:link w:val="PodtitulChar"/>
    <w:uiPriority w:val="99"/>
    <w:qFormat/>
    <w:rsid w:val="005E492C"/>
    <w:pPr>
      <w:numPr>
        <w:ilvl w:val="1"/>
      </w:numPr>
    </w:pPr>
    <w:rPr>
      <w:rFonts w:eastAsia="MS Gothic"/>
      <w:b/>
      <w:iCs/>
      <w:color w:val="71818C"/>
      <w:sz w:val="28"/>
    </w:rPr>
  </w:style>
  <w:style w:type="character" w:customStyle="1" w:styleId="PodtitulChar">
    <w:name w:val="Podtitul Char"/>
    <w:basedOn w:val="Standardnpsmoodstavce"/>
    <w:link w:val="Podtitul"/>
    <w:uiPriority w:val="99"/>
    <w:locked/>
    <w:rsid w:val="005E492C"/>
    <w:rPr>
      <w:rFonts w:ascii="Arial" w:eastAsia="MS Gothic" w:hAnsi="Arial" w:cs="Times New Roman"/>
      <w:b/>
      <w:color w:val="71818C"/>
      <w:sz w:val="24"/>
    </w:rPr>
  </w:style>
  <w:style w:type="paragraph" w:customStyle="1" w:styleId="Bezmezer1">
    <w:name w:val="Bez mezer1"/>
    <w:aliases w:val="Bez zarážky"/>
    <w:link w:val="NoSpacingChar"/>
    <w:uiPriority w:val="99"/>
    <w:rsid w:val="005E492C"/>
    <w:pPr>
      <w:spacing w:line="288" w:lineRule="auto"/>
    </w:pPr>
    <w:rPr>
      <w:rFonts w:ascii="Arial" w:hAnsi="Arial"/>
      <w:sz w:val="22"/>
      <w:szCs w:val="22"/>
    </w:rPr>
  </w:style>
  <w:style w:type="paragraph" w:customStyle="1" w:styleId="Box1">
    <w:name w:val="Box 1"/>
    <w:basedOn w:val="Zkladnodstavec"/>
    <w:next w:val="Normln"/>
    <w:uiPriority w:val="99"/>
    <w:rsid w:val="005E492C"/>
    <w:pPr>
      <w:ind w:left="1134"/>
    </w:pPr>
    <w:rPr>
      <w:rFonts w:ascii="Arial" w:hAnsi="Arial" w:cs="Arial"/>
      <w:color w:val="71818C"/>
      <w:sz w:val="20"/>
    </w:rPr>
  </w:style>
  <w:style w:type="paragraph" w:customStyle="1" w:styleId="Box2">
    <w:name w:val="Box 2"/>
    <w:basedOn w:val="Zkladnodstavec"/>
    <w:link w:val="Box2Char"/>
    <w:uiPriority w:val="99"/>
    <w:rsid w:val="00010702"/>
    <w:pPr>
      <w:shd w:val="clear" w:color="auto" w:fill="CCC0D9"/>
      <w:tabs>
        <w:tab w:val="left" w:pos="9638"/>
      </w:tabs>
      <w:ind w:left="1134" w:right="-1"/>
      <w:jc w:val="both"/>
    </w:pPr>
    <w:rPr>
      <w:rFonts w:ascii="Arial" w:hAnsi="Arial"/>
      <w:b/>
    </w:rPr>
  </w:style>
  <w:style w:type="paragraph" w:customStyle="1" w:styleId="Box">
    <w:name w:val="Box"/>
    <w:next w:val="Normln"/>
    <w:link w:val="BoxChar"/>
    <w:uiPriority w:val="99"/>
    <w:rsid w:val="005E492C"/>
    <w:pPr>
      <w:shd w:val="clear" w:color="auto" w:fill="EAECEE"/>
      <w:spacing w:line="288" w:lineRule="auto"/>
      <w:ind w:left="1134"/>
    </w:pPr>
    <w:rPr>
      <w:rFonts w:ascii="Arial" w:hAnsi="Arial"/>
      <w:color w:val="000000"/>
      <w:sz w:val="22"/>
      <w:szCs w:val="22"/>
    </w:rPr>
  </w:style>
  <w:style w:type="paragraph" w:customStyle="1" w:styleId="TL-Kontakty">
    <w:name w:val="TL - Kontakty"/>
    <w:next w:val="Normln"/>
    <w:link w:val="TL-KontaktyChar"/>
    <w:uiPriority w:val="99"/>
    <w:rsid w:val="005E492C"/>
    <w:pPr>
      <w:spacing w:after="80"/>
    </w:pPr>
    <w:rPr>
      <w:rFonts w:ascii="Arial" w:hAnsi="Arial"/>
      <w:b/>
      <w:caps/>
      <w:color w:val="BD1B21"/>
      <w:sz w:val="22"/>
      <w:szCs w:val="22"/>
    </w:rPr>
  </w:style>
  <w:style w:type="character" w:customStyle="1" w:styleId="ZkladnodstavecChar">
    <w:name w:val="[Základní odstavec] Char"/>
    <w:link w:val="Zkladnodstavec"/>
    <w:uiPriority w:val="99"/>
    <w:locked/>
    <w:rsid w:val="006710C9"/>
    <w:rPr>
      <w:rFonts w:ascii="Minion Pro" w:hAnsi="Minion Pro"/>
      <w:color w:val="000000"/>
      <w:sz w:val="24"/>
    </w:rPr>
  </w:style>
  <w:style w:type="character" w:customStyle="1" w:styleId="Box2Char">
    <w:name w:val="Box 2 Char"/>
    <w:link w:val="Box2"/>
    <w:uiPriority w:val="99"/>
    <w:locked/>
    <w:rsid w:val="006710C9"/>
    <w:rPr>
      <w:rFonts w:ascii="Arial" w:hAnsi="Arial"/>
      <w:b/>
      <w:color w:val="000000"/>
      <w:sz w:val="24"/>
      <w:shd w:val="clear" w:color="auto" w:fill="CCC0D9"/>
    </w:rPr>
  </w:style>
  <w:style w:type="character" w:customStyle="1" w:styleId="BoxChar">
    <w:name w:val="Box Char"/>
    <w:link w:val="Box"/>
    <w:uiPriority w:val="99"/>
    <w:locked/>
    <w:rsid w:val="005E492C"/>
    <w:rPr>
      <w:rFonts w:ascii="Arial" w:hAnsi="Arial"/>
      <w:color w:val="000000"/>
      <w:sz w:val="22"/>
      <w:szCs w:val="22"/>
      <w:shd w:val="clear" w:color="auto" w:fill="EAECEE"/>
      <w:lang w:bidi="ar-SA"/>
    </w:rPr>
  </w:style>
  <w:style w:type="paragraph" w:customStyle="1" w:styleId="TL-Identifikace">
    <w:name w:val="TL - Identifikace"/>
    <w:next w:val="Normln"/>
    <w:link w:val="TL-IdentifikaceChar"/>
    <w:uiPriority w:val="99"/>
    <w:rsid w:val="005E492C"/>
    <w:pPr>
      <w:spacing w:after="200" w:line="288" w:lineRule="auto"/>
    </w:pPr>
    <w:rPr>
      <w:rFonts w:ascii="Arial" w:hAnsi="Arial"/>
      <w:sz w:val="22"/>
      <w:szCs w:val="22"/>
    </w:rPr>
  </w:style>
  <w:style w:type="character" w:customStyle="1" w:styleId="TL-KontaktyChar">
    <w:name w:val="TL - Kontakty Char"/>
    <w:link w:val="TL-Kontakty"/>
    <w:uiPriority w:val="99"/>
    <w:locked/>
    <w:rsid w:val="005E492C"/>
    <w:rPr>
      <w:rFonts w:ascii="Arial" w:hAnsi="Arial"/>
      <w:b/>
      <w:caps/>
      <w:color w:val="BD1B21"/>
      <w:sz w:val="22"/>
      <w:szCs w:val="22"/>
      <w:lang w:bidi="ar-SA"/>
    </w:rPr>
  </w:style>
  <w:style w:type="character" w:customStyle="1" w:styleId="TL-IdentifikaceChar">
    <w:name w:val="TL - Identifikace Char"/>
    <w:link w:val="TL-Identifikace"/>
    <w:uiPriority w:val="99"/>
    <w:locked/>
    <w:rsid w:val="005E492C"/>
    <w:rPr>
      <w:rFonts w:ascii="Arial" w:hAnsi="Arial"/>
      <w:sz w:val="22"/>
      <w:szCs w:val="22"/>
      <w:lang w:bidi="ar-SA"/>
    </w:rPr>
  </w:style>
  <w:style w:type="paragraph" w:customStyle="1" w:styleId="3372873BB58A4DED866D2BE34882C06C">
    <w:name w:val="3372873BB58A4DED866D2BE34882C06C"/>
    <w:uiPriority w:val="99"/>
    <w:rsid w:val="00EE3E78"/>
    <w:pPr>
      <w:spacing w:after="200" w:line="276" w:lineRule="auto"/>
    </w:pPr>
    <w:rPr>
      <w:rFonts w:eastAsia="MS Mincho"/>
      <w:sz w:val="22"/>
      <w:szCs w:val="22"/>
    </w:rPr>
  </w:style>
  <w:style w:type="paragraph" w:customStyle="1" w:styleId="233E5CD5853943F4BD7E8C4B124C0E1D">
    <w:name w:val="233E5CD5853943F4BD7E8C4B124C0E1D"/>
    <w:uiPriority w:val="99"/>
    <w:rsid w:val="00EE3E78"/>
    <w:pPr>
      <w:spacing w:after="200" w:line="276" w:lineRule="auto"/>
    </w:pPr>
    <w:rPr>
      <w:rFonts w:eastAsia="MS Mincho"/>
      <w:sz w:val="22"/>
      <w:szCs w:val="22"/>
    </w:rPr>
  </w:style>
  <w:style w:type="paragraph" w:customStyle="1" w:styleId="D345FF3D873148C5AE3FBF3267827368">
    <w:name w:val="D345FF3D873148C5AE3FBF3267827368"/>
    <w:uiPriority w:val="99"/>
    <w:rsid w:val="00EE3E78"/>
    <w:pPr>
      <w:spacing w:after="200" w:line="276" w:lineRule="auto"/>
    </w:pPr>
    <w:rPr>
      <w:rFonts w:eastAsia="MS Mincho"/>
      <w:sz w:val="22"/>
      <w:szCs w:val="22"/>
    </w:rPr>
  </w:style>
  <w:style w:type="character" w:customStyle="1" w:styleId="NoSpacingChar">
    <w:name w:val="No Spacing Char"/>
    <w:aliases w:val="Bez zarážky Char"/>
    <w:link w:val="Bezmezer1"/>
    <w:uiPriority w:val="99"/>
    <w:locked/>
    <w:rsid w:val="005E492C"/>
    <w:rPr>
      <w:rFonts w:ascii="Arial" w:hAnsi="Arial"/>
      <w:sz w:val="22"/>
      <w:szCs w:val="22"/>
      <w:lang w:bidi="ar-SA"/>
    </w:rPr>
  </w:style>
  <w:style w:type="paragraph" w:customStyle="1" w:styleId="TL-identifikace-sted">
    <w:name w:val="TL - identifikace - střed"/>
    <w:basedOn w:val="Normln"/>
    <w:link w:val="TL-identifikace-stedChar"/>
    <w:uiPriority w:val="99"/>
    <w:rsid w:val="005E492C"/>
    <w:pPr>
      <w:spacing w:after="200"/>
    </w:pPr>
    <w:rPr>
      <w:sz w:val="24"/>
      <w:szCs w:val="20"/>
    </w:rPr>
  </w:style>
  <w:style w:type="paragraph" w:customStyle="1" w:styleId="TL-Identifikace-dole">
    <w:name w:val="TL - Identifikace - dole"/>
    <w:basedOn w:val="Normln"/>
    <w:link w:val="TL-Identifikace-doleChar"/>
    <w:uiPriority w:val="99"/>
    <w:rsid w:val="005E492C"/>
    <w:pPr>
      <w:spacing w:after="200"/>
    </w:pPr>
    <w:rPr>
      <w:szCs w:val="20"/>
      <w:lang w:eastAsia="ar-SA"/>
    </w:rPr>
  </w:style>
  <w:style w:type="character" w:customStyle="1" w:styleId="TL-identifikace-stedChar">
    <w:name w:val="TL - identifikace - střed Char"/>
    <w:link w:val="TL-identifikace-sted"/>
    <w:uiPriority w:val="99"/>
    <w:locked/>
    <w:rsid w:val="005E492C"/>
    <w:rPr>
      <w:rFonts w:ascii="Arial" w:hAnsi="Arial"/>
      <w:sz w:val="24"/>
    </w:rPr>
  </w:style>
  <w:style w:type="character" w:customStyle="1" w:styleId="TL-Identifikace-doleChar">
    <w:name w:val="TL - Identifikace - dole Char"/>
    <w:link w:val="TL-Identifikace-dole"/>
    <w:uiPriority w:val="99"/>
    <w:locked/>
    <w:rsid w:val="005E492C"/>
    <w:rPr>
      <w:rFonts w:ascii="Arial" w:hAnsi="Arial"/>
      <w:lang w:eastAsia="ar-SA" w:bidi="ar-SA"/>
    </w:rPr>
  </w:style>
  <w:style w:type="paragraph" w:styleId="Nadpisobsahu">
    <w:name w:val="TOC Heading"/>
    <w:basedOn w:val="Nadpis1"/>
    <w:next w:val="Normln"/>
    <w:uiPriority w:val="99"/>
    <w:qFormat/>
    <w:rsid w:val="007521A1"/>
    <w:pPr>
      <w:keepLines w:val="0"/>
      <w:spacing w:before="240" w:after="60"/>
      <w:outlineLvl w:val="9"/>
    </w:pPr>
    <w:rPr>
      <w:rFonts w:ascii="Cambria" w:eastAsia="Times New Roman" w:hAnsi="Cambria"/>
      <w:color w:val="auto"/>
      <w:kern w:val="32"/>
      <w:szCs w:val="32"/>
    </w:rPr>
  </w:style>
  <w:style w:type="paragraph" w:styleId="Obsah1">
    <w:name w:val="toc 1"/>
    <w:basedOn w:val="Normln"/>
    <w:next w:val="Normln"/>
    <w:autoRedefine/>
    <w:uiPriority w:val="39"/>
    <w:rsid w:val="005B22A7"/>
    <w:pPr>
      <w:tabs>
        <w:tab w:val="left" w:pos="660"/>
        <w:tab w:val="right" w:leader="dot" w:pos="9628"/>
      </w:tabs>
      <w:spacing w:after="100" w:line="360" w:lineRule="auto"/>
      <w:jc w:val="both"/>
    </w:pPr>
    <w:rPr>
      <w:rFonts w:cs="Arial"/>
      <w:b/>
      <w:noProof/>
      <w:szCs w:val="20"/>
      <w:lang w:eastAsia="en-US"/>
    </w:rPr>
  </w:style>
  <w:style w:type="paragraph" w:styleId="Obsah2">
    <w:name w:val="toc 2"/>
    <w:basedOn w:val="Normln"/>
    <w:next w:val="Normln"/>
    <w:autoRedefine/>
    <w:uiPriority w:val="99"/>
    <w:rsid w:val="00D142E5"/>
    <w:pPr>
      <w:ind w:left="200"/>
    </w:pPr>
  </w:style>
  <w:style w:type="paragraph" w:styleId="Obsah3">
    <w:name w:val="toc 3"/>
    <w:basedOn w:val="Normln"/>
    <w:next w:val="Normln"/>
    <w:autoRedefine/>
    <w:uiPriority w:val="99"/>
    <w:rsid w:val="00D142E5"/>
    <w:pPr>
      <w:ind w:left="400"/>
    </w:pPr>
  </w:style>
  <w:style w:type="paragraph" w:styleId="Textpoznpodarou">
    <w:name w:val="footnote text"/>
    <w:aliases w:val="Text pozn. pod čarou_martin_ang"/>
    <w:basedOn w:val="Normln"/>
    <w:link w:val="TextpoznpodarouChar"/>
    <w:rsid w:val="00972263"/>
    <w:pPr>
      <w:spacing w:line="240" w:lineRule="auto"/>
    </w:pPr>
    <w:rPr>
      <w:szCs w:val="20"/>
    </w:rPr>
  </w:style>
  <w:style w:type="character" w:customStyle="1" w:styleId="TextpoznpodarouChar">
    <w:name w:val="Text pozn. pod čarou Char"/>
    <w:aliases w:val="Text pozn. pod čarou_martin_ang Char"/>
    <w:basedOn w:val="Standardnpsmoodstavce"/>
    <w:link w:val="Textpoznpodarou"/>
    <w:locked/>
    <w:rsid w:val="00972263"/>
    <w:rPr>
      <w:rFonts w:ascii="Arial" w:hAnsi="Arial" w:cs="Times New Roman"/>
    </w:rPr>
  </w:style>
  <w:style w:type="character" w:styleId="Znakapoznpodarou">
    <w:name w:val="footnote reference"/>
    <w:basedOn w:val="Standardnpsmoodstavce"/>
    <w:rsid w:val="00972263"/>
    <w:rPr>
      <w:rFonts w:cs="Times New Roman"/>
      <w:vertAlign w:val="superscript"/>
    </w:rPr>
  </w:style>
  <w:style w:type="paragraph" w:styleId="Rozvrendokumentu">
    <w:name w:val="Document Map"/>
    <w:basedOn w:val="Normln"/>
    <w:link w:val="RozvrendokumentuChar"/>
    <w:uiPriority w:val="99"/>
    <w:semiHidden/>
    <w:rsid w:val="00D5626D"/>
    <w:rPr>
      <w:rFonts w:ascii="Tahoma" w:hAnsi="Tahoma" w:cs="Tahoma"/>
      <w:sz w:val="16"/>
      <w:szCs w:val="16"/>
    </w:rPr>
  </w:style>
  <w:style w:type="character" w:customStyle="1" w:styleId="RozvrendokumentuChar">
    <w:name w:val="Rozvržení dokumentu Char"/>
    <w:basedOn w:val="Standardnpsmoodstavce"/>
    <w:link w:val="Rozvrendokumentu"/>
    <w:uiPriority w:val="99"/>
    <w:semiHidden/>
    <w:locked/>
    <w:rsid w:val="00D5626D"/>
    <w:rPr>
      <w:rFonts w:ascii="Tahoma" w:hAnsi="Tahoma" w:cs="Tahoma"/>
      <w:sz w:val="16"/>
      <w:szCs w:val="16"/>
    </w:rPr>
  </w:style>
  <w:style w:type="character" w:styleId="Siln">
    <w:name w:val="Strong"/>
    <w:basedOn w:val="Standardnpsmoodstavce"/>
    <w:uiPriority w:val="99"/>
    <w:qFormat/>
    <w:rsid w:val="00E921C7"/>
    <w:rPr>
      <w:rFonts w:cs="Times New Roman"/>
      <w:b/>
      <w:bCs/>
    </w:rPr>
  </w:style>
  <w:style w:type="paragraph" w:styleId="Odstavecseseznamem">
    <w:name w:val="List Paragraph"/>
    <w:basedOn w:val="Normln"/>
    <w:uiPriority w:val="34"/>
    <w:qFormat/>
    <w:rsid w:val="0046039A"/>
    <w:pPr>
      <w:ind w:left="708"/>
    </w:pPr>
  </w:style>
  <w:style w:type="table" w:styleId="Mkatabulky">
    <w:name w:val="Table Grid"/>
    <w:basedOn w:val="Normlntabulka"/>
    <w:uiPriority w:val="59"/>
    <w:rsid w:val="000779A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katabulky1">
    <w:name w:val="Mřížka tabulky1"/>
    <w:uiPriority w:val="59"/>
    <w:rsid w:val="003D476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zmezer">
    <w:name w:val="No Spacing"/>
    <w:uiPriority w:val="1"/>
    <w:qFormat/>
    <w:rsid w:val="007D4281"/>
    <w:pPr>
      <w:jc w:val="both"/>
    </w:pPr>
    <w:rPr>
      <w:rFonts w:ascii="Arial" w:eastAsia="Times New Roman" w:hAnsi="Arial"/>
      <w:szCs w:val="24"/>
    </w:rPr>
  </w:style>
  <w:style w:type="character" w:customStyle="1" w:styleId="ssfpaarticletext">
    <w:name w:val="ssfpaarticletext"/>
    <w:basedOn w:val="Standardnpsmoodstavce"/>
    <w:rsid w:val="00EE0473"/>
  </w:style>
  <w:style w:type="paragraph" w:customStyle="1" w:styleId="Default">
    <w:name w:val="Default"/>
    <w:rsid w:val="00424D9B"/>
    <w:pPr>
      <w:autoSpaceDE w:val="0"/>
      <w:autoSpaceDN w:val="0"/>
      <w:adjustRightInd w:val="0"/>
    </w:pPr>
    <w:rPr>
      <w:rFonts w:ascii="Arial" w:hAnsi="Arial" w:cs="Arial"/>
      <w:color w:val="000000"/>
      <w:sz w:val="24"/>
      <w:szCs w:val="24"/>
    </w:rPr>
  </w:style>
  <w:style w:type="character" w:styleId="Odkaznakoment">
    <w:name w:val="annotation reference"/>
    <w:basedOn w:val="Standardnpsmoodstavce"/>
    <w:uiPriority w:val="99"/>
    <w:semiHidden/>
    <w:unhideWhenUsed/>
    <w:locked/>
    <w:rsid w:val="005A61D1"/>
    <w:rPr>
      <w:sz w:val="16"/>
      <w:szCs w:val="16"/>
    </w:rPr>
  </w:style>
  <w:style w:type="paragraph" w:styleId="Textkomente">
    <w:name w:val="annotation text"/>
    <w:basedOn w:val="Normln"/>
    <w:link w:val="TextkomenteChar"/>
    <w:uiPriority w:val="99"/>
    <w:semiHidden/>
    <w:unhideWhenUsed/>
    <w:locked/>
    <w:rsid w:val="005A61D1"/>
    <w:pPr>
      <w:spacing w:line="240" w:lineRule="auto"/>
    </w:pPr>
    <w:rPr>
      <w:szCs w:val="20"/>
    </w:rPr>
  </w:style>
  <w:style w:type="character" w:customStyle="1" w:styleId="TextkomenteChar">
    <w:name w:val="Text komentáře Char"/>
    <w:basedOn w:val="Standardnpsmoodstavce"/>
    <w:link w:val="Textkomente"/>
    <w:uiPriority w:val="99"/>
    <w:semiHidden/>
    <w:rsid w:val="005A61D1"/>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91159435">
      <w:marLeft w:val="0"/>
      <w:marRight w:val="0"/>
      <w:marTop w:val="0"/>
      <w:marBottom w:val="0"/>
      <w:divBdr>
        <w:top w:val="none" w:sz="0" w:space="0" w:color="auto"/>
        <w:left w:val="none" w:sz="0" w:space="0" w:color="auto"/>
        <w:bottom w:val="none" w:sz="0" w:space="0" w:color="auto"/>
        <w:right w:val="none" w:sz="0" w:space="0" w:color="auto"/>
      </w:divBdr>
    </w:div>
    <w:div w:id="891159436">
      <w:marLeft w:val="0"/>
      <w:marRight w:val="0"/>
      <w:marTop w:val="0"/>
      <w:marBottom w:val="0"/>
      <w:divBdr>
        <w:top w:val="none" w:sz="0" w:space="0" w:color="auto"/>
        <w:left w:val="none" w:sz="0" w:space="0" w:color="auto"/>
        <w:bottom w:val="none" w:sz="0" w:space="0" w:color="auto"/>
        <w:right w:val="none" w:sz="0" w:space="0" w:color="auto"/>
      </w:divBdr>
    </w:div>
    <w:div w:id="891159437">
      <w:marLeft w:val="0"/>
      <w:marRight w:val="0"/>
      <w:marTop w:val="0"/>
      <w:marBottom w:val="0"/>
      <w:divBdr>
        <w:top w:val="none" w:sz="0" w:space="0" w:color="auto"/>
        <w:left w:val="none" w:sz="0" w:space="0" w:color="auto"/>
        <w:bottom w:val="none" w:sz="0" w:space="0" w:color="auto"/>
        <w:right w:val="none" w:sz="0" w:space="0" w:color="auto"/>
      </w:divBdr>
    </w:div>
    <w:div w:id="891159438">
      <w:marLeft w:val="0"/>
      <w:marRight w:val="0"/>
      <w:marTop w:val="0"/>
      <w:marBottom w:val="0"/>
      <w:divBdr>
        <w:top w:val="none" w:sz="0" w:space="0" w:color="auto"/>
        <w:left w:val="none" w:sz="0" w:space="0" w:color="auto"/>
        <w:bottom w:val="none" w:sz="0" w:space="0" w:color="auto"/>
        <w:right w:val="none" w:sz="0" w:space="0" w:color="auto"/>
      </w:divBdr>
    </w:div>
    <w:div w:id="891159439">
      <w:marLeft w:val="0"/>
      <w:marRight w:val="0"/>
      <w:marTop w:val="0"/>
      <w:marBottom w:val="0"/>
      <w:divBdr>
        <w:top w:val="none" w:sz="0" w:space="0" w:color="auto"/>
        <w:left w:val="none" w:sz="0" w:space="0" w:color="auto"/>
        <w:bottom w:val="none" w:sz="0" w:space="0" w:color="auto"/>
        <w:right w:val="none" w:sz="0" w:space="0" w:color="auto"/>
      </w:divBdr>
    </w:div>
    <w:div w:id="891159440">
      <w:marLeft w:val="0"/>
      <w:marRight w:val="0"/>
      <w:marTop w:val="0"/>
      <w:marBottom w:val="0"/>
      <w:divBdr>
        <w:top w:val="none" w:sz="0" w:space="0" w:color="auto"/>
        <w:left w:val="none" w:sz="0" w:space="0" w:color="auto"/>
        <w:bottom w:val="none" w:sz="0" w:space="0" w:color="auto"/>
        <w:right w:val="none" w:sz="0" w:space="0" w:color="auto"/>
      </w:divBdr>
    </w:div>
    <w:div w:id="891159441">
      <w:marLeft w:val="0"/>
      <w:marRight w:val="0"/>
      <w:marTop w:val="0"/>
      <w:marBottom w:val="0"/>
      <w:divBdr>
        <w:top w:val="none" w:sz="0" w:space="0" w:color="auto"/>
        <w:left w:val="none" w:sz="0" w:space="0" w:color="auto"/>
        <w:bottom w:val="none" w:sz="0" w:space="0" w:color="auto"/>
        <w:right w:val="none" w:sz="0" w:space="0" w:color="auto"/>
      </w:divBdr>
    </w:div>
    <w:div w:id="891159442">
      <w:marLeft w:val="0"/>
      <w:marRight w:val="0"/>
      <w:marTop w:val="0"/>
      <w:marBottom w:val="0"/>
      <w:divBdr>
        <w:top w:val="none" w:sz="0" w:space="0" w:color="auto"/>
        <w:left w:val="none" w:sz="0" w:space="0" w:color="auto"/>
        <w:bottom w:val="none" w:sz="0" w:space="0" w:color="auto"/>
        <w:right w:val="none" w:sz="0" w:space="0" w:color="auto"/>
      </w:divBdr>
    </w:div>
    <w:div w:id="891159443">
      <w:marLeft w:val="0"/>
      <w:marRight w:val="0"/>
      <w:marTop w:val="0"/>
      <w:marBottom w:val="0"/>
      <w:divBdr>
        <w:top w:val="none" w:sz="0" w:space="0" w:color="auto"/>
        <w:left w:val="none" w:sz="0" w:space="0" w:color="auto"/>
        <w:bottom w:val="none" w:sz="0" w:space="0" w:color="auto"/>
        <w:right w:val="none" w:sz="0" w:space="0" w:color="auto"/>
      </w:divBdr>
    </w:div>
    <w:div w:id="891159444">
      <w:marLeft w:val="0"/>
      <w:marRight w:val="0"/>
      <w:marTop w:val="0"/>
      <w:marBottom w:val="0"/>
      <w:divBdr>
        <w:top w:val="none" w:sz="0" w:space="0" w:color="auto"/>
        <w:left w:val="none" w:sz="0" w:space="0" w:color="auto"/>
        <w:bottom w:val="none" w:sz="0" w:space="0" w:color="auto"/>
        <w:right w:val="none" w:sz="0" w:space="0" w:color="auto"/>
      </w:divBdr>
    </w:div>
    <w:div w:id="891159445">
      <w:marLeft w:val="0"/>
      <w:marRight w:val="0"/>
      <w:marTop w:val="0"/>
      <w:marBottom w:val="0"/>
      <w:divBdr>
        <w:top w:val="none" w:sz="0" w:space="0" w:color="auto"/>
        <w:left w:val="none" w:sz="0" w:space="0" w:color="auto"/>
        <w:bottom w:val="none" w:sz="0" w:space="0" w:color="auto"/>
        <w:right w:val="none" w:sz="0" w:space="0" w:color="auto"/>
      </w:divBdr>
    </w:div>
    <w:div w:id="89115944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46"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chart" Target="charts/chart2.xml"/><Relationship Id="rId4" Type="http://schemas.openxmlformats.org/officeDocument/2006/relationships/styles" Target="styles.xml"/><Relationship Id="rId9" Type="http://schemas.openxmlformats.org/officeDocument/2006/relationships/chart" Target="charts/chart1.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SOVA~1\AppData\Local\Temp\publikace%20bar_vicetematicke.dot"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D:\JKAM%20CSU\PUBLIKACE\PUBLIKACE\2017\QMakro\Makroanal&#253;za%20grafy-vzory.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JKAM%20CSU\PUBLIKACE\PUBLIKACE\2017\QMakro\Makroanal&#253;za%20grafy-vzory.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cs-CZ"/>
  <c:chart>
    <c:plotArea>
      <c:layout>
        <c:manualLayout>
          <c:layoutTarget val="inner"/>
          <c:xMode val="edge"/>
          <c:yMode val="edge"/>
          <c:x val="5.3306663279993532E-2"/>
          <c:y val="2.6378891901491362E-2"/>
          <c:w val="0.92698007507126057"/>
          <c:h val="0.70633091297984962"/>
        </c:manualLayout>
      </c:layout>
      <c:barChart>
        <c:barDir val="col"/>
        <c:grouping val="clustered"/>
        <c:ser>
          <c:idx val="0"/>
          <c:order val="0"/>
          <c:tx>
            <c:strRef>
              <c:f>'Trh práce 1'!$C$7</c:f>
              <c:strCache>
                <c:ptCount val="1"/>
                <c:pt idx="0">
                  <c:v>Zaměstnanost celkem</c:v>
                </c:pt>
              </c:strCache>
            </c:strRef>
          </c:tx>
          <c:spPr>
            <a:solidFill>
              <a:schemeClr val="bg1">
                <a:lumMod val="50000"/>
              </a:schemeClr>
            </a:solidFill>
          </c:spPr>
          <c:cat>
            <c:multiLvlStrRef>
              <c:f>'Trh práce 1'!$A$8:$B$36</c:f>
              <c:multiLvlStrCache>
                <c:ptCount val="29"/>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lvl>
                <c:lvl>
                  <c:pt idx="0">
                    <c:v>2010</c:v>
                  </c:pt>
                  <c:pt idx="4">
                    <c:v>2011</c:v>
                  </c:pt>
                  <c:pt idx="8">
                    <c:v>2012</c:v>
                  </c:pt>
                  <c:pt idx="12">
                    <c:v>2013</c:v>
                  </c:pt>
                  <c:pt idx="16">
                    <c:v>2014</c:v>
                  </c:pt>
                  <c:pt idx="20">
                    <c:v>2015</c:v>
                  </c:pt>
                  <c:pt idx="24">
                    <c:v>2016</c:v>
                  </c:pt>
                  <c:pt idx="28">
                    <c:v>2017</c:v>
                  </c:pt>
                </c:lvl>
              </c:multiLvlStrCache>
            </c:multiLvlStrRef>
          </c:cat>
          <c:val>
            <c:numRef>
              <c:f>'Trh práce 1'!$C$8:$C$36</c:f>
              <c:numCache>
                <c:formatCode>#,##0.0</c:formatCode>
                <c:ptCount val="29"/>
                <c:pt idx="0" formatCode="0.0">
                  <c:v>-2.7242504546555342</c:v>
                </c:pt>
                <c:pt idx="1">
                  <c:v>-1.2287682045795938</c:v>
                </c:pt>
                <c:pt idx="2">
                  <c:v>-0.19874006447520356</c:v>
                </c:pt>
                <c:pt idx="3">
                  <c:v>5.5606183423392963E-2</c:v>
                </c:pt>
                <c:pt idx="4" formatCode="0.0">
                  <c:v>0.12057351208262941</c:v>
                </c:pt>
                <c:pt idx="5">
                  <c:v>-2.5128422065705536E-3</c:v>
                </c:pt>
                <c:pt idx="6">
                  <c:v>-0.44500398587679518</c:v>
                </c:pt>
                <c:pt idx="7">
                  <c:v>-0.76254178753862578</c:v>
                </c:pt>
                <c:pt idx="8" formatCode="0.0">
                  <c:v>-6.2381982040477825E-2</c:v>
                </c:pt>
                <c:pt idx="9">
                  <c:v>0.1562552249139344</c:v>
                </c:pt>
                <c:pt idx="10">
                  <c:v>0.65777230372677364</c:v>
                </c:pt>
                <c:pt idx="11">
                  <c:v>0.9313766726865278</c:v>
                </c:pt>
                <c:pt idx="12" formatCode="0.0">
                  <c:v>0.42826972414944625</c:v>
                </c:pt>
                <c:pt idx="13">
                  <c:v>0.69570003445409634</c:v>
                </c:pt>
                <c:pt idx="14">
                  <c:v>8.5424263329074421E-2</c:v>
                </c:pt>
                <c:pt idx="15">
                  <c:v>7.993779944656898E-2</c:v>
                </c:pt>
                <c:pt idx="16" formatCode="0.0">
                  <c:v>0.56574416236685465</c:v>
                </c:pt>
                <c:pt idx="17">
                  <c:v>7.1590808987906498E-2</c:v>
                </c:pt>
                <c:pt idx="18">
                  <c:v>0.60257976137070568</c:v>
                </c:pt>
                <c:pt idx="19">
                  <c:v>0.96919763595157615</c:v>
                </c:pt>
                <c:pt idx="20" formatCode="0.0">
                  <c:v>1.2348265211432903</c:v>
                </c:pt>
                <c:pt idx="21">
                  <c:v>1.6659569562598904</c:v>
                </c:pt>
                <c:pt idx="22">
                  <c:v>1.3835948095227764</c:v>
                </c:pt>
                <c:pt idx="23">
                  <c:v>1.2504482321373578</c:v>
                </c:pt>
                <c:pt idx="24" formatCode="0.0">
                  <c:v>1.8036937620828397</c:v>
                </c:pt>
                <c:pt idx="25">
                  <c:v>1.6132027498208021</c:v>
                </c:pt>
                <c:pt idx="26">
                  <c:v>1.7041531444000426</c:v>
                </c:pt>
                <c:pt idx="27">
                  <c:v>2.1031234774034817</c:v>
                </c:pt>
                <c:pt idx="28" formatCode="0.0">
                  <c:v>1.4733929222251732</c:v>
                </c:pt>
              </c:numCache>
            </c:numRef>
          </c:val>
        </c:ser>
        <c:ser>
          <c:idx val="1"/>
          <c:order val="1"/>
          <c:tx>
            <c:strRef>
              <c:f>'Trh práce 1'!$D$7</c:f>
              <c:strCache>
                <c:ptCount val="1"/>
                <c:pt idx="0">
                  <c:v>z toho zaměstnanci</c:v>
                </c:pt>
              </c:strCache>
            </c:strRef>
          </c:tx>
          <c:spPr>
            <a:solidFill>
              <a:schemeClr val="bg1">
                <a:lumMod val="65000"/>
              </a:schemeClr>
            </a:solidFill>
          </c:spPr>
          <c:cat>
            <c:multiLvlStrRef>
              <c:f>'Trh práce 1'!$A$8:$B$36</c:f>
              <c:multiLvlStrCache>
                <c:ptCount val="29"/>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lvl>
                <c:lvl>
                  <c:pt idx="0">
                    <c:v>2010</c:v>
                  </c:pt>
                  <c:pt idx="4">
                    <c:v>2011</c:v>
                  </c:pt>
                  <c:pt idx="8">
                    <c:v>2012</c:v>
                  </c:pt>
                  <c:pt idx="12">
                    <c:v>2013</c:v>
                  </c:pt>
                  <c:pt idx="16">
                    <c:v>2014</c:v>
                  </c:pt>
                  <c:pt idx="20">
                    <c:v>2015</c:v>
                  </c:pt>
                  <c:pt idx="24">
                    <c:v>2016</c:v>
                  </c:pt>
                  <c:pt idx="28">
                    <c:v>2017</c:v>
                  </c:pt>
                </c:lvl>
              </c:multiLvlStrCache>
            </c:multiLvlStrRef>
          </c:cat>
          <c:val>
            <c:numRef>
              <c:f>'Trh práce 1'!$D$8:$D$36</c:f>
              <c:numCache>
                <c:formatCode>#,##0.0</c:formatCode>
                <c:ptCount val="29"/>
                <c:pt idx="0" formatCode="0.0">
                  <c:v>-3.7288928029196882</c:v>
                </c:pt>
                <c:pt idx="1">
                  <c:v>-2.2071558893732117</c:v>
                </c:pt>
                <c:pt idx="2">
                  <c:v>-0.94150539415765666</c:v>
                </c:pt>
                <c:pt idx="3">
                  <c:v>-0.88609533274490104</c:v>
                </c:pt>
                <c:pt idx="4" formatCode="0.0">
                  <c:v>-0.15080476706044976</c:v>
                </c:pt>
                <c:pt idx="5">
                  <c:v>-0.2053224781759582</c:v>
                </c:pt>
                <c:pt idx="6">
                  <c:v>-0.66149378930569469</c:v>
                </c:pt>
                <c:pt idx="7">
                  <c:v>-0.98064875387154871</c:v>
                </c:pt>
                <c:pt idx="8" formatCode="0.0">
                  <c:v>-0.32437909896582318</c:v>
                </c:pt>
                <c:pt idx="9">
                  <c:v>7.0122093552399192E-2</c:v>
                </c:pt>
                <c:pt idx="10">
                  <c:v>1.1364635914547847</c:v>
                </c:pt>
                <c:pt idx="11">
                  <c:v>1.5071284740223234</c:v>
                </c:pt>
                <c:pt idx="12" formatCode="0.0">
                  <c:v>1.3409984353006619</c:v>
                </c:pt>
                <c:pt idx="13">
                  <c:v>1.6229641379141342</c:v>
                </c:pt>
                <c:pt idx="14">
                  <c:v>0.34379686877153404</c:v>
                </c:pt>
                <c:pt idx="15">
                  <c:v>0.51031163120742917</c:v>
                </c:pt>
                <c:pt idx="16" formatCode="0.0">
                  <c:v>0.61250714844646836</c:v>
                </c:pt>
                <c:pt idx="17">
                  <c:v>0.14126962744744337</c:v>
                </c:pt>
                <c:pt idx="18">
                  <c:v>1.2868772629626619</c:v>
                </c:pt>
                <c:pt idx="19">
                  <c:v>1.5015142934356271</c:v>
                </c:pt>
                <c:pt idx="20" formatCode="0.0">
                  <c:v>1.8242925998037882</c:v>
                </c:pt>
                <c:pt idx="21">
                  <c:v>2.1519188390603428</c:v>
                </c:pt>
                <c:pt idx="22">
                  <c:v>1.9020411430695541</c:v>
                </c:pt>
                <c:pt idx="23">
                  <c:v>2.0205161298903818</c:v>
                </c:pt>
                <c:pt idx="24" formatCode="0.0">
                  <c:v>2.5134532464782477</c:v>
                </c:pt>
                <c:pt idx="25">
                  <c:v>1.8540067170345893</c:v>
                </c:pt>
                <c:pt idx="26">
                  <c:v>1.7274823995447264</c:v>
                </c:pt>
                <c:pt idx="27">
                  <c:v>1.6975166763137295</c:v>
                </c:pt>
                <c:pt idx="28" formatCode="0.0">
                  <c:v>0.84900462523419018</c:v>
                </c:pt>
              </c:numCache>
            </c:numRef>
          </c:val>
        </c:ser>
        <c:gapWidth val="68"/>
        <c:axId val="172974080"/>
        <c:axId val="172975616"/>
      </c:barChart>
      <c:lineChart>
        <c:grouping val="standard"/>
        <c:ser>
          <c:idx val="2"/>
          <c:order val="2"/>
          <c:tx>
            <c:strRef>
              <c:f>'Trh práce 1'!$E$7</c:f>
              <c:strCache>
                <c:ptCount val="1"/>
                <c:pt idx="0">
                  <c:v>Zpracovatelský průmysl</c:v>
                </c:pt>
              </c:strCache>
            </c:strRef>
          </c:tx>
          <c:spPr>
            <a:ln w="19050">
              <a:solidFill>
                <a:srgbClr val="0071BC"/>
              </a:solidFill>
            </a:ln>
          </c:spPr>
          <c:marker>
            <c:symbol val="none"/>
          </c:marker>
          <c:cat>
            <c:multiLvlStrRef>
              <c:f>'Trh práce 1'!$A$8:$B$36</c:f>
              <c:multiLvlStrCache>
                <c:ptCount val="29"/>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lvl>
                <c:lvl>
                  <c:pt idx="0">
                    <c:v>2010</c:v>
                  </c:pt>
                  <c:pt idx="4">
                    <c:v>2011</c:v>
                  </c:pt>
                  <c:pt idx="8">
                    <c:v>2012</c:v>
                  </c:pt>
                  <c:pt idx="12">
                    <c:v>2013</c:v>
                  </c:pt>
                  <c:pt idx="16">
                    <c:v>2014</c:v>
                  </c:pt>
                  <c:pt idx="20">
                    <c:v>2015</c:v>
                  </c:pt>
                  <c:pt idx="24">
                    <c:v>2016</c:v>
                  </c:pt>
                  <c:pt idx="28">
                    <c:v>2017</c:v>
                  </c:pt>
                </c:lvl>
              </c:multiLvlStrCache>
            </c:multiLvlStrRef>
          </c:cat>
          <c:val>
            <c:numRef>
              <c:f>'Trh práce 1'!$E$8:$E$36</c:f>
              <c:numCache>
                <c:formatCode>#,##0.0</c:formatCode>
                <c:ptCount val="29"/>
                <c:pt idx="0" formatCode="0.0">
                  <c:v>-7.0663615356078111</c:v>
                </c:pt>
                <c:pt idx="1">
                  <c:v>-3.3052226067039783</c:v>
                </c:pt>
                <c:pt idx="2">
                  <c:v>-1.2664467328150693</c:v>
                </c:pt>
                <c:pt idx="3">
                  <c:v>-0.61650925752389274</c:v>
                </c:pt>
                <c:pt idx="4" formatCode="0.0">
                  <c:v>4.0376203290215784</c:v>
                </c:pt>
                <c:pt idx="5">
                  <c:v>4.3426246490417375</c:v>
                </c:pt>
                <c:pt idx="6">
                  <c:v>3.808534075033208</c:v>
                </c:pt>
                <c:pt idx="7">
                  <c:v>2.2991972105673186</c:v>
                </c:pt>
                <c:pt idx="8" formatCode="0.0">
                  <c:v>0.6622302249733566</c:v>
                </c:pt>
                <c:pt idx="9">
                  <c:v>0.53953959389968986</c:v>
                </c:pt>
                <c:pt idx="10">
                  <c:v>1.1425247272576218</c:v>
                </c:pt>
                <c:pt idx="11">
                  <c:v>1.6184182483716401</c:v>
                </c:pt>
                <c:pt idx="12" formatCode="0.0">
                  <c:v>-0.15606797491277291</c:v>
                </c:pt>
                <c:pt idx="13">
                  <c:v>0.19171297828393108</c:v>
                </c:pt>
                <c:pt idx="14">
                  <c:v>-0.4557122272383653</c:v>
                </c:pt>
                <c:pt idx="15">
                  <c:v>-0.21562331364887655</c:v>
                </c:pt>
                <c:pt idx="16" formatCode="0.0">
                  <c:v>0.83215594702106443</c:v>
                </c:pt>
                <c:pt idx="17">
                  <c:v>0.81671393371982504</c:v>
                </c:pt>
                <c:pt idx="18">
                  <c:v>1.4852847216065621</c:v>
                </c:pt>
                <c:pt idx="19">
                  <c:v>2.0466728238423837</c:v>
                </c:pt>
                <c:pt idx="20" formatCode="0.0">
                  <c:v>3.1445345465438357</c:v>
                </c:pt>
                <c:pt idx="21">
                  <c:v>3.3637584438531194</c:v>
                </c:pt>
                <c:pt idx="22">
                  <c:v>2.9038234164489007</c:v>
                </c:pt>
                <c:pt idx="23">
                  <c:v>3.4387499445617467</c:v>
                </c:pt>
                <c:pt idx="24" formatCode="0.0">
                  <c:v>3.5771727288675654</c:v>
                </c:pt>
                <c:pt idx="25">
                  <c:v>2.7428532289713794</c:v>
                </c:pt>
                <c:pt idx="26">
                  <c:v>2.8707675261576071</c:v>
                </c:pt>
                <c:pt idx="27">
                  <c:v>2.5548397411440802</c:v>
                </c:pt>
                <c:pt idx="28" formatCode="0.0">
                  <c:v>5.2092673720523355E-2</c:v>
                </c:pt>
              </c:numCache>
            </c:numRef>
          </c:val>
        </c:ser>
        <c:ser>
          <c:idx val="3"/>
          <c:order val="3"/>
          <c:tx>
            <c:strRef>
              <c:f>'Trh práce 1'!$F$7</c:f>
              <c:strCache>
                <c:ptCount val="1"/>
                <c:pt idx="0">
                  <c:v>Stavebnictví</c:v>
                </c:pt>
              </c:strCache>
            </c:strRef>
          </c:tx>
          <c:spPr>
            <a:ln w="19050">
              <a:solidFill>
                <a:srgbClr val="BD1B21"/>
              </a:solidFill>
            </a:ln>
          </c:spPr>
          <c:marker>
            <c:symbol val="none"/>
          </c:marker>
          <c:cat>
            <c:multiLvlStrRef>
              <c:f>'Trh práce 1'!$A$8:$B$36</c:f>
              <c:multiLvlStrCache>
                <c:ptCount val="29"/>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lvl>
                <c:lvl>
                  <c:pt idx="0">
                    <c:v>2010</c:v>
                  </c:pt>
                  <c:pt idx="4">
                    <c:v>2011</c:v>
                  </c:pt>
                  <c:pt idx="8">
                    <c:v>2012</c:v>
                  </c:pt>
                  <c:pt idx="12">
                    <c:v>2013</c:v>
                  </c:pt>
                  <c:pt idx="16">
                    <c:v>2014</c:v>
                  </c:pt>
                  <c:pt idx="20">
                    <c:v>2015</c:v>
                  </c:pt>
                  <c:pt idx="24">
                    <c:v>2016</c:v>
                  </c:pt>
                  <c:pt idx="28">
                    <c:v>2017</c:v>
                  </c:pt>
                </c:lvl>
              </c:multiLvlStrCache>
            </c:multiLvlStrRef>
          </c:cat>
          <c:val>
            <c:numRef>
              <c:f>'Trh práce 1'!$F$8:$F$36</c:f>
              <c:numCache>
                <c:formatCode>#,##0.0</c:formatCode>
                <c:ptCount val="29"/>
                <c:pt idx="0" formatCode="0.0">
                  <c:v>1.1344933996228406</c:v>
                </c:pt>
                <c:pt idx="1">
                  <c:v>1.6462228822174718</c:v>
                </c:pt>
                <c:pt idx="2">
                  <c:v>2.1427922687345777</c:v>
                </c:pt>
                <c:pt idx="3">
                  <c:v>2.145217744157963</c:v>
                </c:pt>
                <c:pt idx="4" formatCode="0.0">
                  <c:v>-4.95387066835616</c:v>
                </c:pt>
                <c:pt idx="5">
                  <c:v>-4.97865924872064</c:v>
                </c:pt>
                <c:pt idx="6">
                  <c:v>-5.3649572450528318</c:v>
                </c:pt>
                <c:pt idx="7">
                  <c:v>-5.2374528652610337</c:v>
                </c:pt>
                <c:pt idx="8" formatCode="0.0">
                  <c:v>-0.97401656430090855</c:v>
                </c:pt>
                <c:pt idx="9">
                  <c:v>-0.7032653681472395</c:v>
                </c:pt>
                <c:pt idx="10">
                  <c:v>-1.6319837495134237</c:v>
                </c:pt>
                <c:pt idx="11">
                  <c:v>-1.8268392251457755</c:v>
                </c:pt>
                <c:pt idx="12" formatCode="0.0">
                  <c:v>-2.4080002521466297</c:v>
                </c:pt>
                <c:pt idx="13">
                  <c:v>-3.7253255974631982</c:v>
                </c:pt>
                <c:pt idx="14">
                  <c:v>-2.1921415851919481</c:v>
                </c:pt>
                <c:pt idx="15">
                  <c:v>-1.079644320221405</c:v>
                </c:pt>
                <c:pt idx="16" formatCode="0.0">
                  <c:v>-5.0771644097902975</c:v>
                </c:pt>
                <c:pt idx="17">
                  <c:v>-3.6988293157294407</c:v>
                </c:pt>
                <c:pt idx="18">
                  <c:v>-4.269324850953808</c:v>
                </c:pt>
                <c:pt idx="19">
                  <c:v>-5.1863599218825884</c:v>
                </c:pt>
                <c:pt idx="20" formatCode="0.0">
                  <c:v>0.21920817729127928</c:v>
                </c:pt>
                <c:pt idx="21">
                  <c:v>0.23570192324031325</c:v>
                </c:pt>
                <c:pt idx="22">
                  <c:v>-0.15107831540392191</c:v>
                </c:pt>
                <c:pt idx="23">
                  <c:v>-0.5967467441877522</c:v>
                </c:pt>
                <c:pt idx="24" formatCode="0.0">
                  <c:v>-1.1639665068637741</c:v>
                </c:pt>
                <c:pt idx="25">
                  <c:v>-1.6896244417967101</c:v>
                </c:pt>
                <c:pt idx="26">
                  <c:v>-0.29555931255093526</c:v>
                </c:pt>
                <c:pt idx="27">
                  <c:v>3.1841205459045591E-2</c:v>
                </c:pt>
                <c:pt idx="28" formatCode="0.0">
                  <c:v>0.63692548511590985</c:v>
                </c:pt>
              </c:numCache>
            </c:numRef>
          </c:val>
        </c:ser>
        <c:ser>
          <c:idx val="4"/>
          <c:order val="4"/>
          <c:tx>
            <c:strRef>
              <c:f>'Trh práce 1'!$G$7</c:f>
              <c:strCache>
                <c:ptCount val="1"/>
                <c:pt idx="0">
                  <c:v>Obchod, doprava, ubytování a pohost.</c:v>
                </c:pt>
              </c:strCache>
            </c:strRef>
          </c:tx>
          <c:spPr>
            <a:ln w="19050">
              <a:solidFill>
                <a:srgbClr val="7DBB2D"/>
              </a:solidFill>
            </a:ln>
          </c:spPr>
          <c:marker>
            <c:symbol val="none"/>
          </c:marker>
          <c:cat>
            <c:multiLvlStrRef>
              <c:f>'Trh práce 1'!$A$8:$B$36</c:f>
              <c:multiLvlStrCache>
                <c:ptCount val="29"/>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lvl>
                <c:lvl>
                  <c:pt idx="0">
                    <c:v>2010</c:v>
                  </c:pt>
                  <c:pt idx="4">
                    <c:v>2011</c:v>
                  </c:pt>
                  <c:pt idx="8">
                    <c:v>2012</c:v>
                  </c:pt>
                  <c:pt idx="12">
                    <c:v>2013</c:v>
                  </c:pt>
                  <c:pt idx="16">
                    <c:v>2014</c:v>
                  </c:pt>
                  <c:pt idx="20">
                    <c:v>2015</c:v>
                  </c:pt>
                  <c:pt idx="24">
                    <c:v>2016</c:v>
                  </c:pt>
                  <c:pt idx="28">
                    <c:v>2017</c:v>
                  </c:pt>
                </c:lvl>
              </c:multiLvlStrCache>
            </c:multiLvlStrRef>
          </c:cat>
          <c:val>
            <c:numRef>
              <c:f>'Trh práce 1'!$G$8:$G$36</c:f>
              <c:numCache>
                <c:formatCode>#,##0.0</c:formatCode>
                <c:ptCount val="29"/>
                <c:pt idx="0" formatCode="0.0">
                  <c:v>-1.8328140439834044</c:v>
                </c:pt>
                <c:pt idx="1">
                  <c:v>-0.89088625682001066</c:v>
                </c:pt>
                <c:pt idx="2">
                  <c:v>0.34195342612117929</c:v>
                </c:pt>
                <c:pt idx="3">
                  <c:v>0.94608007435222419</c:v>
                </c:pt>
                <c:pt idx="4" formatCode="0.0">
                  <c:v>-5.0857149809587554E-2</c:v>
                </c:pt>
                <c:pt idx="5">
                  <c:v>-0.16922456520035212</c:v>
                </c:pt>
                <c:pt idx="6">
                  <c:v>-0.14747884471951522</c:v>
                </c:pt>
                <c:pt idx="7">
                  <c:v>-0.37276804332064939</c:v>
                </c:pt>
                <c:pt idx="8" formatCode="0.0">
                  <c:v>-0.51215755397902252</c:v>
                </c:pt>
                <c:pt idx="9">
                  <c:v>-0.37334606962596906</c:v>
                </c:pt>
                <c:pt idx="10">
                  <c:v>-0.38089768275143882</c:v>
                </c:pt>
                <c:pt idx="11">
                  <c:v>-0.82359286450282809</c:v>
                </c:pt>
                <c:pt idx="12" formatCode="0.0">
                  <c:v>0.72916250315067543</c:v>
                </c:pt>
                <c:pt idx="13">
                  <c:v>0.65133504996737202</c:v>
                </c:pt>
                <c:pt idx="14">
                  <c:v>0.11514347184289875</c:v>
                </c:pt>
                <c:pt idx="15">
                  <c:v>0.13563212606402431</c:v>
                </c:pt>
                <c:pt idx="16" formatCode="0.0">
                  <c:v>-0.32942845620496786</c:v>
                </c:pt>
                <c:pt idx="17">
                  <c:v>-0.99191180566376169</c:v>
                </c:pt>
                <c:pt idx="18">
                  <c:v>-0.36088556886388068</c:v>
                </c:pt>
                <c:pt idx="19">
                  <c:v>0.59602165877699054</c:v>
                </c:pt>
                <c:pt idx="20" formatCode="0.0">
                  <c:v>0.79810009441030161</c:v>
                </c:pt>
                <c:pt idx="21">
                  <c:v>1.9255857642331662</c:v>
                </c:pt>
                <c:pt idx="22">
                  <c:v>1.3525810083437519</c:v>
                </c:pt>
                <c:pt idx="23">
                  <c:v>0.4204561844850333</c:v>
                </c:pt>
                <c:pt idx="24" formatCode="0.0">
                  <c:v>1.3468255010998575</c:v>
                </c:pt>
                <c:pt idx="25">
                  <c:v>2.0348818605365602</c:v>
                </c:pt>
                <c:pt idx="26">
                  <c:v>1.0861730380488981</c:v>
                </c:pt>
                <c:pt idx="27">
                  <c:v>1.3264583137746655</c:v>
                </c:pt>
                <c:pt idx="28" formatCode="0.0">
                  <c:v>2.2309178974493675</c:v>
                </c:pt>
              </c:numCache>
            </c:numRef>
          </c:val>
        </c:ser>
        <c:ser>
          <c:idx val="5"/>
          <c:order val="5"/>
          <c:tx>
            <c:strRef>
              <c:f>'Trh práce 1'!$H$7</c:f>
              <c:strCache>
                <c:ptCount val="1"/>
                <c:pt idx="0">
                  <c:v>Veř.spr.,obrana,vzděl.,zdrav.,soc.péče</c:v>
                </c:pt>
              </c:strCache>
            </c:strRef>
          </c:tx>
          <c:spPr>
            <a:ln w="19050">
              <a:solidFill>
                <a:srgbClr val="F8A124"/>
              </a:solidFill>
            </a:ln>
          </c:spPr>
          <c:marker>
            <c:symbol val="none"/>
          </c:marker>
          <c:cat>
            <c:multiLvlStrRef>
              <c:f>'Trh práce 1'!$A$8:$B$36</c:f>
              <c:multiLvlStrCache>
                <c:ptCount val="29"/>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lvl>
                <c:lvl>
                  <c:pt idx="0">
                    <c:v>2010</c:v>
                  </c:pt>
                  <c:pt idx="4">
                    <c:v>2011</c:v>
                  </c:pt>
                  <c:pt idx="8">
                    <c:v>2012</c:v>
                  </c:pt>
                  <c:pt idx="12">
                    <c:v>2013</c:v>
                  </c:pt>
                  <c:pt idx="16">
                    <c:v>2014</c:v>
                  </c:pt>
                  <c:pt idx="20">
                    <c:v>2015</c:v>
                  </c:pt>
                  <c:pt idx="24">
                    <c:v>2016</c:v>
                  </c:pt>
                  <c:pt idx="28">
                    <c:v>2017</c:v>
                  </c:pt>
                </c:lvl>
              </c:multiLvlStrCache>
            </c:multiLvlStrRef>
          </c:cat>
          <c:val>
            <c:numRef>
              <c:f>'Trh práce 1'!$H$8:$H$36</c:f>
              <c:numCache>
                <c:formatCode>#,##0.0</c:formatCode>
                <c:ptCount val="29"/>
                <c:pt idx="0" formatCode="0.0">
                  <c:v>0.30450810609818291</c:v>
                </c:pt>
                <c:pt idx="1">
                  <c:v>2.5485555230517331E-2</c:v>
                </c:pt>
                <c:pt idx="2">
                  <c:v>-4.6121700986205376E-2</c:v>
                </c:pt>
                <c:pt idx="3">
                  <c:v>-5.2409958341954166E-2</c:v>
                </c:pt>
                <c:pt idx="4" formatCode="0.0">
                  <c:v>-0.8119327685009945</c:v>
                </c:pt>
                <c:pt idx="5">
                  <c:v>-1.1328212411183358</c:v>
                </c:pt>
                <c:pt idx="6">
                  <c:v>-1.4354601561487499</c:v>
                </c:pt>
                <c:pt idx="7">
                  <c:v>-1.1739910293717244</c:v>
                </c:pt>
                <c:pt idx="8" formatCode="0.0">
                  <c:v>-2.5457444502925752</c:v>
                </c:pt>
                <c:pt idx="9">
                  <c:v>-1.9236371622318187</c:v>
                </c:pt>
                <c:pt idx="10">
                  <c:v>-0.31795655387237942</c:v>
                </c:pt>
                <c:pt idx="11">
                  <c:v>0.4061509032217584</c:v>
                </c:pt>
                <c:pt idx="12" formatCode="0.0">
                  <c:v>0.86367602391335663</c:v>
                </c:pt>
                <c:pt idx="13">
                  <c:v>2.1301073450716812</c:v>
                </c:pt>
                <c:pt idx="14">
                  <c:v>1.0556168985127239</c:v>
                </c:pt>
                <c:pt idx="15">
                  <c:v>0.9489551060770367</c:v>
                </c:pt>
                <c:pt idx="16" formatCode="0.0">
                  <c:v>1.5869087620266669</c:v>
                </c:pt>
                <c:pt idx="17">
                  <c:v>0.86503429151196087</c:v>
                </c:pt>
                <c:pt idx="18">
                  <c:v>1.9540348879341558</c:v>
                </c:pt>
                <c:pt idx="19">
                  <c:v>2.0603698128468295</c:v>
                </c:pt>
                <c:pt idx="20" formatCode="0.0">
                  <c:v>1.8221219221586864</c:v>
                </c:pt>
                <c:pt idx="21">
                  <c:v>1.4142395468045519</c:v>
                </c:pt>
                <c:pt idx="22">
                  <c:v>0.84808711324788744</c:v>
                </c:pt>
                <c:pt idx="23">
                  <c:v>0.88000167304882648</c:v>
                </c:pt>
                <c:pt idx="24" formatCode="0.0">
                  <c:v>0.46741625821213972</c:v>
                </c:pt>
                <c:pt idx="25">
                  <c:v>7.5784252185485471E-2</c:v>
                </c:pt>
                <c:pt idx="26">
                  <c:v>0.69802336156581668</c:v>
                </c:pt>
                <c:pt idx="27">
                  <c:v>1.6888957748691666</c:v>
                </c:pt>
                <c:pt idx="28" formatCode="0.0">
                  <c:v>0.71615605187585629</c:v>
                </c:pt>
              </c:numCache>
            </c:numRef>
          </c:val>
        </c:ser>
        <c:marker val="1"/>
        <c:axId val="172974080"/>
        <c:axId val="172975616"/>
      </c:lineChart>
      <c:catAx>
        <c:axId val="172974080"/>
        <c:scaling>
          <c:orientation val="minMax"/>
        </c:scaling>
        <c:axPos val="b"/>
        <c:tickLblPos val="low"/>
        <c:spPr>
          <a:ln>
            <a:solidFill>
              <a:schemeClr val="tx1"/>
            </a:solidFill>
          </a:ln>
        </c:spPr>
        <c:crossAx val="172975616"/>
        <c:crosses val="autoZero"/>
        <c:auto val="1"/>
        <c:lblAlgn val="ctr"/>
        <c:lblOffset val="100"/>
      </c:catAx>
      <c:valAx>
        <c:axId val="172975616"/>
        <c:scaling>
          <c:orientation val="minMax"/>
          <c:max val="5"/>
          <c:min val="-7"/>
        </c:scaling>
        <c:axPos val="l"/>
        <c:majorGridlines>
          <c:spPr>
            <a:ln w="6350">
              <a:solidFill>
                <a:schemeClr val="bg1">
                  <a:lumMod val="75000"/>
                </a:schemeClr>
              </a:solidFill>
            </a:ln>
          </c:spPr>
        </c:majorGridlines>
        <c:numFmt formatCode="0" sourceLinked="0"/>
        <c:tickLblPos val="nextTo"/>
        <c:spPr>
          <a:ln>
            <a:solidFill>
              <a:schemeClr val="tx1"/>
            </a:solidFill>
          </a:ln>
        </c:spPr>
        <c:crossAx val="172974080"/>
        <c:crosses val="autoZero"/>
        <c:crossBetween val="between"/>
        <c:majorUnit val="1"/>
      </c:valAx>
      <c:spPr>
        <a:ln>
          <a:solidFill>
            <a:schemeClr val="tx1"/>
          </a:solidFill>
        </a:ln>
      </c:spPr>
    </c:plotArea>
    <c:legend>
      <c:legendPos val="b"/>
      <c:layout>
        <c:manualLayout>
          <c:xMode val="edge"/>
          <c:yMode val="edge"/>
          <c:x val="5.5392487973751681E-2"/>
          <c:y val="0.8561623325453116"/>
          <c:w val="0.92505743233709126"/>
          <c:h val="0.13302122030845417"/>
        </c:manualLayout>
      </c:layout>
      <c:spPr>
        <a:ln w="6350">
          <a:solidFill>
            <a:schemeClr val="tx1"/>
          </a:solidFill>
        </a:ln>
      </c:spPr>
    </c:legend>
    <c:plotVisOnly val="1"/>
    <c:dispBlanksAs val="gap"/>
  </c:chart>
  <c:spPr>
    <a:ln>
      <a:noFill/>
    </a:ln>
  </c:spPr>
  <c:txPr>
    <a:bodyPr/>
    <a:lstStyle/>
    <a:p>
      <a:pPr>
        <a:defRPr sz="800">
          <a:latin typeface="Arial" panose="020B0604020202020204" pitchFamily="34" charset="0"/>
          <a:cs typeface="Arial" panose="020B0604020202020204" pitchFamily="34" charset="0"/>
        </a:defRPr>
      </a:pPr>
      <a:endParaRPr lang="cs-CZ"/>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cs-CZ"/>
  <c:chart>
    <c:autoTitleDeleted val="1"/>
    <c:plotArea>
      <c:layout>
        <c:manualLayout>
          <c:layoutTarget val="inner"/>
          <c:xMode val="edge"/>
          <c:yMode val="edge"/>
          <c:x val="4.0091348527306885E-2"/>
          <c:y val="2.4094443232317627E-2"/>
          <c:w val="0.94100987714831252"/>
          <c:h val="0.77475149161320089"/>
        </c:manualLayout>
      </c:layout>
      <c:barChart>
        <c:barDir val="col"/>
        <c:grouping val="clustered"/>
        <c:ser>
          <c:idx val="2"/>
          <c:order val="2"/>
          <c:tx>
            <c:strRef>
              <c:f>'Trh práce 2'!$E$8</c:f>
              <c:strCache>
                <c:ptCount val="1"/>
                <c:pt idx="0">
                  <c:v>Průměrná mzda v celém NH (reálně)</c:v>
                </c:pt>
              </c:strCache>
            </c:strRef>
          </c:tx>
          <c:spPr>
            <a:solidFill>
              <a:srgbClr val="A6A6A6"/>
            </a:solidFill>
            <a:ln w="19050">
              <a:noFill/>
            </a:ln>
          </c:spPr>
          <c:cat>
            <c:multiLvlStrRef>
              <c:f>'Trh práce 2'!$A$9:$B$37</c:f>
              <c:multiLvlStrCache>
                <c:ptCount val="29"/>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lvl>
                <c:lvl>
                  <c:pt idx="0">
                    <c:v>2010</c:v>
                  </c:pt>
                  <c:pt idx="4">
                    <c:v>2011</c:v>
                  </c:pt>
                  <c:pt idx="8">
                    <c:v>2012</c:v>
                  </c:pt>
                  <c:pt idx="12">
                    <c:v>2013</c:v>
                  </c:pt>
                  <c:pt idx="16">
                    <c:v>2014</c:v>
                  </c:pt>
                  <c:pt idx="20">
                    <c:v>2015</c:v>
                  </c:pt>
                  <c:pt idx="24">
                    <c:v>2016</c:v>
                  </c:pt>
                  <c:pt idx="28">
                    <c:v>2017</c:v>
                  </c:pt>
                </c:lvl>
              </c:multiLvlStrCache>
            </c:multiLvlStrRef>
          </c:cat>
          <c:val>
            <c:numRef>
              <c:f>'Trh práce 2'!$E$9:$E$37</c:f>
              <c:numCache>
                <c:formatCode>#,##0.0</c:formatCode>
                <c:ptCount val="29"/>
                <c:pt idx="0">
                  <c:v>2.0999999999999943</c:v>
                </c:pt>
                <c:pt idx="1">
                  <c:v>1.9000000000000061</c:v>
                </c:pt>
                <c:pt idx="2">
                  <c:v>0.29999999999999905</c:v>
                </c:pt>
                <c:pt idx="3">
                  <c:v>-1.4000000000000057</c:v>
                </c:pt>
                <c:pt idx="4">
                  <c:v>1.099999999999989</c:v>
                </c:pt>
                <c:pt idx="5">
                  <c:v>0.7999999999999976</c:v>
                </c:pt>
                <c:pt idx="6">
                  <c:v>0.29999999999999905</c:v>
                </c:pt>
                <c:pt idx="7">
                  <c:v>0</c:v>
                </c:pt>
                <c:pt idx="8">
                  <c:v>-0.5</c:v>
                </c:pt>
                <c:pt idx="9">
                  <c:v>-1.2999999999999909</c:v>
                </c:pt>
                <c:pt idx="10">
                  <c:v>-1.7999999999999909</c:v>
                </c:pt>
                <c:pt idx="11">
                  <c:v>0.40000000000000568</c:v>
                </c:pt>
                <c:pt idx="12">
                  <c:v>-2.4000000000000057</c:v>
                </c:pt>
                <c:pt idx="13">
                  <c:v>-0.5</c:v>
                </c:pt>
                <c:pt idx="14">
                  <c:v>0</c:v>
                </c:pt>
                <c:pt idx="15">
                  <c:v>-3.0999999999999943</c:v>
                </c:pt>
                <c:pt idx="16">
                  <c:v>3.7000000000000042</c:v>
                </c:pt>
                <c:pt idx="17">
                  <c:v>2.5999999999999943</c:v>
                </c:pt>
                <c:pt idx="18">
                  <c:v>1.599999999999989</c:v>
                </c:pt>
                <c:pt idx="19">
                  <c:v>2.2999999999999972</c:v>
                </c:pt>
                <c:pt idx="20">
                  <c:v>2.2000000000000042</c:v>
                </c:pt>
                <c:pt idx="21">
                  <c:v>2.5999999999999943</c:v>
                </c:pt>
                <c:pt idx="22">
                  <c:v>3.0999999999999943</c:v>
                </c:pt>
                <c:pt idx="23">
                  <c:v>3.5999999999999943</c:v>
                </c:pt>
                <c:pt idx="24">
                  <c:v>3.2999999999999972</c:v>
                </c:pt>
                <c:pt idx="25">
                  <c:v>3.0999999999999943</c:v>
                </c:pt>
                <c:pt idx="26">
                  <c:v>3.5</c:v>
                </c:pt>
                <c:pt idx="27" formatCode="General">
                  <c:v>2.2999999999999972</c:v>
                </c:pt>
                <c:pt idx="28" formatCode="General">
                  <c:v>2.7999999999999972</c:v>
                </c:pt>
              </c:numCache>
            </c:numRef>
          </c:val>
        </c:ser>
        <c:gapWidth val="78"/>
        <c:axId val="177352064"/>
        <c:axId val="177362048"/>
      </c:barChart>
      <c:lineChart>
        <c:grouping val="standard"/>
        <c:ser>
          <c:idx val="0"/>
          <c:order val="0"/>
          <c:tx>
            <c:strRef>
              <c:f>'Trh práce 2'!$C$8</c:f>
              <c:strCache>
                <c:ptCount val="1"/>
                <c:pt idx="0">
                  <c:v>Průměrná mzda v celém NH (nominálně)</c:v>
                </c:pt>
              </c:strCache>
            </c:strRef>
          </c:tx>
          <c:spPr>
            <a:ln w="19050">
              <a:solidFill>
                <a:srgbClr val="0071BC"/>
              </a:solidFill>
            </a:ln>
          </c:spPr>
          <c:marker>
            <c:symbol val="none"/>
          </c:marker>
          <c:cat>
            <c:multiLvlStrRef>
              <c:f>'Trh práce 2'!$A$9:$B$37</c:f>
              <c:multiLvlStrCache>
                <c:ptCount val="29"/>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lvl>
                <c:lvl>
                  <c:pt idx="0">
                    <c:v>2010</c:v>
                  </c:pt>
                  <c:pt idx="4">
                    <c:v>2011</c:v>
                  </c:pt>
                  <c:pt idx="8">
                    <c:v>2012</c:v>
                  </c:pt>
                  <c:pt idx="12">
                    <c:v>2013</c:v>
                  </c:pt>
                  <c:pt idx="16">
                    <c:v>2014</c:v>
                  </c:pt>
                  <c:pt idx="20">
                    <c:v>2015</c:v>
                  </c:pt>
                  <c:pt idx="24">
                    <c:v>2016</c:v>
                  </c:pt>
                  <c:pt idx="28">
                    <c:v>2017</c:v>
                  </c:pt>
                </c:lvl>
              </c:multiLvlStrCache>
            </c:multiLvlStrRef>
          </c:cat>
          <c:val>
            <c:numRef>
              <c:f>'Trh práce 2'!$C$9:$C$37</c:f>
              <c:numCache>
                <c:formatCode>0.0</c:formatCode>
                <c:ptCount val="29"/>
                <c:pt idx="0">
                  <c:v>2.7999999999999972</c:v>
                </c:pt>
                <c:pt idx="1">
                  <c:v>3.0999999999999943</c:v>
                </c:pt>
                <c:pt idx="2">
                  <c:v>2.2000000000000042</c:v>
                </c:pt>
                <c:pt idx="3">
                  <c:v>0.70000000000000284</c:v>
                </c:pt>
                <c:pt idx="4">
                  <c:v>2.7999999999999972</c:v>
                </c:pt>
                <c:pt idx="5">
                  <c:v>2.5999999999999943</c:v>
                </c:pt>
                <c:pt idx="6">
                  <c:v>2.0999999999999943</c:v>
                </c:pt>
                <c:pt idx="7">
                  <c:v>2.4000000000000057</c:v>
                </c:pt>
                <c:pt idx="8">
                  <c:v>3.2000000000000042</c:v>
                </c:pt>
                <c:pt idx="9">
                  <c:v>2.0999999999999943</c:v>
                </c:pt>
                <c:pt idx="10">
                  <c:v>1.4000000000000057</c:v>
                </c:pt>
                <c:pt idx="11">
                  <c:v>3.2000000000000042</c:v>
                </c:pt>
                <c:pt idx="12">
                  <c:v>-0.59999999999999432</c:v>
                </c:pt>
                <c:pt idx="13">
                  <c:v>1</c:v>
                </c:pt>
                <c:pt idx="14">
                  <c:v>1.2000000000000028</c:v>
                </c:pt>
                <c:pt idx="15">
                  <c:v>-2</c:v>
                </c:pt>
                <c:pt idx="16">
                  <c:v>3.9000000000000057</c:v>
                </c:pt>
                <c:pt idx="17">
                  <c:v>2.7999999999999972</c:v>
                </c:pt>
                <c:pt idx="18">
                  <c:v>2.2000000000000042</c:v>
                </c:pt>
                <c:pt idx="19">
                  <c:v>2.7999999999999972</c:v>
                </c:pt>
                <c:pt idx="20">
                  <c:v>2.2999999999999972</c:v>
                </c:pt>
                <c:pt idx="21">
                  <c:v>3.2999999999999972</c:v>
                </c:pt>
                <c:pt idx="22">
                  <c:v>3.5</c:v>
                </c:pt>
                <c:pt idx="23">
                  <c:v>3.7000000000000042</c:v>
                </c:pt>
                <c:pt idx="24">
                  <c:v>3.7999999999999972</c:v>
                </c:pt>
                <c:pt idx="25">
                  <c:v>3.2999999999999972</c:v>
                </c:pt>
                <c:pt idx="26">
                  <c:v>4</c:v>
                </c:pt>
                <c:pt idx="27">
                  <c:v>3.7000000000000042</c:v>
                </c:pt>
                <c:pt idx="28">
                  <c:v>5.2999999999999972</c:v>
                </c:pt>
              </c:numCache>
            </c:numRef>
          </c:val>
        </c:ser>
        <c:ser>
          <c:idx val="1"/>
          <c:order val="1"/>
          <c:tx>
            <c:strRef>
              <c:f>'Trh práce 2'!$D$8</c:f>
              <c:strCache>
                <c:ptCount val="1"/>
                <c:pt idx="0">
                  <c:v>Mediánová mzda v celém NH (nominálně)</c:v>
                </c:pt>
              </c:strCache>
            </c:strRef>
          </c:tx>
          <c:spPr>
            <a:ln w="19050">
              <a:solidFill>
                <a:srgbClr val="BD1B21"/>
              </a:solidFill>
              <a:prstDash val="solid"/>
            </a:ln>
          </c:spPr>
          <c:marker>
            <c:symbol val="none"/>
          </c:marker>
          <c:cat>
            <c:multiLvlStrRef>
              <c:f>'Trh práce 2'!$A$9:$B$37</c:f>
              <c:multiLvlStrCache>
                <c:ptCount val="29"/>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lvl>
                <c:lvl>
                  <c:pt idx="0">
                    <c:v>2010</c:v>
                  </c:pt>
                  <c:pt idx="4">
                    <c:v>2011</c:v>
                  </c:pt>
                  <c:pt idx="8">
                    <c:v>2012</c:v>
                  </c:pt>
                  <c:pt idx="12">
                    <c:v>2013</c:v>
                  </c:pt>
                  <c:pt idx="16">
                    <c:v>2014</c:v>
                  </c:pt>
                  <c:pt idx="20">
                    <c:v>2015</c:v>
                  </c:pt>
                  <c:pt idx="24">
                    <c:v>2016</c:v>
                  </c:pt>
                  <c:pt idx="28">
                    <c:v>2017</c:v>
                  </c:pt>
                </c:lvl>
              </c:multiLvlStrCache>
            </c:multiLvlStrRef>
          </c:cat>
          <c:val>
            <c:numRef>
              <c:f>'Trh práce 2'!$D$9:$D$37</c:f>
              <c:numCache>
                <c:formatCode>0.0</c:formatCode>
                <c:ptCount val="29"/>
                <c:pt idx="0">
                  <c:v>3.2000000000000042</c:v>
                </c:pt>
                <c:pt idx="1">
                  <c:v>2.5999999999999943</c:v>
                </c:pt>
                <c:pt idx="2">
                  <c:v>2.7999999999999972</c:v>
                </c:pt>
                <c:pt idx="3">
                  <c:v>1.7999999999999909</c:v>
                </c:pt>
                <c:pt idx="4">
                  <c:v>2.7999999999999972</c:v>
                </c:pt>
                <c:pt idx="5">
                  <c:v>2.2000000000000042</c:v>
                </c:pt>
                <c:pt idx="6">
                  <c:v>1.7000000000000028</c:v>
                </c:pt>
                <c:pt idx="7">
                  <c:v>2.2000000000000042</c:v>
                </c:pt>
                <c:pt idx="8">
                  <c:v>1.4000000000000057</c:v>
                </c:pt>
                <c:pt idx="9">
                  <c:v>1.2999999999999909</c:v>
                </c:pt>
                <c:pt idx="10">
                  <c:v>-0.40000000000000568</c:v>
                </c:pt>
                <c:pt idx="11">
                  <c:v>-0.59999999999999432</c:v>
                </c:pt>
                <c:pt idx="12">
                  <c:v>0.59999999999999432</c:v>
                </c:pt>
                <c:pt idx="13">
                  <c:v>1.4000000000000057</c:v>
                </c:pt>
                <c:pt idx="14">
                  <c:v>2.2999999999999972</c:v>
                </c:pt>
                <c:pt idx="15">
                  <c:v>1.2000000000000028</c:v>
                </c:pt>
                <c:pt idx="16">
                  <c:v>4.7000000000000028</c:v>
                </c:pt>
                <c:pt idx="17">
                  <c:v>3.2999999999999972</c:v>
                </c:pt>
                <c:pt idx="18">
                  <c:v>2.5999999999999943</c:v>
                </c:pt>
                <c:pt idx="19">
                  <c:v>2.2999999999999972</c:v>
                </c:pt>
                <c:pt idx="20">
                  <c:v>0.70000000000000284</c:v>
                </c:pt>
                <c:pt idx="21">
                  <c:v>2.2999999999999972</c:v>
                </c:pt>
                <c:pt idx="22">
                  <c:v>3.7999999999999972</c:v>
                </c:pt>
                <c:pt idx="23">
                  <c:v>4.7000000000000028</c:v>
                </c:pt>
                <c:pt idx="24">
                  <c:v>5.7999999999999972</c:v>
                </c:pt>
                <c:pt idx="25">
                  <c:v>3.9000000000000057</c:v>
                </c:pt>
                <c:pt idx="26">
                  <c:v>4.5999999999999943</c:v>
                </c:pt>
                <c:pt idx="27">
                  <c:v>5.5999999999999943</c:v>
                </c:pt>
                <c:pt idx="28">
                  <c:v>5.2000000000000028</c:v>
                </c:pt>
              </c:numCache>
            </c:numRef>
          </c:val>
        </c:ser>
        <c:marker val="1"/>
        <c:axId val="177352064"/>
        <c:axId val="177362048"/>
      </c:lineChart>
      <c:catAx>
        <c:axId val="177352064"/>
        <c:scaling>
          <c:orientation val="minMax"/>
        </c:scaling>
        <c:axPos val="b"/>
        <c:numFmt formatCode="General" sourceLinked="1"/>
        <c:tickLblPos val="low"/>
        <c:spPr>
          <a:ln>
            <a:solidFill>
              <a:schemeClr val="tx1"/>
            </a:solidFill>
          </a:ln>
        </c:spPr>
        <c:txPr>
          <a:bodyPr rot="0" vert="horz"/>
          <a:lstStyle/>
          <a:p>
            <a:pPr>
              <a:defRPr/>
            </a:pPr>
            <a:endParaRPr lang="cs-CZ"/>
          </a:p>
        </c:txPr>
        <c:crossAx val="177362048"/>
        <c:crosses val="autoZero"/>
        <c:auto val="1"/>
        <c:lblAlgn val="ctr"/>
        <c:lblOffset val="0"/>
        <c:tickMarkSkip val="4"/>
      </c:catAx>
      <c:valAx>
        <c:axId val="177362048"/>
        <c:scaling>
          <c:orientation val="minMax"/>
          <c:max val="7"/>
          <c:min val="-5"/>
        </c:scaling>
        <c:axPos val="l"/>
        <c:majorGridlines>
          <c:spPr>
            <a:ln>
              <a:solidFill>
                <a:schemeClr val="bg1">
                  <a:lumMod val="75000"/>
                </a:schemeClr>
              </a:solidFill>
            </a:ln>
          </c:spPr>
        </c:majorGridlines>
        <c:numFmt formatCode="0" sourceLinked="0"/>
        <c:tickLblPos val="nextTo"/>
        <c:spPr>
          <a:ln>
            <a:solidFill>
              <a:schemeClr val="tx1"/>
            </a:solidFill>
          </a:ln>
        </c:spPr>
        <c:crossAx val="177352064"/>
        <c:crosses val="autoZero"/>
        <c:crossBetween val="between"/>
        <c:majorUnit val="1"/>
      </c:valAx>
      <c:spPr>
        <a:ln>
          <a:solidFill>
            <a:schemeClr val="tx1"/>
          </a:solidFill>
        </a:ln>
      </c:spPr>
    </c:plotArea>
    <c:legend>
      <c:legendPos val="b"/>
      <c:layout>
        <c:manualLayout>
          <c:xMode val="edge"/>
          <c:yMode val="edge"/>
          <c:x val="3.6639920249480401E-2"/>
          <c:y val="0.90458000219214907"/>
          <c:w val="0.94428176235089334"/>
          <c:h val="8.4934011564721731E-2"/>
        </c:manualLayout>
      </c:layout>
      <c:spPr>
        <a:ln w="6350">
          <a:solidFill>
            <a:schemeClr val="tx1"/>
          </a:solidFill>
        </a:ln>
      </c:spPr>
    </c:legend>
    <c:plotVisOnly val="1"/>
    <c:dispBlanksAs val="gap"/>
  </c:chart>
  <c:spPr>
    <a:ln>
      <a:noFill/>
    </a:ln>
  </c:spPr>
  <c:txPr>
    <a:bodyPr/>
    <a:lstStyle/>
    <a:p>
      <a:pPr>
        <a:defRPr sz="800">
          <a:latin typeface="Arial" panose="020B0604020202020204" pitchFamily="34" charset="0"/>
          <a:cs typeface="Arial" panose="020B0604020202020204" pitchFamily="34" charset="0"/>
        </a:defRPr>
      </a:pPr>
      <a:endParaRPr lang="cs-CZ"/>
    </a:p>
  </c:txPr>
  <c:externalData r:id="rId1"/>
</c:chartSpace>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F9984A-D760-4789-993D-B0313374E605}">
  <ds:schemaRefs>
    <ds:schemaRef ds:uri="http://schemas.openxmlformats.org/officeDocument/2006/bibliography"/>
  </ds:schemaRefs>
</ds:datastoreItem>
</file>

<file path=customXml/itemProps2.xml><?xml version="1.0" encoding="utf-8"?>
<ds:datastoreItem xmlns:ds="http://schemas.openxmlformats.org/officeDocument/2006/customXml" ds:itemID="{B3B94384-C792-4476-99C5-A2A667646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bar_vicetematicke.dot</Template>
  <TotalTime>1</TotalTime>
  <Pages>3</Pages>
  <Words>1394</Words>
  <Characters>8231</Characters>
  <Application>Microsoft Office Word</Application>
  <DocSecurity>0</DocSecurity>
  <Lines>68</Lines>
  <Paragraphs>19</Paragraphs>
  <ScaleCrop>false</ScaleCrop>
  <HeadingPairs>
    <vt:vector size="2" baseType="variant">
      <vt:variant>
        <vt:lpstr>Název</vt:lpstr>
      </vt:variant>
      <vt:variant>
        <vt:i4>1</vt:i4>
      </vt:variant>
    </vt:vector>
  </HeadingPairs>
  <TitlesOfParts>
    <vt:vector size="1" baseType="lpstr">
      <vt:lpstr/>
    </vt:vector>
  </TitlesOfParts>
  <Company>CSU</Company>
  <LinksUpToDate>false</LinksUpToDate>
  <CharactersWithSpaces>9606</CharactersWithSpaces>
  <SharedDoc>false</SharedDoc>
  <HLinks>
    <vt:vector size="66" baseType="variant">
      <vt:variant>
        <vt:i4>1376311</vt:i4>
      </vt:variant>
      <vt:variant>
        <vt:i4>50</vt:i4>
      </vt:variant>
      <vt:variant>
        <vt:i4>0</vt:i4>
      </vt:variant>
      <vt:variant>
        <vt:i4>5</vt:i4>
      </vt:variant>
      <vt:variant>
        <vt:lpwstr/>
      </vt:variant>
      <vt:variant>
        <vt:lpwstr>_Toc469327805</vt:lpwstr>
      </vt:variant>
      <vt:variant>
        <vt:i4>1376311</vt:i4>
      </vt:variant>
      <vt:variant>
        <vt:i4>44</vt:i4>
      </vt:variant>
      <vt:variant>
        <vt:i4>0</vt:i4>
      </vt:variant>
      <vt:variant>
        <vt:i4>5</vt:i4>
      </vt:variant>
      <vt:variant>
        <vt:lpwstr/>
      </vt:variant>
      <vt:variant>
        <vt:lpwstr>_Toc469327804</vt:lpwstr>
      </vt:variant>
      <vt:variant>
        <vt:i4>1376311</vt:i4>
      </vt:variant>
      <vt:variant>
        <vt:i4>38</vt:i4>
      </vt:variant>
      <vt:variant>
        <vt:i4>0</vt:i4>
      </vt:variant>
      <vt:variant>
        <vt:i4>5</vt:i4>
      </vt:variant>
      <vt:variant>
        <vt:lpwstr/>
      </vt:variant>
      <vt:variant>
        <vt:lpwstr>_Toc469327803</vt:lpwstr>
      </vt:variant>
      <vt:variant>
        <vt:i4>1376311</vt:i4>
      </vt:variant>
      <vt:variant>
        <vt:i4>32</vt:i4>
      </vt:variant>
      <vt:variant>
        <vt:i4>0</vt:i4>
      </vt:variant>
      <vt:variant>
        <vt:i4>5</vt:i4>
      </vt:variant>
      <vt:variant>
        <vt:lpwstr/>
      </vt:variant>
      <vt:variant>
        <vt:lpwstr>_Toc469327802</vt:lpwstr>
      </vt:variant>
      <vt:variant>
        <vt:i4>1376311</vt:i4>
      </vt:variant>
      <vt:variant>
        <vt:i4>26</vt:i4>
      </vt:variant>
      <vt:variant>
        <vt:i4>0</vt:i4>
      </vt:variant>
      <vt:variant>
        <vt:i4>5</vt:i4>
      </vt:variant>
      <vt:variant>
        <vt:lpwstr/>
      </vt:variant>
      <vt:variant>
        <vt:lpwstr>_Toc469327801</vt:lpwstr>
      </vt:variant>
      <vt:variant>
        <vt:i4>1376311</vt:i4>
      </vt:variant>
      <vt:variant>
        <vt:i4>20</vt:i4>
      </vt:variant>
      <vt:variant>
        <vt:i4>0</vt:i4>
      </vt:variant>
      <vt:variant>
        <vt:i4>5</vt:i4>
      </vt:variant>
      <vt:variant>
        <vt:lpwstr/>
      </vt:variant>
      <vt:variant>
        <vt:lpwstr>_Toc469327800</vt:lpwstr>
      </vt:variant>
      <vt:variant>
        <vt:i4>1835064</vt:i4>
      </vt:variant>
      <vt:variant>
        <vt:i4>14</vt:i4>
      </vt:variant>
      <vt:variant>
        <vt:i4>0</vt:i4>
      </vt:variant>
      <vt:variant>
        <vt:i4>5</vt:i4>
      </vt:variant>
      <vt:variant>
        <vt:lpwstr/>
      </vt:variant>
      <vt:variant>
        <vt:lpwstr>_Toc469327799</vt:lpwstr>
      </vt:variant>
      <vt:variant>
        <vt:i4>1835064</vt:i4>
      </vt:variant>
      <vt:variant>
        <vt:i4>8</vt:i4>
      </vt:variant>
      <vt:variant>
        <vt:i4>0</vt:i4>
      </vt:variant>
      <vt:variant>
        <vt:i4>5</vt:i4>
      </vt:variant>
      <vt:variant>
        <vt:lpwstr/>
      </vt:variant>
      <vt:variant>
        <vt:lpwstr>_Toc469327798</vt:lpwstr>
      </vt:variant>
      <vt:variant>
        <vt:i4>1835064</vt:i4>
      </vt:variant>
      <vt:variant>
        <vt:i4>2</vt:i4>
      </vt:variant>
      <vt:variant>
        <vt:i4>0</vt:i4>
      </vt:variant>
      <vt:variant>
        <vt:i4>5</vt:i4>
      </vt:variant>
      <vt:variant>
        <vt:lpwstr/>
      </vt:variant>
      <vt:variant>
        <vt:lpwstr>_Toc469327797</vt:lpwstr>
      </vt:variant>
      <vt:variant>
        <vt:i4>6553606</vt:i4>
      </vt:variant>
      <vt:variant>
        <vt:i4>3</vt:i4>
      </vt:variant>
      <vt:variant>
        <vt:i4>0</vt:i4>
      </vt:variant>
      <vt:variant>
        <vt:i4>5</vt:i4>
      </vt:variant>
      <vt:variant>
        <vt:lpwstr>mailto:jiri.kamenicky@czso.cz</vt:lpwstr>
      </vt:variant>
      <vt:variant>
        <vt:lpwstr/>
      </vt:variant>
      <vt:variant>
        <vt:i4>6553606</vt:i4>
      </vt:variant>
      <vt:variant>
        <vt:i4>0</vt:i4>
      </vt:variant>
      <vt:variant>
        <vt:i4>0</vt:i4>
      </vt:variant>
      <vt:variant>
        <vt:i4>5</vt:i4>
      </vt:variant>
      <vt:variant>
        <vt:lpwstr>mailto:jiri.kamenicky@czso.cz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Emilie Jašová</dc:creator>
  <cp:lastModifiedBy>kamenicky3604</cp:lastModifiedBy>
  <cp:revision>3</cp:revision>
  <cp:lastPrinted>2017-03-16T10:07:00Z</cp:lastPrinted>
  <dcterms:created xsi:type="dcterms:W3CDTF">2017-06-20T12:52:00Z</dcterms:created>
  <dcterms:modified xsi:type="dcterms:W3CDTF">2017-06-20T12:53:00Z</dcterms:modified>
</cp:coreProperties>
</file>