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9C" w:rsidRPr="007B0920" w:rsidRDefault="005E4483" w:rsidP="006537F4">
      <w:pPr>
        <w:pStyle w:val="Nadpis1"/>
        <w:numPr>
          <w:ilvl w:val="0"/>
          <w:numId w:val="25"/>
        </w:numPr>
        <w:jc w:val="both"/>
      </w:pPr>
      <w:bookmarkStart w:id="0" w:name="_Toc454185150"/>
      <w:bookmarkStart w:id="1" w:name="_Toc493683635"/>
      <w:r>
        <w:t>Výkonnost odvětví</w:t>
      </w:r>
      <w:bookmarkEnd w:id="0"/>
      <w:bookmarkEnd w:id="1"/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7B0920" w:rsidRPr="00DE32DB" w:rsidTr="00CF0826">
        <w:trPr>
          <w:trHeight w:val="145"/>
        </w:trPr>
        <w:tc>
          <w:tcPr>
            <w:tcW w:w="1016" w:type="pct"/>
          </w:tcPr>
          <w:p w:rsidR="007B0920" w:rsidRPr="005A427F" w:rsidRDefault="007B0920" w:rsidP="00CF0826">
            <w:pPr>
              <w:spacing w:line="240" w:lineRule="auto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Hrubá přidaná hodnota loni vzrostla o 4,5 % zejména díky akceleraci v první polovině roku. Na růstu participovalo všech deset hlavních odvětvových uskupení. </w:t>
            </w:r>
          </w:p>
        </w:tc>
        <w:tc>
          <w:tcPr>
            <w:tcW w:w="144" w:type="pct"/>
          </w:tcPr>
          <w:p w:rsidR="007B0920" w:rsidRDefault="007B0920" w:rsidP="00CF0826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7B0920" w:rsidRDefault="007B0920" w:rsidP="00CF0826">
            <w:pPr>
              <w:pStyle w:val="Textpoznpodarou"/>
              <w:jc w:val="both"/>
              <w:rPr>
                <w:spacing w:val="-4"/>
              </w:rPr>
            </w:pPr>
            <w:r w:rsidRPr="00296727">
              <w:rPr>
                <w:spacing w:val="-4"/>
              </w:rPr>
              <w:t>Česk</w:t>
            </w:r>
            <w:r>
              <w:rPr>
                <w:spacing w:val="-4"/>
              </w:rPr>
              <w:t>é ekonomice se i vloni dařilo. Růst hrubé přidané hodnoty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se ve srovnání s tempem docíleným v roce 2016 téměř zdvojnásobil (na 4,5 %). Loňský rok se tak vedle roku 2015 zařadil z tohoto hlediska k nejúspěšnějším za poslední dekádu. Pomohla k tomu především výrazná akcelerace výkonu v první polovině loňského roku, nicméně i v posledních třech měsících 2017 posílila HPH </w:t>
            </w:r>
            <w:r w:rsidR="00D95D83">
              <w:rPr>
                <w:spacing w:val="-4"/>
              </w:rPr>
              <w:t>o</w:t>
            </w:r>
            <w:r>
              <w:rPr>
                <w:spacing w:val="-4"/>
              </w:rPr>
              <w:t xml:space="preserve">proti předešlému čtvrtletí o stále významných 0,6 % (shodně jako v EU). </w:t>
            </w:r>
            <w:proofErr w:type="spellStart"/>
            <w:r>
              <w:rPr>
                <w:spacing w:val="-4"/>
              </w:rPr>
              <w:t>Mezikvartální</w:t>
            </w:r>
            <w:proofErr w:type="spellEnd"/>
            <w:r>
              <w:rPr>
                <w:spacing w:val="-4"/>
              </w:rPr>
              <w:t xml:space="preserve"> růst HPH přetrvával již po devatenácté v řadě, v úhrnu tak vystoupal výkon všech odvětví od konce poslední recese o 18,2 %. Na rozdíl od předchozích let současné konjunktury přispěla loni k meziročnímu růstu HPH všechna hlavní odvětvová uskupení. Pomohlo k tomu i zlepšení výkonu energetiky a stavebnictví.</w:t>
            </w:r>
          </w:p>
          <w:p w:rsidR="007B0920" w:rsidRPr="000E1D9C" w:rsidRDefault="007B0920" w:rsidP="00CF0826">
            <w:pPr>
              <w:pStyle w:val="Textpoznpodarou"/>
              <w:jc w:val="both"/>
              <w:rPr>
                <w:spacing w:val="-4"/>
                <w:sz w:val="15"/>
                <w:szCs w:val="15"/>
              </w:rPr>
            </w:pPr>
          </w:p>
        </w:tc>
      </w:tr>
      <w:tr w:rsidR="007B0920" w:rsidRPr="00A74192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7B0920" w:rsidRPr="00A8273F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A8273F">
              <w:rPr>
                <w:spacing w:val="-2"/>
                <w:sz w:val="16"/>
                <w:szCs w:val="16"/>
              </w:rPr>
              <w:t xml:space="preserve">Příspěvek zpracovatelského průmyslu k růstu souhrnné HPH zůstával v posledních sedmi čtvrtletích stabilní, ve službách </w:t>
            </w:r>
            <w:r>
              <w:rPr>
                <w:spacing w:val="-2"/>
                <w:sz w:val="16"/>
                <w:szCs w:val="16"/>
              </w:rPr>
              <w:t xml:space="preserve">ale </w:t>
            </w:r>
            <w:r w:rsidRPr="00A8273F">
              <w:rPr>
                <w:spacing w:val="-2"/>
                <w:sz w:val="16"/>
                <w:szCs w:val="16"/>
              </w:rPr>
              <w:t>výrazně posiloval.</w:t>
            </w: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Dynamický růst výkonu finančního sektoru podobně jako slabá dynamika odvětví s dominancí státu přetrvávaly.</w:t>
            </w: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Pr="003E5346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Velmi dobrá úroda z let 2014 až 2016 se loni neopakovala, přidaná hodnota v primárním sektoru přesto nadále rostla.</w:t>
            </w:r>
          </w:p>
        </w:tc>
        <w:tc>
          <w:tcPr>
            <w:tcW w:w="144" w:type="pct"/>
          </w:tcPr>
          <w:p w:rsidR="007B0920" w:rsidRDefault="007B0920" w:rsidP="00CF0826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7B0920" w:rsidRPr="00B51E24" w:rsidRDefault="007B0920" w:rsidP="00CF0826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Klíčovou roli mezi odvětvími si i loni podržel zpracovatelský průmysl, jenž přispěl k meziročnímu růstu celkové HPH bezmála z poloviny. Dobré výsledky průmyslových exportérů se odrazily ve vysokém tempu HPH tohoto odvětví (+7,6 %, nejvyšším za posledních šest let). Silný růst HPH byl dosažen v prostředí slabého navýšení zaměstnanosti (+0,6 %) i odpracované doby (+1,0 %), což se pozitivně odrazilo na vývoji produktivity. V sektoru služeb se výkon zvýšil o skromnějších 3,5 %, k růstu HPH celé ekonomiky však loni přispěl srovnatelně jako zpracovatelský průmysl. Zatímco příspěvky k růstu od zpracovatelského průmyslu v posledních sedmi čtvrtletích stagnovaly, role služeb naopak zesilovala, což bylo doprovázeno intenzivnější tvorbou nových pracovních míst. Služby byly po většinu roku taženy váhově dominantním uskupením obchod, doprava, ubytování a pohostinství. Nejdynamičtějším segmentem však bylo podobně jako v roce 2016 peněžnictví a pojišťovnictví (+9,3 %, nejvíce po roce 2008). Z rostoucí poptávky těžily v posledních letech také p</w:t>
            </w:r>
            <w:r w:rsidRPr="00275F5E">
              <w:rPr>
                <w:spacing w:val="-4"/>
              </w:rPr>
              <w:t>rofesní, vědecké, technické a administrativní činnosti</w:t>
            </w:r>
            <w:r>
              <w:rPr>
                <w:spacing w:val="-4"/>
              </w:rPr>
              <w:t>. Naopak v odvětvích s dominací státu</w:t>
            </w:r>
            <w:r>
              <w:rPr>
                <w:rStyle w:val="Znakapoznpodarou"/>
                <w:spacing w:val="-4"/>
              </w:rPr>
              <w:footnoteReference w:id="2"/>
            </w:r>
            <w:r w:rsidR="004D474F">
              <w:rPr>
                <w:spacing w:val="-4"/>
              </w:rPr>
              <w:t xml:space="preserve"> vzrostla HPH (i zaměstnanost</w:t>
            </w:r>
            <w:r>
              <w:rPr>
                <w:spacing w:val="-4"/>
              </w:rPr>
              <w:t>) jen těsně nad 1</w:t>
            </w:r>
            <w:r w:rsidR="004D474F">
              <w:rPr>
                <w:spacing w:val="-4"/>
              </w:rPr>
              <w:t> </w:t>
            </w:r>
            <w:r>
              <w:rPr>
                <w:spacing w:val="-4"/>
              </w:rPr>
              <w:t>%, i</w:t>
            </w:r>
            <w:r w:rsidR="004D474F">
              <w:rPr>
                <w:spacing w:val="-4"/>
              </w:rPr>
              <w:t> </w:t>
            </w:r>
            <w:r>
              <w:rPr>
                <w:spacing w:val="-4"/>
              </w:rPr>
              <w:t xml:space="preserve">tak šlo o nejsilnější tempo za posledních sedm let. Přidaná hodnota odvětví zemědělství, lesnictví a rybářství rostla již čtvrtým rokem v řadě, z tempa z roku 2016 ale loni o polovinu slevila (na 4,7 %). Za zpomalením stála slabší úroda většiny hlavních druhů obilovin (zejména kukuřice), řepky i ovoce. Nadprůměrná byla vlivem vyšších sklizňových ploch úroda cukrovky a luskovin. Výkony živočišné výroby vykazovaly stabilizaci podobně jako zaměstnanost v celém odvětví.  </w:t>
            </w:r>
          </w:p>
          <w:p w:rsidR="007B0920" w:rsidRPr="001D1E02" w:rsidRDefault="007B0920" w:rsidP="00CF0826">
            <w:pPr>
              <w:pStyle w:val="Textpoznpodarou"/>
              <w:jc w:val="both"/>
              <w:rPr>
                <w:spacing w:val="-4"/>
                <w:sz w:val="15"/>
                <w:szCs w:val="15"/>
              </w:rPr>
            </w:pPr>
          </w:p>
        </w:tc>
      </w:tr>
      <w:tr w:rsidR="007B0920" w:rsidRPr="00A74192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7B0920" w:rsidRPr="00AA00F9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Průmyslová produkce vzrostla nejvyšším tempem za posledních sedm let. Příznivé tendence prostupovaly drtivou většinou dílčích oborů.</w:t>
            </w:r>
          </w:p>
        </w:tc>
        <w:tc>
          <w:tcPr>
            <w:tcW w:w="144" w:type="pct"/>
          </w:tcPr>
          <w:p w:rsidR="007B0920" w:rsidRPr="009E7B1B" w:rsidRDefault="007B0920" w:rsidP="00CF0826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840" w:type="pct"/>
          </w:tcPr>
          <w:p w:rsidR="007B0920" w:rsidRDefault="007B0920" w:rsidP="00CF0826">
            <w:pPr>
              <w:pStyle w:val="Textpoznpodarou"/>
              <w:jc w:val="both"/>
              <w:rPr>
                <w:color w:val="000000" w:themeColor="text1"/>
                <w:spacing w:val="-4"/>
                <w:sz w:val="16"/>
                <w:szCs w:val="16"/>
              </w:rPr>
            </w:pPr>
            <w:r w:rsidRPr="002533E1">
              <w:rPr>
                <w:spacing w:val="-4"/>
              </w:rPr>
              <w:t>Příznivý vývoj průmyslu dokládají i údaje z podnikových statistik</w:t>
            </w:r>
            <w:r>
              <w:rPr>
                <w:spacing w:val="-4"/>
              </w:rPr>
              <w:t>. Jeho výkon (dle i</w:t>
            </w:r>
            <w:r>
              <w:rPr>
                <w:color w:val="000000" w:themeColor="text1"/>
                <w:spacing w:val="-4"/>
              </w:rPr>
              <w:t>ndexu průmyslové</w:t>
            </w:r>
            <w:r w:rsidRPr="008D59A9">
              <w:rPr>
                <w:color w:val="000000" w:themeColor="text1"/>
                <w:spacing w:val="-4"/>
              </w:rPr>
              <w:t xml:space="preserve"> produkce</w:t>
            </w:r>
            <w:r w:rsidRPr="008D59A9">
              <w:rPr>
                <w:color w:val="000000" w:themeColor="text1"/>
                <w:spacing w:val="-4"/>
                <w:vertAlign w:val="superscript"/>
              </w:rPr>
              <w:footnoteReference w:id="3"/>
            </w:r>
            <w:r>
              <w:rPr>
                <w:color w:val="000000" w:themeColor="text1"/>
                <w:spacing w:val="-4"/>
              </w:rPr>
              <w:t>) navzdory dočasnému zhoršení v letním období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4"/>
            </w:r>
            <w:r w:rsidR="006F0D32">
              <w:rPr>
                <w:color w:val="000000" w:themeColor="text1"/>
                <w:spacing w:val="-4"/>
              </w:rPr>
              <w:t xml:space="preserve"> vzrostl za celý rok o 6,9</w:t>
            </w:r>
            <w:r>
              <w:rPr>
                <w:color w:val="000000" w:themeColor="text1"/>
                <w:spacing w:val="-4"/>
              </w:rPr>
              <w:t xml:space="preserve"> %. Dosáhl tak nejlepšího výsledku od roku 2010, kdy se zotavoval z důsledků hluboké recese. Příznivé trendy přetrvávaly i na konci roku – ve 4. čtvrtletí vystoupa</w:t>
            </w:r>
            <w:r w:rsidR="006F0D32">
              <w:rPr>
                <w:color w:val="000000" w:themeColor="text1"/>
                <w:spacing w:val="-4"/>
              </w:rPr>
              <w:t>l meziroční růst produkce na 7,6</w:t>
            </w:r>
            <w:r>
              <w:rPr>
                <w:color w:val="000000" w:themeColor="text1"/>
                <w:spacing w:val="-4"/>
              </w:rPr>
              <w:t xml:space="preserve"> %. Za těmito výsledky stála nejen dobrá ekonomická situace v hlavních exportních teritoriích, ale i sílící tuzemsk</w:t>
            </w:r>
            <w:r w:rsidR="00A301C5">
              <w:rPr>
                <w:color w:val="000000" w:themeColor="text1"/>
                <w:spacing w:val="-4"/>
              </w:rPr>
              <w:t xml:space="preserve">á poptávka. Dominantní odvětví </w:t>
            </w:r>
            <w:r>
              <w:rPr>
                <w:color w:val="000000" w:themeColor="text1"/>
                <w:spacing w:val="-4"/>
              </w:rPr>
              <w:t xml:space="preserve">– </w:t>
            </w:r>
            <w:r w:rsidR="00A301C5">
              <w:rPr>
                <w:color w:val="000000" w:themeColor="text1"/>
                <w:spacing w:val="-4"/>
              </w:rPr>
              <w:t xml:space="preserve">výroba motorových vozidel </w:t>
            </w:r>
            <w:r w:rsidR="00D309C0">
              <w:rPr>
                <w:color w:val="000000" w:themeColor="text1"/>
                <w:spacing w:val="-4"/>
              </w:rPr>
              <w:t>si (stejně</w:t>
            </w:r>
            <w:r>
              <w:rPr>
                <w:color w:val="000000" w:themeColor="text1"/>
                <w:spacing w:val="-4"/>
              </w:rPr>
              <w:t xml:space="preserve"> jako jeho klíčové subdodavatelské obory) loni udrželo vysoká růstová tempa. Pomohlo i</w:t>
            </w:r>
            <w:r w:rsidR="00D309C0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 xml:space="preserve">nastartování výrobních kapacit </w:t>
            </w:r>
            <w:r w:rsidR="00A301C5">
              <w:rPr>
                <w:color w:val="000000" w:themeColor="text1"/>
                <w:spacing w:val="-4"/>
              </w:rPr>
              <w:t xml:space="preserve">v chemickém průmyslu, dočasně utlumeném </w:t>
            </w:r>
            <w:r>
              <w:rPr>
                <w:color w:val="000000" w:themeColor="text1"/>
                <w:spacing w:val="-4"/>
              </w:rPr>
              <w:t>v předchozích letech</w:t>
            </w:r>
            <w:r w:rsidR="00A301C5">
              <w:rPr>
                <w:color w:val="000000" w:themeColor="text1"/>
                <w:spacing w:val="-4"/>
              </w:rPr>
              <w:t>,</w:t>
            </w:r>
            <w:r>
              <w:rPr>
                <w:color w:val="000000" w:themeColor="text1"/>
                <w:spacing w:val="-4"/>
              </w:rPr>
              <w:t xml:space="preserve"> a</w:t>
            </w:r>
            <w:r w:rsidRPr="002533E1">
              <w:rPr>
                <w:spacing w:val="-4"/>
              </w:rPr>
              <w:t> </w:t>
            </w:r>
            <w:r w:rsidR="00A301C5">
              <w:rPr>
                <w:spacing w:val="-4"/>
              </w:rPr>
              <w:t>v </w:t>
            </w:r>
            <w:r>
              <w:rPr>
                <w:color w:val="000000" w:themeColor="text1"/>
                <w:spacing w:val="-4"/>
              </w:rPr>
              <w:t>energetice. Dařilo se ale i většině menších průmyslových oborů.</w:t>
            </w:r>
          </w:p>
          <w:p w:rsidR="00335E99" w:rsidRPr="00335E99" w:rsidRDefault="00335E99" w:rsidP="00CF0826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7B0920" w:rsidRPr="00A74192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Stabilně rostoucí automobilový průmysl přispěl k růstu produkce celého průmyslu třetinou, spolu s návaznými obory polovinou. </w:t>
            </w: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D3FB2" w:rsidRDefault="003D3FB2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D309C0" w:rsidRDefault="00D309C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lastRenderedPageBreak/>
              <w:t xml:space="preserve">Růst výrazně zrychlil ve strojírenství, výrobě počítačů, elektronických a optických přístrojů. </w:t>
            </w: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Pr="003C0D68" w:rsidRDefault="005D76AE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Růst energeti</w:t>
            </w:r>
            <w:r w:rsidR="007B0920">
              <w:rPr>
                <w:spacing w:val="-2"/>
                <w:sz w:val="16"/>
                <w:szCs w:val="16"/>
              </w:rPr>
              <w:t>ky táhla vyšší výroba elektřiny v jaderných elektrárnách.</w:t>
            </w:r>
          </w:p>
        </w:tc>
        <w:tc>
          <w:tcPr>
            <w:tcW w:w="144" w:type="pct"/>
          </w:tcPr>
          <w:p w:rsidR="007B0920" w:rsidRPr="005A16AE" w:rsidRDefault="007B0920" w:rsidP="00CF0826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840" w:type="pct"/>
          </w:tcPr>
          <w:p w:rsidR="007B0920" w:rsidRPr="00B00DB2" w:rsidRDefault="007B0920" w:rsidP="00CF0826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Výrobci motorových vozidel navýšili loni svůj výkon o 9,</w:t>
            </w:r>
            <w:r w:rsidR="006F0D32">
              <w:rPr>
                <w:color w:val="000000" w:themeColor="text1"/>
                <w:spacing w:val="-4"/>
              </w:rPr>
              <w:t>8</w:t>
            </w:r>
            <w:r>
              <w:rPr>
                <w:color w:val="000000" w:themeColor="text1"/>
                <w:spacing w:val="-4"/>
              </w:rPr>
              <w:t xml:space="preserve"> % a zajistili tak bezmála třetinu (spolu s nejbližšími návaznými odvětvími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5"/>
            </w:r>
            <w:r>
              <w:rPr>
                <w:color w:val="000000" w:themeColor="text1"/>
                <w:spacing w:val="-4"/>
              </w:rPr>
              <w:t xml:space="preserve"> polovinu) růstu celkové průmyslové produkce. </w:t>
            </w:r>
            <w:r>
              <w:rPr>
                <w:spacing w:val="-4"/>
              </w:rPr>
              <w:t>Silná poptávka na evropských i asijských trzích, ale i v tuzemsku se odrazila v rekordním množství vyrobených vozů</w:t>
            </w:r>
            <w:r w:rsidRPr="00C00806"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>. I díky silné domácí poptávce zaži</w:t>
            </w:r>
            <w:r w:rsidR="003D3FB2">
              <w:rPr>
                <w:spacing w:val="-4"/>
              </w:rPr>
              <w:t>lo úspěšný rok strojírenství (+9</w:t>
            </w:r>
            <w:r>
              <w:rPr>
                <w:spacing w:val="-4"/>
              </w:rPr>
              <w:t>,</w:t>
            </w:r>
            <w:r w:rsidR="003D3FB2">
              <w:rPr>
                <w:spacing w:val="-4"/>
              </w:rPr>
              <w:t>2</w:t>
            </w:r>
            <w:r>
              <w:rPr>
                <w:spacing w:val="-4"/>
              </w:rPr>
              <w:t xml:space="preserve"> %, v předchozích pěti letech růst osciloval mezi 2</w:t>
            </w:r>
            <w:r w:rsidR="005D76AE">
              <w:rPr>
                <w:spacing w:val="-4"/>
              </w:rPr>
              <w:t> </w:t>
            </w:r>
            <w:r>
              <w:rPr>
                <w:spacing w:val="-4"/>
              </w:rPr>
              <w:t>% a</w:t>
            </w:r>
            <w:r w:rsidRPr="002533E1">
              <w:rPr>
                <w:spacing w:val="-4"/>
              </w:rPr>
              <w:t> </w:t>
            </w:r>
            <w:r>
              <w:rPr>
                <w:spacing w:val="-4"/>
              </w:rPr>
              <w:t>3,5</w:t>
            </w:r>
            <w:r w:rsidR="005D76AE">
              <w:rPr>
                <w:spacing w:val="-4"/>
              </w:rPr>
              <w:t> </w:t>
            </w:r>
            <w:r>
              <w:rPr>
                <w:spacing w:val="-4"/>
              </w:rPr>
              <w:t>%) a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>na růstu celého průmyslu se podílelo desetinou. V podobném rozsahu přispěly jak váhově druhý nejv</w:t>
            </w:r>
            <w:r w:rsidR="005D76AE">
              <w:rPr>
                <w:spacing w:val="-4"/>
              </w:rPr>
              <w:t>ýznamnější zpracovatelský obor</w:t>
            </w:r>
            <w:r>
              <w:rPr>
                <w:spacing w:val="-4"/>
              </w:rPr>
              <w:t xml:space="preserve"> – kovovýroba, tak i výrazně </w:t>
            </w:r>
            <w:r>
              <w:rPr>
                <w:spacing w:val="-4"/>
              </w:rPr>
              <w:lastRenderedPageBreak/>
              <w:t>exportně orientovaná výroba počítačů, elektronických a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>optických přístrojů (s růstem produkce o</w:t>
            </w:r>
            <w:r w:rsidR="003D3FB2">
              <w:rPr>
                <w:spacing w:val="-4"/>
              </w:rPr>
              <w:t xml:space="preserve"> 12,2</w:t>
            </w:r>
            <w:r w:rsidR="00034D3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%, v roce 2016 o </w:t>
            </w:r>
            <w:r w:rsidR="003D3FB2">
              <w:rPr>
                <w:spacing w:val="-4"/>
              </w:rPr>
              <w:t>3,2</w:t>
            </w:r>
            <w:r>
              <w:rPr>
                <w:spacing w:val="-4"/>
              </w:rPr>
              <w:t xml:space="preserve"> %). Důležitý byl i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 xml:space="preserve">příspěvek chemického průmyslu, jehož produkce </w:t>
            </w:r>
            <w:r w:rsidR="005D76AE">
              <w:rPr>
                <w:spacing w:val="-4"/>
              </w:rPr>
              <w:t>o</w:t>
            </w:r>
            <w:r>
              <w:rPr>
                <w:spacing w:val="-4"/>
              </w:rPr>
              <w:t xml:space="preserve">proti roku 2016 posílila </w:t>
            </w:r>
            <w:r w:rsidR="003D3FB2">
              <w:rPr>
                <w:spacing w:val="-4"/>
              </w:rPr>
              <w:t xml:space="preserve">téměř </w:t>
            </w:r>
            <w:r>
              <w:rPr>
                <w:spacing w:val="-4"/>
              </w:rPr>
              <w:t>o pětinu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>, nejvíce z jednotlivých oddílů průmyslu. Mimořádný rok zažila i energetika, jejíž růst pr</w:t>
            </w:r>
            <w:r w:rsidR="003D3FB2">
              <w:rPr>
                <w:spacing w:val="-4"/>
              </w:rPr>
              <w:t>odukce zrychlil z předloňských 0,9</w:t>
            </w:r>
            <w:r w:rsidR="005D76AE">
              <w:rPr>
                <w:spacing w:val="-4"/>
              </w:rPr>
              <w:t> </w:t>
            </w:r>
            <w:r w:rsidR="003D3FB2">
              <w:rPr>
                <w:spacing w:val="-4"/>
              </w:rPr>
              <w:t>% na 4</w:t>
            </w:r>
            <w:r>
              <w:rPr>
                <w:spacing w:val="-4"/>
              </w:rPr>
              <w:t>,8</w:t>
            </w:r>
            <w:r w:rsidR="005D76AE">
              <w:rPr>
                <w:spacing w:val="-4"/>
              </w:rPr>
              <w:t> </w:t>
            </w:r>
            <w:r>
              <w:rPr>
                <w:spacing w:val="-4"/>
              </w:rPr>
              <w:t>% (nejvyšší tempo po roce 2003)</w:t>
            </w:r>
            <w:r>
              <w:rPr>
                <w:rStyle w:val="Znakapoznpodarou"/>
                <w:spacing w:val="-4"/>
              </w:rPr>
              <w:footnoteReference w:id="8"/>
            </w:r>
            <w:r>
              <w:rPr>
                <w:spacing w:val="-4"/>
              </w:rPr>
              <w:t xml:space="preserve">. Pozvolné oživení </w:t>
            </w:r>
            <w:r w:rsidRPr="002D210B">
              <w:rPr>
                <w:spacing w:val="-4"/>
              </w:rPr>
              <w:t>poptávky ve stavebnictví</w:t>
            </w:r>
            <w:r>
              <w:rPr>
                <w:spacing w:val="-4"/>
              </w:rPr>
              <w:t xml:space="preserve"> podpořilo výkony ve výrobě </w:t>
            </w:r>
            <w:r w:rsidRPr="00E077B6">
              <w:rPr>
                <w:spacing w:val="-4"/>
              </w:rPr>
              <w:t>ostatních nekovových minerálních výrobků</w:t>
            </w:r>
            <w:r>
              <w:rPr>
                <w:spacing w:val="-4"/>
              </w:rPr>
              <w:t xml:space="preserve"> (+</w:t>
            </w:r>
            <w:r w:rsidR="003D3FB2">
              <w:rPr>
                <w:spacing w:val="-4"/>
              </w:rPr>
              <w:t>9</w:t>
            </w:r>
            <w:r w:rsidR="00034D3F">
              <w:rPr>
                <w:spacing w:val="-4"/>
              </w:rPr>
              <w:t>,</w:t>
            </w:r>
            <w:r w:rsidR="003D3FB2">
              <w:rPr>
                <w:spacing w:val="-4"/>
              </w:rPr>
              <w:t>1</w:t>
            </w:r>
            <w:r w:rsidR="00034D3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%, o rok dříve </w:t>
            </w:r>
            <w:r w:rsidR="003D3FB2">
              <w:rPr>
                <w:spacing w:val="-4"/>
              </w:rPr>
              <w:t>-2,0 %). Naopak mnohem skromnější</w:t>
            </w:r>
            <w:r>
              <w:rPr>
                <w:spacing w:val="-4"/>
              </w:rPr>
              <w:t xml:space="preserve"> růst si připsaly na domácí trh více orientovaný potravinářský (+</w:t>
            </w:r>
            <w:r w:rsidR="003D3FB2">
              <w:rPr>
                <w:spacing w:val="-4"/>
              </w:rPr>
              <w:t xml:space="preserve">2,0 </w:t>
            </w:r>
            <w:r>
              <w:rPr>
                <w:spacing w:val="-4"/>
              </w:rPr>
              <w:t>%) i</w:t>
            </w:r>
            <w:r w:rsidR="005D76AE">
              <w:rPr>
                <w:spacing w:val="-4"/>
              </w:rPr>
              <w:t> </w:t>
            </w:r>
            <w:r>
              <w:rPr>
                <w:spacing w:val="-4"/>
              </w:rPr>
              <w:t>nápojový průmysl (+</w:t>
            </w:r>
            <w:r w:rsidR="003D3FB2">
              <w:rPr>
                <w:spacing w:val="-4"/>
              </w:rPr>
              <w:t>3</w:t>
            </w:r>
            <w:r w:rsidR="00034D3F">
              <w:rPr>
                <w:spacing w:val="-4"/>
              </w:rPr>
              <w:t>,</w:t>
            </w:r>
            <w:r w:rsidR="003D3FB2">
              <w:rPr>
                <w:spacing w:val="-4"/>
              </w:rPr>
              <w:t>9</w:t>
            </w:r>
            <w:r>
              <w:rPr>
                <w:spacing w:val="-4"/>
              </w:rPr>
              <w:t xml:space="preserve"> %) a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>nevybočily tak z trendů předešlých let</w:t>
            </w:r>
            <w:r w:rsidRPr="00657BB6">
              <w:rPr>
                <w:spacing w:val="-4"/>
              </w:rPr>
              <w:t>. Z menších oborů se</w:t>
            </w:r>
            <w:r>
              <w:rPr>
                <w:spacing w:val="-4"/>
              </w:rPr>
              <w:t xml:space="preserve"> dařilo exportně zaměřenému farmaceutickému průmyslu (+</w:t>
            </w:r>
            <w:r w:rsidR="003D3FB2">
              <w:rPr>
                <w:spacing w:val="-4"/>
              </w:rPr>
              <w:t>10,6</w:t>
            </w:r>
            <w:r>
              <w:rPr>
                <w:spacing w:val="-4"/>
              </w:rPr>
              <w:t xml:space="preserve"> %, za pět let +</w:t>
            </w:r>
            <w:r w:rsidR="003D3FB2" w:rsidRPr="003D3FB2">
              <w:rPr>
                <w:spacing w:val="-4"/>
              </w:rPr>
              <w:t>32</w:t>
            </w:r>
            <w:r w:rsidR="003D3FB2">
              <w:rPr>
                <w:spacing w:val="-4"/>
              </w:rPr>
              <w:t>,1</w:t>
            </w:r>
            <w:r w:rsidRPr="003D3FB2">
              <w:rPr>
                <w:spacing w:val="-4"/>
              </w:rPr>
              <w:t xml:space="preserve"> %</w:t>
            </w:r>
            <w:r>
              <w:rPr>
                <w:spacing w:val="-4"/>
              </w:rPr>
              <w:t>). V posledním pětiletí nepřetržitě posilovaly i</w:t>
            </w:r>
            <w:r w:rsidR="005D76AE">
              <w:rPr>
                <w:spacing w:val="-4"/>
              </w:rPr>
              <w:t> </w:t>
            </w:r>
            <w:r>
              <w:rPr>
                <w:spacing w:val="-4"/>
              </w:rPr>
              <w:t xml:space="preserve">textilní, papírenský </w:t>
            </w:r>
            <w:r w:rsidR="005D76AE">
              <w:rPr>
                <w:spacing w:val="-4"/>
              </w:rPr>
              <w:t>a </w:t>
            </w:r>
            <w:r>
              <w:rPr>
                <w:spacing w:val="-4"/>
              </w:rPr>
              <w:t>nábytkářský průmysl.</w:t>
            </w:r>
          </w:p>
        </w:tc>
      </w:tr>
    </w:tbl>
    <w:p w:rsidR="007B0920" w:rsidRPr="00C25BC2" w:rsidRDefault="007B0920" w:rsidP="007B0920">
      <w:pPr>
        <w:pStyle w:val="Textpoznpodarou"/>
        <w:jc w:val="both"/>
        <w:rPr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21"/>
        <w:gridCol w:w="6379"/>
      </w:tblGrid>
      <w:tr w:rsidR="007B0920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7B0920" w:rsidRPr="00AA4A76" w:rsidRDefault="007B0920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7B0920" w:rsidRPr="00AA4A76" w:rsidRDefault="007B0920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3" w:type="pct"/>
          </w:tcPr>
          <w:p w:rsidR="007B0920" w:rsidRPr="00540CB3" w:rsidRDefault="007B0920" w:rsidP="00CF0826">
            <w:pPr>
              <w:pStyle w:val="Textpoznpodarou"/>
              <w:jc w:val="both"/>
              <w:rPr>
                <w:highlight w:val="yellow"/>
              </w:rPr>
            </w:pPr>
            <w:r w:rsidRPr="00540CB3">
              <w:rPr>
                <w:color w:val="000000"/>
              </w:rPr>
              <w:t>Graf č. 5</w:t>
            </w:r>
          </w:p>
        </w:tc>
        <w:tc>
          <w:tcPr>
            <w:tcW w:w="3261" w:type="pct"/>
          </w:tcPr>
          <w:p w:rsidR="007B0920" w:rsidRPr="003C6DB9" w:rsidRDefault="007B0920" w:rsidP="00CF0826">
            <w:pPr>
              <w:pStyle w:val="Textpoznpodarou"/>
              <w:rPr>
                <w:b/>
              </w:rPr>
            </w:pPr>
            <w:r w:rsidRPr="001D04BA">
              <w:rPr>
                <w:b/>
              </w:rPr>
              <w:t>Produkce v průmyslu a</w:t>
            </w:r>
            <w:r>
              <w:rPr>
                <w:b/>
              </w:rPr>
              <w:t xml:space="preserve"> ve</w:t>
            </w:r>
            <w:r w:rsidRPr="001D04BA">
              <w:rPr>
                <w:b/>
              </w:rPr>
              <w:t xml:space="preserve"> vyb</w:t>
            </w:r>
            <w:r>
              <w:rPr>
                <w:b/>
              </w:rPr>
              <w:t xml:space="preserve">raných zpracovatelských odvětvích </w:t>
            </w:r>
            <w:r>
              <w:t>(reálně, očištěno o kalendářní vlivy,</w:t>
            </w:r>
            <w:r w:rsidRPr="001D04BA">
              <w:t xml:space="preserve"> </w:t>
            </w:r>
            <w:r>
              <w:t>meziročně</w:t>
            </w:r>
            <w:r w:rsidRPr="001D04BA">
              <w:t xml:space="preserve"> v %)</w:t>
            </w:r>
          </w:p>
        </w:tc>
      </w:tr>
      <w:tr w:rsidR="007B0920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7B0920" w:rsidRPr="006D3F53" w:rsidRDefault="007B0920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7B0920" w:rsidRPr="00A74192" w:rsidRDefault="007B0920" w:rsidP="00CF0826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7B0920" w:rsidRPr="00A82C52" w:rsidRDefault="00BB12AC" w:rsidP="00CF0826">
            <w:pPr>
              <w:pStyle w:val="Textpoznpodarou"/>
              <w:ind w:left="-124"/>
              <w:jc w:val="right"/>
              <w:rPr>
                <w:sz w:val="16"/>
                <w:szCs w:val="16"/>
              </w:rPr>
            </w:pPr>
            <w:r w:rsidRPr="00BB12AC">
              <w:rPr>
                <w:noProof/>
                <w:sz w:val="14"/>
                <w:szCs w:val="14"/>
              </w:rPr>
              <w:drawing>
                <wp:inline distT="0" distB="0" distL="0" distR="0">
                  <wp:extent cx="4769902" cy="3553200"/>
                  <wp:effectExtent l="0" t="0" r="0" b="0"/>
                  <wp:docPr id="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BB12AC">
              <w:rPr>
                <w:sz w:val="14"/>
                <w:szCs w:val="14"/>
              </w:rPr>
              <w:t xml:space="preserve"> </w:t>
            </w:r>
            <w:r w:rsidR="007B0920" w:rsidRPr="00540CB3">
              <w:rPr>
                <w:sz w:val="14"/>
                <w:szCs w:val="14"/>
              </w:rPr>
              <w:t>Zdroj: ČSÚ</w:t>
            </w:r>
          </w:p>
        </w:tc>
      </w:tr>
    </w:tbl>
    <w:p w:rsidR="007B0920" w:rsidRDefault="007B0920" w:rsidP="007B0920">
      <w:pPr>
        <w:pStyle w:val="Textpoznpodarou"/>
        <w:jc w:val="both"/>
        <w:rPr>
          <w:sz w:val="14"/>
          <w:szCs w:val="14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7B0920" w:rsidRPr="00DE32DB" w:rsidTr="00CF0826">
        <w:trPr>
          <w:trHeight w:val="145"/>
        </w:trPr>
        <w:tc>
          <w:tcPr>
            <w:tcW w:w="1016" w:type="pct"/>
          </w:tcPr>
          <w:p w:rsidR="007B0920" w:rsidRPr="003E5346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Nepříznivé tendence z pohledu produkce i</w:t>
            </w:r>
            <w:r w:rsidR="00A37201">
              <w:rPr>
                <w:spacing w:val="-2"/>
                <w:sz w:val="16"/>
                <w:szCs w:val="16"/>
              </w:rPr>
              <w:t> </w:t>
            </w:r>
            <w:r>
              <w:rPr>
                <w:spacing w:val="-2"/>
                <w:sz w:val="16"/>
                <w:szCs w:val="16"/>
              </w:rPr>
              <w:t>zaměstnanosti přetrvávaly v těžebním průmyslu či hutnictví a slévárenství.</w:t>
            </w:r>
          </w:p>
        </w:tc>
        <w:tc>
          <w:tcPr>
            <w:tcW w:w="144" w:type="pct"/>
          </w:tcPr>
          <w:p w:rsidR="007B0920" w:rsidRPr="007D7F66" w:rsidRDefault="007B0920" w:rsidP="00CF0826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840" w:type="pct"/>
          </w:tcPr>
          <w:p w:rsidR="007B0920" w:rsidRDefault="007B0920" w:rsidP="00CF0826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V některých průmyslových oborech nadále přetrvávaly dlouhodobé strukturální problémy. Již šestý rok v řadě klesala vlivem řízeného útlumu těžby černého uhlí produkce v těžbě a dobývání (o </w:t>
            </w:r>
            <w:r w:rsidR="001305B2">
              <w:rPr>
                <w:color w:val="000000" w:themeColor="text1"/>
                <w:spacing w:val="-4"/>
              </w:rPr>
              <w:t>1,7</w:t>
            </w:r>
            <w:r>
              <w:rPr>
                <w:color w:val="000000" w:themeColor="text1"/>
                <w:spacing w:val="-4"/>
              </w:rPr>
              <w:t xml:space="preserve"> %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9"/>
            </w:r>
            <w:r w:rsidR="001305B2">
              <w:rPr>
                <w:color w:val="000000" w:themeColor="text1"/>
                <w:spacing w:val="-4"/>
              </w:rPr>
              <w:t>, v úhrnu o více než čtvrtinu</w:t>
            </w:r>
            <w:r>
              <w:rPr>
                <w:color w:val="000000" w:themeColor="text1"/>
                <w:spacing w:val="-4"/>
              </w:rPr>
              <w:t xml:space="preserve">). Nominální tržby těžebních podniků ale po </w:t>
            </w:r>
            <w:r w:rsidR="00B2419B">
              <w:rPr>
                <w:color w:val="000000" w:themeColor="text1"/>
                <w:spacing w:val="-4"/>
              </w:rPr>
              <w:t>pěti letech loni vzrostly (o 8,7</w:t>
            </w:r>
            <w:r>
              <w:rPr>
                <w:color w:val="000000" w:themeColor="text1"/>
                <w:spacing w:val="-4"/>
              </w:rPr>
              <w:t xml:space="preserve"> %), neboť se v nich promítly ceny surovin. V hutnictví a slévárenství produkce lo</w:t>
            </w:r>
            <w:r w:rsidR="00B2419B">
              <w:rPr>
                <w:color w:val="000000" w:themeColor="text1"/>
                <w:spacing w:val="-4"/>
              </w:rPr>
              <w:t>ni (stejně jako v předchozích</w:t>
            </w:r>
            <w:r>
              <w:rPr>
                <w:color w:val="000000" w:themeColor="text1"/>
                <w:spacing w:val="-4"/>
              </w:rPr>
              <w:t xml:space="preserve"> </w:t>
            </w:r>
            <w:r w:rsidR="00B2419B">
              <w:rPr>
                <w:color w:val="000000" w:themeColor="text1"/>
                <w:spacing w:val="-4"/>
              </w:rPr>
              <w:t>dvou letech) mírně klesala</w:t>
            </w:r>
            <w:r>
              <w:rPr>
                <w:color w:val="000000" w:themeColor="text1"/>
                <w:spacing w:val="-4"/>
              </w:rPr>
              <w:t xml:space="preserve">. </w:t>
            </w:r>
            <w:r w:rsidR="00B2419B">
              <w:rPr>
                <w:color w:val="000000" w:themeColor="text1"/>
                <w:spacing w:val="-4"/>
              </w:rPr>
              <w:t>Výrazně p</w:t>
            </w:r>
            <w:r>
              <w:rPr>
                <w:color w:val="000000" w:themeColor="text1"/>
                <w:spacing w:val="-4"/>
              </w:rPr>
              <w:t>říznivější výsledky nepřineslo ani 4. čtvrtletí 2017 navzdory růstu zakázek i dovozu základních kovů. Po krátkém oživení se loni opět mír</w:t>
            </w:r>
            <w:r w:rsidR="00B2419B">
              <w:rPr>
                <w:color w:val="000000" w:themeColor="text1"/>
                <w:spacing w:val="-4"/>
              </w:rPr>
              <w:t>ně snížila produkce v </w:t>
            </w:r>
            <w:r>
              <w:rPr>
                <w:color w:val="000000" w:themeColor="text1"/>
                <w:spacing w:val="-4"/>
              </w:rPr>
              <w:t xml:space="preserve">kožedělném průmyslu, proti konjunkturnímu roku 2007 </w:t>
            </w:r>
            <w:r w:rsidR="00B2419B">
              <w:rPr>
                <w:color w:val="000000" w:themeColor="text1"/>
                <w:spacing w:val="-4"/>
              </w:rPr>
              <w:t>byla o téměř 30 %</w:t>
            </w:r>
            <w:r>
              <w:rPr>
                <w:color w:val="000000" w:themeColor="text1"/>
                <w:spacing w:val="-4"/>
              </w:rPr>
              <w:t xml:space="preserve"> slabší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10"/>
            </w:r>
            <w:r>
              <w:rPr>
                <w:color w:val="000000" w:themeColor="text1"/>
                <w:spacing w:val="-4"/>
              </w:rPr>
              <w:t>. Naopak u malého</w:t>
            </w:r>
            <w:r w:rsidR="00A37201">
              <w:rPr>
                <w:color w:val="000000" w:themeColor="text1"/>
                <w:spacing w:val="-4"/>
              </w:rPr>
              <w:t>,</w:t>
            </w:r>
            <w:r>
              <w:rPr>
                <w:color w:val="000000" w:themeColor="text1"/>
                <w:spacing w:val="-4"/>
              </w:rPr>
              <w:t xml:space="preserve"> ale dlouhodobě rostoucího oboru – výroby ostatních (hlavně kolejových) dopravních prostředků – byl loňský pokles (o </w:t>
            </w:r>
            <w:r w:rsidR="006305C4">
              <w:rPr>
                <w:color w:val="000000" w:themeColor="text1"/>
                <w:spacing w:val="-4"/>
              </w:rPr>
              <w:t>9</w:t>
            </w:r>
            <w:r w:rsidR="00034D3F">
              <w:rPr>
                <w:color w:val="000000" w:themeColor="text1"/>
                <w:spacing w:val="-4"/>
              </w:rPr>
              <w:t>,1</w:t>
            </w:r>
            <w:r>
              <w:rPr>
                <w:color w:val="000000" w:themeColor="text1"/>
                <w:spacing w:val="-4"/>
              </w:rPr>
              <w:t xml:space="preserve"> %, nejhlubší ze všech oddílů průmyslu) spíše jednorázovým vybočení</w:t>
            </w:r>
            <w:r w:rsidRPr="00BA5882">
              <w:rPr>
                <w:color w:val="000000" w:themeColor="text1"/>
                <w:spacing w:val="-5"/>
              </w:rPr>
              <w:t xml:space="preserve">m vlivem </w:t>
            </w:r>
            <w:proofErr w:type="spellStart"/>
            <w:r w:rsidRPr="00BA5882">
              <w:rPr>
                <w:color w:val="000000" w:themeColor="text1"/>
                <w:spacing w:val="-5"/>
              </w:rPr>
              <w:t>volatilního</w:t>
            </w:r>
            <w:proofErr w:type="spellEnd"/>
            <w:r w:rsidRPr="00BA5882">
              <w:rPr>
                <w:color w:val="000000" w:themeColor="text1"/>
                <w:spacing w:val="-5"/>
              </w:rPr>
              <w:t xml:space="preserve"> cha</w:t>
            </w:r>
            <w:r w:rsidR="00A37201">
              <w:rPr>
                <w:color w:val="000000" w:themeColor="text1"/>
                <w:spacing w:val="-5"/>
              </w:rPr>
              <w:t>rakteru zakázek</w:t>
            </w:r>
            <w:r w:rsidRPr="00BA5882">
              <w:rPr>
                <w:color w:val="000000" w:themeColor="text1"/>
                <w:spacing w:val="-5"/>
              </w:rPr>
              <w:t>, což naznačoval i příznivý vývoj zaměstnanosti.</w:t>
            </w:r>
          </w:p>
          <w:p w:rsidR="007B0920" w:rsidRPr="00A5421F" w:rsidRDefault="007B0920" w:rsidP="00CF0826">
            <w:pPr>
              <w:pStyle w:val="Textpoznpodarou"/>
              <w:jc w:val="both"/>
              <w:rPr>
                <w:color w:val="000000" w:themeColor="text1"/>
                <w:spacing w:val="-4"/>
                <w:sz w:val="15"/>
              </w:rPr>
            </w:pPr>
          </w:p>
        </w:tc>
      </w:tr>
      <w:tr w:rsidR="007B0920" w:rsidRPr="00DE32DB" w:rsidTr="00CF0826">
        <w:trPr>
          <w:trHeight w:val="145"/>
        </w:trPr>
        <w:tc>
          <w:tcPr>
            <w:tcW w:w="1016" w:type="pct"/>
          </w:tcPr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Růst tržeb průmyslových podniků z přímého vývozu mírně </w:t>
            </w:r>
            <w:r w:rsidR="00E813EF">
              <w:rPr>
                <w:spacing w:val="-2"/>
                <w:sz w:val="16"/>
                <w:szCs w:val="16"/>
              </w:rPr>
              <w:t>zaostal za tempem</w:t>
            </w:r>
            <w:r>
              <w:rPr>
                <w:spacing w:val="-2"/>
                <w:sz w:val="16"/>
                <w:szCs w:val="16"/>
              </w:rPr>
              <w:t xml:space="preserve"> tržeb v tuzemsku.</w:t>
            </w: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lastRenderedPageBreak/>
              <w:t xml:space="preserve">Tempo růstu nových zakázek během roku 2017 výrazně nepolevovalo, v pozitivním pásmu setrvala i důvěra podnikatelů. </w:t>
            </w: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Pr="003E5346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N</w:t>
            </w:r>
            <w:r w:rsidR="00283D6A">
              <w:rPr>
                <w:spacing w:val="-2"/>
                <w:sz w:val="16"/>
                <w:szCs w:val="16"/>
              </w:rPr>
              <w:t>edostatek zaměstnanců jako barié</w:t>
            </w:r>
            <w:r w:rsidR="006F32FF">
              <w:rPr>
                <w:spacing w:val="-2"/>
                <w:sz w:val="16"/>
                <w:szCs w:val="16"/>
              </w:rPr>
              <w:t>ra růstu v průmyslu loni sílil</w:t>
            </w:r>
            <w:r>
              <w:rPr>
                <w:spacing w:val="-2"/>
                <w:sz w:val="16"/>
                <w:szCs w:val="16"/>
              </w:rPr>
              <w:t>, role nedostatečné poptávky mírně slábla.</w:t>
            </w:r>
          </w:p>
        </w:tc>
        <w:tc>
          <w:tcPr>
            <w:tcW w:w="144" w:type="pct"/>
          </w:tcPr>
          <w:p w:rsidR="007B0920" w:rsidRDefault="007B0920" w:rsidP="00CF0826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7B0920" w:rsidRPr="00014690" w:rsidRDefault="007B0920" w:rsidP="00CF0826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DF005D">
              <w:rPr>
                <w:color w:val="000000" w:themeColor="text1"/>
                <w:spacing w:val="-4"/>
              </w:rPr>
              <w:t xml:space="preserve">Nominální tržby podniků </w:t>
            </w:r>
            <w:r>
              <w:rPr>
                <w:color w:val="000000" w:themeColor="text1"/>
                <w:spacing w:val="-4"/>
              </w:rPr>
              <w:t xml:space="preserve">z průmyslové činnosti vzrostly během roku </w:t>
            </w:r>
            <w:r w:rsidR="00014690">
              <w:rPr>
                <w:color w:val="000000" w:themeColor="text1"/>
                <w:spacing w:val="-4"/>
              </w:rPr>
              <w:t>2017 o 7,2</w:t>
            </w:r>
            <w:r>
              <w:rPr>
                <w:color w:val="000000" w:themeColor="text1"/>
                <w:spacing w:val="-4"/>
              </w:rPr>
              <w:t xml:space="preserve"> %. Zvyšovaly se ve všech významnějších průmyslových odvětvích. Růst tržeb z přímého vývozu </w:t>
            </w:r>
            <w:r w:rsidR="00014690">
              <w:rPr>
                <w:color w:val="000000" w:themeColor="text1"/>
                <w:spacing w:val="-4"/>
              </w:rPr>
              <w:t xml:space="preserve">(+6,5 %) </w:t>
            </w:r>
            <w:r>
              <w:rPr>
                <w:color w:val="000000" w:themeColor="text1"/>
                <w:spacing w:val="-4"/>
              </w:rPr>
              <w:t>mírně zaostal za tempem domácích tržeb</w:t>
            </w:r>
            <w:r w:rsidR="00014690">
              <w:rPr>
                <w:color w:val="000000" w:themeColor="text1"/>
                <w:spacing w:val="-4"/>
              </w:rPr>
              <w:t xml:space="preserve"> (+8,1 %)</w:t>
            </w:r>
            <w:r>
              <w:rPr>
                <w:color w:val="000000" w:themeColor="text1"/>
                <w:spacing w:val="-4"/>
              </w:rPr>
              <w:t xml:space="preserve">, což se stalo naposledy v roce 2008. V pozadí růstu domácích tržeb stálo loni oživení v chemickém </w:t>
            </w:r>
            <w:r>
              <w:rPr>
                <w:color w:val="000000" w:themeColor="text1"/>
                <w:spacing w:val="-4"/>
              </w:rPr>
              <w:lastRenderedPageBreak/>
              <w:t xml:space="preserve">průmyslu, ale i dobré výsledky strojírenství a subdodavatelů pro automobilový průmysl. Tempo růstu nových průmyslových zakázek během </w:t>
            </w:r>
            <w:r w:rsidRPr="008D78F3">
              <w:rPr>
                <w:color w:val="000000" w:themeColor="text1"/>
                <w:spacing w:val="-4"/>
              </w:rPr>
              <w:t>roku výrazně nepolevovalo. Jejich hodnota by</w:t>
            </w:r>
            <w:r w:rsidR="001E3731">
              <w:rPr>
                <w:color w:val="000000" w:themeColor="text1"/>
                <w:spacing w:val="-4"/>
              </w:rPr>
              <w:t>la ve 4. čtvrtletí meziročně o 7,1</w:t>
            </w:r>
            <w:r w:rsidRPr="008D78F3">
              <w:rPr>
                <w:color w:val="000000" w:themeColor="text1"/>
                <w:spacing w:val="-4"/>
              </w:rPr>
              <w:t xml:space="preserve"> % vyšší. </w:t>
            </w:r>
            <w:r w:rsidR="00753AFD">
              <w:rPr>
                <w:color w:val="000000" w:themeColor="text1"/>
                <w:spacing w:val="-4"/>
              </w:rPr>
              <w:t>Z</w:t>
            </w:r>
            <w:r w:rsidRPr="008D78F3">
              <w:rPr>
                <w:color w:val="000000" w:themeColor="text1"/>
                <w:spacing w:val="-4"/>
              </w:rPr>
              <w:t>ásoba práce</w:t>
            </w:r>
            <w:r>
              <w:rPr>
                <w:color w:val="000000" w:themeColor="text1"/>
                <w:spacing w:val="-4"/>
              </w:rPr>
              <w:t xml:space="preserve"> navyšovala ve všech</w:t>
            </w:r>
            <w:r w:rsidR="00753AFD">
              <w:rPr>
                <w:color w:val="000000" w:themeColor="text1"/>
                <w:spacing w:val="-4"/>
              </w:rPr>
              <w:t xml:space="preserve"> dvanácti</w:t>
            </w:r>
            <w:r>
              <w:rPr>
                <w:color w:val="000000" w:themeColor="text1"/>
                <w:spacing w:val="-4"/>
              </w:rPr>
              <w:t xml:space="preserve"> sledovaných odvětvích. Jen mírný růst signalizovali na konci roku </w:t>
            </w:r>
            <w:r w:rsidR="00753AFD">
              <w:rPr>
                <w:color w:val="000000" w:themeColor="text1"/>
                <w:spacing w:val="-4"/>
              </w:rPr>
              <w:t>výrobci motorových vozidel (+0,3</w:t>
            </w:r>
            <w:r w:rsidR="00283D6A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%), zčásti vlivem vyšší srovnávací základny. Sezónně očištěné saldo</w:t>
            </w:r>
            <w:r w:rsidRPr="000B2BE9">
              <w:rPr>
                <w:color w:val="000000" w:themeColor="text1"/>
                <w:spacing w:val="-4"/>
              </w:rPr>
              <w:t xml:space="preserve"> indikátoru důvěry</w:t>
            </w:r>
            <w:r>
              <w:rPr>
                <w:color w:val="000000" w:themeColor="text1"/>
                <w:spacing w:val="-4"/>
              </w:rPr>
              <w:t xml:space="preserve"> v průmyslu v 1.</w:t>
            </w:r>
            <w:r w:rsidR="00283D6A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pololetí mírně klesalo, v další části roku byl tento vývoj kompenzován. V prosinci 2017 byla hodnota salda (+6</w:t>
            </w:r>
            <w:r w:rsidR="00283D6A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p.</w:t>
            </w:r>
            <w:r w:rsidR="00283D6A">
              <w:rPr>
                <w:color w:val="000000" w:themeColor="text1"/>
                <w:spacing w:val="-4"/>
              </w:rPr>
              <w:t> </w:t>
            </w:r>
            <w:proofErr w:type="spellStart"/>
            <w:r>
              <w:rPr>
                <w:color w:val="000000" w:themeColor="text1"/>
                <w:spacing w:val="-4"/>
              </w:rPr>
              <w:t>b</w:t>
            </w:r>
            <w:proofErr w:type="spellEnd"/>
            <w:r>
              <w:rPr>
                <w:color w:val="000000" w:themeColor="text1"/>
                <w:spacing w:val="-4"/>
              </w:rPr>
              <w:t>.) shodná se situací před dvanácti měsíci.</w:t>
            </w:r>
            <w:r w:rsidRPr="000B2BE9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V prosinci očekávalo r</w:t>
            </w:r>
            <w:r w:rsidRPr="000B2BE9">
              <w:rPr>
                <w:color w:val="000000" w:themeColor="text1"/>
                <w:spacing w:val="-4"/>
              </w:rPr>
              <w:t xml:space="preserve">ůst </w:t>
            </w:r>
            <w:r w:rsidRPr="00D812CD">
              <w:rPr>
                <w:color w:val="000000" w:themeColor="text1"/>
                <w:spacing w:val="-5"/>
              </w:rPr>
              <w:t>výrobní činnosti v příštích třech měsících 24</w:t>
            </w:r>
            <w:r w:rsidR="00283D6A">
              <w:rPr>
                <w:color w:val="000000" w:themeColor="text1"/>
                <w:spacing w:val="-5"/>
              </w:rPr>
              <w:t> </w:t>
            </w:r>
            <w:r w:rsidRPr="00D812CD">
              <w:rPr>
                <w:color w:val="000000" w:themeColor="text1"/>
                <w:spacing w:val="-5"/>
              </w:rPr>
              <w:t>% průmyslových podniků (o rok dříve 20</w:t>
            </w:r>
            <w:r w:rsidRPr="008D78F3">
              <w:rPr>
                <w:color w:val="000000" w:themeColor="text1"/>
                <w:spacing w:val="-4"/>
              </w:rPr>
              <w:t> </w:t>
            </w:r>
            <w:r w:rsidRPr="00D812CD">
              <w:rPr>
                <w:color w:val="000000" w:themeColor="text1"/>
                <w:spacing w:val="-5"/>
              </w:rPr>
              <w:t>%).</w:t>
            </w:r>
            <w:r>
              <w:rPr>
                <w:color w:val="000000" w:themeColor="text1"/>
                <w:spacing w:val="-4"/>
              </w:rPr>
              <w:t xml:space="preserve"> Sedmina podniků uvažovala také</w:t>
            </w:r>
            <w:r w:rsidRPr="000B2BE9">
              <w:rPr>
                <w:color w:val="000000" w:themeColor="text1"/>
                <w:spacing w:val="-4"/>
              </w:rPr>
              <w:t xml:space="preserve"> o navýšení zaměstnanosti</w:t>
            </w:r>
            <w:r>
              <w:rPr>
                <w:color w:val="000000" w:themeColor="text1"/>
                <w:spacing w:val="-4"/>
              </w:rPr>
              <w:t xml:space="preserve"> (před rokem pětina). Výhledy se výrazně zlepšily v energetice, těžební průmysl se stabilizoval. Na počátku roku 2018 deklarovalo</w:t>
            </w:r>
            <w:r w:rsidRPr="000B2BE9">
              <w:rPr>
                <w:color w:val="000000" w:themeColor="text1"/>
                <w:spacing w:val="-4"/>
              </w:rPr>
              <w:t xml:space="preserve"> nedostatek p</w:t>
            </w:r>
            <w:r>
              <w:rPr>
                <w:color w:val="000000" w:themeColor="text1"/>
                <w:spacing w:val="-4"/>
              </w:rPr>
              <w:t>racovní síly j</w:t>
            </w:r>
            <w:r w:rsidRPr="00833444">
              <w:rPr>
                <w:color w:val="000000" w:themeColor="text1"/>
                <w:spacing w:val="-4"/>
              </w:rPr>
              <w:t>a</w:t>
            </w:r>
            <w:r>
              <w:rPr>
                <w:color w:val="000000" w:themeColor="text1"/>
                <w:spacing w:val="-4"/>
              </w:rPr>
              <w:t>ko</w:t>
            </w:r>
            <w:r w:rsidRPr="00833444">
              <w:rPr>
                <w:color w:val="000000" w:themeColor="text1"/>
                <w:spacing w:val="-4"/>
              </w:rPr>
              <w:t xml:space="preserve"> bariéru růstu rekordních </w:t>
            </w:r>
            <w:r>
              <w:rPr>
                <w:color w:val="000000" w:themeColor="text1"/>
                <w:spacing w:val="-4"/>
              </w:rPr>
              <w:t>43</w:t>
            </w:r>
            <w:r w:rsidR="00283D6A">
              <w:rPr>
                <w:color w:val="000000" w:themeColor="text1"/>
                <w:spacing w:val="-4"/>
              </w:rPr>
              <w:t> </w:t>
            </w:r>
            <w:r w:rsidRPr="000B2BE9">
              <w:rPr>
                <w:color w:val="000000" w:themeColor="text1"/>
                <w:spacing w:val="-4"/>
              </w:rPr>
              <w:t>%</w:t>
            </w:r>
            <w:r>
              <w:rPr>
                <w:color w:val="000000" w:themeColor="text1"/>
                <w:spacing w:val="-4"/>
              </w:rPr>
              <w:t xml:space="preserve"> průmyslových</w:t>
            </w:r>
            <w:r w:rsidR="00283D6A">
              <w:rPr>
                <w:color w:val="000000" w:themeColor="text1"/>
                <w:spacing w:val="-4"/>
              </w:rPr>
              <w:t xml:space="preserve"> podniků, nedostatečnou poptávk</w:t>
            </w:r>
            <w:r>
              <w:rPr>
                <w:color w:val="000000" w:themeColor="text1"/>
                <w:spacing w:val="-4"/>
              </w:rPr>
              <w:t>u pak 35 % (o rok dříve 42 %).</w:t>
            </w:r>
          </w:p>
        </w:tc>
      </w:tr>
    </w:tbl>
    <w:p w:rsidR="007B0920" w:rsidRDefault="007B0920" w:rsidP="007B0920">
      <w:pPr>
        <w:pStyle w:val="Textpoznpodarou"/>
        <w:jc w:val="both"/>
        <w:rPr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980"/>
        <w:gridCol w:w="6520"/>
      </w:tblGrid>
      <w:tr w:rsidR="007B0920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7B0920" w:rsidRPr="00AA4A76" w:rsidRDefault="007B0920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7B0920" w:rsidRPr="00AA4A76" w:rsidRDefault="007B0920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01" w:type="pct"/>
          </w:tcPr>
          <w:p w:rsidR="007B0920" w:rsidRPr="00540CB3" w:rsidRDefault="007B0920" w:rsidP="00CF0826">
            <w:pPr>
              <w:pStyle w:val="Textpoznpodarou"/>
              <w:jc w:val="both"/>
              <w:rPr>
                <w:spacing w:val="-4"/>
                <w:highlight w:val="yellow"/>
              </w:rPr>
            </w:pPr>
            <w:r w:rsidRPr="00540CB3">
              <w:rPr>
                <w:color w:val="000000"/>
                <w:spacing w:val="-4"/>
              </w:rPr>
              <w:t>Graf č. 6</w:t>
            </w:r>
          </w:p>
        </w:tc>
        <w:tc>
          <w:tcPr>
            <w:tcW w:w="3333" w:type="pct"/>
          </w:tcPr>
          <w:p w:rsidR="007B0920" w:rsidRPr="00540CB3" w:rsidRDefault="007B0920" w:rsidP="00CF0826">
            <w:pPr>
              <w:pStyle w:val="Textpoznpodarou"/>
              <w:rPr>
                <w:b/>
                <w:spacing w:val="-2"/>
              </w:rPr>
            </w:pPr>
            <w:r w:rsidRPr="00540CB3">
              <w:rPr>
                <w:b/>
                <w:spacing w:val="-2"/>
              </w:rPr>
              <w:t xml:space="preserve">Nové zakázky v automobilovém průmyslu, v průmyslu celkem </w:t>
            </w:r>
          </w:p>
          <w:p w:rsidR="007B0920" w:rsidRPr="002B6B7A" w:rsidRDefault="007B0920" w:rsidP="00CF0826">
            <w:pPr>
              <w:pStyle w:val="Textpoznpodarou"/>
              <w:rPr>
                <w:bCs/>
              </w:rPr>
            </w:pPr>
            <w:r>
              <w:rPr>
                <w:bCs/>
                <w:spacing w:val="-2"/>
              </w:rPr>
              <w:t>(v běž.</w:t>
            </w:r>
            <w:r w:rsidRPr="00540CB3">
              <w:rPr>
                <w:bCs/>
                <w:spacing w:val="-2"/>
              </w:rPr>
              <w:t xml:space="preserve"> </w:t>
            </w:r>
            <w:proofErr w:type="gramStart"/>
            <w:r w:rsidRPr="00540CB3">
              <w:rPr>
                <w:bCs/>
                <w:spacing w:val="-2"/>
              </w:rPr>
              <w:t>cenách</w:t>
            </w:r>
            <w:proofErr w:type="gramEnd"/>
            <w:r w:rsidRPr="00540CB3">
              <w:rPr>
                <w:bCs/>
                <w:spacing w:val="-2"/>
              </w:rPr>
              <w:t xml:space="preserve">, </w:t>
            </w:r>
            <w:r w:rsidRPr="00540CB3">
              <w:rPr>
                <w:spacing w:val="-2"/>
              </w:rPr>
              <w:t>meziročně</w:t>
            </w:r>
            <w:r w:rsidRPr="00540CB3">
              <w:rPr>
                <w:bCs/>
                <w:spacing w:val="-2"/>
              </w:rPr>
              <w:t xml:space="preserve"> v %) </w:t>
            </w:r>
            <w:r w:rsidRPr="00540CB3">
              <w:rPr>
                <w:b/>
                <w:spacing w:val="-2"/>
              </w:rPr>
              <w:t>a saldo indikátoru důvěry v</w:t>
            </w:r>
            <w:r>
              <w:rPr>
                <w:b/>
                <w:spacing w:val="-2"/>
              </w:rPr>
              <w:t> </w:t>
            </w:r>
            <w:r w:rsidRPr="00540CB3">
              <w:rPr>
                <w:b/>
                <w:spacing w:val="-2"/>
              </w:rPr>
              <w:t>průmyslu</w:t>
            </w:r>
          </w:p>
        </w:tc>
      </w:tr>
      <w:tr w:rsidR="007B0920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7B0920" w:rsidRPr="006D3F53" w:rsidRDefault="007B0920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7B0920" w:rsidRPr="00A74192" w:rsidRDefault="007B0920" w:rsidP="00CF0826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7B0920" w:rsidRPr="00540CB3" w:rsidRDefault="00100224" w:rsidP="00CF0826">
            <w:pPr>
              <w:pStyle w:val="Textpoznpodarou"/>
              <w:ind w:left="-124"/>
              <w:jc w:val="right"/>
              <w:rPr>
                <w:sz w:val="16"/>
                <w:szCs w:val="16"/>
              </w:rPr>
            </w:pPr>
            <w:r w:rsidRPr="00100224">
              <w:rPr>
                <w:noProof/>
                <w:sz w:val="14"/>
                <w:szCs w:val="14"/>
              </w:rPr>
              <w:drawing>
                <wp:inline distT="0" distB="0" distL="0" distR="0">
                  <wp:extent cx="4772801" cy="3553200"/>
                  <wp:effectExtent l="19050" t="0" r="0" b="0"/>
                  <wp:docPr id="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 w:rsidR="007B0920" w:rsidRPr="00F2490D">
              <w:rPr>
                <w:sz w:val="14"/>
                <w:szCs w:val="14"/>
              </w:rPr>
              <w:t xml:space="preserve"> </w:t>
            </w:r>
            <w:r w:rsidR="007B0920" w:rsidRPr="00540CB3">
              <w:rPr>
                <w:sz w:val="14"/>
                <w:szCs w:val="14"/>
              </w:rPr>
              <w:t>Zdroj: ČSÚ</w:t>
            </w:r>
          </w:p>
        </w:tc>
      </w:tr>
    </w:tbl>
    <w:p w:rsidR="007B0920" w:rsidRDefault="007B0920" w:rsidP="007B0920">
      <w:pPr>
        <w:pStyle w:val="Textpoznpodarou"/>
        <w:jc w:val="both"/>
        <w:rPr>
          <w:sz w:val="14"/>
          <w:szCs w:val="14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5"/>
        <w:gridCol w:w="1118"/>
        <w:gridCol w:w="6381"/>
        <w:gridCol w:w="45"/>
      </w:tblGrid>
      <w:tr w:rsidR="007B0920" w:rsidRPr="00DE32DB" w:rsidTr="00CF0826">
        <w:trPr>
          <w:trHeight w:val="145"/>
        </w:trPr>
        <w:tc>
          <w:tcPr>
            <w:tcW w:w="1016" w:type="pct"/>
          </w:tcPr>
          <w:p w:rsidR="007B0920" w:rsidRPr="00484B46" w:rsidRDefault="007B0920" w:rsidP="00CF0826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color w:val="0D0D0D" w:themeColor="text1" w:themeTint="F2"/>
                <w:spacing w:val="-2"/>
                <w:sz w:val="16"/>
                <w:szCs w:val="16"/>
              </w:rPr>
              <w:t>Stavební produkce loni mírně vzrostla výhradně zásluhou pozemního stavitelství. Výkon inženýrského stavitelství byl po celý rok limitován nízkým objemem dokončených projektů podpořených z</w:t>
            </w:r>
            <w:r w:rsidRPr="00AB0EB5">
              <w:rPr>
                <w:spacing w:val="-4"/>
                <w:sz w:val="16"/>
                <w:szCs w:val="16"/>
              </w:rPr>
              <w:t> </w:t>
            </w:r>
            <w:r>
              <w:rPr>
                <w:color w:val="0D0D0D" w:themeColor="text1" w:themeTint="F2"/>
                <w:spacing w:val="-2"/>
                <w:sz w:val="16"/>
                <w:szCs w:val="16"/>
              </w:rPr>
              <w:t>veřejných investic.</w:t>
            </w:r>
          </w:p>
        </w:tc>
        <w:tc>
          <w:tcPr>
            <w:tcW w:w="144" w:type="pct"/>
          </w:tcPr>
          <w:p w:rsidR="007B0920" w:rsidRDefault="007B0920" w:rsidP="00CF0826">
            <w:pPr>
              <w:pStyle w:val="Textpoznpodarou"/>
              <w:jc w:val="both"/>
            </w:pPr>
          </w:p>
        </w:tc>
        <w:tc>
          <w:tcPr>
            <w:tcW w:w="3840" w:type="pct"/>
            <w:gridSpan w:val="3"/>
          </w:tcPr>
          <w:p w:rsidR="007B0920" w:rsidRDefault="007B0920" w:rsidP="00CF0826">
            <w:pPr>
              <w:pStyle w:val="Textpoznpodarou"/>
              <w:jc w:val="both"/>
              <w:rPr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Výkon stavebnictví byl loni podobně jako v roce 2016 limitován nízkým objemem veřejných investic. </w:t>
            </w:r>
            <w:proofErr w:type="spellStart"/>
            <w:r>
              <w:rPr>
                <w:color w:val="0D0D0D" w:themeColor="text1" w:themeTint="F2"/>
                <w:spacing w:val="-4"/>
              </w:rPr>
              <w:t>Mezikvartální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růst </w:t>
            </w:r>
            <w:r>
              <w:rPr>
                <w:spacing w:val="-4"/>
              </w:rPr>
              <w:t>stavební produkce</w:t>
            </w:r>
            <w:r>
              <w:rPr>
                <w:rStyle w:val="Znakapoznpodarou"/>
                <w:spacing w:val="-4"/>
              </w:rPr>
              <w:footnoteReference w:id="11"/>
            </w:r>
            <w:r>
              <w:rPr>
                <w:spacing w:val="-4"/>
              </w:rPr>
              <w:t xml:space="preserve"> započatý ve druhé polovině roku 2016</w:t>
            </w:r>
            <w:r w:rsidR="00BF71D5">
              <w:rPr>
                <w:spacing w:val="-4"/>
              </w:rPr>
              <w:t xml:space="preserve"> byl v 1. čtvrtletí 2017 zastaven (-0,2 %) a ani druhá polovina roku zásadní </w:t>
            </w:r>
            <w:r w:rsidR="00BF71D5" w:rsidRPr="00973E55">
              <w:rPr>
                <w:spacing w:val="-5"/>
              </w:rPr>
              <w:t>impuls nepřinesla. Meziroční růst dosáhl loni 3,6 %, proti výsledku z roku 2016 (-5,8 %)</w:t>
            </w:r>
            <w:r w:rsidR="00BF71D5">
              <w:rPr>
                <w:spacing w:val="-4"/>
              </w:rPr>
              <w:t xml:space="preserve"> to ale pro celé odvětví značilo alespoň dílčí oživení. Zasloužilo se však o něj jen váhově </w:t>
            </w:r>
            <w:r w:rsidR="00BF71D5" w:rsidRPr="00826FDD">
              <w:rPr>
                <w:spacing w:val="-4"/>
              </w:rPr>
              <w:t>významnější pozemní stavitelství (</w:t>
            </w:r>
            <w:r w:rsidR="00BF71D5">
              <w:rPr>
                <w:spacing w:val="-4"/>
              </w:rPr>
              <w:t>loni +6,6 %), neboť nepříznivý vývoj inženýrského stavitelství po celý rok přetrvával (-3,9 %, ve 4. čtvrtletí +0,7 % – mírný růst byl odrazem především velmi nízké srovnávací základny)</w:t>
            </w:r>
            <w:r>
              <w:rPr>
                <w:spacing w:val="-4"/>
              </w:rPr>
              <w:t>. Pozemnímu stavitelství pomáhal postupný rozvoj bytové výstavby. Počet zahájených bytů stoupal již čtvrtým rokem v řadě (na loňských 31,5 tis.). K růstu nejvíce přispěly rodinné domy, více se stavělo i v ostatních for</w:t>
            </w:r>
            <w:r w:rsidRPr="006A7450">
              <w:rPr>
                <w:spacing w:val="-4"/>
              </w:rPr>
              <w:t>m</w:t>
            </w:r>
            <w:r>
              <w:rPr>
                <w:spacing w:val="-4"/>
              </w:rPr>
              <w:t>ách</w:t>
            </w:r>
            <w:r w:rsidRPr="006A7450">
              <w:rPr>
                <w:spacing w:val="-4"/>
              </w:rPr>
              <w:t xml:space="preserve"> výstavby</w:t>
            </w:r>
            <w:r>
              <w:rPr>
                <w:spacing w:val="-4"/>
              </w:rPr>
              <w:t xml:space="preserve"> – </w:t>
            </w:r>
            <w:r w:rsidRPr="006A7450">
              <w:rPr>
                <w:spacing w:val="-4"/>
              </w:rPr>
              <w:t>vyjma bytů v nebytových budovách a</w:t>
            </w:r>
            <w:r>
              <w:rPr>
                <w:spacing w:val="-4"/>
              </w:rPr>
              <w:t> též</w:t>
            </w:r>
            <w:r w:rsidRPr="006A7450">
              <w:rPr>
                <w:spacing w:val="-4"/>
              </w:rPr>
              <w:t xml:space="preserve"> v domovech pro seniory</w:t>
            </w:r>
            <w:r w:rsidR="006F32FF">
              <w:rPr>
                <w:spacing w:val="-4"/>
              </w:rPr>
              <w:t>,</w:t>
            </w:r>
            <w:r>
              <w:rPr>
                <w:spacing w:val="-4"/>
              </w:rPr>
              <w:t xml:space="preserve"> kde byl objem výstavby rekordně nízký. </w:t>
            </w:r>
            <w:r>
              <w:rPr>
                <w:color w:val="0D0D0D" w:themeColor="text1" w:themeTint="F2"/>
                <w:spacing w:val="-4"/>
              </w:rPr>
              <w:t>B</w:t>
            </w:r>
            <w:r>
              <w:rPr>
                <w:spacing w:val="-4"/>
              </w:rPr>
              <w:t>ytů v bytových domech se zahájilo nejvíce za posledních osm let (7 244), nešlo ale ani o polovinu objemu ze stejného období dosud rekordního roku 2007. Více než pětina bytů připadala na Středočeský kraj. V Praze bylo zahájeno o 976 bytů více než v roce 2016 (s druhou nejnižší výstavbou od poloviny 90. let), přesto byla výstavba (3 734) o téměř třetinu slabší než v roce 2015 a nedosahovala poloviny průměru z období 2005</w:t>
            </w:r>
            <w:r w:rsidR="006F32FF">
              <w:rPr>
                <w:spacing w:val="-4"/>
              </w:rPr>
              <w:t>–</w:t>
            </w:r>
            <w:r>
              <w:rPr>
                <w:spacing w:val="-4"/>
              </w:rPr>
              <w:t>2007.</w:t>
            </w:r>
          </w:p>
          <w:p w:rsidR="007B0920" w:rsidRPr="00A95AFD" w:rsidRDefault="007B0920" w:rsidP="00CF0826">
            <w:pPr>
              <w:pStyle w:val="Textpoznpodarou"/>
              <w:jc w:val="both"/>
              <w:rPr>
                <w:color w:val="0D0D0D" w:themeColor="text1" w:themeTint="F2"/>
                <w:spacing w:val="-4"/>
                <w:sz w:val="4"/>
                <w:szCs w:val="4"/>
              </w:rPr>
            </w:pPr>
          </w:p>
        </w:tc>
      </w:tr>
      <w:tr w:rsidR="007B0920" w:rsidRPr="00AA4A76" w:rsidTr="00CF0826">
        <w:trPr>
          <w:gridAfter w:val="1"/>
          <w:wAfter w:w="22" w:type="pct"/>
          <w:trHeight w:val="145"/>
        </w:trPr>
        <w:tc>
          <w:tcPr>
            <w:tcW w:w="1016" w:type="pct"/>
            <w:shd w:val="clear" w:color="auto" w:fill="auto"/>
          </w:tcPr>
          <w:p w:rsidR="007B0920" w:rsidRPr="00AA4A76" w:rsidRDefault="007B0920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7B0920" w:rsidRPr="00AA4A76" w:rsidRDefault="007B0920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69" w:type="pct"/>
          </w:tcPr>
          <w:p w:rsidR="007B0920" w:rsidRPr="00AA4A76" w:rsidRDefault="007B0920" w:rsidP="00CF0826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7</w:t>
            </w:r>
          </w:p>
        </w:tc>
        <w:tc>
          <w:tcPr>
            <w:tcW w:w="3247" w:type="pct"/>
          </w:tcPr>
          <w:p w:rsidR="007B0920" w:rsidRDefault="007B0920" w:rsidP="00CF0826">
            <w:pPr>
              <w:pStyle w:val="Textpoznpodarou"/>
              <w:rPr>
                <w:bCs/>
              </w:rPr>
            </w:pPr>
            <w:r>
              <w:rPr>
                <w:b/>
              </w:rPr>
              <w:t xml:space="preserve">Stavební produkce*, hodnota nových zakázek </w:t>
            </w:r>
            <w:r>
              <w:rPr>
                <w:bCs/>
              </w:rPr>
              <w:t>(</w:t>
            </w:r>
            <w:r w:rsidRPr="00540CB3">
              <w:rPr>
                <w:spacing w:val="-2"/>
              </w:rPr>
              <w:t>meziročně</w:t>
            </w:r>
            <w:r w:rsidRPr="00540CB3">
              <w:rPr>
                <w:bCs/>
                <w:spacing w:val="-2"/>
              </w:rPr>
              <w:t xml:space="preserve"> v %)</w:t>
            </w:r>
            <w:r>
              <w:rPr>
                <w:bCs/>
              </w:rPr>
              <w:t xml:space="preserve"> </w:t>
            </w:r>
          </w:p>
          <w:p w:rsidR="007B0920" w:rsidRPr="00886A8F" w:rsidRDefault="007B0920" w:rsidP="00CF0826">
            <w:pPr>
              <w:pStyle w:val="Textpoznpodarou"/>
              <w:rPr>
                <w:spacing w:val="-2"/>
                <w:lang w:eastAsia="en-US"/>
              </w:rPr>
            </w:pP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indikátoru důvěry ve stavebnictví</w:t>
            </w:r>
          </w:p>
        </w:tc>
      </w:tr>
      <w:tr w:rsidR="007B0920" w:rsidRPr="00AA4A76" w:rsidTr="00CF0826">
        <w:trPr>
          <w:gridAfter w:val="1"/>
          <w:wAfter w:w="22" w:type="pct"/>
          <w:trHeight w:val="145"/>
        </w:trPr>
        <w:tc>
          <w:tcPr>
            <w:tcW w:w="1016" w:type="pct"/>
            <w:shd w:val="clear" w:color="auto" w:fill="auto"/>
          </w:tcPr>
          <w:p w:rsidR="007B0920" w:rsidRPr="006D3F53" w:rsidRDefault="007B0920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7B0920" w:rsidRPr="00A74192" w:rsidRDefault="007B0920" w:rsidP="00CF0826">
            <w:pPr>
              <w:pStyle w:val="Textpoznpodarou"/>
              <w:jc w:val="both"/>
            </w:pPr>
          </w:p>
        </w:tc>
        <w:tc>
          <w:tcPr>
            <w:tcW w:w="3816" w:type="pct"/>
            <w:gridSpan w:val="2"/>
          </w:tcPr>
          <w:p w:rsidR="007B0920" w:rsidRPr="00AA4A76" w:rsidRDefault="00DF1A2F" w:rsidP="00CF0826">
            <w:pPr>
              <w:pStyle w:val="Textpoznpodarou"/>
              <w:ind w:left="-124"/>
              <w:rPr>
                <w:sz w:val="18"/>
                <w:szCs w:val="18"/>
              </w:rPr>
            </w:pPr>
            <w:r w:rsidRPr="00DF1A2F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49196" cy="3548230"/>
                  <wp:effectExtent l="19050" t="0" r="0" b="0"/>
                  <wp:docPr id="1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="007B0920" w:rsidRPr="00B6493D">
              <w:rPr>
                <w:rFonts w:cs="Arial"/>
                <w:sz w:val="14"/>
                <w:szCs w:val="14"/>
              </w:rPr>
              <w:t xml:space="preserve"> </w:t>
            </w:r>
            <w:r w:rsidR="007B0920">
              <w:rPr>
                <w:rFonts w:cs="Arial"/>
                <w:sz w:val="14"/>
                <w:szCs w:val="14"/>
              </w:rPr>
              <w:t>*O</w:t>
            </w:r>
            <w:r w:rsidR="007B0920" w:rsidRPr="00540CB3">
              <w:rPr>
                <w:rFonts w:cs="Arial"/>
                <w:sz w:val="14"/>
                <w:szCs w:val="14"/>
              </w:rPr>
              <w:t xml:space="preserve">čištěno od vlivu počtu pracovních </w:t>
            </w:r>
            <w:r w:rsidR="007B0920">
              <w:rPr>
                <w:rFonts w:cs="Arial"/>
                <w:sz w:val="14"/>
                <w:szCs w:val="14"/>
              </w:rPr>
              <w:t>dnů.</w:t>
            </w:r>
            <w:r w:rsidR="007B0920" w:rsidRPr="00540CB3">
              <w:rPr>
                <w:rFonts w:cs="Arial"/>
                <w:sz w:val="14"/>
                <w:szCs w:val="14"/>
              </w:rPr>
              <w:t xml:space="preserve">                                                           </w:t>
            </w:r>
            <w:r w:rsidR="007B0920">
              <w:rPr>
                <w:rFonts w:cs="Arial"/>
                <w:sz w:val="14"/>
                <w:szCs w:val="14"/>
              </w:rPr>
              <w:t xml:space="preserve">                                         </w:t>
            </w:r>
            <w:r w:rsidR="007B0920" w:rsidRPr="00540CB3">
              <w:rPr>
                <w:rFonts w:cs="Arial"/>
                <w:sz w:val="14"/>
                <w:szCs w:val="14"/>
              </w:rPr>
              <w:t xml:space="preserve">      </w:t>
            </w:r>
            <w:r w:rsidR="007B0920" w:rsidRPr="00540CB3">
              <w:rPr>
                <w:sz w:val="14"/>
                <w:szCs w:val="14"/>
              </w:rPr>
              <w:t>Zdroj: ČSÚ</w:t>
            </w:r>
          </w:p>
        </w:tc>
      </w:tr>
    </w:tbl>
    <w:p w:rsidR="007B0920" w:rsidRDefault="007B0920" w:rsidP="007B0920">
      <w:pPr>
        <w:pStyle w:val="Textpoznpodarou"/>
        <w:jc w:val="both"/>
        <w:rPr>
          <w:sz w:val="14"/>
          <w:szCs w:val="14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7B0920" w:rsidRPr="00DE32DB" w:rsidTr="00CF0826">
        <w:trPr>
          <w:trHeight w:val="145"/>
        </w:trPr>
        <w:tc>
          <w:tcPr>
            <w:tcW w:w="1016" w:type="pct"/>
          </w:tcPr>
          <w:p w:rsidR="00BF71D5" w:rsidRPr="00134D3A" w:rsidRDefault="00BF71D5" w:rsidP="00BF71D5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134D3A">
              <w:rPr>
                <w:spacing w:val="-4"/>
                <w:sz w:val="16"/>
                <w:szCs w:val="16"/>
              </w:rPr>
              <w:t xml:space="preserve">Mírný meziroční růst nových stavebních zakázek </w:t>
            </w:r>
            <w:r>
              <w:rPr>
                <w:spacing w:val="-4"/>
                <w:sz w:val="16"/>
                <w:szCs w:val="16"/>
              </w:rPr>
              <w:t xml:space="preserve">probíhal po většinu roku. </w:t>
            </w:r>
            <w:r w:rsidRPr="00134D3A">
              <w:rPr>
                <w:spacing w:val="-4"/>
                <w:sz w:val="16"/>
                <w:szCs w:val="16"/>
              </w:rPr>
              <w:t xml:space="preserve">Negativní saldo důvěry podnikatelů ve stavebnictví se zlepšovalo. </w:t>
            </w:r>
          </w:p>
          <w:p w:rsidR="007B0920" w:rsidRPr="00134D3A" w:rsidRDefault="007B0920" w:rsidP="00CF0826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7B0920" w:rsidRPr="00134D3A" w:rsidRDefault="007B0920" w:rsidP="00CF0826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7B0920" w:rsidRPr="00134D3A" w:rsidRDefault="007B0920" w:rsidP="00CF0826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7B0920" w:rsidRPr="00134D3A" w:rsidRDefault="007B0920" w:rsidP="00CF0826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7B0920" w:rsidRPr="00134D3A" w:rsidRDefault="007B0920" w:rsidP="00CF0826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134D3A">
              <w:rPr>
                <w:spacing w:val="-4"/>
                <w:sz w:val="16"/>
                <w:szCs w:val="16"/>
              </w:rPr>
              <w:t>Slabý růst průměrné velikosti jedné zakázky naznačoval přetrvávající absenci významnějšího množství velkých projektů.</w:t>
            </w:r>
          </w:p>
          <w:p w:rsidR="007B0920" w:rsidRPr="00484B46" w:rsidRDefault="007B0920" w:rsidP="00CF0826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7B0920" w:rsidRDefault="007B0920" w:rsidP="00CF0826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7B0920" w:rsidRDefault="00BF71D5" w:rsidP="00840458">
            <w:pPr>
              <w:pStyle w:val="Textpoznpodarou"/>
              <w:jc w:val="both"/>
              <w:rPr>
                <w:color w:val="000000" w:themeColor="text1"/>
                <w:spacing w:val="-6"/>
              </w:rPr>
            </w:pPr>
            <w:r>
              <w:rPr>
                <w:color w:val="0D0D0D" w:themeColor="text1" w:themeTint="F2"/>
                <w:spacing w:val="-4"/>
              </w:rPr>
              <w:t>Hodnota nových zakázek v tuzemsku (u podniků s 50 a více zaměs</w:t>
            </w:r>
            <w:r w:rsidR="00494FB8">
              <w:rPr>
                <w:color w:val="0D0D0D" w:themeColor="text1" w:themeTint="F2"/>
                <w:spacing w:val="-4"/>
              </w:rPr>
              <w:t>tnanci) meziročně rostla po většinu</w:t>
            </w:r>
            <w:r>
              <w:rPr>
                <w:color w:val="0D0D0D" w:themeColor="text1" w:themeTint="F2"/>
                <w:spacing w:val="-4"/>
              </w:rPr>
              <w:t xml:space="preserve"> rok</w:t>
            </w:r>
            <w:r w:rsidR="00494FB8">
              <w:rPr>
                <w:color w:val="0D0D0D" w:themeColor="text1" w:themeTint="F2"/>
                <w:spacing w:val="-4"/>
              </w:rPr>
              <w:t>u</w:t>
            </w:r>
            <w:r>
              <w:rPr>
                <w:color w:val="0D0D0D" w:themeColor="text1" w:themeTint="F2"/>
                <w:spacing w:val="-4"/>
              </w:rPr>
              <w:t xml:space="preserve"> 2017. Ve 4. čtvrtletí byla vyšší o 15,6 % (bez významného rozdílu mezi pozemním a inže</w:t>
            </w:r>
            <w:r w:rsidR="004121D6">
              <w:rPr>
                <w:color w:val="0D0D0D" w:themeColor="text1" w:themeTint="F2"/>
                <w:spacing w:val="-4"/>
              </w:rPr>
              <w:t>nýrským stavitelstvím). Průměrná</w:t>
            </w:r>
            <w:r>
              <w:rPr>
                <w:color w:val="0D0D0D" w:themeColor="text1" w:themeTint="F2"/>
                <w:spacing w:val="-4"/>
              </w:rPr>
              <w:t xml:space="preserve"> hodnota </w:t>
            </w:r>
            <w:r>
              <w:rPr>
                <w:spacing w:val="-4"/>
              </w:rPr>
              <w:t>nové zakázky se loni o desetinu zvýšila (na 3,3 mil. korun), v letech 2014 i 2015 oscilovala kolem 4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mil. Stav všech dosud nerealizovaných zakázek činil na konci roku 133 mld. korun, meziročně vzrostl o mírných 3,5 %. Pokles zásoby práce ze zahraničí byl kompenzován růstem soukromých (+2,6 %) i veřejných zakázek (+9,3 %). </w:t>
            </w:r>
            <w:r w:rsidR="007B0920">
              <w:rPr>
                <w:spacing w:val="-4"/>
              </w:rPr>
              <w:t>Orientační hodnota</w:t>
            </w:r>
            <w:r w:rsidR="007B0920" w:rsidRPr="0008779B">
              <w:rPr>
                <w:b/>
                <w:color w:val="0D0D0D" w:themeColor="text1" w:themeTint="F2"/>
                <w:spacing w:val="-4"/>
              </w:rPr>
              <w:t xml:space="preserve"> </w:t>
            </w:r>
            <w:r w:rsidR="007B0920" w:rsidRPr="000F0EAA">
              <w:rPr>
                <w:color w:val="0D0D0D" w:themeColor="text1" w:themeTint="F2"/>
                <w:spacing w:val="-4"/>
              </w:rPr>
              <w:t>vydaných</w:t>
            </w:r>
            <w:r w:rsidR="007B0920" w:rsidRPr="000F0EAA">
              <w:rPr>
                <w:spacing w:val="-4"/>
              </w:rPr>
              <w:t xml:space="preserve"> stavebních povolení</w:t>
            </w:r>
            <w:r w:rsidR="007B0920">
              <w:rPr>
                <w:spacing w:val="-4"/>
              </w:rPr>
              <w:t xml:space="preserve"> zrychlila růst (na 24 </w:t>
            </w:r>
            <w:r w:rsidR="00D623F7">
              <w:rPr>
                <w:spacing w:val="-4"/>
              </w:rPr>
              <w:t>% z předloňských 12 %). Táhla ji</w:t>
            </w:r>
            <w:r w:rsidR="007B0920">
              <w:rPr>
                <w:spacing w:val="-4"/>
              </w:rPr>
              <w:t xml:space="preserve"> podobně jako v roce 2016 převážně nová výstavba. Podobným dílem přispěly bytové i</w:t>
            </w:r>
            <w:r w:rsidR="007B0920">
              <w:rPr>
                <w:color w:val="0D0D0D" w:themeColor="text1" w:themeTint="F2"/>
                <w:spacing w:val="-4"/>
              </w:rPr>
              <w:t> </w:t>
            </w:r>
            <w:r w:rsidR="007B0920">
              <w:rPr>
                <w:spacing w:val="-4"/>
              </w:rPr>
              <w:t xml:space="preserve">nebytové budovy. </w:t>
            </w:r>
            <w:r w:rsidR="007B0920" w:rsidRPr="00D163CC">
              <w:rPr>
                <w:color w:val="000000" w:themeColor="text1"/>
                <w:spacing w:val="-4"/>
              </w:rPr>
              <w:t xml:space="preserve">Sezónně očištěné </w:t>
            </w:r>
            <w:r w:rsidR="007B0920" w:rsidRPr="004315D0">
              <w:rPr>
                <w:color w:val="0D0D0D" w:themeColor="text1" w:themeTint="F2"/>
                <w:spacing w:val="-4"/>
              </w:rPr>
              <w:t>s</w:t>
            </w:r>
            <w:r w:rsidR="007B0920" w:rsidRPr="00A95305">
              <w:rPr>
                <w:color w:val="0D0D0D" w:themeColor="text1" w:themeTint="F2"/>
                <w:spacing w:val="-4"/>
              </w:rPr>
              <w:t>aldo důvěry podnikatelů ve</w:t>
            </w:r>
            <w:r w:rsidR="007B0920" w:rsidRPr="00A95305">
              <w:rPr>
                <w:color w:val="000000" w:themeColor="text1"/>
                <w:spacing w:val="-4"/>
              </w:rPr>
              <w:t xml:space="preserve"> stavebnictví</w:t>
            </w:r>
            <w:r w:rsidR="007B0920">
              <w:rPr>
                <w:color w:val="000000" w:themeColor="text1"/>
                <w:spacing w:val="-4"/>
              </w:rPr>
              <w:t xml:space="preserve"> setrvávalo v negativním pásmu. Během roku však docházelo ke zlepšování, tento trend postupně sílil a byl potvrzen i údaji z počátku roku 2018. Podíl podniků očekávajících redukci stavební činnosti či zaměstnanosti meziročně výrazně klesl. Růst stavební činnosti však očekávala necelá desetina podniků. Jen 15 % podniků nevnímalo žádnou významnou bariéru svého růstu. Nedostatečnou poptávku </w:t>
            </w:r>
            <w:r w:rsidR="007B0920" w:rsidRPr="00976C85">
              <w:rPr>
                <w:color w:val="000000" w:themeColor="text1"/>
                <w:spacing w:val="-6"/>
              </w:rPr>
              <w:t>signalizovalo 40 % (54 % na počátku roku 2017), nedostatek zaměstnanců 24 % (11 %).</w:t>
            </w:r>
          </w:p>
          <w:p w:rsidR="00D309C0" w:rsidRPr="005E3339" w:rsidRDefault="00D309C0" w:rsidP="00840458">
            <w:pPr>
              <w:pStyle w:val="Textpoznpodarou"/>
              <w:jc w:val="both"/>
              <w:rPr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7B0920" w:rsidRPr="00A74192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7B0920" w:rsidRPr="003E5346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Tržby ve vybraných službách akcelerovaly a dosáhly nejvyššího tempa po roce 2007. </w:t>
            </w:r>
          </w:p>
        </w:tc>
        <w:tc>
          <w:tcPr>
            <w:tcW w:w="144" w:type="pct"/>
          </w:tcPr>
          <w:p w:rsidR="007B0920" w:rsidRDefault="007B0920" w:rsidP="00CF0826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7B0920" w:rsidRDefault="007B0920" w:rsidP="00840458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>Růst tržeb</w:t>
            </w:r>
            <w:r w:rsidRPr="00E476F6">
              <w:rPr>
                <w:spacing w:val="-4"/>
              </w:rPr>
              <w:t xml:space="preserve"> </w:t>
            </w:r>
            <w:r w:rsidRPr="00E476F6">
              <w:rPr>
                <w:color w:val="0D0D0D" w:themeColor="text1" w:themeTint="F2"/>
                <w:spacing w:val="-4"/>
              </w:rPr>
              <w:t>ve vybraných službách</w:t>
            </w:r>
            <w:r w:rsidRPr="00E476F6">
              <w:rPr>
                <w:color w:val="0D0D0D" w:themeColor="text1" w:themeTint="F2"/>
                <w:spacing w:val="-4"/>
                <w:vertAlign w:val="superscript"/>
              </w:rPr>
              <w:footnoteReference w:id="12"/>
            </w:r>
            <w:r>
              <w:rPr>
                <w:color w:val="0D0D0D" w:themeColor="text1" w:themeTint="F2"/>
                <w:spacing w:val="-4"/>
              </w:rPr>
              <w:t xml:space="preserve"> v roce 2017 </w:t>
            </w:r>
            <w:r w:rsidR="00F70C8E">
              <w:rPr>
                <w:color w:val="0D0D0D" w:themeColor="text1" w:themeTint="F2"/>
                <w:spacing w:val="-4"/>
              </w:rPr>
              <w:t>akceleroval na 4,2 % (z předloňských 0,8 %) a dosáhl nejlepšího meziročního tempa za posledních deset let. Tento pozitivní posun byl patrný napříč všemi odvětvovými sekcemi služeb (nejvíce v profesních, vědeckých a technických činnostech, nejméně v činnostech v oblasti nemovitostí). Z </w:t>
            </w:r>
            <w:proofErr w:type="spellStart"/>
            <w:r w:rsidR="00F70C8E">
              <w:rPr>
                <w:color w:val="0D0D0D" w:themeColor="text1" w:themeTint="F2"/>
                <w:spacing w:val="-4"/>
              </w:rPr>
              <w:t>mezičtvrtletních</w:t>
            </w:r>
            <w:proofErr w:type="spellEnd"/>
            <w:r w:rsidR="00F70C8E">
              <w:rPr>
                <w:color w:val="0D0D0D" w:themeColor="text1" w:themeTint="F2"/>
                <w:spacing w:val="-4"/>
              </w:rPr>
              <w:t xml:space="preserve"> temp je patrné, že zrychlení výkonu služeb začalo již ve 3. čtvrtletí 2016, během roku 2017 tempo sláblo a ve 4. čtvrtletí tržby již fakticky stagnovaly.</w:t>
            </w:r>
          </w:p>
          <w:p w:rsidR="00D309C0" w:rsidRPr="00134D3A" w:rsidRDefault="00D309C0" w:rsidP="00840458">
            <w:pPr>
              <w:pStyle w:val="Textpoznpodarou"/>
              <w:jc w:val="both"/>
              <w:rPr>
                <w:spacing w:val="-4"/>
                <w:sz w:val="15"/>
                <w:szCs w:val="15"/>
              </w:rPr>
            </w:pPr>
          </w:p>
        </w:tc>
      </w:tr>
      <w:tr w:rsidR="007B0920" w:rsidRPr="00DE32DB" w:rsidTr="00CF0826">
        <w:trPr>
          <w:trHeight w:val="145"/>
        </w:trPr>
        <w:tc>
          <w:tcPr>
            <w:tcW w:w="1016" w:type="pct"/>
          </w:tcPr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 růstu tržeb ve službách přispěly loni nejvíce doprava a skladování a odvětví ubytování, stravování a pohostinství.</w:t>
            </w: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Pr="003D0B8C" w:rsidRDefault="007B0920" w:rsidP="00CF0826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3D0B8C">
              <w:rPr>
                <w:spacing w:val="-4"/>
                <w:sz w:val="16"/>
                <w:szCs w:val="16"/>
              </w:rPr>
              <w:lastRenderedPageBreak/>
              <w:t xml:space="preserve">Dlouhodobě silná poptávka </w:t>
            </w:r>
            <w:r>
              <w:rPr>
                <w:spacing w:val="-4"/>
                <w:sz w:val="16"/>
                <w:szCs w:val="16"/>
              </w:rPr>
              <w:t xml:space="preserve">po </w:t>
            </w:r>
            <w:r w:rsidRPr="003D0B8C">
              <w:rPr>
                <w:spacing w:val="-4"/>
                <w:sz w:val="16"/>
                <w:szCs w:val="16"/>
              </w:rPr>
              <w:t>informačních činnostech, programování či službác</w:t>
            </w:r>
            <w:r>
              <w:rPr>
                <w:spacing w:val="-4"/>
                <w:sz w:val="16"/>
                <w:szCs w:val="16"/>
              </w:rPr>
              <w:t>h pracovních agentur přetrvávala. Pozitivní obrat byl patrný u</w:t>
            </w:r>
            <w:r>
              <w:rPr>
                <w:spacing w:val="-2"/>
                <w:sz w:val="16"/>
                <w:szCs w:val="16"/>
              </w:rPr>
              <w:t> </w:t>
            </w:r>
            <w:r w:rsidRPr="003D0B8C">
              <w:rPr>
                <w:spacing w:val="-4"/>
                <w:sz w:val="16"/>
                <w:szCs w:val="16"/>
              </w:rPr>
              <w:t>cestovních kanceláří a</w:t>
            </w:r>
            <w:r>
              <w:rPr>
                <w:spacing w:val="-2"/>
                <w:sz w:val="16"/>
                <w:szCs w:val="16"/>
              </w:rPr>
              <w:t> </w:t>
            </w:r>
            <w:r w:rsidRPr="003D0B8C">
              <w:rPr>
                <w:spacing w:val="-4"/>
                <w:sz w:val="16"/>
                <w:szCs w:val="16"/>
              </w:rPr>
              <w:t>agentur.</w:t>
            </w: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V tržbách architektonických a</w:t>
            </w:r>
            <w:r>
              <w:rPr>
                <w:spacing w:val="-2"/>
                <w:sz w:val="16"/>
                <w:szCs w:val="16"/>
              </w:rPr>
              <w:t> </w:t>
            </w:r>
            <w:r w:rsidRPr="003D0B8C">
              <w:rPr>
                <w:spacing w:val="-4"/>
                <w:sz w:val="16"/>
                <w:szCs w:val="16"/>
              </w:rPr>
              <w:t>inženýrských činnost</w:t>
            </w:r>
            <w:r>
              <w:rPr>
                <w:spacing w:val="-4"/>
                <w:sz w:val="16"/>
                <w:szCs w:val="16"/>
              </w:rPr>
              <w:t>í se promítlo oživení stavebnictví.</w:t>
            </w:r>
          </w:p>
          <w:p w:rsidR="007B0920" w:rsidRPr="003E5346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7B0920" w:rsidRDefault="007B0920" w:rsidP="00CF0826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7B0920" w:rsidRPr="005A4BD6" w:rsidRDefault="00846891" w:rsidP="00846891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Po většinu roku 2017 přispívalo k meziročnímu růstu tržeb ve službách odvětví dopravy a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skladování, jen </w:t>
            </w:r>
            <w:r>
              <w:rPr>
                <w:color w:val="000000" w:themeColor="text1"/>
                <w:spacing w:val="-4"/>
              </w:rPr>
              <w:t>ve</w:t>
            </w:r>
            <w:r w:rsidRPr="00B6493D">
              <w:rPr>
                <w:color w:val="000000" w:themeColor="text1"/>
                <w:spacing w:val="-4"/>
              </w:rPr>
              <w:t xml:space="preserve"> 2. čtvrtletí role tohoto odvětví </w:t>
            </w:r>
            <w:r>
              <w:rPr>
                <w:color w:val="000000" w:themeColor="text1"/>
                <w:spacing w:val="-4"/>
              </w:rPr>
              <w:t xml:space="preserve">dočasně </w:t>
            </w:r>
            <w:r w:rsidRPr="00B6493D">
              <w:rPr>
                <w:color w:val="000000" w:themeColor="text1"/>
                <w:spacing w:val="-4"/>
              </w:rPr>
              <w:t>oslabila ve prospěch informačních a komunikačních činností a též ubytování, stravování a pohostinství.</w:t>
            </w:r>
            <w:r>
              <w:rPr>
                <w:color w:val="000000" w:themeColor="text1"/>
                <w:spacing w:val="-4"/>
              </w:rPr>
              <w:t xml:space="preserve"> K růstu tržeb v dopravě a skladování (+3,8 %) přispěly loni nejvíce skladování a vedlejší činnosti v dopravě, jež profitovaly </w:t>
            </w:r>
            <w:r w:rsidR="00117F28">
              <w:rPr>
                <w:color w:val="000000" w:themeColor="text1"/>
                <w:spacing w:val="-4"/>
              </w:rPr>
              <w:t xml:space="preserve">z </w:t>
            </w:r>
            <w:r>
              <w:rPr>
                <w:color w:val="000000" w:themeColor="text1"/>
                <w:spacing w:val="-4"/>
              </w:rPr>
              <w:t xml:space="preserve">dynamického vývoje v průmyslu i obchodu. Rozvoj cestovního ruchu se odrazil ve více než 10% růstu tržeb v letecké dopravě (nejvyšším po roce 2005). V oddíle dopravy se projevovaly vyšší přepravní výkony (dle údajů za 1. až 3. čtvrtletí meziročně rostly ve všech hlavních </w:t>
            </w:r>
            <w:r>
              <w:rPr>
                <w:color w:val="000000" w:themeColor="text1"/>
                <w:spacing w:val="-4"/>
              </w:rPr>
              <w:lastRenderedPageBreak/>
              <w:t>druzích dopravy). Růst mobility souvisel s cestovním ruchem, ale zřejmě se projevila i vyšší dojížďka za prací (ve vazbě na rekordní počet zaměstnaných). Loni pokračoval dynamický růst v ubytování (+8,1 %) i s</w:t>
            </w:r>
            <w:r w:rsidRPr="00C93C71">
              <w:rPr>
                <w:color w:val="000000" w:themeColor="text1"/>
                <w:spacing w:val="-4"/>
              </w:rPr>
              <w:t>travování a pohostinství</w:t>
            </w:r>
            <w:r>
              <w:rPr>
                <w:color w:val="000000" w:themeColor="text1"/>
                <w:spacing w:val="-4"/>
              </w:rPr>
              <w:t xml:space="preserve"> (+10,0 %). </w:t>
            </w:r>
            <w:r>
              <w:rPr>
                <w:spacing w:val="-4"/>
              </w:rPr>
              <w:t>Obě dílčí odvětví těžila z rostoucí spotřeby domácností i rozvoje příjezdového cestovního ruchu</w:t>
            </w:r>
            <w:r>
              <w:rPr>
                <w:rStyle w:val="Znakapoznpodarou"/>
                <w:spacing w:val="-4"/>
              </w:rPr>
              <w:footnoteReference w:id="13"/>
            </w:r>
            <w:r>
              <w:rPr>
                <w:spacing w:val="-4"/>
              </w:rPr>
              <w:t xml:space="preserve">. Počet přenocování hostů </w:t>
            </w:r>
            <w:r w:rsidRPr="00042860">
              <w:rPr>
                <w:spacing w:val="-4"/>
              </w:rPr>
              <w:t>v hromadných ubytovacích zařízeních vzrostl o</w:t>
            </w:r>
            <w:r w:rsidRPr="00042860">
              <w:rPr>
                <w:color w:val="000000" w:themeColor="text1"/>
                <w:spacing w:val="-4"/>
              </w:rPr>
              <w:t> </w:t>
            </w:r>
            <w:r w:rsidRPr="00042860">
              <w:rPr>
                <w:spacing w:val="-4"/>
              </w:rPr>
              <w:t>7,3</w:t>
            </w:r>
            <w:r>
              <w:rPr>
                <w:color w:val="000000" w:themeColor="text1"/>
                <w:spacing w:val="-4"/>
              </w:rPr>
              <w:t> </w:t>
            </w:r>
            <w:r w:rsidRPr="00042860">
              <w:rPr>
                <w:spacing w:val="-4"/>
              </w:rPr>
              <w:t>%. Od</w:t>
            </w:r>
            <w:r w:rsidRPr="00042860">
              <w:rPr>
                <w:color w:val="0D0D0D" w:themeColor="text1" w:themeTint="F2"/>
                <w:spacing w:val="-4"/>
              </w:rPr>
              <w:t>větví informačních a</w:t>
            </w:r>
            <w:r w:rsidRPr="00042860">
              <w:rPr>
                <w:spacing w:val="-4"/>
              </w:rPr>
              <w:t> </w:t>
            </w:r>
            <w:r w:rsidR="00CE0CD6">
              <w:rPr>
                <w:color w:val="0D0D0D" w:themeColor="text1" w:themeTint="F2"/>
                <w:spacing w:val="-4"/>
              </w:rPr>
              <w:t>komunikačních činností</w:t>
            </w:r>
            <w:r w:rsidRPr="00042860">
              <w:rPr>
                <w:color w:val="0D0D0D" w:themeColor="text1" w:themeTint="F2"/>
                <w:spacing w:val="-4"/>
              </w:rPr>
              <w:t xml:space="preserve"> (+</w:t>
            </w:r>
            <w:r>
              <w:rPr>
                <w:color w:val="0D0D0D" w:themeColor="text1" w:themeTint="F2"/>
                <w:spacing w:val="-4"/>
              </w:rPr>
              <w:t>3,9</w:t>
            </w:r>
            <w:r w:rsidRPr="00D91B9F">
              <w:rPr>
                <w:color w:val="0D0D0D" w:themeColor="text1" w:themeTint="F2"/>
                <w:spacing w:val="-4"/>
              </w:rPr>
              <w:t xml:space="preserve"> %)</w:t>
            </w:r>
            <w:r>
              <w:rPr>
                <w:color w:val="0D0D0D" w:themeColor="text1" w:themeTint="F2"/>
                <w:spacing w:val="-4"/>
              </w:rPr>
              <w:t xml:space="preserve"> táhla dlouhodobě </w:t>
            </w:r>
            <w:r>
              <w:rPr>
                <w:spacing w:val="-4"/>
              </w:rPr>
              <w:t>silná poptávka po zpracování</w:t>
            </w:r>
            <w:r w:rsidRPr="00B24AF0">
              <w:rPr>
                <w:spacing w:val="-4"/>
              </w:rPr>
              <w:t xml:space="preserve"> dat</w:t>
            </w:r>
            <w:r>
              <w:rPr>
                <w:spacing w:val="-4"/>
              </w:rPr>
              <w:t xml:space="preserve">, webových portálech a </w:t>
            </w:r>
            <w:proofErr w:type="spellStart"/>
            <w:r>
              <w:rPr>
                <w:spacing w:val="-4"/>
              </w:rPr>
              <w:t>hostingu</w:t>
            </w:r>
            <w:proofErr w:type="spellEnd"/>
            <w:r>
              <w:rPr>
                <w:spacing w:val="-4"/>
              </w:rPr>
              <w:t xml:space="preserve">, programování a poradenství v oblasti IT. K růstu odvětví administrativní a podpůrné činnosti (+6,7 %) přispěly </w:t>
            </w:r>
            <w:r>
              <w:rPr>
                <w:color w:val="000000" w:themeColor="text1"/>
                <w:spacing w:val="-4"/>
              </w:rPr>
              <w:t xml:space="preserve">cestovní agentury, kanceláře (+9,0 %, v letech 2013 až 2016 přitom tržby klesly v úhrnu o téměř pětinu). Pokračoval i dvouciferný růst tržeb pracovních agentur. </w:t>
            </w:r>
            <w:r>
              <w:rPr>
                <w:spacing w:val="-4"/>
              </w:rPr>
              <w:t xml:space="preserve">V odvětví </w:t>
            </w:r>
            <w:r w:rsidRPr="00272BB5">
              <w:rPr>
                <w:color w:val="0D0D0D" w:themeColor="text1" w:themeTint="F2"/>
                <w:spacing w:val="-4"/>
              </w:rPr>
              <w:t>profesní, vědecké a technické činnosti</w:t>
            </w:r>
            <w:r>
              <w:rPr>
                <w:spacing w:val="-4"/>
              </w:rPr>
              <w:t xml:space="preserve"> tržby posílily o 2,6 % a zaznamenaly teprve druhý meziroční růst po roce 2008. Projevilo se zde oživení v </w:t>
            </w:r>
            <w:r>
              <w:rPr>
                <w:color w:val="000000" w:themeColor="text1"/>
                <w:spacing w:val="-4"/>
              </w:rPr>
              <w:t>architektonických</w:t>
            </w:r>
            <w:r w:rsidRPr="007B2C32">
              <w:rPr>
                <w:color w:val="000000" w:themeColor="text1"/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inženýrských</w:t>
            </w:r>
            <w:r w:rsidRPr="007B2C32">
              <w:rPr>
                <w:color w:val="000000" w:themeColor="text1"/>
                <w:spacing w:val="-4"/>
              </w:rPr>
              <w:t xml:space="preserve"> činnost</w:t>
            </w:r>
            <w:r>
              <w:rPr>
                <w:color w:val="000000" w:themeColor="text1"/>
                <w:spacing w:val="-4"/>
              </w:rPr>
              <w:t xml:space="preserve">ech (+1,2 %, o rok dříve -9,3 %), které souviselo s lepšími výkony zejména pozemního stavitelství. </w:t>
            </w:r>
            <w:r>
              <w:rPr>
                <w:spacing w:val="-4"/>
              </w:rPr>
              <w:t>Již třetím rokem pokračoval růst poptávky po právních a účetních činnostech. Zatímco tržby za p</w:t>
            </w:r>
            <w:r w:rsidRPr="005A4BD6">
              <w:rPr>
                <w:spacing w:val="-4"/>
              </w:rPr>
              <w:t>růzkum trhu a veřejného mínění</w:t>
            </w:r>
            <w:r>
              <w:rPr>
                <w:spacing w:val="-4"/>
              </w:rPr>
              <w:t xml:space="preserve"> sílily, u reklamních činností loni naopak mírně klesly.</w:t>
            </w:r>
          </w:p>
        </w:tc>
      </w:tr>
    </w:tbl>
    <w:p w:rsidR="007B0920" w:rsidRPr="00535F78" w:rsidRDefault="007B0920" w:rsidP="007B0920">
      <w:pPr>
        <w:pStyle w:val="Textpoznpodarou"/>
        <w:jc w:val="both"/>
        <w:rPr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980"/>
        <w:gridCol w:w="6520"/>
      </w:tblGrid>
      <w:tr w:rsidR="007B0920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7B0920" w:rsidRPr="00AA4A76" w:rsidRDefault="007B0920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7B0920" w:rsidRPr="00AA4A76" w:rsidRDefault="007B0920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01" w:type="pct"/>
          </w:tcPr>
          <w:p w:rsidR="007B0920" w:rsidRPr="00E62A33" w:rsidRDefault="007B0920" w:rsidP="00CF0826">
            <w:pPr>
              <w:pStyle w:val="Textpoznpodarou"/>
              <w:jc w:val="both"/>
              <w:rPr>
                <w:spacing w:val="-2"/>
                <w:highlight w:val="yellow"/>
              </w:rPr>
            </w:pPr>
            <w:r w:rsidRPr="00E62A33">
              <w:rPr>
                <w:color w:val="000000"/>
                <w:spacing w:val="-2"/>
              </w:rPr>
              <w:t>Graf č. 8</w:t>
            </w:r>
          </w:p>
        </w:tc>
        <w:tc>
          <w:tcPr>
            <w:tcW w:w="3333" w:type="pct"/>
          </w:tcPr>
          <w:p w:rsidR="007B0920" w:rsidRDefault="007B0920" w:rsidP="00CF0826">
            <w:pPr>
              <w:pStyle w:val="Textpoznpodarou"/>
              <w:rPr>
                <w:b/>
                <w:spacing w:val="-2"/>
              </w:rPr>
            </w:pPr>
            <w:r>
              <w:rPr>
                <w:b/>
                <w:spacing w:val="-2"/>
              </w:rPr>
              <w:t>Tržby ve službách* a jejich vybraných odvětvových sekcích</w:t>
            </w:r>
            <w:r w:rsidRPr="00E62A33">
              <w:rPr>
                <w:b/>
                <w:spacing w:val="-2"/>
              </w:rPr>
              <w:t xml:space="preserve"> </w:t>
            </w:r>
          </w:p>
          <w:p w:rsidR="007B0920" w:rsidRPr="00E62A33" w:rsidRDefault="007B0920" w:rsidP="00CF0826">
            <w:pPr>
              <w:pStyle w:val="Textpoznpodarou"/>
              <w:rPr>
                <w:spacing w:val="-2"/>
                <w:lang w:eastAsia="en-US"/>
              </w:rPr>
            </w:pPr>
            <w:r w:rsidRPr="00E62A33">
              <w:rPr>
                <w:bCs/>
                <w:spacing w:val="-2"/>
              </w:rPr>
              <w:t xml:space="preserve">(reálně, </w:t>
            </w:r>
            <w:r w:rsidRPr="00E62A33">
              <w:rPr>
                <w:rFonts w:cs="Arial"/>
                <w:spacing w:val="-2"/>
              </w:rPr>
              <w:t xml:space="preserve">očištěno od vlivu počtu pracovních dnů,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 %)</w:t>
            </w:r>
          </w:p>
        </w:tc>
      </w:tr>
      <w:tr w:rsidR="007B0920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7B0920" w:rsidRPr="006D3F53" w:rsidRDefault="007B0920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7B0920" w:rsidRPr="00A74192" w:rsidRDefault="007B0920" w:rsidP="00CF0826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7B0920" w:rsidRPr="00E62A33" w:rsidRDefault="00DF1A2F" w:rsidP="00CF0826">
            <w:pPr>
              <w:pStyle w:val="Textpoznpodarou"/>
              <w:ind w:left="-124"/>
              <w:rPr>
                <w:sz w:val="16"/>
                <w:szCs w:val="16"/>
              </w:rPr>
            </w:pPr>
            <w:r w:rsidRPr="00DF1A2F">
              <w:rPr>
                <w:noProof/>
                <w:color w:val="0D0D0D" w:themeColor="text1" w:themeTint="F2"/>
                <w:spacing w:val="-4"/>
                <w:sz w:val="14"/>
                <w:szCs w:val="14"/>
              </w:rPr>
              <w:drawing>
                <wp:inline distT="0" distB="0" distL="0" distR="0">
                  <wp:extent cx="4743145" cy="3277210"/>
                  <wp:effectExtent l="19050" t="0" r="0" b="0"/>
                  <wp:docPr id="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="007B0920" w:rsidRPr="00612A06">
              <w:rPr>
                <w:color w:val="0D0D0D" w:themeColor="text1" w:themeTint="F2"/>
                <w:spacing w:val="-4"/>
                <w:sz w:val="14"/>
                <w:szCs w:val="14"/>
              </w:rPr>
              <w:t>*Bez obchodu, peněžnictví, poji</w:t>
            </w:r>
            <w:r w:rsidR="007B0920">
              <w:rPr>
                <w:color w:val="0D0D0D" w:themeColor="text1" w:themeTint="F2"/>
                <w:spacing w:val="-4"/>
                <w:sz w:val="14"/>
                <w:szCs w:val="14"/>
              </w:rPr>
              <w:t>šťovnictví, vědy, výzkumu a veřejných</w:t>
            </w:r>
            <w:r w:rsidR="007B0920" w:rsidRPr="00612A06">
              <w:rPr>
                <w:color w:val="0D0D0D" w:themeColor="text1" w:themeTint="F2"/>
                <w:spacing w:val="-4"/>
                <w:sz w:val="14"/>
                <w:szCs w:val="14"/>
              </w:rPr>
              <w:t xml:space="preserve"> služeb.      </w:t>
            </w:r>
            <w:r w:rsidR="007B0920">
              <w:rPr>
                <w:color w:val="0D0D0D" w:themeColor="text1" w:themeTint="F2"/>
                <w:spacing w:val="-4"/>
                <w:sz w:val="14"/>
                <w:szCs w:val="14"/>
              </w:rPr>
              <w:t xml:space="preserve">                                                </w:t>
            </w:r>
            <w:r w:rsidR="007B0920" w:rsidRPr="00612A06">
              <w:rPr>
                <w:color w:val="0D0D0D" w:themeColor="text1" w:themeTint="F2"/>
                <w:spacing w:val="-4"/>
                <w:sz w:val="14"/>
                <w:szCs w:val="14"/>
              </w:rPr>
              <w:t xml:space="preserve">         </w:t>
            </w:r>
            <w:r w:rsidR="007B0920" w:rsidRPr="00E62A33">
              <w:rPr>
                <w:sz w:val="14"/>
                <w:szCs w:val="14"/>
              </w:rPr>
              <w:t>Zdroj: ČSÚ</w:t>
            </w:r>
          </w:p>
        </w:tc>
      </w:tr>
    </w:tbl>
    <w:p w:rsidR="007B0920" w:rsidRPr="00EF66DF" w:rsidRDefault="007B0920" w:rsidP="007B0920">
      <w:pPr>
        <w:pStyle w:val="Textpoznpodarou"/>
        <w:jc w:val="both"/>
        <w:rPr>
          <w:sz w:val="14"/>
          <w:szCs w:val="14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7B0920" w:rsidRPr="00DE32DB" w:rsidTr="00CF0826">
        <w:trPr>
          <w:trHeight w:val="145"/>
        </w:trPr>
        <w:tc>
          <w:tcPr>
            <w:tcW w:w="1016" w:type="pct"/>
          </w:tcPr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Vysoké tempo růstu maloobchodních tržeb loni ještě posílilo</w:t>
            </w:r>
            <w:r w:rsidR="005538E2">
              <w:rPr>
                <w:spacing w:val="-2"/>
                <w:sz w:val="16"/>
                <w:szCs w:val="16"/>
              </w:rPr>
              <w:t xml:space="preserve"> </w:t>
            </w:r>
            <w:r w:rsidR="00A67641">
              <w:rPr>
                <w:spacing w:val="-2"/>
                <w:sz w:val="16"/>
                <w:szCs w:val="16"/>
              </w:rPr>
              <w:t>a </w:t>
            </w:r>
            <w:r w:rsidR="005538E2">
              <w:rPr>
                <w:spacing w:val="-2"/>
                <w:sz w:val="16"/>
                <w:szCs w:val="16"/>
              </w:rPr>
              <w:t>dosáhlo desetiletého maxima</w:t>
            </w:r>
            <w:r>
              <w:rPr>
                <w:spacing w:val="-2"/>
                <w:sz w:val="16"/>
                <w:szCs w:val="16"/>
              </w:rPr>
              <w:t>.</w:t>
            </w: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510428" w:rsidRDefault="00510428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7B0920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Růst maloobchodních tržeb zařadil Česko na </w:t>
            </w:r>
            <w:r w:rsidR="00DD2BB1">
              <w:rPr>
                <w:spacing w:val="-2"/>
                <w:sz w:val="16"/>
                <w:szCs w:val="16"/>
              </w:rPr>
              <w:t>šes</w:t>
            </w:r>
            <w:r>
              <w:rPr>
                <w:spacing w:val="-2"/>
                <w:sz w:val="16"/>
                <w:szCs w:val="16"/>
              </w:rPr>
              <w:t xml:space="preserve">té místo mezi státy EU, v případě tržeb za </w:t>
            </w:r>
            <w:proofErr w:type="spellStart"/>
            <w:r>
              <w:rPr>
                <w:spacing w:val="-2"/>
                <w:sz w:val="16"/>
                <w:szCs w:val="16"/>
              </w:rPr>
              <w:t>nepotravinářské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zboží na </w:t>
            </w:r>
            <w:r w:rsidR="00DD2BB1">
              <w:rPr>
                <w:spacing w:val="-2"/>
                <w:sz w:val="16"/>
                <w:szCs w:val="16"/>
              </w:rPr>
              <w:t>pátou</w:t>
            </w:r>
            <w:r>
              <w:rPr>
                <w:spacing w:val="-2"/>
                <w:sz w:val="16"/>
                <w:szCs w:val="16"/>
              </w:rPr>
              <w:t xml:space="preserve"> nejlepší pozici. </w:t>
            </w:r>
          </w:p>
          <w:p w:rsidR="007B0920" w:rsidRPr="003E5346" w:rsidRDefault="007B0920" w:rsidP="00CF0826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7B0920" w:rsidRDefault="007B0920" w:rsidP="00CF0826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7B0920" w:rsidRPr="00510428" w:rsidRDefault="007B0920" w:rsidP="00CF0826">
            <w:pPr>
              <w:pStyle w:val="Textpoznpodarou"/>
              <w:jc w:val="both"/>
              <w:rPr>
                <w:spacing w:val="-4"/>
              </w:rPr>
            </w:pPr>
            <w:r w:rsidRPr="00510428">
              <w:rPr>
                <w:spacing w:val="-4"/>
              </w:rPr>
              <w:t>Nálada spotřebitelů sycená příznivou situací na trhu práce se v průběhu roku 2017 pohybovala blízko historických maxim. Tržby v maloobchodu</w:t>
            </w:r>
            <w:r w:rsidRPr="00510428">
              <w:rPr>
                <w:rStyle w:val="Znakapoznpodarou"/>
                <w:spacing w:val="-4"/>
              </w:rPr>
              <w:footnoteReference w:id="14"/>
            </w:r>
            <w:r w:rsidR="00AF4B98">
              <w:rPr>
                <w:spacing w:val="-4"/>
              </w:rPr>
              <w:t xml:space="preserve"> stoup</w:t>
            </w:r>
            <w:r w:rsidRPr="00510428">
              <w:rPr>
                <w:spacing w:val="-4"/>
              </w:rPr>
              <w:t>ly meziročně o</w:t>
            </w:r>
            <w:r w:rsidR="005538E2" w:rsidRPr="00510428">
              <w:rPr>
                <w:spacing w:val="-4"/>
              </w:rPr>
              <w:t> 5,9 %,</w:t>
            </w:r>
            <w:r w:rsidR="00AF4B98">
              <w:rPr>
                <w:spacing w:val="-4"/>
              </w:rPr>
              <w:t xml:space="preserve"> nejvyšším tempem po roce 2007</w:t>
            </w:r>
            <w:r w:rsidRPr="00510428">
              <w:rPr>
                <w:spacing w:val="-4"/>
              </w:rPr>
              <w:t xml:space="preserve">. Zatímco tempo maloobchodu s potravinami </w:t>
            </w:r>
            <w:r w:rsidR="00AE684E" w:rsidRPr="00510428">
              <w:rPr>
                <w:spacing w:val="-4"/>
              </w:rPr>
              <w:t xml:space="preserve">zůstávalo </w:t>
            </w:r>
            <w:r w:rsidRPr="00510428">
              <w:rPr>
                <w:spacing w:val="-4"/>
              </w:rPr>
              <w:t xml:space="preserve">již druhým rokem </w:t>
            </w:r>
            <w:r w:rsidR="00AE684E" w:rsidRPr="00510428">
              <w:rPr>
                <w:spacing w:val="-4"/>
              </w:rPr>
              <w:t>pod 3% hranicí</w:t>
            </w:r>
            <w:r w:rsidRPr="00510428">
              <w:rPr>
                <w:spacing w:val="-4"/>
              </w:rPr>
              <w:t xml:space="preserve">, prodej </w:t>
            </w:r>
            <w:proofErr w:type="spellStart"/>
            <w:r w:rsidRPr="00510428">
              <w:rPr>
                <w:spacing w:val="-4"/>
              </w:rPr>
              <w:t>nepotravinářského</w:t>
            </w:r>
            <w:proofErr w:type="spellEnd"/>
            <w:r w:rsidRPr="00510428">
              <w:rPr>
                <w:spacing w:val="-4"/>
              </w:rPr>
              <w:t xml:space="preserve"> zboží</w:t>
            </w:r>
            <w:r w:rsidR="00AF4B98">
              <w:rPr>
                <w:spacing w:val="-4"/>
              </w:rPr>
              <w:t xml:space="preserve"> – </w:t>
            </w:r>
            <w:r w:rsidRPr="00510428">
              <w:rPr>
                <w:spacing w:val="-4"/>
              </w:rPr>
              <w:t>tažený dynamický</w:t>
            </w:r>
            <w:r w:rsidR="00AF4B98">
              <w:rPr>
                <w:spacing w:val="-4"/>
              </w:rPr>
              <w:t xml:space="preserve">m růstem internetového obchodu – </w:t>
            </w:r>
            <w:r w:rsidRPr="00510428">
              <w:rPr>
                <w:spacing w:val="-4"/>
              </w:rPr>
              <w:t>posílil až na 8,</w:t>
            </w:r>
            <w:r w:rsidR="005538E2" w:rsidRPr="00510428">
              <w:rPr>
                <w:spacing w:val="-4"/>
              </w:rPr>
              <w:t>8</w:t>
            </w:r>
            <w:r w:rsidRPr="00510428">
              <w:rPr>
                <w:spacing w:val="-4"/>
              </w:rPr>
              <w:t> %. Ze specializovaných prodejen se dařilo maloobchodu s oděvy, obuví a koženým zbožím (</w:t>
            </w:r>
            <w:r w:rsidR="00A67641" w:rsidRPr="00510428">
              <w:rPr>
                <w:spacing w:val="-4"/>
              </w:rPr>
              <w:t>11,5</w:t>
            </w:r>
            <w:r w:rsidRPr="00510428">
              <w:rPr>
                <w:spacing w:val="-4"/>
              </w:rPr>
              <w:t xml:space="preserve"> %), s mírným odstupem i výrobkům pro kulturu a rekreaci. S roční přestávkou se obnovil silný růst poptávky po počítačových i komunikačních zařízeních. Prodejci pohonných hmot stržili o 5,</w:t>
            </w:r>
            <w:r w:rsidR="00A67641" w:rsidRPr="00510428">
              <w:rPr>
                <w:spacing w:val="-4"/>
              </w:rPr>
              <w:t>8</w:t>
            </w:r>
            <w:r w:rsidRPr="00510428">
              <w:rPr>
                <w:spacing w:val="-4"/>
              </w:rPr>
              <w:t xml:space="preserve"> % více. Tržby v motoristickém segmentu obchodu zvolnily na </w:t>
            </w:r>
            <w:r w:rsidR="00A67641" w:rsidRPr="00510428">
              <w:rPr>
                <w:spacing w:val="-4"/>
              </w:rPr>
              <w:t>rovná 3</w:t>
            </w:r>
            <w:r w:rsidR="00AF4B98" w:rsidRPr="00510428">
              <w:rPr>
                <w:spacing w:val="-4"/>
              </w:rPr>
              <w:t> </w:t>
            </w:r>
            <w:r w:rsidRPr="00510428">
              <w:rPr>
                <w:spacing w:val="-4"/>
              </w:rPr>
              <w:t>%, po silných letech 2014 až 2016 se projevily náznaky nasycení. To se týkalo vlastního obchodu, u oprav a údržby motorových vozidel byla tempa předchozích let zachována. ČR se v posledních třech letech řadí k zemím s nejrychlejším růstem maloobchodních tržeb v EU</w:t>
            </w:r>
            <w:r w:rsidR="002E31A0">
              <w:rPr>
                <w:rStyle w:val="Znakapoznpodarou"/>
                <w:spacing w:val="-4"/>
              </w:rPr>
              <w:footnoteReference w:id="15"/>
            </w:r>
            <w:r w:rsidRPr="00510428">
              <w:rPr>
                <w:spacing w:val="-4"/>
              </w:rPr>
              <w:t xml:space="preserve">. Vyšší tempo vykázaly loni jen Rumunsko (+11,2 %), </w:t>
            </w:r>
            <w:r w:rsidRPr="00490524">
              <w:rPr>
                <w:spacing w:val="-5"/>
              </w:rPr>
              <w:t>Slovinsko (+</w:t>
            </w:r>
            <w:r w:rsidR="00770FA7" w:rsidRPr="00490524">
              <w:rPr>
                <w:spacing w:val="-5"/>
              </w:rPr>
              <w:t>8</w:t>
            </w:r>
            <w:r w:rsidRPr="00490524">
              <w:rPr>
                <w:spacing w:val="-5"/>
              </w:rPr>
              <w:t>,2 %) a Polsko (+6,4 </w:t>
            </w:r>
            <w:r w:rsidR="00510428" w:rsidRPr="00490524">
              <w:rPr>
                <w:spacing w:val="-5"/>
              </w:rPr>
              <w:t xml:space="preserve">%), Slovensko (+6,1 %), Kypr (+5,9 %). </w:t>
            </w:r>
            <w:r w:rsidRPr="00490524">
              <w:rPr>
                <w:spacing w:val="-5"/>
              </w:rPr>
              <w:t xml:space="preserve">V EU činilo tempo 2,5 %, v Německu </w:t>
            </w:r>
            <w:r w:rsidR="00770FA7" w:rsidRPr="00490524">
              <w:rPr>
                <w:spacing w:val="-5"/>
              </w:rPr>
              <w:t>1,9</w:t>
            </w:r>
            <w:r w:rsidRPr="00490524">
              <w:rPr>
                <w:spacing w:val="-5"/>
              </w:rPr>
              <w:t xml:space="preserve"> %</w:t>
            </w:r>
            <w:r w:rsidR="00770FA7" w:rsidRPr="00490524">
              <w:rPr>
                <w:spacing w:val="-5"/>
              </w:rPr>
              <w:t>, ve Španěl</w:t>
            </w:r>
            <w:r w:rsidR="00510428" w:rsidRPr="00490524">
              <w:rPr>
                <w:spacing w:val="-5"/>
              </w:rPr>
              <w:t>sku 0,8 %,</w:t>
            </w:r>
            <w:r w:rsidR="0073402C" w:rsidRPr="00490524">
              <w:rPr>
                <w:spacing w:val="-5"/>
              </w:rPr>
              <w:t xml:space="preserve"> </w:t>
            </w:r>
            <w:r w:rsidR="00510428" w:rsidRPr="00490524">
              <w:rPr>
                <w:spacing w:val="-5"/>
              </w:rPr>
              <w:t>v </w:t>
            </w:r>
            <w:r w:rsidR="0073402C" w:rsidRPr="00490524">
              <w:rPr>
                <w:spacing w:val="-5"/>
              </w:rPr>
              <w:t>I</w:t>
            </w:r>
            <w:r w:rsidR="00510428" w:rsidRPr="00490524">
              <w:rPr>
                <w:spacing w:val="-5"/>
              </w:rPr>
              <w:t>tálii a</w:t>
            </w:r>
            <w:r w:rsidRPr="00490524">
              <w:rPr>
                <w:spacing w:val="-5"/>
              </w:rPr>
              <w:t xml:space="preserve"> Belgii </w:t>
            </w:r>
            <w:r w:rsidR="00510428" w:rsidRPr="00490524">
              <w:rPr>
                <w:spacing w:val="-5"/>
              </w:rPr>
              <w:t>tržby mírně klesly.</w:t>
            </w:r>
          </w:p>
        </w:tc>
      </w:tr>
    </w:tbl>
    <w:p w:rsidR="00813CB4" w:rsidRPr="00654093" w:rsidRDefault="00813CB4" w:rsidP="00492991">
      <w:pPr>
        <w:pStyle w:val="Textpoznpodarou"/>
        <w:jc w:val="both"/>
        <w:rPr>
          <w:sz w:val="2"/>
          <w:szCs w:val="2"/>
        </w:rPr>
      </w:pPr>
    </w:p>
    <w:sectPr w:rsidR="00813CB4" w:rsidRPr="00654093" w:rsidSect="006537F4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4" w:right="1134" w:bottom="1418" w:left="1134" w:header="680" w:footer="680" w:gutter="0"/>
      <w:pgNumType w:start="9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4FCE60" w15:done="0"/>
  <w15:commentEx w15:paraId="30BEC4BA" w15:done="0"/>
  <w15:commentEx w15:paraId="5AD8A77A" w15:done="0"/>
  <w15:commentEx w15:paraId="725DECB0" w15:done="0"/>
  <w15:commentEx w15:paraId="4BCA0381" w15:done="0"/>
  <w15:commentEx w15:paraId="7BB55DD9" w15:done="0"/>
  <w15:commentEx w15:paraId="1846474D" w15:done="0"/>
  <w15:commentEx w15:paraId="1FF54E19" w15:done="0"/>
  <w15:commentEx w15:paraId="20C1CD95" w15:done="0"/>
  <w15:commentEx w15:paraId="40D38D09" w15:done="0"/>
  <w15:commentEx w15:paraId="6D53A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FCE60" w16cid:durableId="1E5515BA"/>
  <w16cid:commentId w16cid:paraId="30BEC4BA" w16cid:durableId="1E551738"/>
  <w16cid:commentId w16cid:paraId="5AD8A77A" w16cid:durableId="1E551C84"/>
  <w16cid:commentId w16cid:paraId="725DECB0" w16cid:durableId="1E551DB9"/>
  <w16cid:commentId w16cid:paraId="4BCA0381" w16cid:durableId="1E550EE3"/>
  <w16cid:commentId w16cid:paraId="7BB55DD9" w16cid:durableId="1E553A5B"/>
  <w16cid:commentId w16cid:paraId="1846474D" w16cid:durableId="1E554F46"/>
  <w16cid:commentId w16cid:paraId="1FF54E19" w16cid:durableId="1E550EE4"/>
  <w16cid:commentId w16cid:paraId="20C1CD95" w16cid:durableId="1E550EE5"/>
  <w16cid:commentId w16cid:paraId="40D38D09" w16cid:durableId="1E5644B5"/>
  <w16cid:commentId w16cid:paraId="6D53ABCB" w16cid:durableId="1E5687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BC" w:rsidRDefault="00C17DBC" w:rsidP="00E71A58">
      <w:r>
        <w:separator/>
      </w:r>
    </w:p>
  </w:endnote>
  <w:endnote w:type="continuationSeparator" w:id="0">
    <w:p w:rsidR="00C17DBC" w:rsidRDefault="00C17DB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71D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371D7" w:rsidRPr="005A21E0">
      <w:rPr>
        <w:rFonts w:ascii="Arial" w:hAnsi="Arial" w:cs="Arial"/>
        <w:sz w:val="16"/>
        <w:szCs w:val="16"/>
      </w:rPr>
      <w:fldChar w:fldCharType="separate"/>
    </w:r>
    <w:r w:rsidR="009C3105">
      <w:rPr>
        <w:rFonts w:ascii="Arial" w:hAnsi="Arial" w:cs="Arial"/>
        <w:noProof/>
        <w:sz w:val="16"/>
        <w:szCs w:val="16"/>
      </w:rPr>
      <w:t>10</w:t>
    </w:r>
    <w:r w:rsidR="009371D7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22795" w:rsidRPr="00223E00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rPr>
        <w:rFonts w:ascii="Arial" w:hAnsi="Arial" w:cs="Arial"/>
        <w:sz w:val="16"/>
        <w:szCs w:val="16"/>
      </w:rPr>
      <w:tab/>
    </w:r>
    <w:r w:rsidR="009371D7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9371D7" w:rsidRPr="00223E00">
      <w:rPr>
        <w:rFonts w:ascii="Arial" w:hAnsi="Arial" w:cs="Arial"/>
        <w:sz w:val="16"/>
        <w:szCs w:val="16"/>
      </w:rPr>
      <w:fldChar w:fldCharType="separate"/>
    </w:r>
    <w:r w:rsidR="009C3105">
      <w:rPr>
        <w:rFonts w:ascii="Arial" w:hAnsi="Arial" w:cs="Arial"/>
        <w:noProof/>
        <w:sz w:val="16"/>
        <w:szCs w:val="16"/>
      </w:rPr>
      <w:t>9</w:t>
    </w:r>
    <w:r w:rsidR="009371D7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BC" w:rsidRDefault="00C17DBC" w:rsidP="00E71A58">
      <w:r>
        <w:separator/>
      </w:r>
    </w:p>
  </w:footnote>
  <w:footnote w:type="continuationSeparator" w:id="0">
    <w:p w:rsidR="00C17DBC" w:rsidRDefault="00C17DBC" w:rsidP="00E71A58">
      <w:r>
        <w:continuationSeparator/>
      </w:r>
    </w:p>
  </w:footnote>
  <w:footnote w:id="1">
    <w:p w:rsidR="00522795" w:rsidRPr="00670182" w:rsidRDefault="00522795" w:rsidP="007B0920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67018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670182">
        <w:rPr>
          <w:color w:val="0D0D0D" w:themeColor="text1" w:themeTint="F2"/>
          <w:spacing w:val="-2"/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2">
    <w:p w:rsidR="00522795" w:rsidRPr="00275F5E" w:rsidRDefault="00522795" w:rsidP="007B0920">
      <w:pPr>
        <w:pStyle w:val="Textpoznpodarou"/>
        <w:rPr>
          <w:sz w:val="16"/>
          <w:szCs w:val="16"/>
        </w:rPr>
      </w:pPr>
      <w:r w:rsidRPr="00275F5E">
        <w:rPr>
          <w:rStyle w:val="Znakapoznpodarou"/>
          <w:sz w:val="16"/>
          <w:szCs w:val="16"/>
        </w:rPr>
        <w:footnoteRef/>
      </w:r>
      <w:r w:rsidRPr="00275F5E">
        <w:rPr>
          <w:sz w:val="16"/>
          <w:szCs w:val="16"/>
        </w:rPr>
        <w:t xml:space="preserve"> Zahrnuje veřejnou správu a obranu, vzdělávání, zdravotní a sociální péč</w:t>
      </w:r>
      <w:r>
        <w:rPr>
          <w:sz w:val="16"/>
          <w:szCs w:val="16"/>
        </w:rPr>
        <w:t>i a vytváří téměř čtvrtinu HPH celého sektoru služeb.</w:t>
      </w:r>
    </w:p>
  </w:footnote>
  <w:footnote w:id="3">
    <w:p w:rsidR="00522795" w:rsidRPr="00670182" w:rsidRDefault="00522795" w:rsidP="007B0920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67018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670182">
        <w:rPr>
          <w:color w:val="0D0D0D" w:themeColor="text1" w:themeTint="F2"/>
          <w:spacing w:val="-2"/>
          <w:sz w:val="16"/>
          <w:szCs w:val="16"/>
        </w:rPr>
        <w:t xml:space="preserve"> Zahrnutá odvětví: Těžba a dobývání, Zpracovatelský průmysl, Energetika. Všechna meziroční tempa produkce (na úrovni odvětvových sekcí i oddílů) jsou očištěna o kalendářní vlivy.</w:t>
      </w:r>
      <w:r>
        <w:rPr>
          <w:color w:val="0D0D0D" w:themeColor="text1" w:themeTint="F2"/>
          <w:spacing w:val="-2"/>
          <w:sz w:val="16"/>
          <w:szCs w:val="16"/>
        </w:rPr>
        <w:t xml:space="preserve"> Bez očištění činil loni meziroční růst </w:t>
      </w:r>
      <w:r w:rsidR="009C3105">
        <w:rPr>
          <w:color w:val="0D0D0D" w:themeColor="text1" w:themeTint="F2"/>
          <w:spacing w:val="-2"/>
          <w:sz w:val="16"/>
          <w:szCs w:val="16"/>
        </w:rPr>
        <w:t xml:space="preserve">v průmyslu </w:t>
      </w:r>
      <w:r>
        <w:rPr>
          <w:color w:val="0D0D0D" w:themeColor="text1" w:themeTint="F2"/>
          <w:spacing w:val="-2"/>
          <w:sz w:val="16"/>
          <w:szCs w:val="16"/>
        </w:rPr>
        <w:t>6,5 % (bylo o dva kalendářní dny méně).</w:t>
      </w:r>
    </w:p>
  </w:footnote>
  <w:footnote w:id="4">
    <w:p w:rsidR="00522795" w:rsidRPr="009D2FC8" w:rsidRDefault="00522795" w:rsidP="007B0920">
      <w:pPr>
        <w:pStyle w:val="Textpoznpodarou"/>
        <w:jc w:val="both"/>
        <w:rPr>
          <w:spacing w:val="-4"/>
          <w:sz w:val="16"/>
          <w:szCs w:val="16"/>
        </w:rPr>
      </w:pPr>
      <w:r w:rsidRPr="009D2FC8">
        <w:rPr>
          <w:rStyle w:val="Znakapoznpodarou"/>
          <w:spacing w:val="-4"/>
          <w:sz w:val="16"/>
          <w:szCs w:val="16"/>
        </w:rPr>
        <w:footnoteRef/>
      </w:r>
      <w:r w:rsidRPr="009D2FC8">
        <w:rPr>
          <w:spacing w:val="-4"/>
          <w:sz w:val="16"/>
          <w:szCs w:val="16"/>
        </w:rPr>
        <w:t xml:space="preserve"> V mezičtvrtletním vyjádření průmyslová produkce po silných r</w:t>
      </w:r>
      <w:r>
        <w:rPr>
          <w:spacing w:val="-4"/>
          <w:sz w:val="16"/>
          <w:szCs w:val="16"/>
        </w:rPr>
        <w:t>ůstech v první polovině roku (+2,9 %, +2</w:t>
      </w:r>
      <w:r w:rsidRPr="009D2FC8">
        <w:rPr>
          <w:spacing w:val="-4"/>
          <w:sz w:val="16"/>
          <w:szCs w:val="16"/>
        </w:rPr>
        <w:t xml:space="preserve">,8 %) ve 3. čtvrtletí dočasně </w:t>
      </w:r>
      <w:proofErr w:type="gramStart"/>
      <w:r w:rsidRPr="009D2FC8">
        <w:rPr>
          <w:spacing w:val="-4"/>
          <w:sz w:val="16"/>
          <w:szCs w:val="16"/>
        </w:rPr>
        <w:t xml:space="preserve">zpomalila </w:t>
      </w:r>
      <w:r>
        <w:rPr>
          <w:spacing w:val="-4"/>
          <w:sz w:val="16"/>
          <w:szCs w:val="16"/>
        </w:rPr>
        <w:t xml:space="preserve">  </w:t>
      </w:r>
      <w:r w:rsidRPr="009D2FC8">
        <w:rPr>
          <w:spacing w:val="-4"/>
          <w:sz w:val="16"/>
          <w:szCs w:val="16"/>
        </w:rPr>
        <w:t>(</w:t>
      </w:r>
      <w:r>
        <w:rPr>
          <w:spacing w:val="-4"/>
          <w:sz w:val="16"/>
          <w:szCs w:val="16"/>
        </w:rPr>
        <w:t>0,0</w:t>
      </w:r>
      <w:proofErr w:type="gramEnd"/>
      <w:r>
        <w:rPr>
          <w:spacing w:val="-4"/>
          <w:sz w:val="16"/>
          <w:szCs w:val="16"/>
        </w:rPr>
        <w:t xml:space="preserve"> %). Ve 4. čtvrtletí se však růst obnovil (+1,9 %). </w:t>
      </w:r>
    </w:p>
  </w:footnote>
  <w:footnote w:id="5">
    <w:p w:rsidR="00522795" w:rsidRPr="006E5A49" w:rsidRDefault="00522795" w:rsidP="007B0920">
      <w:pPr>
        <w:pStyle w:val="Textpoznpodarou"/>
        <w:rPr>
          <w:sz w:val="16"/>
          <w:szCs w:val="16"/>
        </w:rPr>
      </w:pPr>
      <w:r w:rsidRPr="006E5A49">
        <w:rPr>
          <w:rStyle w:val="Znakapoznpodarou"/>
          <w:sz w:val="16"/>
          <w:szCs w:val="16"/>
        </w:rPr>
        <w:footnoteRef/>
      </w:r>
      <w:r w:rsidRPr="006E5A49">
        <w:rPr>
          <w:sz w:val="16"/>
          <w:szCs w:val="16"/>
        </w:rPr>
        <w:t xml:space="preserve"> Jde o výrobu elektrických zařízení (s</w:t>
      </w:r>
      <w:r>
        <w:rPr>
          <w:sz w:val="16"/>
          <w:szCs w:val="16"/>
        </w:rPr>
        <w:t xml:space="preserve"> meziročním růstem produkce o 9,1</w:t>
      </w:r>
      <w:r w:rsidRPr="006E5A49">
        <w:rPr>
          <w:sz w:val="16"/>
          <w:szCs w:val="16"/>
        </w:rPr>
        <w:t xml:space="preserve"> %) a výrobu pryžových a plastových výrobků (+8,</w:t>
      </w:r>
      <w:r>
        <w:rPr>
          <w:sz w:val="16"/>
          <w:szCs w:val="16"/>
        </w:rPr>
        <w:t>3</w:t>
      </w:r>
      <w:r w:rsidRPr="006E5A49">
        <w:rPr>
          <w:sz w:val="16"/>
          <w:szCs w:val="16"/>
        </w:rPr>
        <w:t xml:space="preserve"> %).</w:t>
      </w:r>
    </w:p>
  </w:footnote>
  <w:footnote w:id="6">
    <w:p w:rsidR="00522795" w:rsidRPr="00EC671E" w:rsidRDefault="00522795" w:rsidP="007B0920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6E5A49">
        <w:rPr>
          <w:rStyle w:val="Znakapoznpodarou"/>
          <w:color w:val="0D0D0D" w:themeColor="text1" w:themeTint="F2"/>
          <w:sz w:val="16"/>
          <w:szCs w:val="16"/>
        </w:rPr>
        <w:footnoteRef/>
      </w:r>
      <w:r w:rsidRPr="006E5A49">
        <w:rPr>
          <w:color w:val="0D0D0D" w:themeColor="text1" w:themeTint="F2"/>
          <w:sz w:val="16"/>
          <w:szCs w:val="16"/>
        </w:rPr>
        <w:t xml:space="preserve"> Podle údajů Sdružení automobilového</w:t>
      </w:r>
      <w:r>
        <w:rPr>
          <w:color w:val="0D0D0D" w:themeColor="text1" w:themeTint="F2"/>
          <w:sz w:val="16"/>
          <w:szCs w:val="16"/>
        </w:rPr>
        <w:t xml:space="preserve"> průmyslu bylo v roce 2017 v Česku vyrobeno 1,41 mil.</w:t>
      </w:r>
      <w:r w:rsidRPr="00EC671E">
        <w:rPr>
          <w:color w:val="0D0D0D" w:themeColor="text1" w:themeTint="F2"/>
          <w:sz w:val="16"/>
          <w:szCs w:val="16"/>
        </w:rPr>
        <w:t xml:space="preserve"> oso</w:t>
      </w:r>
      <w:r>
        <w:rPr>
          <w:color w:val="0D0D0D" w:themeColor="text1" w:themeTint="F2"/>
          <w:sz w:val="16"/>
          <w:szCs w:val="16"/>
        </w:rPr>
        <w:t>bních automobilů, meziročně o 5,2 % více. Vyšší produkci zaznamenali i výrobci</w:t>
      </w:r>
      <w:r w:rsidRPr="00EC671E">
        <w:rPr>
          <w:color w:val="0D0D0D" w:themeColor="text1" w:themeTint="F2"/>
          <w:sz w:val="16"/>
          <w:szCs w:val="16"/>
        </w:rPr>
        <w:t xml:space="preserve"> ostatních druhů motorových vozidel.</w:t>
      </w:r>
    </w:p>
  </w:footnote>
  <w:footnote w:id="7">
    <w:p w:rsidR="00522795" w:rsidRPr="006D2A22" w:rsidRDefault="00522795" w:rsidP="007B0920">
      <w:pPr>
        <w:pStyle w:val="Textpoznpodarou"/>
        <w:rPr>
          <w:sz w:val="16"/>
          <w:szCs w:val="16"/>
        </w:rPr>
      </w:pPr>
      <w:r w:rsidRPr="006D2A22">
        <w:rPr>
          <w:rStyle w:val="Znakapoznpodarou"/>
          <w:sz w:val="16"/>
          <w:szCs w:val="16"/>
        </w:rPr>
        <w:footnoteRef/>
      </w:r>
      <w:r w:rsidRPr="006D2A22">
        <w:rPr>
          <w:sz w:val="16"/>
          <w:szCs w:val="16"/>
        </w:rPr>
        <w:t xml:space="preserve"> Produkce v chemickém průmyslu překonala úroveň před haváriemi (2. čtvrtletí 2015) již na počátku roku 2017.</w:t>
      </w:r>
    </w:p>
  </w:footnote>
  <w:footnote w:id="8">
    <w:p w:rsidR="00522795" w:rsidRPr="009C4BF8" w:rsidRDefault="00522795" w:rsidP="007B0920">
      <w:pPr>
        <w:pStyle w:val="Textpoznpodarou"/>
        <w:jc w:val="both"/>
        <w:rPr>
          <w:sz w:val="16"/>
          <w:szCs w:val="16"/>
        </w:rPr>
      </w:pPr>
      <w:r w:rsidRPr="009C4BF8">
        <w:rPr>
          <w:rStyle w:val="Znakapoznpodarou"/>
          <w:sz w:val="16"/>
          <w:szCs w:val="16"/>
        </w:rPr>
        <w:footnoteRef/>
      </w:r>
      <w:r w:rsidRPr="009C4BF8">
        <w:rPr>
          <w:sz w:val="16"/>
          <w:szCs w:val="16"/>
        </w:rPr>
        <w:t xml:space="preserve"> Podílel se na tom především vysoký </w:t>
      </w:r>
      <w:r>
        <w:rPr>
          <w:sz w:val="16"/>
          <w:szCs w:val="16"/>
        </w:rPr>
        <w:t xml:space="preserve">loňský </w:t>
      </w:r>
      <w:r w:rsidRPr="009C4BF8">
        <w:rPr>
          <w:sz w:val="16"/>
          <w:szCs w:val="16"/>
        </w:rPr>
        <w:t>růst výroby elektřiny</w:t>
      </w:r>
      <w:r>
        <w:rPr>
          <w:sz w:val="16"/>
          <w:szCs w:val="16"/>
        </w:rPr>
        <w:t xml:space="preserve"> (+4,5 %, na 87 </w:t>
      </w:r>
      <w:proofErr w:type="spellStart"/>
      <w:r>
        <w:rPr>
          <w:sz w:val="16"/>
          <w:szCs w:val="16"/>
        </w:rPr>
        <w:t>TWh</w:t>
      </w:r>
      <w:proofErr w:type="spellEnd"/>
      <w:r>
        <w:rPr>
          <w:sz w:val="16"/>
          <w:szCs w:val="16"/>
        </w:rPr>
        <w:t>),</w:t>
      </w:r>
      <w:r w:rsidRPr="009C4BF8">
        <w:rPr>
          <w:sz w:val="16"/>
          <w:szCs w:val="16"/>
        </w:rPr>
        <w:t xml:space="preserve"> z t</w:t>
      </w:r>
      <w:r>
        <w:rPr>
          <w:sz w:val="16"/>
          <w:szCs w:val="16"/>
        </w:rPr>
        <w:t>oho v jaderných elektrárnách o 17,6 </w:t>
      </w:r>
      <w:r w:rsidRPr="009C4BF8">
        <w:rPr>
          <w:sz w:val="16"/>
          <w:szCs w:val="16"/>
        </w:rPr>
        <w:t>%.</w:t>
      </w:r>
    </w:p>
  </w:footnote>
  <w:footnote w:id="9">
    <w:p w:rsidR="00522795" w:rsidRPr="00F75025" w:rsidRDefault="00522795" w:rsidP="007B0920">
      <w:pPr>
        <w:pStyle w:val="Textpoznpodarou"/>
        <w:rPr>
          <w:sz w:val="16"/>
          <w:szCs w:val="16"/>
        </w:rPr>
      </w:pPr>
      <w:r w:rsidRPr="00F75025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Loňský pokles byl však nejmělčí za posledních šest let. </w:t>
      </w:r>
    </w:p>
  </w:footnote>
  <w:footnote w:id="10">
    <w:p w:rsidR="00522795" w:rsidRDefault="00522795" w:rsidP="007B0920">
      <w:pPr>
        <w:pStyle w:val="Textpoznpodarou"/>
        <w:rPr>
          <w:spacing w:val="-2"/>
          <w:sz w:val="16"/>
          <w:szCs w:val="16"/>
        </w:rPr>
      </w:pPr>
      <w:r w:rsidRPr="004742E1">
        <w:rPr>
          <w:rStyle w:val="Znakapoznpodarou"/>
          <w:spacing w:val="-2"/>
          <w:sz w:val="16"/>
          <w:szCs w:val="16"/>
        </w:rPr>
        <w:footnoteRef/>
      </w:r>
      <w:r w:rsidRPr="004742E1">
        <w:rPr>
          <w:spacing w:val="-2"/>
          <w:sz w:val="16"/>
          <w:szCs w:val="16"/>
        </w:rPr>
        <w:t xml:space="preserve"> Za úrovní produkce roku 2007 loni zastávalo 10 z 24 zpracovatelských odvětví. Z váhově významnější</w:t>
      </w:r>
      <w:r>
        <w:rPr>
          <w:spacing w:val="-2"/>
          <w:sz w:val="16"/>
          <w:szCs w:val="16"/>
        </w:rPr>
        <w:t>ch oborů šlo o potravinářství</w:t>
      </w:r>
    </w:p>
    <w:p w:rsidR="00522795" w:rsidRPr="004742E1" w:rsidRDefault="00522795" w:rsidP="007B0920">
      <w:pPr>
        <w:pStyle w:val="Textpoznpodarou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(-</w:t>
      </w:r>
      <w:r w:rsidRPr="004742E1">
        <w:rPr>
          <w:spacing w:val="-2"/>
          <w:sz w:val="16"/>
          <w:szCs w:val="16"/>
        </w:rPr>
        <w:t>5</w:t>
      </w:r>
      <w:r>
        <w:rPr>
          <w:spacing w:val="-2"/>
          <w:sz w:val="16"/>
          <w:szCs w:val="16"/>
        </w:rPr>
        <w:t> </w:t>
      </w:r>
      <w:r w:rsidRPr="004742E1">
        <w:rPr>
          <w:spacing w:val="-2"/>
          <w:sz w:val="16"/>
          <w:szCs w:val="16"/>
        </w:rPr>
        <w:t>%), hutnictví a slévárenství (</w:t>
      </w:r>
      <w:r>
        <w:rPr>
          <w:spacing w:val="-2"/>
          <w:sz w:val="16"/>
          <w:szCs w:val="16"/>
        </w:rPr>
        <w:t>-12 </w:t>
      </w:r>
      <w:r w:rsidRPr="004742E1">
        <w:rPr>
          <w:spacing w:val="-2"/>
          <w:sz w:val="16"/>
          <w:szCs w:val="16"/>
        </w:rPr>
        <w:t>%) a výrobu ostatních nekovových minerálních výrobků (</w:t>
      </w:r>
      <w:r>
        <w:rPr>
          <w:spacing w:val="-2"/>
          <w:sz w:val="16"/>
          <w:szCs w:val="16"/>
        </w:rPr>
        <w:t>-13 </w:t>
      </w:r>
      <w:r w:rsidRPr="004742E1">
        <w:rPr>
          <w:spacing w:val="-2"/>
          <w:sz w:val="16"/>
          <w:szCs w:val="16"/>
        </w:rPr>
        <w:t>%).</w:t>
      </w:r>
    </w:p>
  </w:footnote>
  <w:footnote w:id="11">
    <w:p w:rsidR="00522795" w:rsidRPr="00D85B50" w:rsidRDefault="00522795" w:rsidP="007B0920">
      <w:pPr>
        <w:pStyle w:val="Textpoznpodarou"/>
        <w:jc w:val="both"/>
        <w:rPr>
          <w:spacing w:val="-4"/>
          <w:sz w:val="16"/>
          <w:szCs w:val="16"/>
        </w:rPr>
      </w:pPr>
      <w:r w:rsidRPr="00D85B50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D85B50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Všechny m</w:t>
      </w:r>
      <w:r w:rsidRPr="00D85B50">
        <w:rPr>
          <w:color w:val="0D0D0D" w:themeColor="text1" w:themeTint="F2"/>
          <w:spacing w:val="-4"/>
          <w:sz w:val="16"/>
          <w:szCs w:val="16"/>
        </w:rPr>
        <w:t>eziroční údaje o s</w:t>
      </w:r>
      <w:r>
        <w:rPr>
          <w:color w:val="0D0D0D" w:themeColor="text1" w:themeTint="F2"/>
          <w:spacing w:val="-4"/>
          <w:sz w:val="16"/>
          <w:szCs w:val="16"/>
        </w:rPr>
        <w:t>tavební produkci jsou očištěny</w:t>
      </w:r>
      <w:r w:rsidRPr="00D85B50">
        <w:rPr>
          <w:color w:val="0D0D0D" w:themeColor="text1" w:themeTint="F2"/>
          <w:spacing w:val="-4"/>
          <w:sz w:val="16"/>
          <w:szCs w:val="16"/>
        </w:rPr>
        <w:t xml:space="preserve"> o kalendářní vlivy</w:t>
      </w:r>
      <w:r>
        <w:rPr>
          <w:color w:val="0D0D0D" w:themeColor="text1" w:themeTint="F2"/>
          <w:spacing w:val="-4"/>
          <w:sz w:val="16"/>
          <w:szCs w:val="16"/>
        </w:rPr>
        <w:t>.</w:t>
      </w:r>
    </w:p>
  </w:footnote>
  <w:footnote w:id="12">
    <w:p w:rsidR="00522795" w:rsidRPr="00DE38E6" w:rsidRDefault="00522795" w:rsidP="007B0920">
      <w:pPr>
        <w:spacing w:line="240" w:lineRule="auto"/>
        <w:jc w:val="both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 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 kal</w:t>
      </w:r>
      <w:r>
        <w:rPr>
          <w:color w:val="0D0D0D" w:themeColor="text1" w:themeTint="F2"/>
          <w:sz w:val="16"/>
          <w:szCs w:val="16"/>
        </w:rPr>
        <w:t>endářní vlivy, mezičtvrtletní jsou očištěny o 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13">
    <w:p w:rsidR="00522795" w:rsidRPr="00B7677D" w:rsidRDefault="00522795" w:rsidP="00846891">
      <w:pPr>
        <w:pStyle w:val="Textpoznpodarou"/>
        <w:rPr>
          <w:sz w:val="16"/>
          <w:szCs w:val="16"/>
        </w:rPr>
      </w:pPr>
      <w:r w:rsidRPr="00B7677D">
        <w:rPr>
          <w:rStyle w:val="Znakapoznpodarou"/>
          <w:sz w:val="16"/>
          <w:szCs w:val="16"/>
        </w:rPr>
        <w:footnoteRef/>
      </w:r>
      <w:r w:rsidRPr="00B7677D">
        <w:rPr>
          <w:sz w:val="16"/>
          <w:szCs w:val="16"/>
        </w:rPr>
        <w:t xml:space="preserve"> V</w:t>
      </w:r>
      <w:r>
        <w:rPr>
          <w:sz w:val="16"/>
          <w:szCs w:val="16"/>
        </w:rPr>
        <w:t>e v</w:t>
      </w:r>
      <w:r w:rsidRPr="00B7677D">
        <w:rPr>
          <w:sz w:val="16"/>
          <w:szCs w:val="16"/>
        </w:rPr>
        <w:t>ysok</w:t>
      </w:r>
      <w:r>
        <w:rPr>
          <w:sz w:val="16"/>
          <w:szCs w:val="16"/>
        </w:rPr>
        <w:t>ých</w:t>
      </w:r>
      <w:r w:rsidRPr="00B7677D">
        <w:rPr>
          <w:sz w:val="16"/>
          <w:szCs w:val="16"/>
        </w:rPr>
        <w:t xml:space="preserve"> tempech tržeb v roce 2017</w:t>
      </w:r>
      <w:r>
        <w:rPr>
          <w:sz w:val="16"/>
          <w:szCs w:val="16"/>
        </w:rPr>
        <w:t xml:space="preserve"> se mohl projevit i vliv přesunu některých aktivit z šedé ekonomiky v souvislosti s opatřeními zavedenými v předchozím roce na straně výběru daně.</w:t>
      </w:r>
      <w:r w:rsidRPr="00B7677D">
        <w:rPr>
          <w:sz w:val="16"/>
          <w:szCs w:val="16"/>
        </w:rPr>
        <w:t xml:space="preserve"> </w:t>
      </w:r>
    </w:p>
  </w:footnote>
  <w:footnote w:id="14">
    <w:p w:rsidR="00522795" w:rsidRPr="00544A98" w:rsidRDefault="00522795" w:rsidP="007B0920">
      <w:pPr>
        <w:pStyle w:val="Textpoznpodarou"/>
        <w:rPr>
          <w:sz w:val="16"/>
          <w:szCs w:val="16"/>
        </w:rPr>
      </w:pPr>
      <w:r w:rsidRPr="00544A98">
        <w:rPr>
          <w:rStyle w:val="Znakapoznpodarou"/>
          <w:sz w:val="16"/>
          <w:szCs w:val="16"/>
        </w:rPr>
        <w:footnoteRef/>
      </w:r>
      <w:r w:rsidRPr="00544A98">
        <w:rPr>
          <w:sz w:val="16"/>
          <w:szCs w:val="16"/>
        </w:rPr>
        <w:t xml:space="preserve"> </w:t>
      </w:r>
      <w:r>
        <w:rPr>
          <w:sz w:val="16"/>
          <w:szCs w:val="16"/>
        </w:rPr>
        <w:t>Data nezahrnují motoristický segment</w:t>
      </w:r>
      <w:r w:rsidRPr="00544A98">
        <w:rPr>
          <w:sz w:val="16"/>
          <w:szCs w:val="16"/>
        </w:rPr>
        <w:t>. Údaje o maloobchodu jsou očištěny o kalendářní vlivy ve stálých cenách.</w:t>
      </w:r>
      <w:r>
        <w:rPr>
          <w:sz w:val="16"/>
          <w:szCs w:val="16"/>
        </w:rPr>
        <w:t xml:space="preserve">              </w:t>
      </w:r>
    </w:p>
  </w:footnote>
  <w:footnote w:id="15">
    <w:p w:rsidR="00522795" w:rsidRPr="002E31A0" w:rsidRDefault="00522795">
      <w:pPr>
        <w:pStyle w:val="Textpoznpodarou"/>
        <w:rPr>
          <w:color w:val="0D0D0D" w:themeColor="text1" w:themeTint="F2"/>
          <w:sz w:val="16"/>
          <w:szCs w:val="16"/>
        </w:rPr>
      </w:pPr>
      <w:r w:rsidRPr="002E31A0">
        <w:rPr>
          <w:rStyle w:val="Znakapoznpodarou"/>
          <w:color w:val="0D0D0D" w:themeColor="text1" w:themeTint="F2"/>
          <w:sz w:val="16"/>
          <w:szCs w:val="16"/>
        </w:rPr>
        <w:footnoteRef/>
      </w:r>
      <w:r w:rsidRPr="002E31A0">
        <w:rPr>
          <w:color w:val="0D0D0D" w:themeColor="text1" w:themeTint="F2"/>
          <w:sz w:val="16"/>
          <w:szCs w:val="16"/>
        </w:rPr>
        <w:t xml:space="preserve"> </w:t>
      </w:r>
      <w:r w:rsidRPr="002E31A0">
        <w:rPr>
          <w:rFonts w:cs="Arial"/>
          <w:color w:val="0D0D0D" w:themeColor="text1" w:themeTint="F2"/>
          <w:sz w:val="16"/>
          <w:szCs w:val="16"/>
        </w:rPr>
        <w:t>Mezinárodní srovnání vychází z údajů zveřejněných 20. 3. 2018.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C00831" w:rsidRDefault="0052279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30768C" w:rsidRDefault="00522795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48046E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93F47"/>
    <w:multiLevelType w:val="hybridMultilevel"/>
    <w:tmpl w:val="A462D3A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5"/>
  </w:num>
  <w:num w:numId="8">
    <w:abstractNumId w:val="11"/>
  </w:num>
  <w:num w:numId="9">
    <w:abstractNumId w:val="21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20"/>
  </w:num>
  <w:num w:numId="16">
    <w:abstractNumId w:val="17"/>
  </w:num>
  <w:num w:numId="17">
    <w:abstractNumId w:val="7"/>
  </w:num>
  <w:num w:numId="18">
    <w:abstractNumId w:val="23"/>
  </w:num>
  <w:num w:numId="19">
    <w:abstractNumId w:val="10"/>
  </w:num>
  <w:num w:numId="20">
    <w:abstractNumId w:val="1"/>
  </w:num>
  <w:num w:numId="21">
    <w:abstractNumId w:val="12"/>
  </w:num>
  <w:num w:numId="22">
    <w:abstractNumId w:val="15"/>
  </w:num>
  <w:num w:numId="23">
    <w:abstractNumId w:val="3"/>
  </w:num>
  <w:num w:numId="24">
    <w:abstractNumId w:val="6"/>
  </w:num>
  <w:num w:numId="25">
    <w:abstractNumId w:val="1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4FF9"/>
    <w:rsid w:val="00007498"/>
    <w:rsid w:val="0000767A"/>
    <w:rsid w:val="000101F5"/>
    <w:rsid w:val="000104B9"/>
    <w:rsid w:val="00010702"/>
    <w:rsid w:val="00010770"/>
    <w:rsid w:val="00010982"/>
    <w:rsid w:val="00010F0B"/>
    <w:rsid w:val="00011191"/>
    <w:rsid w:val="0001159B"/>
    <w:rsid w:val="000117CA"/>
    <w:rsid w:val="00012986"/>
    <w:rsid w:val="000129CF"/>
    <w:rsid w:val="00014028"/>
    <w:rsid w:val="00014690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D3F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4913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6B7B"/>
    <w:rsid w:val="000673F8"/>
    <w:rsid w:val="00070314"/>
    <w:rsid w:val="000706A4"/>
    <w:rsid w:val="00070A0C"/>
    <w:rsid w:val="00071F80"/>
    <w:rsid w:val="00072118"/>
    <w:rsid w:val="00073173"/>
    <w:rsid w:val="0007324C"/>
    <w:rsid w:val="00073655"/>
    <w:rsid w:val="000779AC"/>
    <w:rsid w:val="000807ED"/>
    <w:rsid w:val="00080A41"/>
    <w:rsid w:val="00080AA8"/>
    <w:rsid w:val="00081851"/>
    <w:rsid w:val="00083803"/>
    <w:rsid w:val="00083D7F"/>
    <w:rsid w:val="00083FE5"/>
    <w:rsid w:val="00084393"/>
    <w:rsid w:val="00084771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6F68"/>
    <w:rsid w:val="000B1CFE"/>
    <w:rsid w:val="000B210A"/>
    <w:rsid w:val="000B2324"/>
    <w:rsid w:val="000B249B"/>
    <w:rsid w:val="000B2729"/>
    <w:rsid w:val="000B2ADE"/>
    <w:rsid w:val="000B3B01"/>
    <w:rsid w:val="000B3C13"/>
    <w:rsid w:val="000B3DB9"/>
    <w:rsid w:val="000B3F02"/>
    <w:rsid w:val="000B48A2"/>
    <w:rsid w:val="000B48E7"/>
    <w:rsid w:val="000B4E9F"/>
    <w:rsid w:val="000B4F41"/>
    <w:rsid w:val="000B7663"/>
    <w:rsid w:val="000B7A90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121"/>
    <w:rsid w:val="000F74B6"/>
    <w:rsid w:val="000F790F"/>
    <w:rsid w:val="000F7E1B"/>
    <w:rsid w:val="00100014"/>
    <w:rsid w:val="0010022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5BDB"/>
    <w:rsid w:val="00116DB9"/>
    <w:rsid w:val="00116F28"/>
    <w:rsid w:val="00117597"/>
    <w:rsid w:val="00117CE8"/>
    <w:rsid w:val="00117F28"/>
    <w:rsid w:val="001201F0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5B2"/>
    <w:rsid w:val="001307BE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08DD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40"/>
    <w:rsid w:val="001500FC"/>
    <w:rsid w:val="00151AC0"/>
    <w:rsid w:val="00151B27"/>
    <w:rsid w:val="00152046"/>
    <w:rsid w:val="001520AF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DCA"/>
    <w:rsid w:val="00160E61"/>
    <w:rsid w:val="00161300"/>
    <w:rsid w:val="00161DB6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2B64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410"/>
    <w:rsid w:val="001814AE"/>
    <w:rsid w:val="00181938"/>
    <w:rsid w:val="00182981"/>
    <w:rsid w:val="00184CF9"/>
    <w:rsid w:val="00184DE8"/>
    <w:rsid w:val="00185010"/>
    <w:rsid w:val="001852EC"/>
    <w:rsid w:val="00186447"/>
    <w:rsid w:val="001874CF"/>
    <w:rsid w:val="00187F91"/>
    <w:rsid w:val="00190214"/>
    <w:rsid w:val="00190D9B"/>
    <w:rsid w:val="0019161A"/>
    <w:rsid w:val="00191BAE"/>
    <w:rsid w:val="00193432"/>
    <w:rsid w:val="0019346C"/>
    <w:rsid w:val="0019431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008E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B1E"/>
    <w:rsid w:val="001C0E0E"/>
    <w:rsid w:val="001C0E66"/>
    <w:rsid w:val="001C0EB9"/>
    <w:rsid w:val="001C1219"/>
    <w:rsid w:val="001C357A"/>
    <w:rsid w:val="001C3657"/>
    <w:rsid w:val="001C3961"/>
    <w:rsid w:val="001C3A37"/>
    <w:rsid w:val="001C4384"/>
    <w:rsid w:val="001C55F5"/>
    <w:rsid w:val="001C65FF"/>
    <w:rsid w:val="001C6747"/>
    <w:rsid w:val="001D12FB"/>
    <w:rsid w:val="001D3787"/>
    <w:rsid w:val="001D47E5"/>
    <w:rsid w:val="001D584C"/>
    <w:rsid w:val="001D5E1B"/>
    <w:rsid w:val="001D66C1"/>
    <w:rsid w:val="001D6EF6"/>
    <w:rsid w:val="001D7C6F"/>
    <w:rsid w:val="001E0024"/>
    <w:rsid w:val="001E0735"/>
    <w:rsid w:val="001E0C65"/>
    <w:rsid w:val="001E23E3"/>
    <w:rsid w:val="001E29AF"/>
    <w:rsid w:val="001E3731"/>
    <w:rsid w:val="001E387A"/>
    <w:rsid w:val="001E3DA4"/>
    <w:rsid w:val="001E5469"/>
    <w:rsid w:val="001E5830"/>
    <w:rsid w:val="001E5F62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37A1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4C1"/>
    <w:rsid w:val="0022272B"/>
    <w:rsid w:val="00222A99"/>
    <w:rsid w:val="00223678"/>
    <w:rsid w:val="002236F7"/>
    <w:rsid w:val="00223E00"/>
    <w:rsid w:val="00224048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2A3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52E5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09C2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95E"/>
    <w:rsid w:val="00265E54"/>
    <w:rsid w:val="00266306"/>
    <w:rsid w:val="002664A1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6A5"/>
    <w:rsid w:val="0027786C"/>
    <w:rsid w:val="00277BF7"/>
    <w:rsid w:val="00281416"/>
    <w:rsid w:val="00282084"/>
    <w:rsid w:val="00283C61"/>
    <w:rsid w:val="00283D6A"/>
    <w:rsid w:val="00284C6F"/>
    <w:rsid w:val="00285CD3"/>
    <w:rsid w:val="0028633E"/>
    <w:rsid w:val="0028686A"/>
    <w:rsid w:val="00286E66"/>
    <w:rsid w:val="002870B7"/>
    <w:rsid w:val="002919B5"/>
    <w:rsid w:val="00292D0B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6F67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323"/>
    <w:rsid w:val="002B7937"/>
    <w:rsid w:val="002C0FF4"/>
    <w:rsid w:val="002C125A"/>
    <w:rsid w:val="002C2668"/>
    <w:rsid w:val="002C43BD"/>
    <w:rsid w:val="002C493D"/>
    <w:rsid w:val="002C5261"/>
    <w:rsid w:val="002C5CB7"/>
    <w:rsid w:val="002C6091"/>
    <w:rsid w:val="002C63C1"/>
    <w:rsid w:val="002C6A6E"/>
    <w:rsid w:val="002D0562"/>
    <w:rsid w:val="002D1B5A"/>
    <w:rsid w:val="002D2500"/>
    <w:rsid w:val="002D338A"/>
    <w:rsid w:val="002D3E4C"/>
    <w:rsid w:val="002D3F00"/>
    <w:rsid w:val="002D4A1E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1BFA"/>
    <w:rsid w:val="002E2CE4"/>
    <w:rsid w:val="002E31A0"/>
    <w:rsid w:val="002E34F3"/>
    <w:rsid w:val="002E4217"/>
    <w:rsid w:val="002E435E"/>
    <w:rsid w:val="002E73F2"/>
    <w:rsid w:val="002F149A"/>
    <w:rsid w:val="002F33FB"/>
    <w:rsid w:val="002F36D0"/>
    <w:rsid w:val="002F663A"/>
    <w:rsid w:val="002F68A4"/>
    <w:rsid w:val="002F7594"/>
    <w:rsid w:val="002F7902"/>
    <w:rsid w:val="003003E7"/>
    <w:rsid w:val="003004EB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31A6"/>
    <w:rsid w:val="00314331"/>
    <w:rsid w:val="00317E31"/>
    <w:rsid w:val="00320214"/>
    <w:rsid w:val="003209D6"/>
    <w:rsid w:val="0032109A"/>
    <w:rsid w:val="0032214F"/>
    <w:rsid w:val="00322164"/>
    <w:rsid w:val="00323486"/>
    <w:rsid w:val="00323A13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5E99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6CAE"/>
    <w:rsid w:val="00357449"/>
    <w:rsid w:val="00357C28"/>
    <w:rsid w:val="00361F76"/>
    <w:rsid w:val="0036238B"/>
    <w:rsid w:val="00362408"/>
    <w:rsid w:val="003630B0"/>
    <w:rsid w:val="00364087"/>
    <w:rsid w:val="003649FC"/>
    <w:rsid w:val="00364C0E"/>
    <w:rsid w:val="003651A4"/>
    <w:rsid w:val="00365680"/>
    <w:rsid w:val="003657F3"/>
    <w:rsid w:val="00366D4D"/>
    <w:rsid w:val="00366F77"/>
    <w:rsid w:val="00367038"/>
    <w:rsid w:val="003670FE"/>
    <w:rsid w:val="0036710C"/>
    <w:rsid w:val="0037040B"/>
    <w:rsid w:val="00370963"/>
    <w:rsid w:val="0037144E"/>
    <w:rsid w:val="00372272"/>
    <w:rsid w:val="0037290D"/>
    <w:rsid w:val="003736B5"/>
    <w:rsid w:val="00374DB6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187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B769D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1FA0"/>
    <w:rsid w:val="003D2393"/>
    <w:rsid w:val="003D2C4E"/>
    <w:rsid w:val="003D3600"/>
    <w:rsid w:val="003D3825"/>
    <w:rsid w:val="003D3EC4"/>
    <w:rsid w:val="003D3FB2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E7F69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3F7631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1D6"/>
    <w:rsid w:val="004123BE"/>
    <w:rsid w:val="0041329F"/>
    <w:rsid w:val="00414CE5"/>
    <w:rsid w:val="00416673"/>
    <w:rsid w:val="0041677D"/>
    <w:rsid w:val="00420D92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6EDB"/>
    <w:rsid w:val="00437C76"/>
    <w:rsid w:val="00437F4A"/>
    <w:rsid w:val="0044105C"/>
    <w:rsid w:val="00442197"/>
    <w:rsid w:val="00442BD1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4921"/>
    <w:rsid w:val="00454D3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61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0524"/>
    <w:rsid w:val="00490B20"/>
    <w:rsid w:val="0049104F"/>
    <w:rsid w:val="00491218"/>
    <w:rsid w:val="00491CFD"/>
    <w:rsid w:val="00492991"/>
    <w:rsid w:val="00493362"/>
    <w:rsid w:val="00494343"/>
    <w:rsid w:val="00494AAB"/>
    <w:rsid w:val="00494FB8"/>
    <w:rsid w:val="0049548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D61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41DC"/>
    <w:rsid w:val="004B55B7"/>
    <w:rsid w:val="004B5836"/>
    <w:rsid w:val="004B5E1F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74F"/>
    <w:rsid w:val="004D4F13"/>
    <w:rsid w:val="004D504B"/>
    <w:rsid w:val="004D536E"/>
    <w:rsid w:val="004D58CE"/>
    <w:rsid w:val="004D6307"/>
    <w:rsid w:val="004D70B1"/>
    <w:rsid w:val="004D745A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950"/>
    <w:rsid w:val="004F5CC5"/>
    <w:rsid w:val="004F5DCC"/>
    <w:rsid w:val="004F6350"/>
    <w:rsid w:val="004F7170"/>
    <w:rsid w:val="005028E1"/>
    <w:rsid w:val="00503955"/>
    <w:rsid w:val="00505989"/>
    <w:rsid w:val="00506309"/>
    <w:rsid w:val="0050692E"/>
    <w:rsid w:val="00507040"/>
    <w:rsid w:val="005079F8"/>
    <w:rsid w:val="00510189"/>
    <w:rsid w:val="00510428"/>
    <w:rsid w:val="005108C0"/>
    <w:rsid w:val="00511873"/>
    <w:rsid w:val="00512495"/>
    <w:rsid w:val="00512603"/>
    <w:rsid w:val="00512B54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668A"/>
    <w:rsid w:val="00517567"/>
    <w:rsid w:val="0051778E"/>
    <w:rsid w:val="005215EF"/>
    <w:rsid w:val="00522795"/>
    <w:rsid w:val="00524637"/>
    <w:rsid w:val="00524FDD"/>
    <w:rsid w:val="00525137"/>
    <w:rsid w:val="005251DD"/>
    <w:rsid w:val="00526D50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69C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02A"/>
    <w:rsid w:val="005513D5"/>
    <w:rsid w:val="005523B9"/>
    <w:rsid w:val="005538E2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3B4"/>
    <w:rsid w:val="0057454C"/>
    <w:rsid w:val="005752EB"/>
    <w:rsid w:val="005755FE"/>
    <w:rsid w:val="0057569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59ED"/>
    <w:rsid w:val="00595C7C"/>
    <w:rsid w:val="00596C5E"/>
    <w:rsid w:val="005A038A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03"/>
    <w:rsid w:val="005D757A"/>
    <w:rsid w:val="005D76AE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9ED"/>
    <w:rsid w:val="005F4C83"/>
    <w:rsid w:val="005F5628"/>
    <w:rsid w:val="005F5916"/>
    <w:rsid w:val="005F5F61"/>
    <w:rsid w:val="005F601D"/>
    <w:rsid w:val="005F6119"/>
    <w:rsid w:val="005F7940"/>
    <w:rsid w:val="00600712"/>
    <w:rsid w:val="0060091A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5C4"/>
    <w:rsid w:val="00630E82"/>
    <w:rsid w:val="00630F66"/>
    <w:rsid w:val="00631FC2"/>
    <w:rsid w:val="00632171"/>
    <w:rsid w:val="0063332A"/>
    <w:rsid w:val="00633729"/>
    <w:rsid w:val="006347F9"/>
    <w:rsid w:val="0063494E"/>
    <w:rsid w:val="00634C90"/>
    <w:rsid w:val="00635818"/>
    <w:rsid w:val="00635E79"/>
    <w:rsid w:val="006365E8"/>
    <w:rsid w:val="00636A84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37F4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152"/>
    <w:rsid w:val="006B59D7"/>
    <w:rsid w:val="006B5CA3"/>
    <w:rsid w:val="006B6171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927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C7A7B"/>
    <w:rsid w:val="006D004F"/>
    <w:rsid w:val="006D042D"/>
    <w:rsid w:val="006D06EF"/>
    <w:rsid w:val="006D07EC"/>
    <w:rsid w:val="006D1418"/>
    <w:rsid w:val="006D142E"/>
    <w:rsid w:val="006D3976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368"/>
    <w:rsid w:val="006E442A"/>
    <w:rsid w:val="006E4434"/>
    <w:rsid w:val="006E4A1B"/>
    <w:rsid w:val="006E59FC"/>
    <w:rsid w:val="006E5CFD"/>
    <w:rsid w:val="006E635B"/>
    <w:rsid w:val="006E642F"/>
    <w:rsid w:val="006E76BE"/>
    <w:rsid w:val="006E7E2C"/>
    <w:rsid w:val="006F0D32"/>
    <w:rsid w:val="006F1326"/>
    <w:rsid w:val="006F1DDD"/>
    <w:rsid w:val="006F2280"/>
    <w:rsid w:val="006F2BEE"/>
    <w:rsid w:val="006F32FF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398"/>
    <w:rsid w:val="00711EF1"/>
    <w:rsid w:val="0071229A"/>
    <w:rsid w:val="00712572"/>
    <w:rsid w:val="00713495"/>
    <w:rsid w:val="00713EEB"/>
    <w:rsid w:val="007142C1"/>
    <w:rsid w:val="0071479D"/>
    <w:rsid w:val="00715487"/>
    <w:rsid w:val="007159D2"/>
    <w:rsid w:val="00716DCC"/>
    <w:rsid w:val="00717726"/>
    <w:rsid w:val="0072050E"/>
    <w:rsid w:val="00720958"/>
    <w:rsid w:val="00720FA2"/>
    <w:rsid w:val="007211F5"/>
    <w:rsid w:val="00722985"/>
    <w:rsid w:val="007240C5"/>
    <w:rsid w:val="00724666"/>
    <w:rsid w:val="00724E80"/>
    <w:rsid w:val="00725492"/>
    <w:rsid w:val="007256B7"/>
    <w:rsid w:val="00726043"/>
    <w:rsid w:val="007265C6"/>
    <w:rsid w:val="0072671B"/>
    <w:rsid w:val="0072704A"/>
    <w:rsid w:val="007273DC"/>
    <w:rsid w:val="007279B9"/>
    <w:rsid w:val="00727F9F"/>
    <w:rsid w:val="00730AE8"/>
    <w:rsid w:val="007315DA"/>
    <w:rsid w:val="00731963"/>
    <w:rsid w:val="00732706"/>
    <w:rsid w:val="0073325D"/>
    <w:rsid w:val="0073402C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40C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47459"/>
    <w:rsid w:val="0075057A"/>
    <w:rsid w:val="00751771"/>
    <w:rsid w:val="00751C1C"/>
    <w:rsid w:val="00752180"/>
    <w:rsid w:val="007521A1"/>
    <w:rsid w:val="00752BC3"/>
    <w:rsid w:val="0075315D"/>
    <w:rsid w:val="007538F9"/>
    <w:rsid w:val="00753AFD"/>
    <w:rsid w:val="00754253"/>
    <w:rsid w:val="007552BB"/>
    <w:rsid w:val="007558D3"/>
    <w:rsid w:val="007559D7"/>
    <w:rsid w:val="00755D3A"/>
    <w:rsid w:val="00755EA0"/>
    <w:rsid w:val="00760141"/>
    <w:rsid w:val="007609C6"/>
    <w:rsid w:val="00760C01"/>
    <w:rsid w:val="007610A0"/>
    <w:rsid w:val="00762036"/>
    <w:rsid w:val="007620F2"/>
    <w:rsid w:val="00762EBA"/>
    <w:rsid w:val="0076359D"/>
    <w:rsid w:val="00763A13"/>
    <w:rsid w:val="00763D86"/>
    <w:rsid w:val="00766F78"/>
    <w:rsid w:val="0077058D"/>
    <w:rsid w:val="00770931"/>
    <w:rsid w:val="00770FA7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235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38B"/>
    <w:rsid w:val="00796642"/>
    <w:rsid w:val="007A11D9"/>
    <w:rsid w:val="007A327B"/>
    <w:rsid w:val="007A4048"/>
    <w:rsid w:val="007A45B1"/>
    <w:rsid w:val="007A4606"/>
    <w:rsid w:val="007A4D58"/>
    <w:rsid w:val="007A5039"/>
    <w:rsid w:val="007A74B4"/>
    <w:rsid w:val="007B04E8"/>
    <w:rsid w:val="007B0920"/>
    <w:rsid w:val="007B0D67"/>
    <w:rsid w:val="007B0F90"/>
    <w:rsid w:val="007B1966"/>
    <w:rsid w:val="007B2257"/>
    <w:rsid w:val="007B22E6"/>
    <w:rsid w:val="007B2779"/>
    <w:rsid w:val="007B2AF7"/>
    <w:rsid w:val="007B2F3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5363"/>
    <w:rsid w:val="007C605B"/>
    <w:rsid w:val="007C6EBA"/>
    <w:rsid w:val="007C7BAC"/>
    <w:rsid w:val="007C7CC5"/>
    <w:rsid w:val="007D2749"/>
    <w:rsid w:val="007D2A5A"/>
    <w:rsid w:val="007D2AD8"/>
    <w:rsid w:val="007D2C47"/>
    <w:rsid w:val="007D2C61"/>
    <w:rsid w:val="007D2DA3"/>
    <w:rsid w:val="007D2F81"/>
    <w:rsid w:val="007D3167"/>
    <w:rsid w:val="007D3A2C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5E9"/>
    <w:rsid w:val="007E1EF7"/>
    <w:rsid w:val="007E3715"/>
    <w:rsid w:val="007E4996"/>
    <w:rsid w:val="007E5880"/>
    <w:rsid w:val="007E5F3D"/>
    <w:rsid w:val="007E61FF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61D3"/>
    <w:rsid w:val="007F69EE"/>
    <w:rsid w:val="007F7B54"/>
    <w:rsid w:val="007F7C60"/>
    <w:rsid w:val="00800073"/>
    <w:rsid w:val="008005D7"/>
    <w:rsid w:val="00801547"/>
    <w:rsid w:val="00801D15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4626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37566"/>
    <w:rsid w:val="00840458"/>
    <w:rsid w:val="00840699"/>
    <w:rsid w:val="00841D9F"/>
    <w:rsid w:val="00842078"/>
    <w:rsid w:val="00842604"/>
    <w:rsid w:val="00843ECF"/>
    <w:rsid w:val="00845AB1"/>
    <w:rsid w:val="00846673"/>
    <w:rsid w:val="00846891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4F00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620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05"/>
    <w:rsid w:val="00893D83"/>
    <w:rsid w:val="00893F0C"/>
    <w:rsid w:val="00893F3C"/>
    <w:rsid w:val="008945A1"/>
    <w:rsid w:val="00894A63"/>
    <w:rsid w:val="00894F71"/>
    <w:rsid w:val="00895A54"/>
    <w:rsid w:val="00896776"/>
    <w:rsid w:val="00896874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5F34"/>
    <w:rsid w:val="008A615E"/>
    <w:rsid w:val="008A632B"/>
    <w:rsid w:val="008A6BFE"/>
    <w:rsid w:val="008A6F21"/>
    <w:rsid w:val="008A6F3F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7D1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A23"/>
    <w:rsid w:val="008D0E3B"/>
    <w:rsid w:val="008D13EA"/>
    <w:rsid w:val="008D2671"/>
    <w:rsid w:val="008D2A16"/>
    <w:rsid w:val="008D2ECF"/>
    <w:rsid w:val="008D347D"/>
    <w:rsid w:val="008D3F3D"/>
    <w:rsid w:val="008D4376"/>
    <w:rsid w:val="008D51E9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1723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29C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098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465F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1D7"/>
    <w:rsid w:val="00937320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4FC3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0D56"/>
    <w:rsid w:val="00962D2E"/>
    <w:rsid w:val="00963724"/>
    <w:rsid w:val="00963D22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621"/>
    <w:rsid w:val="0098095B"/>
    <w:rsid w:val="00982072"/>
    <w:rsid w:val="009833FA"/>
    <w:rsid w:val="00983ACF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676"/>
    <w:rsid w:val="009B0975"/>
    <w:rsid w:val="009B0EF2"/>
    <w:rsid w:val="009B23A3"/>
    <w:rsid w:val="009B25CE"/>
    <w:rsid w:val="009B2C0E"/>
    <w:rsid w:val="009B4925"/>
    <w:rsid w:val="009B4B4B"/>
    <w:rsid w:val="009B4BD4"/>
    <w:rsid w:val="009B4CE3"/>
    <w:rsid w:val="009B6FD3"/>
    <w:rsid w:val="009B70BD"/>
    <w:rsid w:val="009C07A5"/>
    <w:rsid w:val="009C24A3"/>
    <w:rsid w:val="009C3105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3E88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2A1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5B39"/>
    <w:rsid w:val="00A17754"/>
    <w:rsid w:val="00A2055B"/>
    <w:rsid w:val="00A20E22"/>
    <w:rsid w:val="00A219FE"/>
    <w:rsid w:val="00A22210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1C5"/>
    <w:rsid w:val="00A30336"/>
    <w:rsid w:val="00A30BB5"/>
    <w:rsid w:val="00A3128F"/>
    <w:rsid w:val="00A326D0"/>
    <w:rsid w:val="00A33C9A"/>
    <w:rsid w:val="00A348DC"/>
    <w:rsid w:val="00A35287"/>
    <w:rsid w:val="00A355F2"/>
    <w:rsid w:val="00A35CB2"/>
    <w:rsid w:val="00A37201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5E2F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21F"/>
    <w:rsid w:val="00A5430D"/>
    <w:rsid w:val="00A55301"/>
    <w:rsid w:val="00A572FB"/>
    <w:rsid w:val="00A57B3C"/>
    <w:rsid w:val="00A57E77"/>
    <w:rsid w:val="00A57F1B"/>
    <w:rsid w:val="00A600D2"/>
    <w:rsid w:val="00A60383"/>
    <w:rsid w:val="00A6128E"/>
    <w:rsid w:val="00A614EB"/>
    <w:rsid w:val="00A62CE1"/>
    <w:rsid w:val="00A631FA"/>
    <w:rsid w:val="00A63517"/>
    <w:rsid w:val="00A64203"/>
    <w:rsid w:val="00A64348"/>
    <w:rsid w:val="00A644E1"/>
    <w:rsid w:val="00A67641"/>
    <w:rsid w:val="00A6766C"/>
    <w:rsid w:val="00A70765"/>
    <w:rsid w:val="00A711B0"/>
    <w:rsid w:val="00A71279"/>
    <w:rsid w:val="00A721FB"/>
    <w:rsid w:val="00A727BA"/>
    <w:rsid w:val="00A72CA4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798"/>
    <w:rsid w:val="00A83B58"/>
    <w:rsid w:val="00A84D7D"/>
    <w:rsid w:val="00A84FAF"/>
    <w:rsid w:val="00A851B6"/>
    <w:rsid w:val="00A851ED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5AAE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5A7"/>
    <w:rsid w:val="00AB7BEE"/>
    <w:rsid w:val="00AB7DF2"/>
    <w:rsid w:val="00AC1E3F"/>
    <w:rsid w:val="00AC219A"/>
    <w:rsid w:val="00AC3D02"/>
    <w:rsid w:val="00AC4F18"/>
    <w:rsid w:val="00AC5F5B"/>
    <w:rsid w:val="00AC69CA"/>
    <w:rsid w:val="00AD0B46"/>
    <w:rsid w:val="00AD1094"/>
    <w:rsid w:val="00AD2565"/>
    <w:rsid w:val="00AD2862"/>
    <w:rsid w:val="00AD306C"/>
    <w:rsid w:val="00AD3111"/>
    <w:rsid w:val="00AD3424"/>
    <w:rsid w:val="00AD3E3F"/>
    <w:rsid w:val="00AD4FEF"/>
    <w:rsid w:val="00AD50D1"/>
    <w:rsid w:val="00AD59BB"/>
    <w:rsid w:val="00AD5D68"/>
    <w:rsid w:val="00AD5D71"/>
    <w:rsid w:val="00AD6483"/>
    <w:rsid w:val="00AD675A"/>
    <w:rsid w:val="00AD6A63"/>
    <w:rsid w:val="00AD6C73"/>
    <w:rsid w:val="00AD7D49"/>
    <w:rsid w:val="00AE06D0"/>
    <w:rsid w:val="00AE1B8A"/>
    <w:rsid w:val="00AE20DF"/>
    <w:rsid w:val="00AE26E1"/>
    <w:rsid w:val="00AE39DC"/>
    <w:rsid w:val="00AE3CDA"/>
    <w:rsid w:val="00AE481D"/>
    <w:rsid w:val="00AE608F"/>
    <w:rsid w:val="00AE6734"/>
    <w:rsid w:val="00AE684E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B98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3C0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1953"/>
    <w:rsid w:val="00B22E17"/>
    <w:rsid w:val="00B2419B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0AD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1D6"/>
    <w:rsid w:val="00B46D25"/>
    <w:rsid w:val="00B47430"/>
    <w:rsid w:val="00B4795A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3EC"/>
    <w:rsid w:val="00B6449F"/>
    <w:rsid w:val="00B6493D"/>
    <w:rsid w:val="00B6553E"/>
    <w:rsid w:val="00B65C84"/>
    <w:rsid w:val="00B6608F"/>
    <w:rsid w:val="00B661F6"/>
    <w:rsid w:val="00B67E42"/>
    <w:rsid w:val="00B73180"/>
    <w:rsid w:val="00B74317"/>
    <w:rsid w:val="00B74D75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CFE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2AC"/>
    <w:rsid w:val="00BB1CFD"/>
    <w:rsid w:val="00BB2C53"/>
    <w:rsid w:val="00BB32DA"/>
    <w:rsid w:val="00BB3A54"/>
    <w:rsid w:val="00BB4286"/>
    <w:rsid w:val="00BB462A"/>
    <w:rsid w:val="00BB4D26"/>
    <w:rsid w:val="00BB4E21"/>
    <w:rsid w:val="00BB6F86"/>
    <w:rsid w:val="00BB7746"/>
    <w:rsid w:val="00BC22EB"/>
    <w:rsid w:val="00BC26CA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526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3FE5"/>
    <w:rsid w:val="00BF4C31"/>
    <w:rsid w:val="00BF4E57"/>
    <w:rsid w:val="00BF53B8"/>
    <w:rsid w:val="00BF71D5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B3B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BF1"/>
    <w:rsid w:val="00C17DBC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47EB6"/>
    <w:rsid w:val="00C503B0"/>
    <w:rsid w:val="00C511C2"/>
    <w:rsid w:val="00C527C6"/>
    <w:rsid w:val="00C538FC"/>
    <w:rsid w:val="00C53CDB"/>
    <w:rsid w:val="00C53D7B"/>
    <w:rsid w:val="00C53D82"/>
    <w:rsid w:val="00C54748"/>
    <w:rsid w:val="00C553E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864FB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2BF5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9A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0F96"/>
    <w:rsid w:val="00CC1DAF"/>
    <w:rsid w:val="00CC212E"/>
    <w:rsid w:val="00CC2642"/>
    <w:rsid w:val="00CC2967"/>
    <w:rsid w:val="00CC2A1E"/>
    <w:rsid w:val="00CC2A36"/>
    <w:rsid w:val="00CC2E15"/>
    <w:rsid w:val="00CC30E2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1A5C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CD6"/>
    <w:rsid w:val="00CE1313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E3C"/>
    <w:rsid w:val="00CE7158"/>
    <w:rsid w:val="00CE797F"/>
    <w:rsid w:val="00CF0826"/>
    <w:rsid w:val="00CF107E"/>
    <w:rsid w:val="00CF15BF"/>
    <w:rsid w:val="00CF243E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0AB"/>
    <w:rsid w:val="00D11102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48FE"/>
    <w:rsid w:val="00D26923"/>
    <w:rsid w:val="00D26E27"/>
    <w:rsid w:val="00D277FF"/>
    <w:rsid w:val="00D27856"/>
    <w:rsid w:val="00D27D34"/>
    <w:rsid w:val="00D3006B"/>
    <w:rsid w:val="00D301CA"/>
    <w:rsid w:val="00D30740"/>
    <w:rsid w:val="00D309C0"/>
    <w:rsid w:val="00D30DC4"/>
    <w:rsid w:val="00D31075"/>
    <w:rsid w:val="00D31445"/>
    <w:rsid w:val="00D31932"/>
    <w:rsid w:val="00D32AE0"/>
    <w:rsid w:val="00D360DA"/>
    <w:rsid w:val="00D374B3"/>
    <w:rsid w:val="00D37689"/>
    <w:rsid w:val="00D378CC"/>
    <w:rsid w:val="00D37E80"/>
    <w:rsid w:val="00D4042C"/>
    <w:rsid w:val="00D40B9E"/>
    <w:rsid w:val="00D41281"/>
    <w:rsid w:val="00D41320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1739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3F7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4CE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875C9"/>
    <w:rsid w:val="00D90116"/>
    <w:rsid w:val="00D90C1E"/>
    <w:rsid w:val="00D91BDF"/>
    <w:rsid w:val="00D91F2C"/>
    <w:rsid w:val="00D9266B"/>
    <w:rsid w:val="00D93F09"/>
    <w:rsid w:val="00D94859"/>
    <w:rsid w:val="00D954C2"/>
    <w:rsid w:val="00D95D83"/>
    <w:rsid w:val="00D96368"/>
    <w:rsid w:val="00D9640A"/>
    <w:rsid w:val="00D97AAD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0C2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670"/>
    <w:rsid w:val="00DD2872"/>
    <w:rsid w:val="00DD2A62"/>
    <w:rsid w:val="00DD2BB1"/>
    <w:rsid w:val="00DD2BD0"/>
    <w:rsid w:val="00DD2BFE"/>
    <w:rsid w:val="00DD36E7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1A2F"/>
    <w:rsid w:val="00DF21FD"/>
    <w:rsid w:val="00DF2873"/>
    <w:rsid w:val="00DF293C"/>
    <w:rsid w:val="00DF34B2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5FC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4871"/>
    <w:rsid w:val="00E25223"/>
    <w:rsid w:val="00E25999"/>
    <w:rsid w:val="00E26123"/>
    <w:rsid w:val="00E263A8"/>
    <w:rsid w:val="00E30BEA"/>
    <w:rsid w:val="00E31764"/>
    <w:rsid w:val="00E3288A"/>
    <w:rsid w:val="00E329AB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6E03"/>
    <w:rsid w:val="00E4793B"/>
    <w:rsid w:val="00E47B32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00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13EF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32EA"/>
    <w:rsid w:val="00E9446C"/>
    <w:rsid w:val="00E94612"/>
    <w:rsid w:val="00E94ADB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0938"/>
    <w:rsid w:val="00EB1298"/>
    <w:rsid w:val="00EB20A0"/>
    <w:rsid w:val="00EB29CA"/>
    <w:rsid w:val="00EB2CE9"/>
    <w:rsid w:val="00EB30B6"/>
    <w:rsid w:val="00EB4335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4D9C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07DE"/>
    <w:rsid w:val="00EE1057"/>
    <w:rsid w:val="00EE10AA"/>
    <w:rsid w:val="00EE1637"/>
    <w:rsid w:val="00EE208C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03D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32C4"/>
    <w:rsid w:val="00F0356B"/>
    <w:rsid w:val="00F04811"/>
    <w:rsid w:val="00F0488C"/>
    <w:rsid w:val="00F0496E"/>
    <w:rsid w:val="00F04D10"/>
    <w:rsid w:val="00F04FAE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837"/>
    <w:rsid w:val="00F21C31"/>
    <w:rsid w:val="00F23825"/>
    <w:rsid w:val="00F2389A"/>
    <w:rsid w:val="00F23F6C"/>
    <w:rsid w:val="00F23FFF"/>
    <w:rsid w:val="00F24115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170B"/>
    <w:rsid w:val="00F43921"/>
    <w:rsid w:val="00F44E1B"/>
    <w:rsid w:val="00F45222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C8E"/>
    <w:rsid w:val="00F70E45"/>
    <w:rsid w:val="00F727D5"/>
    <w:rsid w:val="00F72F44"/>
    <w:rsid w:val="00F73A0C"/>
    <w:rsid w:val="00F7593B"/>
    <w:rsid w:val="00F759DC"/>
    <w:rsid w:val="00F76563"/>
    <w:rsid w:val="00F76F35"/>
    <w:rsid w:val="00F7717C"/>
    <w:rsid w:val="00F771A5"/>
    <w:rsid w:val="00F77387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A76E1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B7710"/>
    <w:rsid w:val="00FC0D8A"/>
    <w:rsid w:val="00FC0E5F"/>
    <w:rsid w:val="00FC135D"/>
    <w:rsid w:val="00FC26FB"/>
    <w:rsid w:val="00FC2CF4"/>
    <w:rsid w:val="00FC3C84"/>
    <w:rsid w:val="00FC3EED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262"/>
    <w:rsid w:val="00FD43A0"/>
    <w:rsid w:val="00FD473D"/>
    <w:rsid w:val="00FD55BA"/>
    <w:rsid w:val="00FD61C8"/>
    <w:rsid w:val="00FD63CE"/>
    <w:rsid w:val="00FD77BB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0A8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E7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A1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locked/>
    <w:rsid w:val="005D7503"/>
    <w:rPr>
      <w:i/>
      <w:iCs/>
    </w:rPr>
  </w:style>
  <w:style w:type="paragraph" w:styleId="Revize">
    <w:name w:val="Revision"/>
    <w:hidden/>
    <w:uiPriority w:val="99"/>
    <w:semiHidden/>
    <w:rsid w:val="0079638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47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Celorok\Odv&#283;tv&#237;\Odv&#283;tv&#237;%20grafy-rok-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Celorok\Odv&#283;tv&#237;\Odv&#283;tv&#237;%20grafy-rok-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7\QMakro\Celorok\Odv&#283;tv&#237;\Odv&#283;tv&#237;%20grafy-rok-2017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JKAM%20CSU\PUBLIKACE\PUBLIKACE\2017\QMakro\Celorok\Odv&#283;tv&#237;\Odv&#283;tv&#237;%20grafy-rok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07E-2"/>
          <c:y val="1.9513175616352532E-2"/>
          <c:w val="0.92433548575003011"/>
          <c:h val="0.75083417764269178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1'!$B$30</c:f>
              <c:strCache>
                <c:ptCount val="1"/>
                <c:pt idx="0">
                  <c:v>Průmysl celkem (B+C+D)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1'!$C$28:$AH$29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1'!$C$30:$AH$30</c:f>
              <c:numCache>
                <c:formatCode>#,##0.0</c:formatCode>
                <c:ptCount val="32"/>
                <c:pt idx="0">
                  <c:v>4.7</c:v>
                </c:pt>
                <c:pt idx="1">
                  <c:v>7.9</c:v>
                </c:pt>
                <c:pt idx="2">
                  <c:v>10.4</c:v>
                </c:pt>
                <c:pt idx="3">
                  <c:v>9.5</c:v>
                </c:pt>
                <c:pt idx="4">
                  <c:v>10</c:v>
                </c:pt>
                <c:pt idx="5">
                  <c:v>8.2000000000000011</c:v>
                </c:pt>
                <c:pt idx="6">
                  <c:v>2.2999999999999998</c:v>
                </c:pt>
                <c:pt idx="7">
                  <c:v>3.4</c:v>
                </c:pt>
                <c:pt idx="8">
                  <c:v>1.4</c:v>
                </c:pt>
                <c:pt idx="9">
                  <c:v>0.9</c:v>
                </c:pt>
                <c:pt idx="10">
                  <c:v>0.1</c:v>
                </c:pt>
                <c:pt idx="11">
                  <c:v>-5.2</c:v>
                </c:pt>
                <c:pt idx="12">
                  <c:v>-3.7</c:v>
                </c:pt>
                <c:pt idx="13">
                  <c:v>-2.8</c:v>
                </c:pt>
                <c:pt idx="14">
                  <c:v>0.8</c:v>
                </c:pt>
                <c:pt idx="15">
                  <c:v>6</c:v>
                </c:pt>
                <c:pt idx="16">
                  <c:v>6.9</c:v>
                </c:pt>
                <c:pt idx="17">
                  <c:v>6.1</c:v>
                </c:pt>
                <c:pt idx="18">
                  <c:v>2.8</c:v>
                </c:pt>
                <c:pt idx="19">
                  <c:v>4.0999999999999996</c:v>
                </c:pt>
                <c:pt idx="20">
                  <c:v>4.9000000000000004</c:v>
                </c:pt>
                <c:pt idx="21">
                  <c:v>5.2</c:v>
                </c:pt>
                <c:pt idx="22">
                  <c:v>6</c:v>
                </c:pt>
                <c:pt idx="23">
                  <c:v>2.2999999999999998</c:v>
                </c:pt>
                <c:pt idx="24">
                  <c:v>4.0999999999999996</c:v>
                </c:pt>
                <c:pt idx="25">
                  <c:v>2.2000000000000002</c:v>
                </c:pt>
                <c:pt idx="26">
                  <c:v>1.8</c:v>
                </c:pt>
                <c:pt idx="27">
                  <c:v>3.5</c:v>
                </c:pt>
                <c:pt idx="28">
                  <c:v>4.7</c:v>
                </c:pt>
                <c:pt idx="29">
                  <c:v>8.7000000000000011</c:v>
                </c:pt>
                <c:pt idx="30">
                  <c:v>6.7</c:v>
                </c:pt>
                <c:pt idx="31">
                  <c:v>7.6</c:v>
                </c:pt>
              </c:numCache>
            </c:numRef>
          </c:val>
        </c:ser>
        <c:gapWidth val="30"/>
        <c:axId val="128124032"/>
        <c:axId val="128125952"/>
      </c:barChart>
      <c:lineChart>
        <c:grouping val="standard"/>
        <c:ser>
          <c:idx val="3"/>
          <c:order val="1"/>
          <c:tx>
            <c:strRef>
              <c:f>'výkonnost odvětví 1'!$B$31</c:f>
              <c:strCache>
                <c:ptCount val="1"/>
                <c:pt idx="0">
                  <c:v>Potravinářství a výroba nápojů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1'!$C$28:$AH$29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1'!$C$31:$AH$31</c:f>
              <c:numCache>
                <c:formatCode>#,##0.0</c:formatCode>
                <c:ptCount val="32"/>
                <c:pt idx="0">
                  <c:v>-1.3</c:v>
                </c:pt>
                <c:pt idx="1">
                  <c:v>-4.5</c:v>
                </c:pt>
                <c:pt idx="2">
                  <c:v>-2.9</c:v>
                </c:pt>
                <c:pt idx="3">
                  <c:v>-4</c:v>
                </c:pt>
                <c:pt idx="4">
                  <c:v>-0.30000000000000032</c:v>
                </c:pt>
                <c:pt idx="5">
                  <c:v>-0.4</c:v>
                </c:pt>
                <c:pt idx="6">
                  <c:v>-4</c:v>
                </c:pt>
                <c:pt idx="7">
                  <c:v>-1.8</c:v>
                </c:pt>
                <c:pt idx="8">
                  <c:v>-4.3</c:v>
                </c:pt>
                <c:pt idx="9">
                  <c:v>-1</c:v>
                </c:pt>
                <c:pt idx="10">
                  <c:v>0.1</c:v>
                </c:pt>
                <c:pt idx="11">
                  <c:v>-1.9000000000000001</c:v>
                </c:pt>
                <c:pt idx="12">
                  <c:v>1.2</c:v>
                </c:pt>
                <c:pt idx="13">
                  <c:v>-1.4</c:v>
                </c:pt>
                <c:pt idx="14">
                  <c:v>-1.1000000000000001</c:v>
                </c:pt>
                <c:pt idx="15">
                  <c:v>0.9</c:v>
                </c:pt>
                <c:pt idx="16">
                  <c:v>2.2999999999999998</c:v>
                </c:pt>
                <c:pt idx="17">
                  <c:v>4.4000000000000004</c:v>
                </c:pt>
                <c:pt idx="18">
                  <c:v>0.60000000000000064</c:v>
                </c:pt>
                <c:pt idx="19">
                  <c:v>5.7</c:v>
                </c:pt>
                <c:pt idx="20">
                  <c:v>4.5</c:v>
                </c:pt>
                <c:pt idx="21">
                  <c:v>1.3</c:v>
                </c:pt>
                <c:pt idx="22">
                  <c:v>8.3000000000000007</c:v>
                </c:pt>
                <c:pt idx="23">
                  <c:v>3.9</c:v>
                </c:pt>
                <c:pt idx="24">
                  <c:v>-0.5</c:v>
                </c:pt>
                <c:pt idx="25">
                  <c:v>0.5</c:v>
                </c:pt>
                <c:pt idx="26">
                  <c:v>0.60000000000000064</c:v>
                </c:pt>
                <c:pt idx="27">
                  <c:v>-1.7000000000000002</c:v>
                </c:pt>
                <c:pt idx="28">
                  <c:v>3</c:v>
                </c:pt>
                <c:pt idx="29">
                  <c:v>5.2</c:v>
                </c:pt>
                <c:pt idx="30">
                  <c:v>-0.70000000000000062</c:v>
                </c:pt>
                <c:pt idx="31">
                  <c:v>2.2000000000000002</c:v>
                </c:pt>
              </c:numCache>
            </c:numRef>
          </c:val>
        </c:ser>
        <c:ser>
          <c:idx val="1"/>
          <c:order val="2"/>
          <c:tx>
            <c:strRef>
              <c:f>'výkonnost odvětví 1'!$B$32</c:f>
              <c:strCache>
                <c:ptCount val="1"/>
                <c:pt idx="0">
                  <c:v>Chemický průmysl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'výkonnost odvětví 1'!$C$28:$AH$29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1'!$C$32:$AH$32</c:f>
              <c:numCache>
                <c:formatCode>#,##0.0</c:formatCode>
                <c:ptCount val="32"/>
                <c:pt idx="0">
                  <c:v>0.1</c:v>
                </c:pt>
                <c:pt idx="1">
                  <c:v>-1.3</c:v>
                </c:pt>
                <c:pt idx="2">
                  <c:v>13.8</c:v>
                </c:pt>
                <c:pt idx="3">
                  <c:v>12</c:v>
                </c:pt>
                <c:pt idx="4">
                  <c:v>2.7</c:v>
                </c:pt>
                <c:pt idx="5">
                  <c:v>-4.7</c:v>
                </c:pt>
                <c:pt idx="6">
                  <c:v>-8.7000000000000011</c:v>
                </c:pt>
                <c:pt idx="7">
                  <c:v>-7.8</c:v>
                </c:pt>
                <c:pt idx="8">
                  <c:v>3.2</c:v>
                </c:pt>
                <c:pt idx="9">
                  <c:v>0.4</c:v>
                </c:pt>
                <c:pt idx="10">
                  <c:v>10.1</c:v>
                </c:pt>
                <c:pt idx="11">
                  <c:v>7</c:v>
                </c:pt>
                <c:pt idx="12">
                  <c:v>-5.3</c:v>
                </c:pt>
                <c:pt idx="13">
                  <c:v>-0.60000000000000064</c:v>
                </c:pt>
                <c:pt idx="14">
                  <c:v>-10</c:v>
                </c:pt>
                <c:pt idx="15">
                  <c:v>3.8</c:v>
                </c:pt>
                <c:pt idx="16">
                  <c:v>8.8000000000000007</c:v>
                </c:pt>
                <c:pt idx="17">
                  <c:v>9.7000000000000011</c:v>
                </c:pt>
                <c:pt idx="18">
                  <c:v>16.100000000000001</c:v>
                </c:pt>
                <c:pt idx="19">
                  <c:v>4.2</c:v>
                </c:pt>
                <c:pt idx="20">
                  <c:v>2.8</c:v>
                </c:pt>
                <c:pt idx="21">
                  <c:v>3.4</c:v>
                </c:pt>
                <c:pt idx="22">
                  <c:v>-7.8</c:v>
                </c:pt>
                <c:pt idx="23">
                  <c:v>-16.3</c:v>
                </c:pt>
                <c:pt idx="24">
                  <c:v>-13.3</c:v>
                </c:pt>
                <c:pt idx="25">
                  <c:v>-16.899999999999999</c:v>
                </c:pt>
                <c:pt idx="26">
                  <c:v>-5.8</c:v>
                </c:pt>
                <c:pt idx="27">
                  <c:v>11.1</c:v>
                </c:pt>
                <c:pt idx="28">
                  <c:v>16.5</c:v>
                </c:pt>
                <c:pt idx="29">
                  <c:v>24.4</c:v>
                </c:pt>
                <c:pt idx="30">
                  <c:v>19.2</c:v>
                </c:pt>
                <c:pt idx="31">
                  <c:v>17.5</c:v>
                </c:pt>
              </c:numCache>
            </c:numRef>
          </c:val>
        </c:ser>
        <c:ser>
          <c:idx val="7"/>
          <c:order val="3"/>
          <c:tx>
            <c:strRef>
              <c:f>'výkonnost odvětví 1'!$B$33</c:f>
              <c:strCache>
                <c:ptCount val="1"/>
                <c:pt idx="0">
                  <c:v>Výroba PC, elektronic. a optic. přístrojů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1'!$C$28:$AH$29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1'!$C$33:$AH$33</c:f>
              <c:numCache>
                <c:formatCode>#,##0.0</c:formatCode>
                <c:ptCount val="32"/>
                <c:pt idx="0">
                  <c:v>13.6</c:v>
                </c:pt>
                <c:pt idx="1">
                  <c:v>36.9</c:v>
                </c:pt>
                <c:pt idx="2">
                  <c:v>39.200000000000003</c:v>
                </c:pt>
                <c:pt idx="3">
                  <c:v>27.3</c:v>
                </c:pt>
                <c:pt idx="4">
                  <c:v>12.5</c:v>
                </c:pt>
                <c:pt idx="5">
                  <c:v>6</c:v>
                </c:pt>
                <c:pt idx="6">
                  <c:v>-6</c:v>
                </c:pt>
                <c:pt idx="7">
                  <c:v>-18.399999999999999</c:v>
                </c:pt>
                <c:pt idx="8">
                  <c:v>-18.899999999999999</c:v>
                </c:pt>
                <c:pt idx="9">
                  <c:v>-22.7</c:v>
                </c:pt>
                <c:pt idx="10">
                  <c:v>-19.100000000000001</c:v>
                </c:pt>
                <c:pt idx="11">
                  <c:v>-13.7</c:v>
                </c:pt>
                <c:pt idx="12">
                  <c:v>10.8</c:v>
                </c:pt>
                <c:pt idx="13">
                  <c:v>13.4</c:v>
                </c:pt>
                <c:pt idx="14">
                  <c:v>17.399999999999999</c:v>
                </c:pt>
                <c:pt idx="15">
                  <c:v>22.3</c:v>
                </c:pt>
                <c:pt idx="16">
                  <c:v>17.8</c:v>
                </c:pt>
                <c:pt idx="17">
                  <c:v>20</c:v>
                </c:pt>
                <c:pt idx="18">
                  <c:v>13.1</c:v>
                </c:pt>
                <c:pt idx="19">
                  <c:v>22.4</c:v>
                </c:pt>
                <c:pt idx="20">
                  <c:v>4.9000000000000004</c:v>
                </c:pt>
                <c:pt idx="21">
                  <c:v>0.70000000000000062</c:v>
                </c:pt>
                <c:pt idx="22">
                  <c:v>2.1</c:v>
                </c:pt>
                <c:pt idx="23">
                  <c:v>-3.3</c:v>
                </c:pt>
                <c:pt idx="24">
                  <c:v>-0.1</c:v>
                </c:pt>
                <c:pt idx="25">
                  <c:v>2.6</c:v>
                </c:pt>
                <c:pt idx="26">
                  <c:v>2.6</c:v>
                </c:pt>
                <c:pt idx="27">
                  <c:v>7.5</c:v>
                </c:pt>
                <c:pt idx="28">
                  <c:v>7</c:v>
                </c:pt>
                <c:pt idx="29">
                  <c:v>19.3</c:v>
                </c:pt>
                <c:pt idx="30">
                  <c:v>11.7</c:v>
                </c:pt>
                <c:pt idx="31">
                  <c:v>11</c:v>
                </c:pt>
              </c:numCache>
            </c:numRef>
          </c:val>
        </c:ser>
        <c:ser>
          <c:idx val="2"/>
          <c:order val="4"/>
          <c:tx>
            <c:strRef>
              <c:f>'výkonnost odvětví 1'!$B$34</c:f>
              <c:strCache>
                <c:ptCount val="1"/>
                <c:pt idx="0">
                  <c:v>Výroba motor. voz.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1'!$C$28:$AH$29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1'!$C$34:$AH$34</c:f>
              <c:numCache>
                <c:formatCode>#,##0.0</c:formatCode>
                <c:ptCount val="32"/>
                <c:pt idx="0">
                  <c:v>36.800000000000004</c:v>
                </c:pt>
                <c:pt idx="1">
                  <c:v>18.399999999999999</c:v>
                </c:pt>
                <c:pt idx="2">
                  <c:v>13.3</c:v>
                </c:pt>
                <c:pt idx="3">
                  <c:v>21.5</c:v>
                </c:pt>
                <c:pt idx="4">
                  <c:v>26.9</c:v>
                </c:pt>
                <c:pt idx="5">
                  <c:v>22</c:v>
                </c:pt>
                <c:pt idx="6">
                  <c:v>20.8</c:v>
                </c:pt>
                <c:pt idx="7">
                  <c:v>15.9</c:v>
                </c:pt>
                <c:pt idx="8">
                  <c:v>9.7000000000000011</c:v>
                </c:pt>
                <c:pt idx="9">
                  <c:v>4</c:v>
                </c:pt>
                <c:pt idx="10">
                  <c:v>-3.2</c:v>
                </c:pt>
                <c:pt idx="11">
                  <c:v>-6.7</c:v>
                </c:pt>
                <c:pt idx="12">
                  <c:v>-14.2</c:v>
                </c:pt>
                <c:pt idx="13">
                  <c:v>-7.7</c:v>
                </c:pt>
                <c:pt idx="14">
                  <c:v>4.5</c:v>
                </c:pt>
                <c:pt idx="15">
                  <c:v>8.1</c:v>
                </c:pt>
                <c:pt idx="16">
                  <c:v>19.5</c:v>
                </c:pt>
                <c:pt idx="17">
                  <c:v>14.8</c:v>
                </c:pt>
                <c:pt idx="18">
                  <c:v>10.8</c:v>
                </c:pt>
                <c:pt idx="19">
                  <c:v>8.8000000000000007</c:v>
                </c:pt>
                <c:pt idx="20">
                  <c:v>7.6</c:v>
                </c:pt>
                <c:pt idx="21">
                  <c:v>12.2</c:v>
                </c:pt>
                <c:pt idx="22">
                  <c:v>13.8</c:v>
                </c:pt>
                <c:pt idx="23">
                  <c:v>16.3</c:v>
                </c:pt>
                <c:pt idx="24">
                  <c:v>17.7</c:v>
                </c:pt>
                <c:pt idx="25">
                  <c:v>14.3</c:v>
                </c:pt>
                <c:pt idx="26">
                  <c:v>6.3</c:v>
                </c:pt>
                <c:pt idx="27">
                  <c:v>7</c:v>
                </c:pt>
                <c:pt idx="28">
                  <c:v>9.8000000000000007</c:v>
                </c:pt>
                <c:pt idx="29">
                  <c:v>10.4</c:v>
                </c:pt>
                <c:pt idx="30">
                  <c:v>9.4</c:v>
                </c:pt>
                <c:pt idx="31">
                  <c:v>9.3000000000000007</c:v>
                </c:pt>
              </c:numCache>
            </c:numRef>
          </c:val>
        </c:ser>
        <c:ser>
          <c:idx val="5"/>
          <c:order val="5"/>
          <c:tx>
            <c:strRef>
              <c:f>'výkonnost odvětví 1'!$B$35</c:f>
              <c:strCache>
                <c:ptCount val="1"/>
                <c:pt idx="0">
                  <c:v>Energetika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1'!$C$28:$AH$29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1'!$C$35:$AH$35</c:f>
              <c:numCache>
                <c:formatCode>#,##0.0</c:formatCode>
                <c:ptCount val="32"/>
                <c:pt idx="0">
                  <c:v>3.3</c:v>
                </c:pt>
                <c:pt idx="1">
                  <c:v>5</c:v>
                </c:pt>
                <c:pt idx="2">
                  <c:v>8.3000000000000007</c:v>
                </c:pt>
                <c:pt idx="3">
                  <c:v>2.6</c:v>
                </c:pt>
                <c:pt idx="4">
                  <c:v>-3.9</c:v>
                </c:pt>
                <c:pt idx="5">
                  <c:v>0.4</c:v>
                </c:pt>
                <c:pt idx="6">
                  <c:v>-5</c:v>
                </c:pt>
                <c:pt idx="7">
                  <c:v>2.4</c:v>
                </c:pt>
                <c:pt idx="8">
                  <c:v>1.8</c:v>
                </c:pt>
                <c:pt idx="9">
                  <c:v>4.4000000000000004</c:v>
                </c:pt>
                <c:pt idx="10">
                  <c:v>1</c:v>
                </c:pt>
                <c:pt idx="11">
                  <c:v>-7.8</c:v>
                </c:pt>
                <c:pt idx="12">
                  <c:v>-3.4</c:v>
                </c:pt>
                <c:pt idx="13">
                  <c:v>-4.0999999999999996</c:v>
                </c:pt>
                <c:pt idx="14">
                  <c:v>-3.1</c:v>
                </c:pt>
                <c:pt idx="15">
                  <c:v>4.0999999999999996</c:v>
                </c:pt>
                <c:pt idx="16">
                  <c:v>-3.7</c:v>
                </c:pt>
                <c:pt idx="17">
                  <c:v>-2.2999999999999998</c:v>
                </c:pt>
                <c:pt idx="18">
                  <c:v>-1.5</c:v>
                </c:pt>
                <c:pt idx="19">
                  <c:v>-4.0999999999999996</c:v>
                </c:pt>
                <c:pt idx="20">
                  <c:v>2.6</c:v>
                </c:pt>
                <c:pt idx="21">
                  <c:v>-1.5</c:v>
                </c:pt>
                <c:pt idx="22">
                  <c:v>-4.5999999999999996</c:v>
                </c:pt>
                <c:pt idx="23">
                  <c:v>-7.9</c:v>
                </c:pt>
                <c:pt idx="24">
                  <c:v>-4.2</c:v>
                </c:pt>
                <c:pt idx="25">
                  <c:v>3.6</c:v>
                </c:pt>
                <c:pt idx="26">
                  <c:v>-2.2000000000000002</c:v>
                </c:pt>
                <c:pt idx="27">
                  <c:v>7.2</c:v>
                </c:pt>
                <c:pt idx="28">
                  <c:v>5.0999999999999996</c:v>
                </c:pt>
                <c:pt idx="29">
                  <c:v>-0.60000000000000064</c:v>
                </c:pt>
                <c:pt idx="30">
                  <c:v>8.8000000000000007</c:v>
                </c:pt>
                <c:pt idx="31">
                  <c:v>5.7</c:v>
                </c:pt>
              </c:numCache>
            </c:numRef>
          </c:val>
        </c:ser>
        <c:marker val="1"/>
        <c:axId val="128124032"/>
        <c:axId val="128125952"/>
      </c:lineChart>
      <c:catAx>
        <c:axId val="128124032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125952"/>
        <c:crossesAt val="0"/>
        <c:lblAlgn val="ctr"/>
        <c:lblOffset val="0"/>
        <c:tickLblSkip val="1"/>
        <c:tickMarkSkip val="4"/>
      </c:catAx>
      <c:valAx>
        <c:axId val="128125952"/>
        <c:scaling>
          <c:orientation val="minMax"/>
          <c:max val="40"/>
          <c:min val="-2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124032"/>
        <c:crosses val="autoZero"/>
        <c:crossBetween val="between"/>
        <c:majorUnit val="5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37685827278E-2"/>
          <c:y val="0.87213891703253565"/>
          <c:w val="0.9258012889558157"/>
          <c:h val="0.1207125970955758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2277854581154255E-2"/>
          <c:y val="1.9008475080329122E-2"/>
          <c:w val="0.92988062751698064"/>
          <c:h val="0.74907069683665461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2'!$B$31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2'!$C$31:$AH$31</c:f>
              <c:numCache>
                <c:formatCode>#,##0__</c:formatCode>
                <c:ptCount val="32"/>
                <c:pt idx="0">
                  <c:v>12.055391895765808</c:v>
                </c:pt>
                <c:pt idx="1">
                  <c:v>18.791783051344343</c:v>
                </c:pt>
                <c:pt idx="2">
                  <c:v>17.444097402471726</c:v>
                </c:pt>
                <c:pt idx="3">
                  <c:v>13.26089792662915</c:v>
                </c:pt>
                <c:pt idx="4" formatCode="#,##0.0__">
                  <c:v>12.043107093421796</c:v>
                </c:pt>
                <c:pt idx="5" formatCode="#,##0.0__">
                  <c:v>5.3292904020963094</c:v>
                </c:pt>
                <c:pt idx="6" formatCode="#,##0.0__">
                  <c:v>-1.5038236293274403</c:v>
                </c:pt>
                <c:pt idx="7" formatCode="#,##0.0__">
                  <c:v>0.49985199872995251</c:v>
                </c:pt>
                <c:pt idx="8" formatCode="#,##0.0__">
                  <c:v>7.8919882289544265</c:v>
                </c:pt>
                <c:pt idx="9" formatCode="#,##0.0__">
                  <c:v>0.24363263911027391</c:v>
                </c:pt>
                <c:pt idx="10" formatCode="#,##0.0__">
                  <c:v>2.6780600325356119</c:v>
                </c:pt>
                <c:pt idx="11" formatCode="#,##0.0__">
                  <c:v>-2.2927798243121345</c:v>
                </c:pt>
                <c:pt idx="12" formatCode="#,##0.0__">
                  <c:v>-6.7566875441004868</c:v>
                </c:pt>
                <c:pt idx="13" formatCode="#,##0.0__">
                  <c:v>-0.77743908810788365</c:v>
                </c:pt>
                <c:pt idx="14" formatCode="#,##0.0__">
                  <c:v>12.110592029586016</c:v>
                </c:pt>
                <c:pt idx="15" formatCode="#,##0.0__">
                  <c:v>12.611542535334834</c:v>
                </c:pt>
                <c:pt idx="16" formatCode="#,##0.0__">
                  <c:v>18.45457625725863</c:v>
                </c:pt>
                <c:pt idx="17" formatCode="#,##0.0__">
                  <c:v>13.812603337719338</c:v>
                </c:pt>
                <c:pt idx="18" formatCode="#,##0.0__">
                  <c:v>11.164927309703883</c:v>
                </c:pt>
                <c:pt idx="19" formatCode="#,##0.0__">
                  <c:v>7.3250322249586759</c:v>
                </c:pt>
                <c:pt idx="20" formatCode="#,##0.0__">
                  <c:v>8.5397251010390267</c:v>
                </c:pt>
                <c:pt idx="21" formatCode="#,##0.0__">
                  <c:v>6.4894834031568358</c:v>
                </c:pt>
                <c:pt idx="22" formatCode="#,##0.0__">
                  <c:v>4.1045761314248068</c:v>
                </c:pt>
                <c:pt idx="23" formatCode="#,##0.0__">
                  <c:v>6.0151063810169205</c:v>
                </c:pt>
                <c:pt idx="24" formatCode="#,##0.0__">
                  <c:v>1.3550678522953064</c:v>
                </c:pt>
                <c:pt idx="25" formatCode="#,##0.0__">
                  <c:v>10.856046878525468</c:v>
                </c:pt>
                <c:pt idx="26" formatCode="#,##0.0__">
                  <c:v>1.6431282237439291</c:v>
                </c:pt>
                <c:pt idx="27" formatCode="#,##0.0__">
                  <c:v>6.7220844736941086</c:v>
                </c:pt>
                <c:pt idx="28" formatCode="#,##0.0__">
                  <c:v>10.796220308501121</c:v>
                </c:pt>
                <c:pt idx="29" formatCode="#,##0.0__">
                  <c:v>4.4943696379203164</c:v>
                </c:pt>
                <c:pt idx="30" formatCode="#,##0.0__">
                  <c:v>6.8721659235657109</c:v>
                </c:pt>
                <c:pt idx="31" formatCode="#,##0.0__">
                  <c:v>7.1495707500021304</c:v>
                </c:pt>
              </c:numCache>
            </c:numRef>
          </c:val>
        </c:ser>
        <c:gapWidth val="34"/>
        <c:overlap val="28"/>
        <c:axId val="128166528"/>
        <c:axId val="128201472"/>
      </c:barChart>
      <c:lineChart>
        <c:grouping val="standard"/>
        <c:ser>
          <c:idx val="2"/>
          <c:order val="1"/>
          <c:tx>
            <c:strRef>
              <c:f>'výkonnost odvětví 2'!$B$32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2'!$C$32:$AH$32</c:f>
              <c:numCache>
                <c:formatCode>#,##0__</c:formatCode>
                <c:ptCount val="32"/>
                <c:pt idx="0">
                  <c:v>9.3690304814095526</c:v>
                </c:pt>
                <c:pt idx="1">
                  <c:v>20.682184629381226</c:v>
                </c:pt>
                <c:pt idx="2">
                  <c:v>16.573478365504201</c:v>
                </c:pt>
                <c:pt idx="3">
                  <c:v>7.6006914518984274</c:v>
                </c:pt>
                <c:pt idx="4" formatCode="#,##0.0__">
                  <c:v>2.8145814762462464</c:v>
                </c:pt>
                <c:pt idx="5" formatCode="#,##0.0__">
                  <c:v>-0.651603618042502</c:v>
                </c:pt>
                <c:pt idx="6" formatCode="#,##0.0__">
                  <c:v>-11.671782921579478</c:v>
                </c:pt>
                <c:pt idx="7" formatCode="#,##0.0__">
                  <c:v>-10.696553890943122</c:v>
                </c:pt>
                <c:pt idx="8" formatCode="#,##0.0__">
                  <c:v>2.6214056871317126</c:v>
                </c:pt>
                <c:pt idx="9" formatCode="#,##0.0__">
                  <c:v>-9.2467743432498679</c:v>
                </c:pt>
                <c:pt idx="10" formatCode="#,##0.0__">
                  <c:v>-2.8571545096936277</c:v>
                </c:pt>
                <c:pt idx="11" formatCode="#,##0.0__">
                  <c:v>-4.0487324448534139</c:v>
                </c:pt>
                <c:pt idx="12" formatCode="#,##0.0__">
                  <c:v>-7.112663177047466</c:v>
                </c:pt>
                <c:pt idx="13" formatCode="#,##0.0__">
                  <c:v>-0.59561460542927591</c:v>
                </c:pt>
                <c:pt idx="14" formatCode="#,##0.0__">
                  <c:v>9.3847374388735147</c:v>
                </c:pt>
                <c:pt idx="15" formatCode="#,##0.0__">
                  <c:v>7.0782158358476011</c:v>
                </c:pt>
                <c:pt idx="16" formatCode="#,##0.0__">
                  <c:v>14.183839645941402</c:v>
                </c:pt>
                <c:pt idx="17" formatCode="#,##0.0__">
                  <c:v>7.7929541685002057</c:v>
                </c:pt>
                <c:pt idx="18" formatCode="#,##0.0__">
                  <c:v>16.845115352064926</c:v>
                </c:pt>
                <c:pt idx="19" formatCode="#,##0.0__">
                  <c:v>9.6787104542652713</c:v>
                </c:pt>
                <c:pt idx="20" formatCode="#,##0.0__">
                  <c:v>4.3419613010107314</c:v>
                </c:pt>
                <c:pt idx="21" formatCode="#,##0.0__">
                  <c:v>10.024449168168022</c:v>
                </c:pt>
                <c:pt idx="22" formatCode="#,##0.0__">
                  <c:v>-4.7604240586837046</c:v>
                </c:pt>
                <c:pt idx="23" formatCode="#,##0.0__">
                  <c:v>0.56107209694786753</c:v>
                </c:pt>
                <c:pt idx="24" formatCode="#,##0.0__">
                  <c:v>0.20304376106223312</c:v>
                </c:pt>
                <c:pt idx="25" formatCode="#,##0.0__">
                  <c:v>4.9376200007964304</c:v>
                </c:pt>
                <c:pt idx="26" formatCode="#,##0.0__">
                  <c:v>-0.65834656713856565</c:v>
                </c:pt>
                <c:pt idx="27" formatCode="#,##0.0__">
                  <c:v>2.8730898893807049</c:v>
                </c:pt>
                <c:pt idx="28" formatCode="#,##0.0__">
                  <c:v>13.155899673321022</c:v>
                </c:pt>
                <c:pt idx="29" formatCode="#,##0.0__">
                  <c:v>8.5400143228763579</c:v>
                </c:pt>
                <c:pt idx="30" formatCode="#,##0.0__">
                  <c:v>10.396668475893662</c:v>
                </c:pt>
                <c:pt idx="31" formatCode="#,##0.0__">
                  <c:v>12.144384502936768</c:v>
                </c:pt>
              </c:numCache>
            </c:numRef>
          </c:val>
        </c:ser>
        <c:ser>
          <c:idx val="5"/>
          <c:order val="2"/>
          <c:tx>
            <c:strRef>
              <c:f>'výkonnost odvětví 2'!$B$33</c:f>
              <c:strCache>
                <c:ptCount val="1"/>
                <c:pt idx="0">
                  <c:v>Průmyslové zakázky ze zahraničí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2'!$C$33:$AH$33</c:f>
              <c:numCache>
                <c:formatCode>#,##0__</c:formatCode>
                <c:ptCount val="32"/>
                <c:pt idx="0">
                  <c:v>13.96798941382943</c:v>
                </c:pt>
                <c:pt idx="1">
                  <c:v>17.501947519030608</c:v>
                </c:pt>
                <c:pt idx="2">
                  <c:v>18.066387266026329</c:v>
                </c:pt>
                <c:pt idx="3">
                  <c:v>17.763796211422481</c:v>
                </c:pt>
                <c:pt idx="4" formatCode="#,##0.0__">
                  <c:v>18.34836623218202</c:v>
                </c:pt>
                <c:pt idx="5" formatCode="#,##0.0__">
                  <c:v>9.5205491734487566</c:v>
                </c:pt>
                <c:pt idx="6" formatCode="#,##0.0__">
                  <c:v>5.6720014781022305</c:v>
                </c:pt>
                <c:pt idx="7" formatCode="#,##0.0__">
                  <c:v>8.638303197539857</c:v>
                </c:pt>
                <c:pt idx="8" formatCode="#,##0.0__">
                  <c:v>11.020383939537369</c:v>
                </c:pt>
                <c:pt idx="9" formatCode="#,##0.0__">
                  <c:v>6.2765650038583436</c:v>
                </c:pt>
                <c:pt idx="10" formatCode="#,##0.0__">
                  <c:v>5.9432769293397172</c:v>
                </c:pt>
                <c:pt idx="11" formatCode="#,##0.0__">
                  <c:v>-1.2435728368122061</c:v>
                </c:pt>
                <c:pt idx="12" formatCode="#,##0.0__">
                  <c:v>-6.5613801859878365</c:v>
                </c:pt>
                <c:pt idx="13" formatCode="#,##0.0__">
                  <c:v>-0.8761398590468884</c:v>
                </c:pt>
                <c:pt idx="14" formatCode="#,##0.0__">
                  <c:v>13.585000036266127</c:v>
                </c:pt>
                <c:pt idx="15" formatCode="#,##0.0__">
                  <c:v>15.823871636824705</c:v>
                </c:pt>
                <c:pt idx="16" formatCode="#,##0.0__">
                  <c:v>20.558652721652518</c:v>
                </c:pt>
                <c:pt idx="17" formatCode="#,##0.0__">
                  <c:v>16.687921882537509</c:v>
                </c:pt>
                <c:pt idx="18" formatCode="#,##0.0__">
                  <c:v>8.5531225813094967</c:v>
                </c:pt>
                <c:pt idx="19" formatCode="#,##0.0__">
                  <c:v>6.3161284689543784</c:v>
                </c:pt>
                <c:pt idx="20" formatCode="#,##0.0__">
                  <c:v>10.348522192193441</c:v>
                </c:pt>
                <c:pt idx="21" formatCode="#,##0.0__">
                  <c:v>5.0066840085656965</c:v>
                </c:pt>
                <c:pt idx="22" formatCode="#,##0.0__">
                  <c:v>8.2506299270615511</c:v>
                </c:pt>
                <c:pt idx="23" formatCode="#,##0.0__">
                  <c:v>8.5340301032502452</c:v>
                </c:pt>
                <c:pt idx="24" formatCode="#,##0.0__">
                  <c:v>1.8244492596639788</c:v>
                </c:pt>
                <c:pt idx="25" formatCode="#,##0.0__">
                  <c:v>13.457258781079091</c:v>
                </c:pt>
                <c:pt idx="26" formatCode="#,##0.0__">
                  <c:v>2.5901270212493452</c:v>
                </c:pt>
                <c:pt idx="27" formatCode="#,##0.0__">
                  <c:v>8.3691406681191598</c:v>
                </c:pt>
                <c:pt idx="28" formatCode="#,##0.0__">
                  <c:v>9.8501004383929143</c:v>
                </c:pt>
                <c:pt idx="29" formatCode="#,##0.0__">
                  <c:v>2.8497854565056429</c:v>
                </c:pt>
                <c:pt idx="30" formatCode="#,##0.0__">
                  <c:v>5.467843433834978</c:v>
                </c:pt>
                <c:pt idx="31" formatCode="#,##0.0__">
                  <c:v>5.1205963333871685</c:v>
                </c:pt>
              </c:numCache>
            </c:numRef>
          </c:val>
        </c:ser>
        <c:ser>
          <c:idx val="3"/>
          <c:order val="3"/>
          <c:tx>
            <c:strRef>
              <c:f>'výkonnost odvětví 2'!$B$34</c:f>
              <c:strCache>
                <c:ptCount val="1"/>
                <c:pt idx="0">
                  <c:v>Celkové zakázky ve výrobě motor.voz.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2'!$C$34:$AH$34</c:f>
              <c:numCache>
                <c:formatCode>#,##0__</c:formatCode>
                <c:ptCount val="32"/>
                <c:pt idx="0">
                  <c:v>22.397283511257044</c:v>
                </c:pt>
                <c:pt idx="1">
                  <c:v>13.973190879284953</c:v>
                </c:pt>
                <c:pt idx="2">
                  <c:v>7.1944739378557783</c:v>
                </c:pt>
                <c:pt idx="3">
                  <c:v>11.191670681843235</c:v>
                </c:pt>
                <c:pt idx="4" formatCode="#,##0.0__">
                  <c:v>11.429400379513879</c:v>
                </c:pt>
                <c:pt idx="5" formatCode="#,##0.0__">
                  <c:v>9.2048286805520956</c:v>
                </c:pt>
                <c:pt idx="6" formatCode="#,##0.0__">
                  <c:v>4.4139955552265207</c:v>
                </c:pt>
                <c:pt idx="7" formatCode="#,##0.0__">
                  <c:v>5.3718735076924125</c:v>
                </c:pt>
                <c:pt idx="8" formatCode="#,##0.0__">
                  <c:v>19.54636851917148</c:v>
                </c:pt>
                <c:pt idx="9" formatCode="#,##0.0__">
                  <c:v>4.6887564118292016</c:v>
                </c:pt>
                <c:pt idx="10" formatCode="#,##0.0__">
                  <c:v>1.3322326875189248</c:v>
                </c:pt>
                <c:pt idx="11" formatCode="#,##0.0__">
                  <c:v>-2.0219087809167182</c:v>
                </c:pt>
                <c:pt idx="12" formatCode="#,##0.0__">
                  <c:v>-15.42372622798851</c:v>
                </c:pt>
                <c:pt idx="13" formatCode="#,##0.0__">
                  <c:v>-3.0233686336023182</c:v>
                </c:pt>
                <c:pt idx="14" formatCode="#,##0.0__">
                  <c:v>24.654149056071926</c:v>
                </c:pt>
                <c:pt idx="15" formatCode="#,##0.0__">
                  <c:v>18.470996489023367</c:v>
                </c:pt>
                <c:pt idx="16" formatCode="#,##0.0__">
                  <c:v>33.791068906341536</c:v>
                </c:pt>
                <c:pt idx="17" formatCode="#,##0.0__">
                  <c:v>22.392943648551356</c:v>
                </c:pt>
                <c:pt idx="18" formatCode="#,##0.0__">
                  <c:v>16.969041222835102</c:v>
                </c:pt>
                <c:pt idx="19" formatCode="#,##0.0__">
                  <c:v>12.211301534151115</c:v>
                </c:pt>
                <c:pt idx="20" formatCode="#,##0.0__">
                  <c:v>15.316352438277944</c:v>
                </c:pt>
                <c:pt idx="21" formatCode="#,##0.0__">
                  <c:v>5.5843434565174555</c:v>
                </c:pt>
                <c:pt idx="22" formatCode="#,##0.0__">
                  <c:v>13.898535777390734</c:v>
                </c:pt>
                <c:pt idx="23" formatCode="#,##0.0__">
                  <c:v>18.975191723154538</c:v>
                </c:pt>
                <c:pt idx="24" formatCode="#,##0.0__">
                  <c:v>11.460497347422461</c:v>
                </c:pt>
                <c:pt idx="25" formatCode="#,##0.0__">
                  <c:v>33.085131031292185</c:v>
                </c:pt>
                <c:pt idx="26" formatCode="#,##0.0__">
                  <c:v>5.912380139380474</c:v>
                </c:pt>
                <c:pt idx="27" formatCode="#,##0.0__">
                  <c:v>12.001000805244416</c:v>
                </c:pt>
                <c:pt idx="28" formatCode="#,##0.0__">
                  <c:v>7.9823395684182898</c:v>
                </c:pt>
                <c:pt idx="29" formatCode="#,##0.0__">
                  <c:v>-1.8020707588304248</c:v>
                </c:pt>
                <c:pt idx="30" formatCode="#,##0.0__">
                  <c:v>3.7931567072466277</c:v>
                </c:pt>
                <c:pt idx="31" formatCode="#,##0.0__">
                  <c:v>0.31765189807586625</c:v>
                </c:pt>
              </c:numCache>
            </c:numRef>
          </c:val>
        </c:ser>
        <c:marker val="1"/>
        <c:axId val="128166528"/>
        <c:axId val="128201472"/>
      </c:lineChart>
      <c:lineChart>
        <c:grouping val="standard"/>
        <c:ser>
          <c:idx val="4"/>
          <c:order val="4"/>
          <c:tx>
            <c:strRef>
              <c:f>'výkonnost odvětví 2'!$B$35</c:f>
              <c:strCache>
                <c:ptCount val="1"/>
                <c:pt idx="0">
                  <c:v>Saldo souhr. indikát. důvěry v průmyslu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2'!$C$29:$AH$30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2'!$C$35:$AH$35</c:f>
              <c:numCache>
                <c:formatCode>0.0</c:formatCode>
                <c:ptCount val="32"/>
                <c:pt idx="0">
                  <c:v>-5.4444444444444464</c:v>
                </c:pt>
                <c:pt idx="1">
                  <c:v>2.4333333333333331</c:v>
                </c:pt>
                <c:pt idx="2">
                  <c:v>5.5666666666666664</c:v>
                </c:pt>
                <c:pt idx="3">
                  <c:v>10</c:v>
                </c:pt>
                <c:pt idx="4">
                  <c:v>12.200000000000001</c:v>
                </c:pt>
                <c:pt idx="5">
                  <c:v>5.8999999999999995</c:v>
                </c:pt>
                <c:pt idx="6">
                  <c:v>2.4333333333333331</c:v>
                </c:pt>
                <c:pt idx="7">
                  <c:v>1.8</c:v>
                </c:pt>
                <c:pt idx="8">
                  <c:v>1.5666666666666667</c:v>
                </c:pt>
                <c:pt idx="9">
                  <c:v>-2.5666666666666669</c:v>
                </c:pt>
                <c:pt idx="10">
                  <c:v>-8.9</c:v>
                </c:pt>
                <c:pt idx="11">
                  <c:v>-10.200000000000001</c:v>
                </c:pt>
                <c:pt idx="12">
                  <c:v>-8.9</c:v>
                </c:pt>
                <c:pt idx="13">
                  <c:v>-10</c:v>
                </c:pt>
                <c:pt idx="14">
                  <c:v>-6.2333333333333432</c:v>
                </c:pt>
                <c:pt idx="15">
                  <c:v>1.7000000000000002</c:v>
                </c:pt>
                <c:pt idx="16">
                  <c:v>2.3333333333333335</c:v>
                </c:pt>
                <c:pt idx="17">
                  <c:v>3.6333333333333342</c:v>
                </c:pt>
                <c:pt idx="18">
                  <c:v>2.5333333333333332</c:v>
                </c:pt>
                <c:pt idx="19">
                  <c:v>2.6666666666666665</c:v>
                </c:pt>
                <c:pt idx="20">
                  <c:v>3</c:v>
                </c:pt>
                <c:pt idx="21">
                  <c:v>3.7666666666666671</c:v>
                </c:pt>
                <c:pt idx="22">
                  <c:v>3.7666666666666671</c:v>
                </c:pt>
                <c:pt idx="23">
                  <c:v>0.76666666666666661</c:v>
                </c:pt>
                <c:pt idx="24">
                  <c:v>3.5666666666666664</c:v>
                </c:pt>
                <c:pt idx="25">
                  <c:v>1.9000000000000001</c:v>
                </c:pt>
                <c:pt idx="26">
                  <c:v>3.7666666666666671</c:v>
                </c:pt>
                <c:pt idx="27">
                  <c:v>5.333333333333341</c:v>
                </c:pt>
                <c:pt idx="28">
                  <c:v>3.3333333333333335</c:v>
                </c:pt>
                <c:pt idx="29">
                  <c:v>0.8333333333333337</c:v>
                </c:pt>
                <c:pt idx="30">
                  <c:v>3.8666666666666667</c:v>
                </c:pt>
                <c:pt idx="31">
                  <c:v>5.8</c:v>
                </c:pt>
              </c:numCache>
            </c:numRef>
          </c:val>
        </c:ser>
        <c:marker val="1"/>
        <c:axId val="128203008"/>
        <c:axId val="128208896"/>
      </c:lineChart>
      <c:catAx>
        <c:axId val="128166528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201472"/>
        <c:crossesAt val="0"/>
        <c:lblAlgn val="ctr"/>
        <c:lblOffset val="0"/>
        <c:tickLblSkip val="1"/>
        <c:tickMarkSkip val="4"/>
      </c:catAx>
      <c:valAx>
        <c:axId val="128201472"/>
        <c:scaling>
          <c:orientation val="minMax"/>
          <c:max val="35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166528"/>
        <c:crosses val="autoZero"/>
        <c:crossBetween val="between"/>
        <c:majorUnit val="5"/>
      </c:valAx>
      <c:catAx>
        <c:axId val="128203008"/>
        <c:scaling>
          <c:orientation val="minMax"/>
        </c:scaling>
        <c:delete val="1"/>
        <c:axPos val="b"/>
        <c:numFmt formatCode="General" sourceLinked="1"/>
        <c:tickLblPos val="none"/>
        <c:crossAx val="128208896"/>
        <c:crosses val="autoZero"/>
        <c:auto val="1"/>
        <c:lblAlgn val="ctr"/>
        <c:lblOffset val="100"/>
      </c:catAx>
      <c:valAx>
        <c:axId val="128208896"/>
        <c:scaling>
          <c:orientation val="minMax"/>
          <c:max val="40"/>
          <c:min val="-30"/>
        </c:scaling>
        <c:delete val="1"/>
        <c:axPos val="r"/>
        <c:numFmt formatCode="0" sourceLinked="0"/>
        <c:majorTickMark val="in"/>
        <c:tickLblPos val="none"/>
        <c:crossAx val="128203008"/>
        <c:crosses val="max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455780139263733E-2"/>
          <c:y val="0.86823820781267591"/>
          <c:w val="0.93069499440685066"/>
          <c:h val="0.11760244286840073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6155778692800765E-2"/>
          <c:y val="1.6563187842952805E-2"/>
          <c:w val="0.92847707700101312"/>
          <c:h val="0.74964447062339068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3'!$C$10</c:f>
              <c:strCache>
                <c:ptCount val="1"/>
                <c:pt idx="0">
                  <c:v>Index stavební produkce (ISP)*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3'!$A$11:$B$42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3'!$C$11:$C$42</c:f>
              <c:numCache>
                <c:formatCode>0.0</c:formatCode>
                <c:ptCount val="32"/>
                <c:pt idx="0">
                  <c:v>-23.120057013701128</c:v>
                </c:pt>
                <c:pt idx="1">
                  <c:v>-9.2766748828576624</c:v>
                </c:pt>
                <c:pt idx="2">
                  <c:v>-2.4888564673362477</c:v>
                </c:pt>
                <c:pt idx="3">
                  <c:v>-2.4862725914601347</c:v>
                </c:pt>
                <c:pt idx="4">
                  <c:v>5.4340778294487455</c:v>
                </c:pt>
                <c:pt idx="5">
                  <c:v>-5.1748712012492772</c:v>
                </c:pt>
                <c:pt idx="6">
                  <c:v>-9.0626115502138447</c:v>
                </c:pt>
                <c:pt idx="7">
                  <c:v>-0.48958026109285635</c:v>
                </c:pt>
                <c:pt idx="8">
                  <c:v>-9.8039253584432728</c:v>
                </c:pt>
                <c:pt idx="9">
                  <c:v>-4.8949878342740885</c:v>
                </c:pt>
                <c:pt idx="10">
                  <c:v>-5.6301862364878543</c:v>
                </c:pt>
                <c:pt idx="11">
                  <c:v>-9.5592571582062913</c:v>
                </c:pt>
                <c:pt idx="12">
                  <c:v>-10.557390500959514</c:v>
                </c:pt>
                <c:pt idx="13">
                  <c:v>-11.621960728760948</c:v>
                </c:pt>
                <c:pt idx="14">
                  <c:v>-4.9875986813230124</c:v>
                </c:pt>
                <c:pt idx="15">
                  <c:v>-2.5771236924786791</c:v>
                </c:pt>
                <c:pt idx="16">
                  <c:v>13.055882416024415</c:v>
                </c:pt>
                <c:pt idx="17">
                  <c:v>5.5522563313626314</c:v>
                </c:pt>
                <c:pt idx="18">
                  <c:v>2.4239532465729461</c:v>
                </c:pt>
                <c:pt idx="19">
                  <c:v>1.1675822183680111</c:v>
                </c:pt>
                <c:pt idx="20">
                  <c:v>9.1898098937331447</c:v>
                </c:pt>
                <c:pt idx="21">
                  <c:v>11.978202281299883</c:v>
                </c:pt>
                <c:pt idx="22">
                  <c:v>7.8876200193737294</c:v>
                </c:pt>
                <c:pt idx="23">
                  <c:v>0.9205709578468485</c:v>
                </c:pt>
                <c:pt idx="24">
                  <c:v>-6.2603694688651714</c:v>
                </c:pt>
                <c:pt idx="25">
                  <c:v>-10.294428232222614</c:v>
                </c:pt>
                <c:pt idx="26">
                  <c:v>-5.8903976249557957</c:v>
                </c:pt>
                <c:pt idx="27">
                  <c:v>-1.6623714276334169</c:v>
                </c:pt>
                <c:pt idx="28">
                  <c:v>-0.8577886514383718</c:v>
                </c:pt>
                <c:pt idx="29">
                  <c:v>9.0654811780721367</c:v>
                </c:pt>
                <c:pt idx="30">
                  <c:v>2.0668982046535787</c:v>
                </c:pt>
                <c:pt idx="31">
                  <c:v>2.9174000105613382</c:v>
                </c:pt>
              </c:numCache>
            </c:numRef>
          </c:val>
        </c:ser>
        <c:gapWidth val="31"/>
        <c:axId val="127047936"/>
        <c:axId val="128156032"/>
      </c:barChart>
      <c:lineChart>
        <c:grouping val="standard"/>
        <c:ser>
          <c:idx val="1"/>
          <c:order val="1"/>
          <c:tx>
            <c:strRef>
              <c:f>'výkonnost odvětví 3'!$D$10</c:f>
              <c:strCache>
                <c:ptCount val="1"/>
                <c:pt idx="0">
                  <c:v>ISP v pozemním stavitelství*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3'!$D$11:$D$42</c:f>
              <c:numCache>
                <c:formatCode>0.0</c:formatCode>
                <c:ptCount val="32"/>
                <c:pt idx="0">
                  <c:v>-27.38404916065743</c:v>
                </c:pt>
                <c:pt idx="1">
                  <c:v>-10.195992697308453</c:v>
                </c:pt>
                <c:pt idx="2">
                  <c:v>-0.64343623113745707</c:v>
                </c:pt>
                <c:pt idx="3">
                  <c:v>0.29978055449471697</c:v>
                </c:pt>
                <c:pt idx="4">
                  <c:v>8.6526478667478983</c:v>
                </c:pt>
                <c:pt idx="5">
                  <c:v>-1.7614370247424347</c:v>
                </c:pt>
                <c:pt idx="6">
                  <c:v>-6.4083918595574065</c:v>
                </c:pt>
                <c:pt idx="7">
                  <c:v>2.1035102297167811</c:v>
                </c:pt>
                <c:pt idx="8">
                  <c:v>-7.1548131307015765</c:v>
                </c:pt>
                <c:pt idx="9">
                  <c:v>-2.371235337644781</c:v>
                </c:pt>
                <c:pt idx="10">
                  <c:v>-5.1617070035522516</c:v>
                </c:pt>
                <c:pt idx="11">
                  <c:v>-9.6630462840948006</c:v>
                </c:pt>
                <c:pt idx="12">
                  <c:v>-9.8130296116849518</c:v>
                </c:pt>
                <c:pt idx="13">
                  <c:v>-11.08080260738596</c:v>
                </c:pt>
                <c:pt idx="14">
                  <c:v>-1.5213831370150928</c:v>
                </c:pt>
                <c:pt idx="15">
                  <c:v>-2.8931169864251558</c:v>
                </c:pt>
                <c:pt idx="16">
                  <c:v>16.319420069804831</c:v>
                </c:pt>
                <c:pt idx="17">
                  <c:v>5.2637982676477755</c:v>
                </c:pt>
                <c:pt idx="18">
                  <c:v>-0.62576498771889677</c:v>
                </c:pt>
                <c:pt idx="19">
                  <c:v>-0.54116675262584124</c:v>
                </c:pt>
                <c:pt idx="20">
                  <c:v>7.7304014967667598</c:v>
                </c:pt>
                <c:pt idx="21">
                  <c:v>7.3259613448281442</c:v>
                </c:pt>
                <c:pt idx="22">
                  <c:v>1.1826668967685101</c:v>
                </c:pt>
                <c:pt idx="23">
                  <c:v>-2.6365096586846732</c:v>
                </c:pt>
                <c:pt idx="24">
                  <c:v>-6.4726786227348958</c:v>
                </c:pt>
                <c:pt idx="25">
                  <c:v>-7.5106169785110755</c:v>
                </c:pt>
                <c:pt idx="26">
                  <c:v>1.2256141641178857</c:v>
                </c:pt>
                <c:pt idx="27">
                  <c:v>6.1460266155788634</c:v>
                </c:pt>
                <c:pt idx="28">
                  <c:v>3.0553761353927853</c:v>
                </c:pt>
                <c:pt idx="29">
                  <c:v>14.538604789084518</c:v>
                </c:pt>
                <c:pt idx="30">
                  <c:v>4.9878854079947805</c:v>
                </c:pt>
                <c:pt idx="31">
                  <c:v>3.824246333997813</c:v>
                </c:pt>
              </c:numCache>
            </c:numRef>
          </c:val>
        </c:ser>
        <c:ser>
          <c:idx val="2"/>
          <c:order val="2"/>
          <c:tx>
            <c:strRef>
              <c:f>'výkonnost odvětví 3'!$E$10</c:f>
              <c:strCache>
                <c:ptCount val="1"/>
                <c:pt idx="0">
                  <c:v>ISP v inženýrském stavitelství*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3'!$E$11:$E$42</c:f>
              <c:numCache>
                <c:formatCode>0.0</c:formatCode>
                <c:ptCount val="32"/>
                <c:pt idx="0">
                  <c:v>-9.3609474123944096</c:v>
                </c:pt>
                <c:pt idx="1">
                  <c:v>-7.4365082947044696</c:v>
                </c:pt>
                <c:pt idx="2">
                  <c:v>-5.9953599408458302</c:v>
                </c:pt>
                <c:pt idx="3">
                  <c:v>-7.8142777205149088</c:v>
                </c:pt>
                <c:pt idx="4">
                  <c:v>-2.8865015654222645</c:v>
                </c:pt>
                <c:pt idx="5">
                  <c:v>-11.803733312358375</c:v>
                </c:pt>
                <c:pt idx="6">
                  <c:v>-14.393052464894637</c:v>
                </c:pt>
                <c:pt idx="7">
                  <c:v>-5.8850496166696189</c:v>
                </c:pt>
                <c:pt idx="8">
                  <c:v>-17.466093486468566</c:v>
                </c:pt>
                <c:pt idx="9">
                  <c:v>-10.354150226448574</c:v>
                </c:pt>
                <c:pt idx="10">
                  <c:v>-6.658781473186167</c:v>
                </c:pt>
                <c:pt idx="11">
                  <c:v>-9.324971627675696</c:v>
                </c:pt>
                <c:pt idx="12">
                  <c:v>-12.979322019417509</c:v>
                </c:pt>
                <c:pt idx="13">
                  <c:v>-12.89678709744196</c:v>
                </c:pt>
                <c:pt idx="14">
                  <c:v>-12.720099822530548</c:v>
                </c:pt>
                <c:pt idx="15">
                  <c:v>-1.8664843938729092</c:v>
                </c:pt>
                <c:pt idx="16">
                  <c:v>2.0509272811968486</c:v>
                </c:pt>
                <c:pt idx="17">
                  <c:v>6.2459550633356287</c:v>
                </c:pt>
                <c:pt idx="18">
                  <c:v>10.100251547211048</c:v>
                </c:pt>
                <c:pt idx="19">
                  <c:v>4.9701965176452845</c:v>
                </c:pt>
                <c:pt idx="20">
                  <c:v>14.799149860959844</c:v>
                </c:pt>
                <c:pt idx="21">
                  <c:v>23.062726256252496</c:v>
                </c:pt>
                <c:pt idx="22">
                  <c:v>23.12019623356047</c:v>
                </c:pt>
                <c:pt idx="23">
                  <c:v>8.4208093742625323</c:v>
                </c:pt>
                <c:pt idx="24">
                  <c:v>-5.494590830303224</c:v>
                </c:pt>
                <c:pt idx="25">
                  <c:v>-16.079022329328087</c:v>
                </c:pt>
                <c:pt idx="26">
                  <c:v>-19.176301189811024</c:v>
                </c:pt>
                <c:pt idx="27">
                  <c:v>-16.447557487670625</c:v>
                </c:pt>
                <c:pt idx="28">
                  <c:v>-14.826118900558113</c:v>
                </c:pt>
                <c:pt idx="29">
                  <c:v>-3.4685193424940111</c:v>
                </c:pt>
                <c:pt idx="30">
                  <c:v>-4.7633390586119155</c:v>
                </c:pt>
                <c:pt idx="31">
                  <c:v>0.73596068359900524</c:v>
                </c:pt>
              </c:numCache>
            </c:numRef>
          </c:val>
        </c:ser>
        <c:ser>
          <c:idx val="3"/>
          <c:order val="3"/>
          <c:tx>
            <c:strRef>
              <c:f>'výkonnost odvětví 3'!$F$10</c:f>
              <c:strCache>
                <c:ptCount val="1"/>
                <c:pt idx="0">
                  <c:v>Nové zakázky ve stavebnictví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3'!$F$11:$F$42</c:f>
              <c:numCache>
                <c:formatCode>0.0</c:formatCode>
                <c:ptCount val="32"/>
                <c:pt idx="0">
                  <c:v>0.82757088505651666</c:v>
                </c:pt>
                <c:pt idx="1">
                  <c:v>8.7687755178484537</c:v>
                </c:pt>
                <c:pt idx="2">
                  <c:v>30.894711890703729</c:v>
                </c:pt>
                <c:pt idx="3">
                  <c:v>-13.415413805192953</c:v>
                </c:pt>
                <c:pt idx="4">
                  <c:v>37.795405718063236</c:v>
                </c:pt>
                <c:pt idx="5">
                  <c:v>-23.56567256698111</c:v>
                </c:pt>
                <c:pt idx="6">
                  <c:v>-23.360716461156017</c:v>
                </c:pt>
                <c:pt idx="7">
                  <c:v>-9.1653963414634205</c:v>
                </c:pt>
                <c:pt idx="8">
                  <c:v>-46.322059646597992</c:v>
                </c:pt>
                <c:pt idx="9">
                  <c:v>-13.714800630772698</c:v>
                </c:pt>
                <c:pt idx="10">
                  <c:v>-7.6729748888363662</c:v>
                </c:pt>
                <c:pt idx="11">
                  <c:v>7.5624082232011753</c:v>
                </c:pt>
                <c:pt idx="12">
                  <c:v>-17.695687793252453</c:v>
                </c:pt>
                <c:pt idx="13">
                  <c:v>-1.584773641063137</c:v>
                </c:pt>
                <c:pt idx="14">
                  <c:v>-1.3308205951467045</c:v>
                </c:pt>
                <c:pt idx="15">
                  <c:v>16.153096050706978</c:v>
                </c:pt>
                <c:pt idx="16">
                  <c:v>67.509727626458897</c:v>
                </c:pt>
                <c:pt idx="17">
                  <c:v>18.978644382544026</c:v>
                </c:pt>
                <c:pt idx="18">
                  <c:v>34.050931384107542</c:v>
                </c:pt>
                <c:pt idx="19">
                  <c:v>-1</c:v>
                </c:pt>
                <c:pt idx="20">
                  <c:v>-3.1547956675580053</c:v>
                </c:pt>
                <c:pt idx="21">
                  <c:v>9.7504961091663542</c:v>
                </c:pt>
                <c:pt idx="22">
                  <c:v>-1.0976060227612561</c:v>
                </c:pt>
                <c:pt idx="23">
                  <c:v>-2.3987783410040464</c:v>
                </c:pt>
                <c:pt idx="24">
                  <c:v>-6.6406358945753805</c:v>
                </c:pt>
                <c:pt idx="25">
                  <c:v>-0.49977652269311085</c:v>
                </c:pt>
                <c:pt idx="26">
                  <c:v>-7.0322087253454839</c:v>
                </c:pt>
                <c:pt idx="27">
                  <c:v>10.122126124559955</c:v>
                </c:pt>
                <c:pt idx="28">
                  <c:v>16.177217458847498</c:v>
                </c:pt>
                <c:pt idx="29">
                  <c:v>9.5350878984013345</c:v>
                </c:pt>
                <c:pt idx="30">
                  <c:v>-1.2817324431350698</c:v>
                </c:pt>
                <c:pt idx="31">
                  <c:v>15.620806693503823</c:v>
                </c:pt>
              </c:numCache>
            </c:numRef>
          </c:val>
        </c:ser>
        <c:ser>
          <c:idx val="4"/>
          <c:order val="4"/>
          <c:tx>
            <c:strRef>
              <c:f>'výkonnost odvětví 3'!$G$10</c:f>
              <c:strCache>
                <c:ptCount val="1"/>
                <c:pt idx="0">
                  <c:v>Saldo indik. důvěry ve stavebnictví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3'!$A$11:$B$42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3'!$G$11:$G$42</c:f>
              <c:numCache>
                <c:formatCode>0.0</c:formatCode>
                <c:ptCount val="32"/>
                <c:pt idx="0">
                  <c:v>-32.166666666666487</c:v>
                </c:pt>
                <c:pt idx="1">
                  <c:v>-32.5</c:v>
                </c:pt>
                <c:pt idx="2">
                  <c:v>-37</c:v>
                </c:pt>
                <c:pt idx="3">
                  <c:v>-42.5</c:v>
                </c:pt>
                <c:pt idx="4">
                  <c:v>-40</c:v>
                </c:pt>
                <c:pt idx="5">
                  <c:v>-40.333333333333336</c:v>
                </c:pt>
                <c:pt idx="6">
                  <c:v>-39.166666666666487</c:v>
                </c:pt>
                <c:pt idx="7">
                  <c:v>-39.333333333333336</c:v>
                </c:pt>
                <c:pt idx="8">
                  <c:v>-46</c:v>
                </c:pt>
                <c:pt idx="9">
                  <c:v>-45.333333333333336</c:v>
                </c:pt>
                <c:pt idx="10">
                  <c:v>-43.5</c:v>
                </c:pt>
                <c:pt idx="11">
                  <c:v>-44.666666666666487</c:v>
                </c:pt>
                <c:pt idx="12">
                  <c:v>-46</c:v>
                </c:pt>
                <c:pt idx="13">
                  <c:v>-53.333333333333336</c:v>
                </c:pt>
                <c:pt idx="14">
                  <c:v>-49.5</c:v>
                </c:pt>
                <c:pt idx="15">
                  <c:v>-50.833333333333336</c:v>
                </c:pt>
                <c:pt idx="16">
                  <c:v>-45.166666666666487</c:v>
                </c:pt>
                <c:pt idx="17">
                  <c:v>-38.333333333333336</c:v>
                </c:pt>
                <c:pt idx="18">
                  <c:v>-32</c:v>
                </c:pt>
                <c:pt idx="19">
                  <c:v>-25.166666666666668</c:v>
                </c:pt>
                <c:pt idx="20">
                  <c:v>-20.833333333333247</c:v>
                </c:pt>
                <c:pt idx="21">
                  <c:v>-16.333333333333247</c:v>
                </c:pt>
                <c:pt idx="22">
                  <c:v>-18.666666666666668</c:v>
                </c:pt>
                <c:pt idx="23">
                  <c:v>-15.666666666666691</c:v>
                </c:pt>
                <c:pt idx="24">
                  <c:v>-17.166666666666668</c:v>
                </c:pt>
                <c:pt idx="25">
                  <c:v>-24</c:v>
                </c:pt>
                <c:pt idx="26">
                  <c:v>-26.666666666666668</c:v>
                </c:pt>
                <c:pt idx="27">
                  <c:v>-25.833333333333247</c:v>
                </c:pt>
                <c:pt idx="28">
                  <c:v>-24.5</c:v>
                </c:pt>
                <c:pt idx="29">
                  <c:v>-22.666666666666668</c:v>
                </c:pt>
                <c:pt idx="30">
                  <c:v>-19.833333333333247</c:v>
                </c:pt>
                <c:pt idx="31">
                  <c:v>-15.166666666666691</c:v>
                </c:pt>
              </c:numCache>
            </c:numRef>
          </c:val>
        </c:ser>
        <c:marker val="1"/>
        <c:axId val="127047936"/>
        <c:axId val="128156032"/>
      </c:lineChart>
      <c:catAx>
        <c:axId val="127047936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156032"/>
        <c:crossesAt val="0"/>
        <c:lblAlgn val="ctr"/>
        <c:lblOffset val="0"/>
        <c:tickLblSkip val="1"/>
        <c:tickMarkSkip val="4"/>
      </c:catAx>
      <c:valAx>
        <c:axId val="128156032"/>
        <c:scaling>
          <c:orientation val="minMax"/>
          <c:max val="50"/>
          <c:min val="-6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7047936"/>
        <c:crosses val="autoZero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756708056613528E-2"/>
          <c:y val="0.87003886444790779"/>
          <c:w val="0.92610625633232013"/>
          <c:h val="0.1146535032960096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3337294494629933E-2"/>
          <c:y val="2.1718077717576584E-2"/>
          <c:w val="0.91372590696101663"/>
          <c:h val="0.72599103236105034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4'!$C$10</c:f>
              <c:strCache>
                <c:ptCount val="1"/>
                <c:pt idx="0">
                  <c:v>Služby celkem*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4'!$A$11:$B$42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4'!$C$11:$C$42</c:f>
              <c:numCache>
                <c:formatCode>#,##0.0</c:formatCode>
                <c:ptCount val="32"/>
                <c:pt idx="0">
                  <c:v>-4.5096006623606399</c:v>
                </c:pt>
                <c:pt idx="1">
                  <c:v>-0.3407933727576733</c:v>
                </c:pt>
                <c:pt idx="2">
                  <c:v>0.74609925365058904</c:v>
                </c:pt>
                <c:pt idx="3">
                  <c:v>-2.5213834317328718</c:v>
                </c:pt>
                <c:pt idx="4">
                  <c:v>0.27784654942253439</c:v>
                </c:pt>
                <c:pt idx="5">
                  <c:v>-0.70815472300641602</c:v>
                </c:pt>
                <c:pt idx="6">
                  <c:v>-4.5201442135076348</c:v>
                </c:pt>
                <c:pt idx="7">
                  <c:v>-2.2589143432139798</c:v>
                </c:pt>
                <c:pt idx="8">
                  <c:v>0.41378236940359181</c:v>
                </c:pt>
                <c:pt idx="9">
                  <c:v>-1.1743332862113647</c:v>
                </c:pt>
                <c:pt idx="10">
                  <c:v>1.130027439294824</c:v>
                </c:pt>
                <c:pt idx="11">
                  <c:v>-1.379575945904236</c:v>
                </c:pt>
                <c:pt idx="12">
                  <c:v>-0.16973409749459772</c:v>
                </c:pt>
                <c:pt idx="13">
                  <c:v>-0.88264073450076863</c:v>
                </c:pt>
                <c:pt idx="14">
                  <c:v>-1.4107904536963218</c:v>
                </c:pt>
                <c:pt idx="15">
                  <c:v>1.6419922984547777</c:v>
                </c:pt>
                <c:pt idx="16">
                  <c:v>-0.76539331504619823</c:v>
                </c:pt>
                <c:pt idx="17">
                  <c:v>1.6194658531601918</c:v>
                </c:pt>
                <c:pt idx="18">
                  <c:v>2.4392246258479142</c:v>
                </c:pt>
                <c:pt idx="19">
                  <c:v>0.45185880131751466</c:v>
                </c:pt>
                <c:pt idx="20">
                  <c:v>3.3495040705582237</c:v>
                </c:pt>
                <c:pt idx="21">
                  <c:v>2.6978910345402625</c:v>
                </c:pt>
                <c:pt idx="22">
                  <c:v>3.4292872838003632</c:v>
                </c:pt>
                <c:pt idx="23">
                  <c:v>2.1644881087331798</c:v>
                </c:pt>
                <c:pt idx="24">
                  <c:v>1.1293189132450581</c:v>
                </c:pt>
                <c:pt idx="25">
                  <c:v>-1.0923188796519454</c:v>
                </c:pt>
                <c:pt idx="26">
                  <c:v>1.5336791273072659</c:v>
                </c:pt>
                <c:pt idx="27">
                  <c:v>1.6116134073725306</c:v>
                </c:pt>
                <c:pt idx="28">
                  <c:v>5.6873734454673723</c:v>
                </c:pt>
                <c:pt idx="29">
                  <c:v>5.6775030081736304</c:v>
                </c:pt>
                <c:pt idx="30">
                  <c:v>3.4237422050211141</c:v>
                </c:pt>
                <c:pt idx="31">
                  <c:v>2.3921783779407937</c:v>
                </c:pt>
              </c:numCache>
            </c:numRef>
          </c:val>
        </c:ser>
        <c:gapWidth val="31"/>
        <c:axId val="128228736"/>
        <c:axId val="128235008"/>
      </c:barChart>
      <c:lineChart>
        <c:grouping val="standard"/>
        <c:ser>
          <c:idx val="1"/>
          <c:order val="1"/>
          <c:tx>
            <c:strRef>
              <c:f>'výkonnost odvětví 4'!$D$10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4'!$D$11:$D$42</c:f>
              <c:numCache>
                <c:formatCode>#,##0.0</c:formatCode>
                <c:ptCount val="32"/>
                <c:pt idx="0">
                  <c:v>1.1931031452931506</c:v>
                </c:pt>
                <c:pt idx="1">
                  <c:v>6.1417709032681964</c:v>
                </c:pt>
                <c:pt idx="2">
                  <c:v>3.8418205280418221</c:v>
                </c:pt>
                <c:pt idx="3">
                  <c:v>1.9341810747854313</c:v>
                </c:pt>
                <c:pt idx="4">
                  <c:v>3.9822259217620513</c:v>
                </c:pt>
                <c:pt idx="5">
                  <c:v>0.66835824123350773</c:v>
                </c:pt>
                <c:pt idx="6">
                  <c:v>-0.96964643016703334</c:v>
                </c:pt>
                <c:pt idx="7">
                  <c:v>1.5453219752766778</c:v>
                </c:pt>
                <c:pt idx="8">
                  <c:v>0.83205725972403854</c:v>
                </c:pt>
                <c:pt idx="9">
                  <c:v>1.8395272136614538</c:v>
                </c:pt>
                <c:pt idx="10">
                  <c:v>3.5080948551137832</c:v>
                </c:pt>
                <c:pt idx="11">
                  <c:v>-1.8161977525328439</c:v>
                </c:pt>
                <c:pt idx="12">
                  <c:v>3.4369574098321167</c:v>
                </c:pt>
                <c:pt idx="13">
                  <c:v>2.7612524909773555</c:v>
                </c:pt>
                <c:pt idx="14">
                  <c:v>2.1918868778682827</c:v>
                </c:pt>
                <c:pt idx="15">
                  <c:v>10.127849073544894</c:v>
                </c:pt>
                <c:pt idx="16">
                  <c:v>3.4570939496305186</c:v>
                </c:pt>
                <c:pt idx="17">
                  <c:v>2.3688974798375284</c:v>
                </c:pt>
                <c:pt idx="18">
                  <c:v>3.6329187567511552</c:v>
                </c:pt>
                <c:pt idx="19">
                  <c:v>4.4470637499444104E-2</c:v>
                </c:pt>
                <c:pt idx="20">
                  <c:v>0.62168572663049182</c:v>
                </c:pt>
                <c:pt idx="21">
                  <c:v>-0.1557694843351253</c:v>
                </c:pt>
                <c:pt idx="22">
                  <c:v>0.63903867236922673</c:v>
                </c:pt>
                <c:pt idx="23">
                  <c:v>0.19185042976501165</c:v>
                </c:pt>
                <c:pt idx="24">
                  <c:v>0.43661654208769202</c:v>
                </c:pt>
                <c:pt idx="25">
                  <c:v>0.84199186688548222</c:v>
                </c:pt>
                <c:pt idx="26">
                  <c:v>0.46254876698559216</c:v>
                </c:pt>
                <c:pt idx="27">
                  <c:v>2.9324708305767264</c:v>
                </c:pt>
                <c:pt idx="28">
                  <c:v>5.9953528358142734</c:v>
                </c:pt>
                <c:pt idx="29">
                  <c:v>3.5228567067738368</c:v>
                </c:pt>
                <c:pt idx="30">
                  <c:v>3.6384150797589987</c:v>
                </c:pt>
                <c:pt idx="31">
                  <c:v>2.3419061629460032</c:v>
                </c:pt>
              </c:numCache>
            </c:numRef>
          </c:val>
        </c:ser>
        <c:ser>
          <c:idx val="2"/>
          <c:order val="2"/>
          <c:tx>
            <c:strRef>
              <c:f>'výkonnost odvětví 4'!$E$10</c:f>
              <c:strCache>
                <c:ptCount val="1"/>
                <c:pt idx="0">
                  <c:v> Ubytování, stravování a pohostinství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4'!$E$11:$E$42</c:f>
              <c:numCache>
                <c:formatCode>#,##0.0</c:formatCode>
                <c:ptCount val="32"/>
                <c:pt idx="0">
                  <c:v>-5.6982042872953755</c:v>
                </c:pt>
                <c:pt idx="1">
                  <c:v>-6.4712099927930398</c:v>
                </c:pt>
                <c:pt idx="2">
                  <c:v>-2.3542896792580779</c:v>
                </c:pt>
                <c:pt idx="3">
                  <c:v>-4.3847499177807236</c:v>
                </c:pt>
                <c:pt idx="4">
                  <c:v>-0.46265416127074976</c:v>
                </c:pt>
                <c:pt idx="5">
                  <c:v>2.8715285291729344</c:v>
                </c:pt>
                <c:pt idx="6">
                  <c:v>-2.0592789510926637</c:v>
                </c:pt>
                <c:pt idx="7">
                  <c:v>-1.7188428059753562</c:v>
                </c:pt>
                <c:pt idx="8">
                  <c:v>-2.0781598790357378</c:v>
                </c:pt>
                <c:pt idx="9">
                  <c:v>-2.6956182684811552</c:v>
                </c:pt>
                <c:pt idx="10">
                  <c:v>-1.7724597664581421</c:v>
                </c:pt>
                <c:pt idx="11">
                  <c:v>-3.5559447300754954</c:v>
                </c:pt>
                <c:pt idx="12">
                  <c:v>0.90426709036874797</c:v>
                </c:pt>
                <c:pt idx="13">
                  <c:v>0.22967464431653167</c:v>
                </c:pt>
                <c:pt idx="14">
                  <c:v>1.6316433695049852</c:v>
                </c:pt>
                <c:pt idx="15">
                  <c:v>0.77668708206629034</c:v>
                </c:pt>
                <c:pt idx="16">
                  <c:v>-0.87016218392601108</c:v>
                </c:pt>
                <c:pt idx="17">
                  <c:v>-0.30143062396048598</c:v>
                </c:pt>
                <c:pt idx="18">
                  <c:v>-1.051047209578772</c:v>
                </c:pt>
                <c:pt idx="19">
                  <c:v>7.5929290959894074</c:v>
                </c:pt>
                <c:pt idx="20">
                  <c:v>2.8159396102953593</c:v>
                </c:pt>
                <c:pt idx="21">
                  <c:v>7.717438334667122</c:v>
                </c:pt>
                <c:pt idx="22">
                  <c:v>7.7500565284452563</c:v>
                </c:pt>
                <c:pt idx="23">
                  <c:v>4.9077723190360985</c:v>
                </c:pt>
                <c:pt idx="24">
                  <c:v>5.5021909192252414</c:v>
                </c:pt>
                <c:pt idx="25">
                  <c:v>1.921052217732381</c:v>
                </c:pt>
                <c:pt idx="26">
                  <c:v>6.9401686800438318</c:v>
                </c:pt>
                <c:pt idx="27">
                  <c:v>7.6944792139289442</c:v>
                </c:pt>
                <c:pt idx="28">
                  <c:v>11.826210972157085</c:v>
                </c:pt>
                <c:pt idx="29">
                  <c:v>14.901389159900674</c:v>
                </c:pt>
                <c:pt idx="30">
                  <c:v>6.6262866787685057</c:v>
                </c:pt>
                <c:pt idx="31">
                  <c:v>4.9349917595877155</c:v>
                </c:pt>
              </c:numCache>
            </c:numRef>
          </c:val>
        </c:ser>
        <c:ser>
          <c:idx val="3"/>
          <c:order val="3"/>
          <c:tx>
            <c:strRef>
              <c:f>'výkonnost odvětví 4'!$F$10</c:f>
              <c:strCache>
                <c:ptCount val="1"/>
                <c:pt idx="0">
                  <c:v>Profesní, vědecké a technické čin.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4'!$A$11:$B$42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4'!$F$11:$F$42</c:f>
              <c:numCache>
                <c:formatCode>#,##0.0</c:formatCode>
                <c:ptCount val="32"/>
                <c:pt idx="0">
                  <c:v>-12.290814732473081</c:v>
                </c:pt>
                <c:pt idx="1">
                  <c:v>-4.2329174774519487</c:v>
                </c:pt>
                <c:pt idx="2">
                  <c:v>-1.210126595272879</c:v>
                </c:pt>
                <c:pt idx="3">
                  <c:v>-7.4280319670195496</c:v>
                </c:pt>
                <c:pt idx="4">
                  <c:v>-5.3317943806041459</c:v>
                </c:pt>
                <c:pt idx="5">
                  <c:v>-4.4158534503724525</c:v>
                </c:pt>
                <c:pt idx="6">
                  <c:v>-16.037761612617995</c:v>
                </c:pt>
                <c:pt idx="7">
                  <c:v>-8.5920427388460876</c:v>
                </c:pt>
                <c:pt idx="8">
                  <c:v>1.7790041034699555</c:v>
                </c:pt>
                <c:pt idx="9">
                  <c:v>-5.9996553604536924</c:v>
                </c:pt>
                <c:pt idx="10">
                  <c:v>-0.73110405317373961</c:v>
                </c:pt>
                <c:pt idx="11">
                  <c:v>0.13717329113313781</c:v>
                </c:pt>
                <c:pt idx="12">
                  <c:v>-4.58195048341058</c:v>
                </c:pt>
                <c:pt idx="13">
                  <c:v>-7.360682238845965</c:v>
                </c:pt>
                <c:pt idx="14">
                  <c:v>-9.2460383944530999</c:v>
                </c:pt>
                <c:pt idx="15">
                  <c:v>-5.113870169368127</c:v>
                </c:pt>
                <c:pt idx="16">
                  <c:v>-6.5380037011295515</c:v>
                </c:pt>
                <c:pt idx="17">
                  <c:v>0.3386022469866255</c:v>
                </c:pt>
                <c:pt idx="18">
                  <c:v>4.1005475624141354</c:v>
                </c:pt>
                <c:pt idx="19">
                  <c:v>-5.3838954481346724</c:v>
                </c:pt>
                <c:pt idx="20">
                  <c:v>4.9781654515617104</c:v>
                </c:pt>
                <c:pt idx="21">
                  <c:v>3.5951121139233577</c:v>
                </c:pt>
                <c:pt idx="22">
                  <c:v>5.7483809511489055</c:v>
                </c:pt>
                <c:pt idx="23">
                  <c:v>-0.31685681601646926</c:v>
                </c:pt>
                <c:pt idx="24">
                  <c:v>-1.5053066841219038</c:v>
                </c:pt>
                <c:pt idx="25">
                  <c:v>-7.135921480650893</c:v>
                </c:pt>
                <c:pt idx="26">
                  <c:v>0.18542988497220914</c:v>
                </c:pt>
                <c:pt idx="27">
                  <c:v>-1.4930451088308281</c:v>
                </c:pt>
                <c:pt idx="28">
                  <c:v>4.1219039624636622</c:v>
                </c:pt>
                <c:pt idx="29">
                  <c:v>3.2420814999732044</c:v>
                </c:pt>
                <c:pt idx="30">
                  <c:v>1.3521493116212073</c:v>
                </c:pt>
                <c:pt idx="31">
                  <c:v>1.8736864219952631</c:v>
                </c:pt>
              </c:numCache>
            </c:numRef>
          </c:val>
        </c:ser>
        <c:ser>
          <c:idx val="4"/>
          <c:order val="4"/>
          <c:tx>
            <c:strRef>
              <c:f>'výkonnost odvětví 4'!$G$10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4'!$A$11:$B$42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4'!$G$11:$G$42</c:f>
              <c:numCache>
                <c:formatCode>#,##0.0</c:formatCode>
                <c:ptCount val="32"/>
                <c:pt idx="0">
                  <c:v>-1.6544875737618905</c:v>
                </c:pt>
                <c:pt idx="1">
                  <c:v>-2.3534412457178746</c:v>
                </c:pt>
                <c:pt idx="2">
                  <c:v>1.0654284656697257</c:v>
                </c:pt>
                <c:pt idx="3">
                  <c:v>1.805124603616673</c:v>
                </c:pt>
                <c:pt idx="4">
                  <c:v>4.5747765081088261</c:v>
                </c:pt>
                <c:pt idx="5">
                  <c:v>5.6147164173834332</c:v>
                </c:pt>
                <c:pt idx="6">
                  <c:v>5.0768403047078303</c:v>
                </c:pt>
                <c:pt idx="7">
                  <c:v>3.1212636054366953</c:v>
                </c:pt>
                <c:pt idx="8">
                  <c:v>4.945077216307638</c:v>
                </c:pt>
                <c:pt idx="9">
                  <c:v>2.4070453802546723</c:v>
                </c:pt>
                <c:pt idx="10">
                  <c:v>4.1591498172451855</c:v>
                </c:pt>
                <c:pt idx="11">
                  <c:v>-1.7715231328513994</c:v>
                </c:pt>
                <c:pt idx="12">
                  <c:v>-0.46025646665529507</c:v>
                </c:pt>
                <c:pt idx="13">
                  <c:v>0.99331558069717119</c:v>
                </c:pt>
                <c:pt idx="14">
                  <c:v>0.74616588702987696</c:v>
                </c:pt>
                <c:pt idx="15">
                  <c:v>3.5105053359900587</c:v>
                </c:pt>
                <c:pt idx="16">
                  <c:v>-1.3893557020296328</c:v>
                </c:pt>
                <c:pt idx="17">
                  <c:v>4.847160926162644</c:v>
                </c:pt>
                <c:pt idx="18">
                  <c:v>3.2819050323606982</c:v>
                </c:pt>
                <c:pt idx="19">
                  <c:v>4.6729340943630859</c:v>
                </c:pt>
                <c:pt idx="20">
                  <c:v>4.5522874784487488</c:v>
                </c:pt>
                <c:pt idx="21">
                  <c:v>4.9218167638030925</c:v>
                </c:pt>
                <c:pt idx="22">
                  <c:v>3.6318539238633534</c:v>
                </c:pt>
                <c:pt idx="23">
                  <c:v>4.4568122255123939</c:v>
                </c:pt>
                <c:pt idx="24">
                  <c:v>4.1495977172566541</c:v>
                </c:pt>
                <c:pt idx="25">
                  <c:v>1.3820291151999118</c:v>
                </c:pt>
                <c:pt idx="26">
                  <c:v>2.452675331402709</c:v>
                </c:pt>
                <c:pt idx="27">
                  <c:v>4.5702816404105988</c:v>
                </c:pt>
                <c:pt idx="28">
                  <c:v>9.9795978193994745</c:v>
                </c:pt>
                <c:pt idx="29">
                  <c:v>9.5826790396278625</c:v>
                </c:pt>
                <c:pt idx="30">
                  <c:v>5.6083581636031408</c:v>
                </c:pt>
                <c:pt idx="31">
                  <c:v>2.4237629624133792</c:v>
                </c:pt>
              </c:numCache>
            </c:numRef>
          </c:val>
        </c:ser>
        <c:ser>
          <c:idx val="5"/>
          <c:order val="5"/>
          <c:tx>
            <c:strRef>
              <c:f>'výkonnost odvětví 4'!$H$10</c:f>
              <c:strCache>
                <c:ptCount val="1"/>
                <c:pt idx="0">
                  <c:v> Informační a komunikační činnosti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984807"/>
              </a:solidFill>
            </c:spPr>
          </c:marker>
          <c:cat>
            <c:multiLvlStrRef>
              <c:f>'výkonnost odvětví 4'!$A$11:$B$42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4'!$H$11:$H$42</c:f>
              <c:numCache>
                <c:formatCode>#,##0.0</c:formatCode>
                <c:ptCount val="32"/>
                <c:pt idx="0">
                  <c:v>-1.7579837505306102</c:v>
                </c:pt>
                <c:pt idx="1">
                  <c:v>-0.11642123818683123</c:v>
                </c:pt>
                <c:pt idx="2">
                  <c:v>1.8880874350386601</c:v>
                </c:pt>
                <c:pt idx="3">
                  <c:v>-1.0473915045593418</c:v>
                </c:pt>
                <c:pt idx="4">
                  <c:v>-1.9079404026669525E-2</c:v>
                </c:pt>
                <c:pt idx="5">
                  <c:v>-1.157826031810288</c:v>
                </c:pt>
                <c:pt idx="6">
                  <c:v>-2.7986335027271223</c:v>
                </c:pt>
                <c:pt idx="7">
                  <c:v>-0.55634396031879874</c:v>
                </c:pt>
                <c:pt idx="8">
                  <c:v>0.6534696625467995</c:v>
                </c:pt>
                <c:pt idx="9">
                  <c:v>1.0463496228837282E-2</c:v>
                </c:pt>
                <c:pt idx="10">
                  <c:v>1.5353993933410348</c:v>
                </c:pt>
                <c:pt idx="11">
                  <c:v>-0.56386472541095056</c:v>
                </c:pt>
                <c:pt idx="12">
                  <c:v>-1.8885037612261073</c:v>
                </c:pt>
                <c:pt idx="13">
                  <c:v>0.34209026986297975</c:v>
                </c:pt>
                <c:pt idx="14">
                  <c:v>-2.1041958696599052</c:v>
                </c:pt>
                <c:pt idx="15">
                  <c:v>0.45818403560684906</c:v>
                </c:pt>
                <c:pt idx="16">
                  <c:v>9.7799519869965934E-2</c:v>
                </c:pt>
                <c:pt idx="17">
                  <c:v>0.7702794734486994</c:v>
                </c:pt>
                <c:pt idx="18">
                  <c:v>2.1848791405802785</c:v>
                </c:pt>
                <c:pt idx="19">
                  <c:v>2.9373599515681827</c:v>
                </c:pt>
                <c:pt idx="20">
                  <c:v>6.9384777058039395</c:v>
                </c:pt>
                <c:pt idx="21">
                  <c:v>4.3336634039012525</c:v>
                </c:pt>
                <c:pt idx="22">
                  <c:v>4.4560552194438401</c:v>
                </c:pt>
                <c:pt idx="23">
                  <c:v>6.8435433093621745</c:v>
                </c:pt>
                <c:pt idx="24">
                  <c:v>2.0505147382366227</c:v>
                </c:pt>
                <c:pt idx="25">
                  <c:v>0.40901106071846982</c:v>
                </c:pt>
                <c:pt idx="26">
                  <c:v>1.8178506894557529</c:v>
                </c:pt>
                <c:pt idx="27">
                  <c:v>0.91779626143366499</c:v>
                </c:pt>
                <c:pt idx="28">
                  <c:v>3.3647118220049812</c:v>
                </c:pt>
                <c:pt idx="29">
                  <c:v>5.7164336375577847</c:v>
                </c:pt>
                <c:pt idx="30">
                  <c:v>4.2537575179759299</c:v>
                </c:pt>
                <c:pt idx="31">
                  <c:v>2.5333768879854692</c:v>
                </c:pt>
              </c:numCache>
            </c:numRef>
          </c:val>
        </c:ser>
        <c:marker val="1"/>
        <c:axId val="128228736"/>
        <c:axId val="128235008"/>
      </c:lineChart>
      <c:catAx>
        <c:axId val="128228736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235008"/>
        <c:crosses val="autoZero"/>
        <c:lblAlgn val="ctr"/>
        <c:lblOffset val="0"/>
        <c:tickLblSkip val="1"/>
        <c:tickMarkSkip val="4"/>
      </c:catAx>
      <c:valAx>
        <c:axId val="128235008"/>
        <c:scaling>
          <c:orientation val="minMax"/>
          <c:max val="15"/>
          <c:min val="-14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228736"/>
        <c:crosses val="autoZero"/>
        <c:crossBetween val="between"/>
        <c:majorUnit val="2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03730461652213E-2"/>
          <c:y val="0.85483933686761981"/>
          <c:w val="0.91497470579305717"/>
          <c:h val="0.127054907917265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0.58947</cdr:x>
      <cdr:y>0.01868</cdr:y>
    </cdr:from>
    <cdr:to>
      <cdr:x>0.6376</cdr:x>
      <cdr:y>0.05626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2799499" y="66271"/>
          <a:ext cx="228579" cy="13334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7DBB2D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0.64912</cdr:x>
      <cdr:y>0.04249</cdr:y>
    </cdr:from>
    <cdr:to>
      <cdr:x>0.72324</cdr:x>
      <cdr:y>0.09724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082788" y="150770"/>
          <a:ext cx="352011" cy="1942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7DBB2D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0.26574</cdr:x>
      <cdr:y>0.71461</cdr:y>
    </cdr:from>
    <cdr:to>
      <cdr:x>0.31164</cdr:x>
      <cdr:y>0.72853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>
          <a:off x="1260229" y="2429208"/>
          <a:ext cx="217677" cy="4729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00B0F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0.32547</cdr:x>
      <cdr:y>0.69521</cdr:y>
    </cdr:from>
    <cdr:to>
      <cdr:x>0.38425</cdr:x>
      <cdr:y>0.75017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543521" y="2363267"/>
          <a:ext cx="278751" cy="186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00B0F0"/>
              </a:solidFill>
              <a:latin typeface="Arial" pitchFamily="34" charset="0"/>
              <a:cs typeface="Arial" pitchFamily="34" charset="0"/>
            </a:rPr>
            <a:t>-16,0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5912-1503-4E09-8232-CDCA67AC1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0A536-B9CB-4FD7-8113-43DD0247B5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5DA3-35BA-4A42-BF92-368255A94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DFF5D-1651-4738-A8F7-057393B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</TotalTime>
  <Pages>5</Pages>
  <Words>2455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16912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2018-03-14T17:02:00Z</cp:lastPrinted>
  <dcterms:created xsi:type="dcterms:W3CDTF">2018-03-22T15:38:00Z</dcterms:created>
  <dcterms:modified xsi:type="dcterms:W3CDTF">2018-03-22T16:01:00Z</dcterms:modified>
</cp:coreProperties>
</file>