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B4" w:rsidRPr="00654093" w:rsidRDefault="00813CB4" w:rsidP="00492991">
      <w:pPr>
        <w:pStyle w:val="Textpoznpodarou"/>
        <w:jc w:val="both"/>
        <w:rPr>
          <w:sz w:val="2"/>
          <w:szCs w:val="2"/>
        </w:rPr>
      </w:pPr>
    </w:p>
    <w:p w:rsidR="00DD0726" w:rsidRPr="00A74192" w:rsidRDefault="00DD0726" w:rsidP="009A1C2F">
      <w:pPr>
        <w:pStyle w:val="Nadpis1"/>
        <w:numPr>
          <w:ilvl w:val="0"/>
          <w:numId w:val="25"/>
        </w:numPr>
        <w:jc w:val="both"/>
      </w:pPr>
      <w:bookmarkStart w:id="0" w:name="_Toc469299932"/>
      <w:bookmarkStart w:id="1" w:name="_Toc493683636"/>
      <w:bookmarkStart w:id="2" w:name="_Toc469299933"/>
      <w:r>
        <w:t>V</w:t>
      </w:r>
      <w:r w:rsidRPr="00A74192">
        <w:t>nější ekonomické vztahy</w:t>
      </w:r>
      <w:bookmarkEnd w:id="0"/>
      <w:bookmarkEnd w:id="1"/>
    </w:p>
    <w:tbl>
      <w:tblPr>
        <w:tblW w:w="4963" w:type="pct"/>
        <w:tblInd w:w="108" w:type="dxa"/>
        <w:tblLayout w:type="fixed"/>
        <w:tblLook w:val="00A0"/>
      </w:tblPr>
      <w:tblGrid>
        <w:gridCol w:w="1985"/>
        <w:gridCol w:w="282"/>
        <w:gridCol w:w="1135"/>
        <w:gridCol w:w="143"/>
        <w:gridCol w:w="2533"/>
        <w:gridCol w:w="3703"/>
      </w:tblGrid>
      <w:tr w:rsidR="00D41320" w:rsidRPr="00A74192" w:rsidTr="009B0676">
        <w:tc>
          <w:tcPr>
            <w:tcW w:w="1015" w:type="pct"/>
          </w:tcPr>
          <w:p w:rsidR="00D41320" w:rsidRPr="00532819" w:rsidRDefault="00E932EA" w:rsidP="006E436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Kladné saldo obchodu se zbožím a službami přispělo k dosažení přebytku </w:t>
            </w:r>
            <w:r w:rsidR="00F76F35">
              <w:rPr>
                <w:sz w:val="16"/>
                <w:szCs w:val="16"/>
              </w:rPr>
              <w:t xml:space="preserve">běžného účtu </w:t>
            </w:r>
            <w:r>
              <w:rPr>
                <w:sz w:val="16"/>
                <w:szCs w:val="16"/>
              </w:rPr>
              <w:t>platební bilance v roce 2017.</w:t>
            </w:r>
          </w:p>
        </w:tc>
        <w:tc>
          <w:tcPr>
            <w:tcW w:w="144" w:type="pct"/>
          </w:tcPr>
          <w:p w:rsidR="00D41320" w:rsidRPr="002804BB" w:rsidRDefault="00D41320" w:rsidP="006E4368">
            <w:pPr>
              <w:pStyle w:val="Textpoznpodarou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841" w:type="pct"/>
            <w:gridSpan w:val="4"/>
          </w:tcPr>
          <w:p w:rsidR="00D41320" w:rsidRDefault="00D41320" w:rsidP="006E4368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  <w:r w:rsidRPr="007B3998">
              <w:rPr>
                <w:spacing w:val="-4"/>
              </w:rPr>
              <w:t>I v roce 2017 dosáhlo saldo běžného účtu platební bilance přebytku</w:t>
            </w:r>
            <w:r w:rsidR="0057569E">
              <w:rPr>
                <w:rStyle w:val="Znakapoznpodarou"/>
                <w:spacing w:val="-4"/>
              </w:rPr>
              <w:footnoteReference w:id="1"/>
            </w:r>
            <w:r w:rsidRPr="007B3998">
              <w:rPr>
                <w:spacing w:val="-4"/>
              </w:rPr>
              <w:t xml:space="preserve">. </w:t>
            </w:r>
            <w:r>
              <w:rPr>
                <w:spacing w:val="-4"/>
              </w:rPr>
              <w:t xml:space="preserve">Ten činil </w:t>
            </w:r>
            <w:r w:rsidR="004F5950">
              <w:rPr>
                <w:spacing w:val="-4"/>
              </w:rPr>
              <w:t>54,2</w:t>
            </w:r>
            <w:r>
              <w:rPr>
                <w:spacing w:val="-4"/>
              </w:rPr>
              <w:t xml:space="preserve"> mld. korun a meziročně se </w:t>
            </w:r>
            <w:r w:rsidR="004F5950">
              <w:rPr>
                <w:spacing w:val="-4"/>
              </w:rPr>
              <w:t>snížil</w:t>
            </w:r>
            <w:r>
              <w:rPr>
                <w:spacing w:val="-4"/>
              </w:rPr>
              <w:t xml:space="preserve"> o </w:t>
            </w:r>
            <w:r w:rsidR="004F5950">
              <w:rPr>
                <w:spacing w:val="-4"/>
              </w:rPr>
              <w:t>20,1</w:t>
            </w:r>
            <w:r>
              <w:rPr>
                <w:spacing w:val="-4"/>
              </w:rPr>
              <w:t xml:space="preserve"> mld. K přebytku nejvýrazněji přispělo kladné saldo obchodu se zbožím (2</w:t>
            </w:r>
            <w:r w:rsidR="00160DCA">
              <w:rPr>
                <w:spacing w:val="-4"/>
              </w:rPr>
              <w:t>40,9</w:t>
            </w:r>
            <w:r>
              <w:rPr>
                <w:spacing w:val="-4"/>
              </w:rPr>
              <w:t xml:space="preserve"> mld. korun). Obchod se službami rovněž dosáhl přebytku (1</w:t>
            </w:r>
            <w:r w:rsidR="00160DCA">
              <w:rPr>
                <w:spacing w:val="-4"/>
              </w:rPr>
              <w:t>22,0</w:t>
            </w:r>
            <w:r>
              <w:rPr>
                <w:spacing w:val="-4"/>
              </w:rPr>
              <w:t xml:space="preserve"> mld.), který se meziročně zvýšil o </w:t>
            </w:r>
            <w:r w:rsidR="00160DCA">
              <w:rPr>
                <w:spacing w:val="-4"/>
              </w:rPr>
              <w:t>14,4</w:t>
            </w:r>
            <w:r>
              <w:rPr>
                <w:spacing w:val="-4"/>
              </w:rPr>
              <w:t xml:space="preserve"> mld. korun. Ve směru deficitu naopak působilo saldo prvotních i druhotných důchodů. Deficit prvotních důchodů v roce 2017 dosáhl 2</w:t>
            </w:r>
            <w:r w:rsidR="00160DCA">
              <w:rPr>
                <w:spacing w:val="-4"/>
              </w:rPr>
              <w:t>60</w:t>
            </w:r>
            <w:r>
              <w:rPr>
                <w:spacing w:val="-4"/>
              </w:rPr>
              <w:t xml:space="preserve">,8 mld. korun a meziročně se </w:t>
            </w:r>
            <w:r w:rsidR="00160DCA">
              <w:rPr>
                <w:spacing w:val="-4"/>
              </w:rPr>
              <w:t>prohloubil</w:t>
            </w:r>
            <w:r>
              <w:rPr>
                <w:spacing w:val="-4"/>
              </w:rPr>
              <w:t xml:space="preserve"> o 9</w:t>
            </w:r>
            <w:r w:rsidR="00160DCA">
              <w:rPr>
                <w:spacing w:val="-4"/>
              </w:rPr>
              <w:t>,1</w:t>
            </w:r>
            <w:r>
              <w:rPr>
                <w:spacing w:val="-4"/>
              </w:rPr>
              <w:t xml:space="preserve"> mld. Šlo o důsledek meziročního zvýšení přílivu prvotních důchodů o 1</w:t>
            </w:r>
            <w:r w:rsidR="00160DCA">
              <w:rPr>
                <w:spacing w:val="-4"/>
              </w:rPr>
              <w:t>7</w:t>
            </w:r>
            <w:r>
              <w:rPr>
                <w:spacing w:val="-4"/>
              </w:rPr>
              <w:t>,</w:t>
            </w:r>
            <w:r w:rsidR="00160DCA">
              <w:rPr>
                <w:spacing w:val="-4"/>
              </w:rPr>
              <w:t>9</w:t>
            </w:r>
            <w:r>
              <w:rPr>
                <w:spacing w:val="-4"/>
              </w:rPr>
              <w:t xml:space="preserve"> mld. korun. Druhotné důchody dosáhly v roce 2017 deficitu 4</w:t>
            </w:r>
            <w:r w:rsidR="00160DCA">
              <w:rPr>
                <w:spacing w:val="-4"/>
              </w:rPr>
              <w:t>5</w:t>
            </w:r>
            <w:r>
              <w:rPr>
                <w:spacing w:val="-4"/>
              </w:rPr>
              <w:t>,</w:t>
            </w:r>
            <w:r w:rsidR="00160DCA">
              <w:rPr>
                <w:spacing w:val="-4"/>
              </w:rPr>
              <w:t>0</w:t>
            </w:r>
            <w:r>
              <w:rPr>
                <w:spacing w:val="-4"/>
              </w:rPr>
              <w:t xml:space="preserve"> mld. Jde především o důsledek výrazného propadu přílivu druhotných důchodů ze zahraničí. Přebytek kapitálového účtu činil 46,</w:t>
            </w:r>
            <w:r w:rsidR="00160DCA">
              <w:rPr>
                <w:spacing w:val="-4"/>
              </w:rPr>
              <w:t>5</w:t>
            </w:r>
            <w:r>
              <w:rPr>
                <w:spacing w:val="-4"/>
              </w:rPr>
              <w:t xml:space="preserve"> mld. korun.</w:t>
            </w:r>
          </w:p>
          <w:p w:rsidR="00D41320" w:rsidRPr="00101F99" w:rsidRDefault="00D41320" w:rsidP="006E4368">
            <w:pPr>
              <w:pStyle w:val="Textpoznpodarou"/>
              <w:jc w:val="both"/>
              <w:rPr>
                <w:spacing w:val="-4"/>
                <w:sz w:val="16"/>
                <w:szCs w:val="16"/>
                <w:highlight w:val="yellow"/>
              </w:rPr>
            </w:pPr>
          </w:p>
        </w:tc>
      </w:tr>
      <w:tr w:rsidR="00D41320" w:rsidRPr="00A74192" w:rsidTr="009B0676">
        <w:tc>
          <w:tcPr>
            <w:tcW w:w="1015" w:type="pct"/>
          </w:tcPr>
          <w:p w:rsidR="00D41320" w:rsidRPr="00532819" w:rsidRDefault="00E932EA" w:rsidP="006E436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Prvotní důchody opět působily ve směru deficitu platební bilance.</w:t>
            </w:r>
          </w:p>
        </w:tc>
        <w:tc>
          <w:tcPr>
            <w:tcW w:w="144" w:type="pct"/>
          </w:tcPr>
          <w:p w:rsidR="00D41320" w:rsidRPr="002804BB" w:rsidRDefault="00D41320" w:rsidP="006E4368">
            <w:pPr>
              <w:pStyle w:val="Textpoznpodarou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841" w:type="pct"/>
            <w:gridSpan w:val="4"/>
          </w:tcPr>
          <w:p w:rsidR="00D41320" w:rsidRDefault="00D41320" w:rsidP="006E4368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  <w:r>
              <w:rPr>
                <w:spacing w:val="-4"/>
              </w:rPr>
              <w:t>Deficit prvotních důchodů byl způsoben čistým odlivem důchodů z investic ve výši 32</w:t>
            </w:r>
            <w:r w:rsidR="00160DCA">
              <w:rPr>
                <w:spacing w:val="-4"/>
              </w:rPr>
              <w:t>1</w:t>
            </w:r>
            <w:r>
              <w:rPr>
                <w:spacing w:val="-4"/>
              </w:rPr>
              <w:t>,</w:t>
            </w:r>
            <w:r w:rsidR="00160DCA">
              <w:rPr>
                <w:spacing w:val="-4"/>
              </w:rPr>
              <w:t>2</w:t>
            </w:r>
            <w:r>
              <w:rPr>
                <w:spacing w:val="-4"/>
              </w:rPr>
              <w:t xml:space="preserve"> mld. korun. To je o 9,</w:t>
            </w:r>
            <w:r w:rsidR="00160DCA">
              <w:rPr>
                <w:spacing w:val="-4"/>
              </w:rPr>
              <w:t>7</w:t>
            </w:r>
            <w:r>
              <w:rPr>
                <w:spacing w:val="-4"/>
              </w:rPr>
              <w:t xml:space="preserve"> mld. </w:t>
            </w:r>
            <w:r w:rsidR="00160DCA">
              <w:rPr>
                <w:spacing w:val="-4"/>
              </w:rPr>
              <w:t>více</w:t>
            </w:r>
            <w:r>
              <w:rPr>
                <w:spacing w:val="-4"/>
              </w:rPr>
              <w:t xml:space="preserve"> než v roce 2016 (o 1</w:t>
            </w:r>
            <w:r w:rsidR="00160DCA">
              <w:rPr>
                <w:spacing w:val="-4"/>
              </w:rPr>
              <w:t>5</w:t>
            </w:r>
            <w:r>
              <w:rPr>
                <w:spacing w:val="-4"/>
              </w:rPr>
              <w:t>,0 mld. se totiž loni zvýšil příliv důchodů z investic ze zahraničí). Čistý odliv důchodů z přímých investic přitom dosáhl 34</w:t>
            </w:r>
            <w:r w:rsidR="00160DCA">
              <w:rPr>
                <w:spacing w:val="-4"/>
              </w:rPr>
              <w:t>5</w:t>
            </w:r>
            <w:r>
              <w:rPr>
                <w:spacing w:val="-4"/>
              </w:rPr>
              <w:t>,</w:t>
            </w:r>
            <w:r w:rsidR="00160DCA">
              <w:rPr>
                <w:spacing w:val="-4"/>
              </w:rPr>
              <w:t>9</w:t>
            </w:r>
            <w:r>
              <w:rPr>
                <w:spacing w:val="-4"/>
              </w:rPr>
              <w:t xml:space="preserve"> mld. korun, </w:t>
            </w:r>
            <w:r w:rsidR="00160DCA">
              <w:rPr>
                <w:spacing w:val="-4"/>
              </w:rPr>
              <w:t>o 20,1 mld. více</w:t>
            </w:r>
            <w:r>
              <w:rPr>
                <w:spacing w:val="-4"/>
              </w:rPr>
              <w:t xml:space="preserve"> jako v roce 2016. Deficit důchodů z</w:t>
            </w:r>
            <w:r w:rsidR="001D12FB">
              <w:rPr>
                <w:spacing w:val="-4"/>
              </w:rPr>
              <w:t> </w:t>
            </w:r>
            <w:r>
              <w:rPr>
                <w:spacing w:val="-4"/>
              </w:rPr>
              <w:t xml:space="preserve">portfoliových investic se v roce 2017 zmírnil </w:t>
            </w:r>
            <w:r w:rsidR="00840458">
              <w:rPr>
                <w:spacing w:val="-4"/>
              </w:rPr>
              <w:t>na -14,9</w:t>
            </w:r>
            <w:r>
              <w:rPr>
                <w:spacing w:val="-4"/>
              </w:rPr>
              <w:t xml:space="preserve"> mld. Deficit prvotních důchodů zmírňovaly hlavně náhrady zaměstnancům. Jejich bilance dosáhla přebytku ve výši 3</w:t>
            </w:r>
            <w:r w:rsidR="00160DCA">
              <w:rPr>
                <w:spacing w:val="-4"/>
              </w:rPr>
              <w:t>7,7</w:t>
            </w:r>
            <w:r>
              <w:rPr>
                <w:spacing w:val="-4"/>
              </w:rPr>
              <w:t xml:space="preserve"> mld. Ze zahraničí do Česka ve formě náhrad zaměstnancům přiteklo 6</w:t>
            </w:r>
            <w:r w:rsidR="00160DCA">
              <w:rPr>
                <w:spacing w:val="-4"/>
              </w:rPr>
              <w:t>4,0</w:t>
            </w:r>
            <w:r>
              <w:rPr>
                <w:spacing w:val="-4"/>
              </w:rPr>
              <w:t xml:space="preserve"> mld. korun (o </w:t>
            </w:r>
            <w:r w:rsidR="00160DCA">
              <w:rPr>
                <w:spacing w:val="-4"/>
              </w:rPr>
              <w:t>6</w:t>
            </w:r>
            <w:r>
              <w:rPr>
                <w:spacing w:val="-4"/>
              </w:rPr>
              <w:t>,</w:t>
            </w:r>
            <w:r w:rsidR="00160DCA">
              <w:rPr>
                <w:spacing w:val="-4"/>
              </w:rPr>
              <w:t>1</w:t>
            </w:r>
            <w:r>
              <w:rPr>
                <w:spacing w:val="-4"/>
              </w:rPr>
              <w:t xml:space="preserve"> mld. více než v roce 2016). </w:t>
            </w:r>
          </w:p>
          <w:p w:rsidR="00D41320" w:rsidRPr="007B3998" w:rsidRDefault="00D41320" w:rsidP="006E4368">
            <w:pPr>
              <w:pStyle w:val="Textpoznpodarou"/>
              <w:jc w:val="both"/>
              <w:rPr>
                <w:spacing w:val="-4"/>
              </w:rPr>
            </w:pPr>
          </w:p>
        </w:tc>
      </w:tr>
      <w:tr w:rsidR="00DD0726" w:rsidRPr="006647AD" w:rsidTr="009B0676">
        <w:tc>
          <w:tcPr>
            <w:tcW w:w="1015" w:type="pct"/>
          </w:tcPr>
          <w:p w:rsidR="00DD0726" w:rsidRPr="006647AD" w:rsidRDefault="00DD0726" w:rsidP="006C3DC1">
            <w:pPr>
              <w:spacing w:line="240" w:lineRule="auto"/>
              <w:rPr>
                <w:szCs w:val="20"/>
                <w:highlight w:val="yellow"/>
              </w:rPr>
            </w:pPr>
          </w:p>
        </w:tc>
        <w:tc>
          <w:tcPr>
            <w:tcW w:w="144" w:type="pct"/>
          </w:tcPr>
          <w:p w:rsidR="00DD0726" w:rsidRPr="006647AD" w:rsidRDefault="00DD0726" w:rsidP="006C3DC1">
            <w:pPr>
              <w:pStyle w:val="Textpoznpodarou"/>
              <w:rPr>
                <w:color w:val="FF0000"/>
              </w:rPr>
            </w:pPr>
          </w:p>
        </w:tc>
        <w:tc>
          <w:tcPr>
            <w:tcW w:w="580" w:type="pct"/>
          </w:tcPr>
          <w:p w:rsidR="00DD0726" w:rsidRPr="00DC21E2" w:rsidRDefault="00DD0726" w:rsidP="006C3DC1">
            <w:pPr>
              <w:pStyle w:val="Textpoznpodarou"/>
              <w:rPr>
                <w:color w:val="FF0000"/>
                <w:spacing w:val="-4"/>
                <w:highlight w:val="yellow"/>
              </w:rPr>
            </w:pPr>
            <w:r w:rsidRPr="00DC21E2">
              <w:rPr>
                <w:spacing w:val="-4"/>
              </w:rPr>
              <w:t>Graf č. 9</w:t>
            </w:r>
          </w:p>
        </w:tc>
        <w:tc>
          <w:tcPr>
            <w:tcW w:w="3261" w:type="pct"/>
            <w:gridSpan w:val="3"/>
          </w:tcPr>
          <w:p w:rsidR="00DD0726" w:rsidRPr="00DC21E2" w:rsidRDefault="00DD0726" w:rsidP="006C3DC1">
            <w:pPr>
              <w:pStyle w:val="Textpoznpodarou"/>
              <w:jc w:val="both"/>
              <w:rPr>
                <w:color w:val="FF0000"/>
                <w:spacing w:val="-4"/>
                <w:highlight w:val="yellow"/>
              </w:rPr>
            </w:pPr>
            <w:r w:rsidRPr="00DC21E2">
              <w:rPr>
                <w:b/>
                <w:spacing w:val="-4"/>
              </w:rPr>
              <w:t xml:space="preserve">Běžný účet platební bilance </w:t>
            </w:r>
            <w:r w:rsidR="00D41320">
              <w:rPr>
                <w:spacing w:val="-4"/>
              </w:rPr>
              <w:t>(kumulace 1. až 4</w:t>
            </w:r>
            <w:r w:rsidRPr="00DC21E2">
              <w:rPr>
                <w:spacing w:val="-4"/>
              </w:rPr>
              <w:t>. čtvrtletí v mld. korun)</w:t>
            </w:r>
          </w:p>
        </w:tc>
      </w:tr>
      <w:tr w:rsidR="00DD0726" w:rsidRPr="00A74192" w:rsidTr="009B0676">
        <w:tc>
          <w:tcPr>
            <w:tcW w:w="1015" w:type="pct"/>
          </w:tcPr>
          <w:p w:rsidR="00DD0726" w:rsidRPr="002804BB" w:rsidRDefault="00DD0726" w:rsidP="006C3DC1">
            <w:pPr>
              <w:spacing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" w:type="pct"/>
          </w:tcPr>
          <w:p w:rsidR="00DD0726" w:rsidRPr="00A74192" w:rsidRDefault="00DD0726" w:rsidP="006C3DC1">
            <w:pPr>
              <w:pStyle w:val="Textpoznpodarou"/>
              <w:rPr>
                <w:color w:val="FF0000"/>
              </w:rPr>
            </w:pPr>
          </w:p>
        </w:tc>
        <w:tc>
          <w:tcPr>
            <w:tcW w:w="3841" w:type="pct"/>
            <w:gridSpan w:val="4"/>
          </w:tcPr>
          <w:p w:rsidR="00DD0726" w:rsidRPr="00DC21E2" w:rsidRDefault="004F5950" w:rsidP="006C3DC1">
            <w:pPr>
              <w:pStyle w:val="Textpoznpodarou"/>
              <w:ind w:left="-73"/>
              <w:jc w:val="both"/>
              <w:rPr>
                <w:spacing w:val="-4"/>
                <w:sz w:val="16"/>
                <w:highlight w:val="yellow"/>
              </w:rPr>
            </w:pPr>
            <w:r w:rsidRPr="004F5950">
              <w:rPr>
                <w:noProof/>
                <w:spacing w:val="-4"/>
                <w:sz w:val="16"/>
              </w:rPr>
              <w:drawing>
                <wp:inline distT="0" distB="0" distL="0" distR="0">
                  <wp:extent cx="4737600" cy="3553200"/>
                  <wp:effectExtent l="0" t="0" r="0" b="0"/>
                  <wp:docPr id="30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DD0726" w:rsidRPr="00DC21E2" w:rsidRDefault="00DD0726" w:rsidP="006C3DC1">
            <w:pPr>
              <w:pStyle w:val="Textpoznpodarou"/>
              <w:ind w:left="-73"/>
              <w:jc w:val="right"/>
              <w:rPr>
                <w:spacing w:val="-4"/>
                <w:sz w:val="14"/>
                <w:szCs w:val="14"/>
              </w:rPr>
            </w:pPr>
            <w:r w:rsidRPr="00DC21E2">
              <w:rPr>
                <w:spacing w:val="-4"/>
                <w:sz w:val="14"/>
                <w:szCs w:val="14"/>
              </w:rPr>
              <w:t>Zdroj: ČNB</w:t>
            </w:r>
          </w:p>
          <w:p w:rsidR="00DD0726" w:rsidRPr="00ED7C3C" w:rsidRDefault="00DD0726" w:rsidP="006C3DC1">
            <w:pPr>
              <w:pStyle w:val="Textpoznpodarou"/>
              <w:ind w:left="-73"/>
              <w:jc w:val="right"/>
              <w:rPr>
                <w:color w:val="FF0000"/>
                <w:spacing w:val="-4"/>
                <w:sz w:val="15"/>
                <w:szCs w:val="15"/>
                <w:highlight w:val="yellow"/>
              </w:rPr>
            </w:pPr>
          </w:p>
        </w:tc>
      </w:tr>
      <w:tr w:rsidR="00D41320" w:rsidRPr="00A74192" w:rsidTr="009B0676">
        <w:tc>
          <w:tcPr>
            <w:tcW w:w="1015" w:type="pct"/>
          </w:tcPr>
          <w:p w:rsidR="00D41320" w:rsidRPr="00532819" w:rsidRDefault="00E932EA" w:rsidP="00E932E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Výsledky finančního účtu byly výrazně ovlivněny vývojem v 1. čtvrtině roku.</w:t>
            </w:r>
          </w:p>
        </w:tc>
        <w:tc>
          <w:tcPr>
            <w:tcW w:w="144" w:type="pct"/>
          </w:tcPr>
          <w:p w:rsidR="00D41320" w:rsidRPr="002804BB" w:rsidRDefault="00D41320" w:rsidP="006E4368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3841" w:type="pct"/>
            <w:gridSpan w:val="4"/>
          </w:tcPr>
          <w:p w:rsidR="00D41320" w:rsidRDefault="00D41320" w:rsidP="006E4368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  <w:r>
              <w:rPr>
                <w:spacing w:val="-4"/>
              </w:rPr>
              <w:t>Finanční účet (FÚ) v roce 2017 skončil v přebytku 1</w:t>
            </w:r>
            <w:r w:rsidR="0038187C">
              <w:rPr>
                <w:spacing w:val="-4"/>
              </w:rPr>
              <w:t>17,1</w:t>
            </w:r>
            <w:r>
              <w:rPr>
                <w:spacing w:val="-4"/>
              </w:rPr>
              <w:t xml:space="preserve"> mld. korun. Aktivní i pasivní stran</w:t>
            </w:r>
            <w:r w:rsidR="00D30DC4">
              <w:rPr>
                <w:spacing w:val="-4"/>
              </w:rPr>
              <w:t>a finančního účtu přitom dosáhly</w:t>
            </w:r>
            <w:r>
              <w:rPr>
                <w:spacing w:val="-4"/>
              </w:rPr>
              <w:t xml:space="preserve"> dvojnásobku úrovně z roku 2016. Největší objem měly toky na </w:t>
            </w:r>
            <w:r w:rsidR="00D30DC4">
              <w:rPr>
                <w:spacing w:val="-4"/>
              </w:rPr>
              <w:t>FÚ</w:t>
            </w:r>
            <w:r>
              <w:rPr>
                <w:spacing w:val="-4"/>
              </w:rPr>
              <w:t xml:space="preserve"> v 1. čtvrtletí, kdy investoři reagovali na blížící se ukončení kurzového závazku ČNB. Za výsledným přebytkem, kterého FÚ dosahuje od roku 2012, loni stál výhradně nárůst rezervních aktiv ve výši 1 246,4 mld. korun (</w:t>
            </w:r>
            <w:r w:rsidRPr="001D12FB">
              <w:t>z</w:t>
            </w:r>
            <w:r w:rsidR="001D12FB">
              <w:t> </w:t>
            </w:r>
            <w:r w:rsidRPr="001D12FB">
              <w:t>toho</w:t>
            </w:r>
            <w:r>
              <w:rPr>
                <w:spacing w:val="-4"/>
              </w:rPr>
              <w:t xml:space="preserve"> 1</w:t>
            </w:r>
            <w:r w:rsidR="00D30DC4">
              <w:rPr>
                <w:spacing w:val="-4"/>
              </w:rPr>
              <w:t> </w:t>
            </w:r>
            <w:r>
              <w:rPr>
                <w:spacing w:val="-4"/>
              </w:rPr>
              <w:t>119,2 mld. v 1. čtvrtletí roku). Čistý příliv přímých investic dosáhl 13</w:t>
            </w:r>
            <w:r w:rsidR="0038187C">
              <w:rPr>
                <w:spacing w:val="-4"/>
              </w:rPr>
              <w:t>5,3 </w:t>
            </w:r>
            <w:r>
              <w:rPr>
                <w:spacing w:val="-4"/>
              </w:rPr>
              <w:t>mld.</w:t>
            </w:r>
            <w:r w:rsidR="0038187C">
              <w:rPr>
                <w:spacing w:val="-4"/>
              </w:rPr>
              <w:t> </w:t>
            </w:r>
            <w:r>
              <w:rPr>
                <w:spacing w:val="-4"/>
              </w:rPr>
              <w:t>korun (10</w:t>
            </w:r>
            <w:r w:rsidR="0038187C">
              <w:rPr>
                <w:spacing w:val="-4"/>
              </w:rPr>
              <w:t>6,9</w:t>
            </w:r>
            <w:r>
              <w:rPr>
                <w:spacing w:val="-4"/>
              </w:rPr>
              <w:t xml:space="preserve"> mld. se na tom podílely reinvestice zisků). Čistý příliv portfoliových investic loni činil 2</w:t>
            </w:r>
            <w:r w:rsidR="00232A3C">
              <w:rPr>
                <w:spacing w:val="-4"/>
              </w:rPr>
              <w:t>68,3</w:t>
            </w:r>
            <w:r>
              <w:rPr>
                <w:spacing w:val="-4"/>
              </w:rPr>
              <w:t xml:space="preserve"> mld. korun. Účasti a podíly v investičních fondech přitom vykázaly čistý odliv ve výši </w:t>
            </w:r>
            <w:r w:rsidR="00232A3C">
              <w:rPr>
                <w:spacing w:val="-4"/>
              </w:rPr>
              <w:t>43,5</w:t>
            </w:r>
            <w:r>
              <w:rPr>
                <w:spacing w:val="-4"/>
              </w:rPr>
              <w:t xml:space="preserve"> mld. korun. Zdrojem deficitu v položce portfoliových investic byly investice do dluhových cenných papírů. Jejich čistý příliv za rok 2017 činil 3</w:t>
            </w:r>
            <w:r w:rsidR="00232A3C">
              <w:rPr>
                <w:spacing w:val="-4"/>
              </w:rPr>
              <w:t>11,8</w:t>
            </w:r>
            <w:r>
              <w:rPr>
                <w:spacing w:val="-4"/>
              </w:rPr>
              <w:t xml:space="preserve"> mld. </w:t>
            </w:r>
            <w:r>
              <w:rPr>
                <w:spacing w:val="-4"/>
              </w:rPr>
              <w:lastRenderedPageBreak/>
              <w:t>korun (o 1</w:t>
            </w:r>
            <w:r w:rsidR="00232A3C">
              <w:rPr>
                <w:spacing w:val="-4"/>
              </w:rPr>
              <w:t>40,8</w:t>
            </w:r>
            <w:r>
              <w:rPr>
                <w:spacing w:val="-4"/>
              </w:rPr>
              <w:t xml:space="preserve"> mld. více než v roce 2016). Hlavní těžiště tohoto přílivu kapitálu bylo v 1. a 2. čtvrtletí roku. Vývoj podílu domácích dluhopisů v rukou zahraničních držitelů</w:t>
            </w:r>
            <w:r>
              <w:rPr>
                <w:rStyle w:val="Znakapoznpodarou"/>
                <w:spacing w:val="-4"/>
              </w:rPr>
              <w:footnoteReference w:id="2"/>
            </w:r>
            <w:r>
              <w:rPr>
                <w:spacing w:val="-4"/>
              </w:rPr>
              <w:t xml:space="preserve"> to ilustruje. Ten se výrazně </w:t>
            </w:r>
            <w:r w:rsidR="00801D15">
              <w:rPr>
                <w:spacing w:val="-4"/>
              </w:rPr>
              <w:t>zvýšil během roku 2016 (z 23,67 </w:t>
            </w:r>
            <w:r>
              <w:rPr>
                <w:spacing w:val="-4"/>
              </w:rPr>
              <w:t>% v lednu 2016 na 38,66</w:t>
            </w:r>
            <w:r w:rsidR="00D30DC4">
              <w:rPr>
                <w:spacing w:val="-4"/>
              </w:rPr>
              <w:t> </w:t>
            </w:r>
            <w:r>
              <w:rPr>
                <w:spacing w:val="-4"/>
              </w:rPr>
              <w:t>% v lednu 2017). Ke konci března činil 47,26</w:t>
            </w:r>
            <w:r w:rsidR="00801D15">
              <w:rPr>
                <w:spacing w:val="-4"/>
              </w:rPr>
              <w:t> </w:t>
            </w:r>
            <w:r>
              <w:rPr>
                <w:spacing w:val="-4"/>
              </w:rPr>
              <w:t>% a vrcholu dosáhl v září (51,35</w:t>
            </w:r>
            <w:r w:rsidR="00D30DC4">
              <w:rPr>
                <w:spacing w:val="-4"/>
              </w:rPr>
              <w:t> </w:t>
            </w:r>
            <w:r>
              <w:rPr>
                <w:spacing w:val="-4"/>
              </w:rPr>
              <w:t>%). Od té doby postupně klesá. Ke konci prosince 2017 činil 41,64</w:t>
            </w:r>
            <w:r w:rsidR="00D30DC4">
              <w:rPr>
                <w:spacing w:val="-4"/>
              </w:rPr>
              <w:t> </w:t>
            </w:r>
            <w:r>
              <w:rPr>
                <w:spacing w:val="-4"/>
              </w:rPr>
              <w:t>%.</w:t>
            </w:r>
          </w:p>
          <w:p w:rsidR="00D41320" w:rsidRPr="001374E5" w:rsidRDefault="00D41320" w:rsidP="006E4368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D41320" w:rsidRPr="00A74192" w:rsidTr="009B0676">
        <w:tc>
          <w:tcPr>
            <w:tcW w:w="1015" w:type="pct"/>
          </w:tcPr>
          <w:p w:rsidR="00D41320" w:rsidRPr="00532819" w:rsidRDefault="00D41320" w:rsidP="006E436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Vývoz loni poměrně rychle rostl.</w:t>
            </w:r>
          </w:p>
        </w:tc>
        <w:tc>
          <w:tcPr>
            <w:tcW w:w="144" w:type="pct"/>
          </w:tcPr>
          <w:p w:rsidR="00D41320" w:rsidRPr="002804BB" w:rsidRDefault="00D41320" w:rsidP="006E4368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3841" w:type="pct"/>
            <w:gridSpan w:val="4"/>
          </w:tcPr>
          <w:p w:rsidR="00D41320" w:rsidRDefault="00D41320" w:rsidP="006E4368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  <w:r w:rsidRPr="00E07EAF">
              <w:rPr>
                <w:spacing w:val="-4"/>
              </w:rPr>
              <w:t>H</w:t>
            </w:r>
            <w:r>
              <w:rPr>
                <w:spacing w:val="-4"/>
              </w:rPr>
              <w:t>odnota vývozu v roce 2017 dosáhla 3 489,1 mld. korun</w:t>
            </w:r>
            <w:r w:rsidR="00766F78" w:rsidRPr="00ED7C3C">
              <w:rPr>
                <w:rStyle w:val="Znakapoznpodarou"/>
                <w:spacing w:val="-4"/>
              </w:rPr>
              <w:footnoteReference w:id="3"/>
            </w:r>
            <w:r>
              <w:rPr>
                <w:spacing w:val="-4"/>
              </w:rPr>
              <w:t>. V porovnání s rokem 2016 se tedy zvýšila o 189,9 mld. (5,8 %). Jde o nejvýznamnější navýšení od roku 2014 (kdy se v hodnotě vývozu značně promítalo oslabení kurzu). Pokud tedy pomineme rok 2014, jde o nejvyšší nárůst od roku 2012 (6,0 %). Tempo růstu exportu se udrželo poměrně silné během celého roku 2017. Nejvýrazněji hodnota exportu meziročně rostla v 1.</w:t>
            </w:r>
            <w:r w:rsidR="00801D15">
              <w:rPr>
                <w:spacing w:val="-4"/>
              </w:rPr>
              <w:t> </w:t>
            </w:r>
            <w:r>
              <w:rPr>
                <w:spacing w:val="-4"/>
              </w:rPr>
              <w:t>čtvrtletí (9,3</w:t>
            </w:r>
            <w:r w:rsidR="00801D15">
              <w:rPr>
                <w:spacing w:val="-4"/>
              </w:rPr>
              <w:t> </w:t>
            </w:r>
            <w:r>
              <w:rPr>
                <w:spacing w:val="-4"/>
              </w:rPr>
              <w:t>%), následně se tempo drželo stabilně nad 4% hranicí. Ve</w:t>
            </w:r>
            <w:r w:rsidR="001D12FB">
              <w:rPr>
                <w:spacing w:val="-4"/>
              </w:rPr>
              <w:t> </w:t>
            </w:r>
            <w:r>
              <w:rPr>
                <w:spacing w:val="-4"/>
              </w:rPr>
              <w:t>4.</w:t>
            </w:r>
            <w:r w:rsidR="001D12FB">
              <w:rPr>
                <w:spacing w:val="-4"/>
              </w:rPr>
              <w:t> </w:t>
            </w:r>
            <w:r>
              <w:rPr>
                <w:spacing w:val="-4"/>
              </w:rPr>
              <w:t>čtvrtletí meziroční nárůst dosáhl 4,8</w:t>
            </w:r>
            <w:r w:rsidR="00801D15">
              <w:rPr>
                <w:spacing w:val="-4"/>
              </w:rPr>
              <w:t> </w:t>
            </w:r>
            <w:r>
              <w:rPr>
                <w:spacing w:val="-4"/>
              </w:rPr>
              <w:t>%.</w:t>
            </w:r>
          </w:p>
          <w:p w:rsidR="00D41320" w:rsidRPr="00FB11DA" w:rsidRDefault="00D41320" w:rsidP="006E4368">
            <w:pPr>
              <w:pStyle w:val="Textpoznpodarou"/>
              <w:jc w:val="both"/>
              <w:rPr>
                <w:spacing w:val="-4"/>
                <w:sz w:val="16"/>
                <w:szCs w:val="16"/>
                <w:highlight w:val="yellow"/>
              </w:rPr>
            </w:pPr>
          </w:p>
        </w:tc>
      </w:tr>
      <w:tr w:rsidR="00D41320" w:rsidRPr="00A74192" w:rsidTr="009B0676">
        <w:tc>
          <w:tcPr>
            <w:tcW w:w="1015" w:type="pct"/>
          </w:tcPr>
          <w:p w:rsidR="00D41320" w:rsidRPr="00532819" w:rsidRDefault="00D41320" w:rsidP="006E436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Hlavními obchodními partnery Česka zůstávají země EU.</w:t>
            </w:r>
          </w:p>
        </w:tc>
        <w:tc>
          <w:tcPr>
            <w:tcW w:w="144" w:type="pct"/>
          </w:tcPr>
          <w:p w:rsidR="00D41320" w:rsidRPr="002804BB" w:rsidRDefault="00D41320" w:rsidP="006E4368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3841" w:type="pct"/>
            <w:gridSpan w:val="4"/>
          </w:tcPr>
          <w:p w:rsidR="00D41320" w:rsidRDefault="00D41320" w:rsidP="006E4368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  <w:r w:rsidRPr="003D1FA0">
              <w:rPr>
                <w:spacing w:val="-4"/>
              </w:rPr>
              <w:t>V roce 2017 se výrazněji neměnila teritoriální struktura vývozu.</w:t>
            </w:r>
            <w:r>
              <w:rPr>
                <w:spacing w:val="-4"/>
              </w:rPr>
              <w:t xml:space="preserve"> Dominantní destinací pro český export zůstala Evropská unie (83,9 % vývozu), podíl vývozu do zemí mimo EU zůstal na 16 %. Ke změně této struktury nevedla ani vyšší dynamika vývozu do zemí mimo EU (6,2 %). Největší podíl </w:t>
            </w:r>
            <w:r w:rsidR="003D1FA0">
              <w:rPr>
                <w:spacing w:val="-4"/>
              </w:rPr>
              <w:t xml:space="preserve">exportu </w:t>
            </w:r>
            <w:r>
              <w:rPr>
                <w:spacing w:val="-4"/>
              </w:rPr>
              <w:t xml:space="preserve">(32,2 %, 1 125,0 mld. korun) </w:t>
            </w:r>
            <w:r w:rsidR="003D1FA0">
              <w:rPr>
                <w:spacing w:val="-4"/>
              </w:rPr>
              <w:t xml:space="preserve">zamířil </w:t>
            </w:r>
            <w:r>
              <w:rPr>
                <w:spacing w:val="-4"/>
              </w:rPr>
              <w:t>v roce 2017 do Německa a meziročně se vývoz do této destinace zvýšil o</w:t>
            </w:r>
            <w:r w:rsidR="003D1FA0">
              <w:rPr>
                <w:spacing w:val="-4"/>
              </w:rPr>
              <w:t> </w:t>
            </w:r>
            <w:r>
              <w:rPr>
                <w:spacing w:val="-4"/>
              </w:rPr>
              <w:t>6,1</w:t>
            </w:r>
            <w:r w:rsidR="003D1FA0">
              <w:rPr>
                <w:spacing w:val="-4"/>
              </w:rPr>
              <w:t> </w:t>
            </w:r>
            <w:r>
              <w:rPr>
                <w:spacing w:val="-4"/>
              </w:rPr>
              <w:t>% (64,5 mld. korun). V průběhu roku se však jeho dynamika poměrně výrazně zpomalovala (z 9,9</w:t>
            </w:r>
            <w:r w:rsidR="003D1FA0">
              <w:rPr>
                <w:spacing w:val="-4"/>
              </w:rPr>
              <w:t> </w:t>
            </w:r>
            <w:r>
              <w:rPr>
                <w:spacing w:val="-4"/>
              </w:rPr>
              <w:t>% v 1. čtvrtletí na 3,7 % ve 4. čtvrtletí). Popsané zpomalení však bylo společné většině významných obchodních partnerů. Výrazného meziročního navýšení v roce 2017 dosáhla i hodnota vývozu do Polska (9,4</w:t>
            </w:r>
            <w:r w:rsidR="003D1FA0">
              <w:rPr>
                <w:spacing w:val="-4"/>
              </w:rPr>
              <w:t> </w:t>
            </w:r>
            <w:r>
              <w:rPr>
                <w:spacing w:val="-4"/>
              </w:rPr>
              <w:t>%, +19,1</w:t>
            </w:r>
            <w:r w:rsidR="003D1FA0">
              <w:rPr>
                <w:spacing w:val="-4"/>
              </w:rPr>
              <w:t> </w:t>
            </w:r>
            <w:r>
              <w:rPr>
                <w:spacing w:val="-4"/>
              </w:rPr>
              <w:t xml:space="preserve">mld.), Rakouska (9,9 %, +13,7 mld.) a Francie (7,9 %, +13,0 mld.). Rovněž se mírně (v řádu desetin </w:t>
            </w:r>
            <w:r w:rsidR="00711398">
              <w:rPr>
                <w:spacing w:val="-4"/>
              </w:rPr>
              <w:t>p.</w:t>
            </w:r>
            <w:r w:rsidR="003D1FA0">
              <w:rPr>
                <w:spacing w:val="-4"/>
              </w:rPr>
              <w:t> </w:t>
            </w:r>
            <w:proofErr w:type="spellStart"/>
            <w:r w:rsidR="00711398">
              <w:rPr>
                <w:spacing w:val="-4"/>
              </w:rPr>
              <w:t>b</w:t>
            </w:r>
            <w:proofErr w:type="spellEnd"/>
            <w:r w:rsidR="00711398">
              <w:rPr>
                <w:spacing w:val="-4"/>
              </w:rPr>
              <w:t>.</w:t>
            </w:r>
            <w:r>
              <w:rPr>
                <w:spacing w:val="-4"/>
              </w:rPr>
              <w:t xml:space="preserve">) navýšil podíl exportu do těchto zemí. Naopak propad zaznamenal vývoz </w:t>
            </w:r>
            <w:r w:rsidRPr="00044913">
              <w:rPr>
                <w:spacing w:val="-2"/>
              </w:rPr>
              <w:t>na Slovensko (</w:t>
            </w:r>
            <w:r w:rsidR="00044913" w:rsidRPr="00044913">
              <w:rPr>
                <w:spacing w:val="-2"/>
              </w:rPr>
              <w:t>-</w:t>
            </w:r>
            <w:r w:rsidRPr="00044913">
              <w:rPr>
                <w:spacing w:val="-2"/>
              </w:rPr>
              <w:t>2,2</w:t>
            </w:r>
            <w:r w:rsidR="003D1FA0" w:rsidRPr="00044913">
              <w:rPr>
                <w:spacing w:val="-2"/>
              </w:rPr>
              <w:t> </w:t>
            </w:r>
            <w:r w:rsidRPr="00044913">
              <w:rPr>
                <w:spacing w:val="-2"/>
              </w:rPr>
              <w:t xml:space="preserve">%, </w:t>
            </w:r>
            <w:r w:rsidR="00044913" w:rsidRPr="00044913">
              <w:rPr>
                <w:spacing w:val="-2"/>
              </w:rPr>
              <w:t>-</w:t>
            </w:r>
            <w:r w:rsidRPr="00044913">
              <w:rPr>
                <w:spacing w:val="-2"/>
              </w:rPr>
              <w:t>7,0</w:t>
            </w:r>
            <w:r w:rsidR="003D1FA0" w:rsidRPr="00044913">
              <w:rPr>
                <w:spacing w:val="-2"/>
              </w:rPr>
              <w:t> </w:t>
            </w:r>
            <w:r w:rsidRPr="00044913">
              <w:rPr>
                <w:spacing w:val="-2"/>
              </w:rPr>
              <w:t>mld. korun). Mírn</w:t>
            </w:r>
            <w:r w:rsidR="003D1FA0" w:rsidRPr="00044913">
              <w:rPr>
                <w:spacing w:val="-2"/>
              </w:rPr>
              <w:t>ě</w:t>
            </w:r>
            <w:r w:rsidRPr="00044913">
              <w:rPr>
                <w:spacing w:val="-2"/>
              </w:rPr>
              <w:t xml:space="preserve"> </w:t>
            </w:r>
            <w:r w:rsidR="003D1FA0" w:rsidRPr="00044913">
              <w:rPr>
                <w:spacing w:val="-2"/>
              </w:rPr>
              <w:t xml:space="preserve">také </w:t>
            </w:r>
            <w:r w:rsidRPr="00044913">
              <w:rPr>
                <w:spacing w:val="-2"/>
              </w:rPr>
              <w:t>poklesl export do Velké Británie (</w:t>
            </w:r>
            <w:r w:rsidR="00044913" w:rsidRPr="00044913">
              <w:rPr>
                <w:spacing w:val="-2"/>
              </w:rPr>
              <w:t>-</w:t>
            </w:r>
            <w:r w:rsidRPr="00044913">
              <w:rPr>
                <w:spacing w:val="-2"/>
              </w:rPr>
              <w:t>0,7</w:t>
            </w:r>
            <w:r w:rsidR="003D1FA0" w:rsidRPr="00044913">
              <w:rPr>
                <w:spacing w:val="-2"/>
              </w:rPr>
              <w:t> </w:t>
            </w:r>
            <w:r w:rsidRPr="00044913">
              <w:rPr>
                <w:spacing w:val="-2"/>
              </w:rPr>
              <w:t>%)</w:t>
            </w:r>
            <w:r>
              <w:rPr>
                <w:spacing w:val="-4"/>
              </w:rPr>
              <w:t xml:space="preserve"> a její podíl na celkovém českém vývozu klesl pod 5 %. Mimořádně vysokého nárůstu v roce 2017 dosáhl vývoz do Číny (+5,7 mld., 16,0 %). Díky tomu se navýšil podíl Číny na českém vývozu na 1,2 %. Podobně se zvýšil i vývoz do Ruska (+5,9 mld., 9,4</w:t>
            </w:r>
            <w:r w:rsidR="003D1FA0">
              <w:rPr>
                <w:spacing w:val="-4"/>
              </w:rPr>
              <w:t> </w:t>
            </w:r>
            <w:r>
              <w:rPr>
                <w:spacing w:val="-4"/>
              </w:rPr>
              <w:t xml:space="preserve">%). </w:t>
            </w:r>
            <w:r w:rsidR="003D1FA0">
              <w:rPr>
                <w:spacing w:val="-4"/>
              </w:rPr>
              <w:t>V</w:t>
            </w:r>
            <w:r>
              <w:rPr>
                <w:spacing w:val="-4"/>
              </w:rPr>
              <w:t xml:space="preserve"> kontextu dlouhodobého vývoje </w:t>
            </w:r>
            <w:r w:rsidR="003D1FA0">
              <w:rPr>
                <w:spacing w:val="-4"/>
              </w:rPr>
              <w:t xml:space="preserve">však šlo </w:t>
            </w:r>
            <w:r>
              <w:rPr>
                <w:spacing w:val="-4"/>
              </w:rPr>
              <w:t>o</w:t>
            </w:r>
            <w:r w:rsidR="003D1FA0">
              <w:rPr>
                <w:spacing w:val="-4"/>
              </w:rPr>
              <w:t> </w:t>
            </w:r>
            <w:r>
              <w:rPr>
                <w:spacing w:val="-4"/>
              </w:rPr>
              <w:t>malou korekci, hodnota vývozu stále nedosahuje úrovně let 2012–2014.</w:t>
            </w:r>
          </w:p>
          <w:p w:rsidR="00D41320" w:rsidRPr="00811E2C" w:rsidRDefault="00D41320" w:rsidP="006E4368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D41320" w:rsidRPr="00A74192" w:rsidTr="009B0676">
        <w:tc>
          <w:tcPr>
            <w:tcW w:w="1015" w:type="pct"/>
          </w:tcPr>
          <w:p w:rsidR="00D41320" w:rsidRPr="00532819" w:rsidRDefault="00D41320" w:rsidP="006E436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Růst nejvýrazněji podpořily hlavní vývozní artikly – motorová vozidla, stroje a zařízení a elektrická zařízení.</w:t>
            </w:r>
          </w:p>
        </w:tc>
        <w:tc>
          <w:tcPr>
            <w:tcW w:w="144" w:type="pct"/>
          </w:tcPr>
          <w:p w:rsidR="00D41320" w:rsidRPr="002804BB" w:rsidRDefault="00D41320" w:rsidP="006E4368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3841" w:type="pct"/>
            <w:gridSpan w:val="4"/>
          </w:tcPr>
          <w:p w:rsidR="00D41320" w:rsidRDefault="00D41320" w:rsidP="006E4368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  <w:r>
              <w:rPr>
                <w:spacing w:val="-4"/>
              </w:rPr>
              <w:t>Rok 2017 nic nezměnil na postavení motorových vozidel jako klíčového produktu ve struktuře českého vývozu. Celková hodnota exportu motorových vozidel jen těsně nedosáhla 1 000 mld. korun (995,1 mld.) a meziročně se zvýšila o 71,4 mld. (7,7 %). Motorová vozidla loni tvořila 28,5</w:t>
            </w:r>
            <w:r w:rsidR="0049548B">
              <w:rPr>
                <w:spacing w:val="-4"/>
              </w:rPr>
              <w:t> </w:t>
            </w:r>
            <w:r>
              <w:rPr>
                <w:spacing w:val="-4"/>
              </w:rPr>
              <w:t>% exportu. Příznivý rok zažili i vývozci strojů a</w:t>
            </w:r>
            <w:r w:rsidR="001D12FB">
              <w:rPr>
                <w:spacing w:val="-4"/>
              </w:rPr>
              <w:t> </w:t>
            </w:r>
            <w:r>
              <w:rPr>
                <w:spacing w:val="-4"/>
              </w:rPr>
              <w:t>zařízení (navýšení o 27,3 mld. korun, 7,5 %) a elektrických zařízení (+21,8 mld., 8,0</w:t>
            </w:r>
            <w:r w:rsidR="001D12FB">
              <w:rPr>
                <w:spacing w:val="-4"/>
              </w:rPr>
              <w:t> </w:t>
            </w:r>
            <w:r>
              <w:rPr>
                <w:spacing w:val="-4"/>
              </w:rPr>
              <w:t>%). Oproti roku 2016 mírně vzrostla i hodnota objemově významného vývozu počítačů, elektronických a optických přístrojů (+10,8</w:t>
            </w:r>
            <w:r w:rsidR="008D51E9">
              <w:rPr>
                <w:spacing w:val="-4"/>
              </w:rPr>
              <w:t> </w:t>
            </w:r>
            <w:r>
              <w:rPr>
                <w:spacing w:val="-4"/>
              </w:rPr>
              <w:t>mld</w:t>
            </w:r>
            <w:r w:rsidR="008D51E9">
              <w:rPr>
                <w:spacing w:val="-4"/>
              </w:rPr>
              <w:t>.</w:t>
            </w:r>
            <w:r>
              <w:rPr>
                <w:spacing w:val="-4"/>
              </w:rPr>
              <w:t xml:space="preserve"> korun, 3,6</w:t>
            </w:r>
            <w:r w:rsidR="008D51E9">
              <w:rPr>
                <w:spacing w:val="-4"/>
              </w:rPr>
              <w:t> %), h</w:t>
            </w:r>
            <w:r>
              <w:rPr>
                <w:spacing w:val="-4"/>
              </w:rPr>
              <w:t>odnota vývozu těchto výrobků (309,2 mld. korun) však nepřekonala rok 2015. Po dvou letech poklesů opět vzrostla hodnota vývozu chemických látek a přípravků (+18,8</w:t>
            </w:r>
            <w:r w:rsidR="001D12FB">
              <w:rPr>
                <w:spacing w:val="-4"/>
              </w:rPr>
              <w:t> </w:t>
            </w:r>
            <w:r>
              <w:rPr>
                <w:spacing w:val="-4"/>
              </w:rPr>
              <w:t>mld.</w:t>
            </w:r>
            <w:r w:rsidR="001D12FB">
              <w:rPr>
                <w:spacing w:val="-4"/>
              </w:rPr>
              <w:t> </w:t>
            </w:r>
            <w:r>
              <w:rPr>
                <w:spacing w:val="-4"/>
              </w:rPr>
              <w:t>korun, 13,4</w:t>
            </w:r>
            <w:r w:rsidR="001E5F62">
              <w:rPr>
                <w:spacing w:val="-4"/>
              </w:rPr>
              <w:t> </w:t>
            </w:r>
            <w:r>
              <w:rPr>
                <w:spacing w:val="-4"/>
              </w:rPr>
              <w:t>%). Po vynuceném výpadku se tak toto odvětví postupně zotavuje (vývoz zde dosáhl hodnoty 159,7 mld. korun, což je více než v letech 2015 a</w:t>
            </w:r>
            <w:r w:rsidR="001D12FB">
              <w:rPr>
                <w:spacing w:val="-4"/>
              </w:rPr>
              <w:t> </w:t>
            </w:r>
            <w:r>
              <w:rPr>
                <w:spacing w:val="-4"/>
              </w:rPr>
              <w:t>2016, rok 2014 zatím zůstal nepřekonán).</w:t>
            </w:r>
          </w:p>
          <w:p w:rsidR="00D41320" w:rsidRPr="004013F0" w:rsidRDefault="00D41320" w:rsidP="006E4368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D41320" w:rsidRPr="00A74192" w:rsidTr="009B0676">
        <w:tc>
          <w:tcPr>
            <w:tcW w:w="1015" w:type="pct"/>
          </w:tcPr>
          <w:p w:rsidR="00D41320" w:rsidRPr="00532819" w:rsidRDefault="00D41320" w:rsidP="006E436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Cenové posuny se projevily i na dynamice dovozu.</w:t>
            </w:r>
          </w:p>
        </w:tc>
        <w:tc>
          <w:tcPr>
            <w:tcW w:w="144" w:type="pct"/>
          </w:tcPr>
          <w:p w:rsidR="00D41320" w:rsidRPr="002804BB" w:rsidRDefault="00D41320" w:rsidP="006E4368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3841" w:type="pct"/>
            <w:gridSpan w:val="4"/>
          </w:tcPr>
          <w:p w:rsidR="00D41320" w:rsidRDefault="00D41320" w:rsidP="006E4368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  <w:r>
              <w:rPr>
                <w:spacing w:val="-4"/>
              </w:rPr>
              <w:t xml:space="preserve">V roce 2017 rostla i hodnota dovozu do ČR. Dosáhla 3 343,8 mld. korun a zvýšila se o 208,3 mld. (6,6 %). Import tak loni rostl rychleji než export. Významným faktorem byl růst cen některých surovin (ropa a zemní plyn, základní kovy). </w:t>
            </w:r>
            <w:r w:rsidR="001E5F62">
              <w:rPr>
                <w:spacing w:val="-4"/>
              </w:rPr>
              <w:t xml:space="preserve">Česko tyto suroviny více </w:t>
            </w:r>
            <w:proofErr w:type="gramStart"/>
            <w:r w:rsidR="001E5F62">
              <w:rPr>
                <w:spacing w:val="-4"/>
              </w:rPr>
              <w:t>dováží</w:t>
            </w:r>
            <w:r>
              <w:rPr>
                <w:spacing w:val="-4"/>
              </w:rPr>
              <w:t xml:space="preserve"> než</w:t>
            </w:r>
            <w:proofErr w:type="gramEnd"/>
            <w:r>
              <w:rPr>
                <w:spacing w:val="-4"/>
              </w:rPr>
              <w:t xml:space="preserve"> vyváží, a proto cenové změny vedly k vyššímu nárůstu importu. Podobně jako u vývozu i</w:t>
            </w:r>
            <w:r w:rsidR="001E5F62">
              <w:rPr>
                <w:spacing w:val="-4"/>
              </w:rPr>
              <w:t> </w:t>
            </w:r>
            <w:r>
              <w:rPr>
                <w:spacing w:val="-4"/>
              </w:rPr>
              <w:t xml:space="preserve">meziroční tempo růstu </w:t>
            </w:r>
            <w:r w:rsidR="001E5F62">
              <w:rPr>
                <w:spacing w:val="-4"/>
              </w:rPr>
              <w:t>dovoz</w:t>
            </w:r>
            <w:r>
              <w:rPr>
                <w:spacing w:val="-4"/>
              </w:rPr>
              <w:t>u dosahovalo nejvyšších hodnot v </w:t>
            </w:r>
            <w:r w:rsidR="001E5F62">
              <w:rPr>
                <w:spacing w:val="-4"/>
              </w:rPr>
              <w:t>první</w:t>
            </w:r>
            <w:r>
              <w:rPr>
                <w:spacing w:val="-4"/>
              </w:rPr>
              <w:t xml:space="preserve"> polovině roku. Ve 4. čtvrtletí meziroční nárůst dovozu činil 4,9 %.</w:t>
            </w:r>
          </w:p>
          <w:p w:rsidR="00D41320" w:rsidRPr="00FD2D8B" w:rsidRDefault="00D41320" w:rsidP="006E4368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D41320" w:rsidRPr="00A74192" w:rsidTr="009B0676">
        <w:tc>
          <w:tcPr>
            <w:tcW w:w="1015" w:type="pct"/>
          </w:tcPr>
          <w:p w:rsidR="00D41320" w:rsidRPr="00532819" w:rsidRDefault="00D41320" w:rsidP="006E436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Prudce zrychlil dovoz ze zemí mimo EU.</w:t>
            </w:r>
          </w:p>
        </w:tc>
        <w:tc>
          <w:tcPr>
            <w:tcW w:w="144" w:type="pct"/>
          </w:tcPr>
          <w:p w:rsidR="00D41320" w:rsidRPr="002804BB" w:rsidRDefault="00D41320" w:rsidP="006E4368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3841" w:type="pct"/>
            <w:gridSpan w:val="4"/>
          </w:tcPr>
          <w:p w:rsidR="00D41320" w:rsidRDefault="00D41320" w:rsidP="006E4368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  <w:r>
              <w:rPr>
                <w:spacing w:val="-4"/>
              </w:rPr>
              <w:t>Podrobnější pohled na strukturu importu dále ilustruje především cenové změny, které se udály v roce 2017. Nárůst dovozu ze zemí mimo EU dosáhl 11,1</w:t>
            </w:r>
            <w:r w:rsidR="00D97AAD">
              <w:rPr>
                <w:spacing w:val="-4"/>
              </w:rPr>
              <w:t> </w:t>
            </w:r>
            <w:r>
              <w:rPr>
                <w:spacing w:val="-4"/>
              </w:rPr>
              <w:t>% (104,3</w:t>
            </w:r>
            <w:r w:rsidR="00D97AAD">
              <w:rPr>
                <w:spacing w:val="-4"/>
              </w:rPr>
              <w:t> </w:t>
            </w:r>
            <w:r>
              <w:rPr>
                <w:spacing w:val="-4"/>
              </w:rPr>
              <w:t>mld. korun) a téměř se vyrovnal absolutnímu přírůstku dovozu z EU (4,9</w:t>
            </w:r>
            <w:r w:rsidR="00D97AAD">
              <w:rPr>
                <w:spacing w:val="-4"/>
              </w:rPr>
              <w:t> </w:t>
            </w:r>
            <w:r>
              <w:rPr>
                <w:spacing w:val="-4"/>
              </w:rPr>
              <w:t>%, 105,4</w:t>
            </w:r>
            <w:r w:rsidR="00D97AAD">
              <w:rPr>
                <w:spacing w:val="-4"/>
              </w:rPr>
              <w:t> </w:t>
            </w:r>
            <w:r>
              <w:rPr>
                <w:spacing w:val="-4"/>
              </w:rPr>
              <w:t>mld.). Nejvýrazněji je zvýšení cen ropy a zemního plynu patrné na obchodu s Ruskem. Dovoz odtud se v roce 2017 zvýšil o</w:t>
            </w:r>
            <w:r w:rsidR="00D97AAD">
              <w:rPr>
                <w:spacing w:val="-4"/>
              </w:rPr>
              <w:t> </w:t>
            </w:r>
            <w:r>
              <w:rPr>
                <w:spacing w:val="-4"/>
              </w:rPr>
              <w:t>36,8</w:t>
            </w:r>
            <w:r w:rsidR="00D97AAD">
              <w:rPr>
                <w:spacing w:val="-4"/>
              </w:rPr>
              <w:t> </w:t>
            </w:r>
            <w:r>
              <w:rPr>
                <w:spacing w:val="-4"/>
              </w:rPr>
              <w:t>% (30,9</w:t>
            </w:r>
            <w:r w:rsidR="00D97AAD">
              <w:rPr>
                <w:spacing w:val="-4"/>
              </w:rPr>
              <w:t> </w:t>
            </w:r>
            <w:r>
              <w:rPr>
                <w:spacing w:val="-4"/>
              </w:rPr>
              <w:t>mld. korun). V roce 2016 dovoz obecně stagnoval</w:t>
            </w:r>
            <w:r w:rsidR="00D97AAD">
              <w:rPr>
                <w:spacing w:val="-4"/>
              </w:rPr>
              <w:t>,</w:t>
            </w:r>
            <w:r>
              <w:rPr>
                <w:spacing w:val="-4"/>
              </w:rPr>
              <w:t xml:space="preserve"> a loňský rok to změnil. Zrychlil se růst dovozu z Německa </w:t>
            </w:r>
            <w:r>
              <w:rPr>
                <w:spacing w:val="-4"/>
              </w:rPr>
              <w:lastRenderedPageBreak/>
              <w:t>(+42,6</w:t>
            </w:r>
            <w:r w:rsidR="001D12FB">
              <w:rPr>
                <w:spacing w:val="-4"/>
              </w:rPr>
              <w:t> </w:t>
            </w:r>
            <w:r>
              <w:rPr>
                <w:spacing w:val="-4"/>
              </w:rPr>
              <w:t>mld. korun, 5,0 %) i Rakouska (+7,7 mld. korun, 8,0 %).  O</w:t>
            </w:r>
            <w:r w:rsidR="00D97AAD">
              <w:rPr>
                <w:spacing w:val="-4"/>
              </w:rPr>
              <w:t> </w:t>
            </w:r>
            <w:r>
              <w:rPr>
                <w:spacing w:val="-4"/>
              </w:rPr>
              <w:t>11,2</w:t>
            </w:r>
            <w:r w:rsidR="00D97AAD">
              <w:rPr>
                <w:spacing w:val="-4"/>
              </w:rPr>
              <w:t> </w:t>
            </w:r>
            <w:r>
              <w:rPr>
                <w:spacing w:val="-4"/>
              </w:rPr>
              <w:t>mld. (15,3</w:t>
            </w:r>
            <w:r w:rsidR="00D97AAD">
              <w:rPr>
                <w:spacing w:val="-4"/>
              </w:rPr>
              <w:t> </w:t>
            </w:r>
            <w:r>
              <w:rPr>
                <w:spacing w:val="-4"/>
              </w:rPr>
              <w:t>%) se zvýšil i dovoz ze Spojených států.</w:t>
            </w:r>
          </w:p>
          <w:p w:rsidR="00D41320" w:rsidRPr="00E14963" w:rsidRDefault="00D41320" w:rsidP="006E4368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D41320" w:rsidRPr="00A74192" w:rsidTr="009B0676">
        <w:tc>
          <w:tcPr>
            <w:tcW w:w="1015" w:type="pct"/>
          </w:tcPr>
          <w:p w:rsidR="00D41320" w:rsidRPr="001841D7" w:rsidRDefault="00D41320" w:rsidP="006E4368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lastRenderedPageBreak/>
              <w:t>Výrazně vzrostla hodnota dovozu ropy a</w:t>
            </w:r>
            <w:r w:rsidR="00D97AA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zemního plynu.</w:t>
            </w:r>
          </w:p>
        </w:tc>
        <w:tc>
          <w:tcPr>
            <w:tcW w:w="144" w:type="pct"/>
          </w:tcPr>
          <w:p w:rsidR="00D41320" w:rsidRPr="002804BB" w:rsidRDefault="00D41320" w:rsidP="006E4368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3841" w:type="pct"/>
            <w:gridSpan w:val="4"/>
          </w:tcPr>
          <w:p w:rsidR="00D41320" w:rsidRDefault="00D41320" w:rsidP="006E4368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  <w:r>
              <w:rPr>
                <w:spacing w:val="-4"/>
              </w:rPr>
              <w:t>Silná domácí poptávka v roce 2017 podpořila meziroční nárůst importu motorových vozidel, který dosáhl 40,3 mld. korun (7,9 %). Výrazně vzrostl i dovoz elektrických zařízení (+20,0 mld., 8,5 %). Zvýšení cen se promítlo do skokového nárůstu hodnoty dovozu základních kovů (+39,7 mld., 17,7 %). K cenovému faktoru se u dovozu ropy a zemního plynu přidalo i zvýšení poptávky ze strany českého chemického průmyslu. Výsledkem bylo navýšení hodnoty importu o 32,2 mld. korun (36,1 %).</w:t>
            </w:r>
          </w:p>
          <w:p w:rsidR="00D41320" w:rsidRPr="00D20167" w:rsidRDefault="00D41320" w:rsidP="006E4368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D41320" w:rsidRPr="00A74192" w:rsidTr="009B0676">
        <w:tc>
          <w:tcPr>
            <w:tcW w:w="1015" w:type="pct"/>
          </w:tcPr>
          <w:p w:rsidR="00D41320" w:rsidRPr="004B5FF3" w:rsidRDefault="00D41320" w:rsidP="006E4368">
            <w:pPr>
              <w:spacing w:line="240" w:lineRule="auto"/>
              <w:rPr>
                <w:sz w:val="16"/>
                <w:szCs w:val="16"/>
              </w:rPr>
            </w:pPr>
            <w:r w:rsidRPr="004B5FF3">
              <w:rPr>
                <w:sz w:val="16"/>
                <w:szCs w:val="16"/>
              </w:rPr>
              <w:t>Bilance zahraničního obchodu byla kladná, ale přebytek meziročně poklesl.</w:t>
            </w:r>
          </w:p>
        </w:tc>
        <w:tc>
          <w:tcPr>
            <w:tcW w:w="144" w:type="pct"/>
          </w:tcPr>
          <w:p w:rsidR="00D41320" w:rsidRPr="002804BB" w:rsidRDefault="00D41320" w:rsidP="006E4368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3841" w:type="pct"/>
            <w:gridSpan w:val="4"/>
          </w:tcPr>
          <w:p w:rsidR="00D41320" w:rsidRDefault="00D41320" w:rsidP="006E4368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  <w:r>
              <w:rPr>
                <w:spacing w:val="-4"/>
              </w:rPr>
              <w:t>Bilance zahraničního obchodu se zbožím v roce 2017 dosáhla přebytku ve výši 145,3 mld. korun. Meziročně tak kladné saldo pokleslo o 18,4 mld. Pokles lze spojit s výše zmíněným meziročním nárůstem cen surovin, který navýšil hodnotu dovozu. I</w:t>
            </w:r>
            <w:r w:rsidR="001D12FB">
              <w:rPr>
                <w:spacing w:val="-4"/>
              </w:rPr>
              <w:t> </w:t>
            </w:r>
            <w:r>
              <w:rPr>
                <w:spacing w:val="-4"/>
              </w:rPr>
              <w:t>proto se výrazně (o</w:t>
            </w:r>
            <w:r w:rsidR="00E24871">
              <w:rPr>
                <w:spacing w:val="-4"/>
              </w:rPr>
              <w:t> </w:t>
            </w:r>
            <w:r>
              <w:rPr>
                <w:spacing w:val="-4"/>
              </w:rPr>
              <w:t>71,7</w:t>
            </w:r>
            <w:r w:rsidR="00E24871">
              <w:rPr>
                <w:spacing w:val="-4"/>
              </w:rPr>
              <w:t> </w:t>
            </w:r>
            <w:r>
              <w:rPr>
                <w:spacing w:val="-4"/>
              </w:rPr>
              <w:t>mld.) prohloubil deficit obchodu se zeměmi mimo EU, zatímco přebytek obchodu s EU v roce 2017 vzrostl o 51,3 mld. Nejvýrazněji se zvyšovalo kladné saldo obchodu s Německem (o 21,9 mld.). Po pěti letech deficitů Česko dos</w:t>
            </w:r>
            <w:r w:rsidR="00E24871">
              <w:rPr>
                <w:spacing w:val="-4"/>
              </w:rPr>
              <w:t>áhlo přebytku obchodu s Nizozemske</w:t>
            </w:r>
            <w:r>
              <w:rPr>
                <w:spacing w:val="-4"/>
              </w:rPr>
              <w:t>m (ve výši 7,0 mld.). O 7,5 mld. korun se zvýšilo kladné saldo obchodu s Francií. V posledních letech rostoucí deficit s Polskem se v roce 2017 zmírnil o 17,6 mld. korun. Deficit s Ruskem se v roce 2017 více než zdvojnásobil (prohloubení o 24,9 mld. korun), mírně se zvýšil deficit obchodu s Čínou (o 8,0 mld.).</w:t>
            </w:r>
          </w:p>
          <w:p w:rsidR="00D41320" w:rsidRPr="00B23403" w:rsidRDefault="00D41320" w:rsidP="006E4368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D41320" w:rsidRPr="00A74192" w:rsidTr="009B0676">
        <w:tc>
          <w:tcPr>
            <w:tcW w:w="1015" w:type="pct"/>
          </w:tcPr>
          <w:p w:rsidR="00D41320" w:rsidRPr="004B5FF3" w:rsidRDefault="00D41320" w:rsidP="006E4368">
            <w:pPr>
              <w:spacing w:line="240" w:lineRule="auto"/>
              <w:rPr>
                <w:sz w:val="16"/>
                <w:szCs w:val="16"/>
              </w:rPr>
            </w:pPr>
            <w:r w:rsidRPr="004B5FF3">
              <w:rPr>
                <w:sz w:val="16"/>
                <w:szCs w:val="16"/>
              </w:rPr>
              <w:t>Prohloubil se deficit obchodu se zeměmi mimo EU.</w:t>
            </w:r>
          </w:p>
        </w:tc>
        <w:tc>
          <w:tcPr>
            <w:tcW w:w="144" w:type="pct"/>
          </w:tcPr>
          <w:p w:rsidR="00D41320" w:rsidRPr="002804BB" w:rsidRDefault="00D41320" w:rsidP="006E4368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3841" w:type="pct"/>
            <w:gridSpan w:val="4"/>
          </w:tcPr>
          <w:p w:rsidR="00D41320" w:rsidRDefault="00D41320" w:rsidP="006E4368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  <w:r w:rsidRPr="00C40D9B">
              <w:rPr>
                <w:spacing w:val="-4"/>
              </w:rPr>
              <w:t xml:space="preserve">Z hlediska jednotlivých oddílů klasifikace </w:t>
            </w:r>
            <w:r>
              <w:rPr>
                <w:spacing w:val="-4"/>
              </w:rPr>
              <w:t xml:space="preserve">produkce </w:t>
            </w:r>
            <w:r w:rsidR="002C6A6E">
              <w:rPr>
                <w:spacing w:val="-4"/>
              </w:rPr>
              <w:t xml:space="preserve">přispěla </w:t>
            </w:r>
            <w:r w:rsidRPr="00C40D9B">
              <w:rPr>
                <w:spacing w:val="-4"/>
              </w:rPr>
              <w:t xml:space="preserve">k výslednému přebytku obchodní bilance </w:t>
            </w:r>
            <w:r>
              <w:rPr>
                <w:spacing w:val="-4"/>
              </w:rPr>
              <w:t>v roce 2017 nejvíce motorová vozidla (447,1 mld. korun), stroje a</w:t>
            </w:r>
            <w:r w:rsidR="001D12FB">
              <w:rPr>
                <w:spacing w:val="-4"/>
              </w:rPr>
              <w:t> </w:t>
            </w:r>
            <w:r>
              <w:rPr>
                <w:spacing w:val="-4"/>
              </w:rPr>
              <w:t>zařízení (76,8 mld. korun) a kovodělné výrobky (59,5 mld. korun). U prvních dvou oddílů zároveň došlo k výraznému navýšení přebytku (o</w:t>
            </w:r>
            <w:r w:rsidR="002C6A6E">
              <w:rPr>
                <w:spacing w:val="-4"/>
              </w:rPr>
              <w:t> </w:t>
            </w:r>
            <w:r>
              <w:rPr>
                <w:spacing w:val="-4"/>
              </w:rPr>
              <w:t>31,1</w:t>
            </w:r>
            <w:r w:rsidR="002C6A6E">
              <w:rPr>
                <w:spacing w:val="-4"/>
              </w:rPr>
              <w:t> </w:t>
            </w:r>
            <w:r>
              <w:rPr>
                <w:spacing w:val="-4"/>
              </w:rPr>
              <w:t>mld. u</w:t>
            </w:r>
            <w:r w:rsidR="002C6A6E">
              <w:rPr>
                <w:spacing w:val="-4"/>
              </w:rPr>
              <w:t> </w:t>
            </w:r>
            <w:r>
              <w:rPr>
                <w:spacing w:val="-4"/>
              </w:rPr>
              <w:t>motorových vozidel, o 13,4 mld. u strojů a zařízení). Ve směru negativního salda zahraničního obchodu v roce 2017 nejvýznamněji působily základní kovy (deficit ve výši 125,0</w:t>
            </w:r>
            <w:r w:rsidR="002C6A6E">
              <w:rPr>
                <w:spacing w:val="-4"/>
              </w:rPr>
              <w:t> </w:t>
            </w:r>
            <w:r>
              <w:rPr>
                <w:spacing w:val="-4"/>
              </w:rPr>
              <w:t xml:space="preserve">mld. korun), ropa a zemní </w:t>
            </w:r>
            <w:r w:rsidR="008F1723">
              <w:rPr>
                <w:spacing w:val="-4"/>
              </w:rPr>
              <w:t>plyn (-117,8</w:t>
            </w:r>
            <w:r w:rsidR="002C6A6E">
              <w:rPr>
                <w:spacing w:val="-4"/>
              </w:rPr>
              <w:t> </w:t>
            </w:r>
            <w:r>
              <w:rPr>
                <w:spacing w:val="-4"/>
              </w:rPr>
              <w:t xml:space="preserve">mld.) a chemické látky a </w:t>
            </w:r>
            <w:r w:rsidR="008F1723">
              <w:rPr>
                <w:spacing w:val="-4"/>
              </w:rPr>
              <w:t>přípravky (-108,3</w:t>
            </w:r>
            <w:r w:rsidR="002C6A6E">
              <w:rPr>
                <w:spacing w:val="-4"/>
              </w:rPr>
              <w:t> </w:t>
            </w:r>
            <w:r>
              <w:rPr>
                <w:spacing w:val="-4"/>
              </w:rPr>
              <w:t xml:space="preserve">mld.). Kvůli změnám cen se deficit obchodu se základními kovy prohloubil o 29,2 mld. korun a s ropou a zemním plynem o 40,1 mld. Již zmíněné oživení českého chemického průmyslu se projevilo zmírněním deficitu obchodu s chemickými látkami </w:t>
            </w:r>
            <w:r w:rsidRPr="001D12FB">
              <w:t>a</w:t>
            </w:r>
            <w:r w:rsidR="002C6A6E">
              <w:t> </w:t>
            </w:r>
            <w:r w:rsidRPr="001D12FB">
              <w:t>přípravky</w:t>
            </w:r>
            <w:r>
              <w:rPr>
                <w:spacing w:val="-4"/>
              </w:rPr>
              <w:t xml:space="preserve"> o</w:t>
            </w:r>
            <w:r w:rsidR="002C6A6E">
              <w:rPr>
                <w:spacing w:val="-4"/>
              </w:rPr>
              <w:t> </w:t>
            </w:r>
            <w:r>
              <w:rPr>
                <w:spacing w:val="-4"/>
              </w:rPr>
              <w:t>11,2 mld. korun.</w:t>
            </w:r>
          </w:p>
          <w:p w:rsidR="00D41320" w:rsidRPr="00564C0F" w:rsidRDefault="00D41320" w:rsidP="006E4368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DD0726" w:rsidRPr="00A74192" w:rsidTr="009B0676">
        <w:tc>
          <w:tcPr>
            <w:tcW w:w="1015" w:type="pct"/>
          </w:tcPr>
          <w:p w:rsidR="00DD0726" w:rsidRPr="002804BB" w:rsidRDefault="00DD0726" w:rsidP="006C3DC1">
            <w:pPr>
              <w:spacing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" w:type="pct"/>
          </w:tcPr>
          <w:p w:rsidR="00DD0726" w:rsidRPr="00A74192" w:rsidRDefault="00DD0726" w:rsidP="006C3DC1">
            <w:pPr>
              <w:pStyle w:val="Textpoznpodarou"/>
              <w:jc w:val="both"/>
            </w:pPr>
          </w:p>
        </w:tc>
        <w:tc>
          <w:tcPr>
            <w:tcW w:w="653" w:type="pct"/>
            <w:gridSpan w:val="2"/>
          </w:tcPr>
          <w:p w:rsidR="00DD0726" w:rsidRPr="00DC21E2" w:rsidRDefault="00DD0726" w:rsidP="006C3DC1">
            <w:pPr>
              <w:pStyle w:val="Textpoznpodarou"/>
              <w:jc w:val="both"/>
              <w:rPr>
                <w:spacing w:val="-4"/>
                <w:sz w:val="16"/>
                <w:szCs w:val="16"/>
                <w:highlight w:val="yellow"/>
              </w:rPr>
            </w:pPr>
            <w:r w:rsidRPr="00DC21E2">
              <w:rPr>
                <w:spacing w:val="-4"/>
              </w:rPr>
              <w:t>Graf č. 10</w:t>
            </w:r>
          </w:p>
        </w:tc>
        <w:tc>
          <w:tcPr>
            <w:tcW w:w="3188" w:type="pct"/>
            <w:gridSpan w:val="2"/>
          </w:tcPr>
          <w:p w:rsidR="00DD0726" w:rsidRPr="00DC21E2" w:rsidRDefault="00DD0726" w:rsidP="00D41320">
            <w:pPr>
              <w:pStyle w:val="Textpoznpodarou"/>
              <w:rPr>
                <w:spacing w:val="-4"/>
                <w:sz w:val="16"/>
                <w:szCs w:val="16"/>
                <w:highlight w:val="yellow"/>
              </w:rPr>
            </w:pPr>
            <w:r w:rsidRPr="00DC21E2">
              <w:rPr>
                <w:b/>
                <w:spacing w:val="-4"/>
              </w:rPr>
              <w:t xml:space="preserve">Bilance zahraničního obchodu* ve statistice zahraničního obchodu </w:t>
            </w:r>
            <w:r w:rsidRPr="00DC21E2">
              <w:rPr>
                <w:spacing w:val="-4"/>
              </w:rPr>
              <w:t>(kumulace 1. a</w:t>
            </w:r>
            <w:r w:rsidR="00131FFA">
              <w:rPr>
                <w:spacing w:val="-4"/>
              </w:rPr>
              <w:t xml:space="preserve">ž </w:t>
            </w:r>
            <w:r w:rsidR="00D41320">
              <w:rPr>
                <w:spacing w:val="-4"/>
              </w:rPr>
              <w:t>4</w:t>
            </w:r>
            <w:r w:rsidRPr="00DC21E2">
              <w:rPr>
                <w:spacing w:val="-4"/>
              </w:rPr>
              <w:t>. čtvrtletí, v mld. korun, vybrané oddíly klasifikace CPA)</w:t>
            </w:r>
          </w:p>
        </w:tc>
      </w:tr>
      <w:tr w:rsidR="00254069" w:rsidRPr="00A74192" w:rsidTr="009B0676">
        <w:tc>
          <w:tcPr>
            <w:tcW w:w="1015" w:type="pct"/>
          </w:tcPr>
          <w:p w:rsidR="00254069" w:rsidRPr="002804BB" w:rsidRDefault="00254069" w:rsidP="006C3DC1">
            <w:pPr>
              <w:spacing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" w:type="pct"/>
          </w:tcPr>
          <w:p w:rsidR="00254069" w:rsidRPr="00A74192" w:rsidRDefault="00254069" w:rsidP="006C3DC1">
            <w:pPr>
              <w:pStyle w:val="Textpoznpodarou"/>
              <w:jc w:val="both"/>
            </w:pPr>
          </w:p>
        </w:tc>
        <w:tc>
          <w:tcPr>
            <w:tcW w:w="3841" w:type="pct"/>
            <w:gridSpan w:val="4"/>
          </w:tcPr>
          <w:p w:rsidR="00254069" w:rsidRPr="00DC21E2" w:rsidRDefault="00D41320" w:rsidP="00333134">
            <w:pPr>
              <w:pStyle w:val="Textpoznpodarou"/>
              <w:ind w:left="-73"/>
              <w:jc w:val="right"/>
              <w:rPr>
                <w:spacing w:val="-4"/>
                <w:sz w:val="14"/>
                <w:szCs w:val="14"/>
              </w:rPr>
            </w:pPr>
            <w:r w:rsidRPr="00D41320">
              <w:rPr>
                <w:noProof/>
                <w:spacing w:val="-4"/>
                <w:sz w:val="14"/>
                <w:szCs w:val="14"/>
              </w:rPr>
              <w:drawing>
                <wp:inline distT="0" distB="0" distL="0" distR="0">
                  <wp:extent cx="4737600" cy="3553200"/>
                  <wp:effectExtent l="0" t="0" r="0" b="0"/>
                  <wp:docPr id="34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254069" w:rsidRPr="008F1638" w:rsidTr="009B0676">
        <w:tc>
          <w:tcPr>
            <w:tcW w:w="1015" w:type="pct"/>
          </w:tcPr>
          <w:p w:rsidR="00254069" w:rsidRPr="00F35066" w:rsidRDefault="00254069" w:rsidP="006C3DC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254069" w:rsidRPr="002804BB" w:rsidRDefault="00254069" w:rsidP="006C3DC1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1948" w:type="pct"/>
            <w:gridSpan w:val="3"/>
          </w:tcPr>
          <w:p w:rsidR="00254069" w:rsidRPr="00DC21E2" w:rsidRDefault="00254069" w:rsidP="006C3DC1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  <w:r w:rsidRPr="00DC21E2">
              <w:rPr>
                <w:spacing w:val="-4"/>
                <w:sz w:val="14"/>
                <w:szCs w:val="14"/>
              </w:rPr>
              <w:t>*v národním pojetí</w:t>
            </w:r>
          </w:p>
        </w:tc>
        <w:tc>
          <w:tcPr>
            <w:tcW w:w="1893" w:type="pct"/>
          </w:tcPr>
          <w:p w:rsidR="00254069" w:rsidRPr="00DC21E2" w:rsidRDefault="00254069" w:rsidP="00D309C0">
            <w:pPr>
              <w:pStyle w:val="Textpoznpodarou"/>
              <w:jc w:val="right"/>
              <w:rPr>
                <w:spacing w:val="-4"/>
                <w:sz w:val="14"/>
                <w:szCs w:val="14"/>
              </w:rPr>
            </w:pPr>
            <w:r w:rsidRPr="00DC21E2">
              <w:rPr>
                <w:spacing w:val="-4"/>
                <w:sz w:val="14"/>
                <w:szCs w:val="14"/>
              </w:rPr>
              <w:t>Zdroj: ČSÚ</w:t>
            </w:r>
          </w:p>
        </w:tc>
      </w:tr>
      <w:bookmarkEnd w:id="2"/>
    </w:tbl>
    <w:p w:rsidR="008A03DE" w:rsidRPr="00CE7158" w:rsidRDefault="008A03DE" w:rsidP="009A1C2F">
      <w:pPr>
        <w:pStyle w:val="Nadpis1"/>
        <w:jc w:val="both"/>
        <w:rPr>
          <w:rFonts w:cs="Arial"/>
          <w:color w:val="000000"/>
          <w:sz w:val="10"/>
          <w:szCs w:val="10"/>
        </w:rPr>
      </w:pPr>
    </w:p>
    <w:sectPr w:rsidR="008A03DE" w:rsidRPr="00CE7158" w:rsidSect="009A1C2F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6" w:h="16838" w:code="9"/>
      <w:pgMar w:top="1134" w:right="1134" w:bottom="1418" w:left="1134" w:header="680" w:footer="680" w:gutter="0"/>
      <w:pgNumType w:start="14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4FCE60" w15:done="0"/>
  <w15:commentEx w15:paraId="30BEC4BA" w15:done="0"/>
  <w15:commentEx w15:paraId="5AD8A77A" w15:done="0"/>
  <w15:commentEx w15:paraId="725DECB0" w15:done="0"/>
  <w15:commentEx w15:paraId="4BCA0381" w15:done="0"/>
  <w15:commentEx w15:paraId="7BB55DD9" w15:done="0"/>
  <w15:commentEx w15:paraId="1846474D" w15:done="0"/>
  <w15:commentEx w15:paraId="1FF54E19" w15:done="0"/>
  <w15:commentEx w15:paraId="20C1CD95" w15:done="0"/>
  <w15:commentEx w15:paraId="40D38D09" w15:done="0"/>
  <w15:commentEx w15:paraId="6D53AB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4FCE60" w16cid:durableId="1E5515BA"/>
  <w16cid:commentId w16cid:paraId="30BEC4BA" w16cid:durableId="1E551738"/>
  <w16cid:commentId w16cid:paraId="5AD8A77A" w16cid:durableId="1E551C84"/>
  <w16cid:commentId w16cid:paraId="725DECB0" w16cid:durableId="1E551DB9"/>
  <w16cid:commentId w16cid:paraId="4BCA0381" w16cid:durableId="1E550EE3"/>
  <w16cid:commentId w16cid:paraId="7BB55DD9" w16cid:durableId="1E553A5B"/>
  <w16cid:commentId w16cid:paraId="1846474D" w16cid:durableId="1E554F46"/>
  <w16cid:commentId w16cid:paraId="1FF54E19" w16cid:durableId="1E550EE4"/>
  <w16cid:commentId w16cid:paraId="20C1CD95" w16cid:durableId="1E550EE5"/>
  <w16cid:commentId w16cid:paraId="40D38D09" w16cid:durableId="1E5644B5"/>
  <w16cid:commentId w16cid:paraId="6D53ABCB" w16cid:durableId="1E56875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413" w:rsidRDefault="00EC0413" w:rsidP="00E71A58">
      <w:r>
        <w:separator/>
      </w:r>
    </w:p>
  </w:endnote>
  <w:endnote w:type="continuationSeparator" w:id="0">
    <w:p w:rsidR="00EC0413" w:rsidRDefault="00EC0413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95" w:rsidRDefault="00522795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1DCE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0D1DCE" w:rsidRPr="005A21E0">
      <w:rPr>
        <w:rFonts w:ascii="Arial" w:hAnsi="Arial" w:cs="Arial"/>
        <w:sz w:val="16"/>
        <w:szCs w:val="16"/>
      </w:rPr>
      <w:fldChar w:fldCharType="separate"/>
    </w:r>
    <w:r w:rsidR="009A1C2F">
      <w:rPr>
        <w:rFonts w:ascii="Arial" w:hAnsi="Arial" w:cs="Arial"/>
        <w:noProof/>
        <w:sz w:val="16"/>
        <w:szCs w:val="16"/>
      </w:rPr>
      <w:t>14</w:t>
    </w:r>
    <w:r w:rsidR="000D1DCE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95" w:rsidRDefault="00522795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3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522795" w:rsidRPr="00223E00" w:rsidRDefault="00522795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>
      <w:rPr>
        <w:rFonts w:ascii="Arial" w:hAnsi="Arial" w:cs="Arial"/>
        <w:sz w:val="16"/>
        <w:szCs w:val="16"/>
      </w:rPr>
      <w:tab/>
    </w:r>
    <w:r w:rsidR="000D1DCE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0D1DCE" w:rsidRPr="00223E00">
      <w:rPr>
        <w:rFonts w:ascii="Arial" w:hAnsi="Arial" w:cs="Arial"/>
        <w:sz w:val="16"/>
        <w:szCs w:val="16"/>
      </w:rPr>
      <w:fldChar w:fldCharType="separate"/>
    </w:r>
    <w:r w:rsidR="009A1C2F">
      <w:rPr>
        <w:rFonts w:ascii="Arial" w:hAnsi="Arial" w:cs="Arial"/>
        <w:noProof/>
        <w:sz w:val="16"/>
        <w:szCs w:val="16"/>
      </w:rPr>
      <w:t>15</w:t>
    </w:r>
    <w:r w:rsidR="000D1DCE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413" w:rsidRDefault="00EC0413" w:rsidP="00E71A58">
      <w:r>
        <w:separator/>
      </w:r>
    </w:p>
  </w:footnote>
  <w:footnote w:type="continuationSeparator" w:id="0">
    <w:p w:rsidR="00EC0413" w:rsidRDefault="00EC0413" w:rsidP="00E71A58">
      <w:r>
        <w:continuationSeparator/>
      </w:r>
    </w:p>
  </w:footnote>
  <w:footnote w:id="1">
    <w:p w:rsidR="00522795" w:rsidRPr="0057569E" w:rsidRDefault="00522795">
      <w:pPr>
        <w:pStyle w:val="Textpoznpodarou"/>
        <w:rPr>
          <w:sz w:val="16"/>
          <w:szCs w:val="16"/>
        </w:rPr>
      </w:pPr>
      <w:r w:rsidRPr="0057569E">
        <w:rPr>
          <w:rStyle w:val="Znakapoznpodarou"/>
          <w:sz w:val="16"/>
          <w:szCs w:val="16"/>
        </w:rPr>
        <w:footnoteRef/>
      </w:r>
      <w:r w:rsidRPr="0057569E">
        <w:rPr>
          <w:sz w:val="16"/>
          <w:szCs w:val="16"/>
        </w:rPr>
        <w:t xml:space="preserve"> Údaje z databáze ARAD České národní banky.</w:t>
      </w:r>
    </w:p>
  </w:footnote>
  <w:footnote w:id="2">
    <w:p w:rsidR="00522795" w:rsidRPr="001374E5" w:rsidRDefault="00522795">
      <w:pPr>
        <w:pStyle w:val="Textpoznpodarou"/>
        <w:rPr>
          <w:sz w:val="16"/>
          <w:szCs w:val="16"/>
        </w:rPr>
      </w:pPr>
      <w:r w:rsidRPr="001374E5">
        <w:rPr>
          <w:rStyle w:val="Znakapoznpodarou"/>
          <w:sz w:val="16"/>
          <w:szCs w:val="16"/>
        </w:rPr>
        <w:footnoteRef/>
      </w:r>
      <w:r w:rsidRPr="001374E5">
        <w:rPr>
          <w:sz w:val="16"/>
          <w:szCs w:val="16"/>
        </w:rPr>
        <w:t xml:space="preserve"> Podle údajů Ministerstva financí ČR. Státní dluhopisy podle typu držitele.</w:t>
      </w:r>
    </w:p>
  </w:footnote>
  <w:footnote w:id="3">
    <w:p w:rsidR="00522795" w:rsidRPr="003279A7" w:rsidRDefault="00522795" w:rsidP="00766F78">
      <w:pPr>
        <w:pStyle w:val="Textpoznpodarou"/>
        <w:rPr>
          <w:sz w:val="16"/>
          <w:szCs w:val="16"/>
        </w:rPr>
      </w:pPr>
      <w:r w:rsidRPr="003279A7">
        <w:rPr>
          <w:rStyle w:val="Znakapoznpodarou"/>
          <w:sz w:val="16"/>
          <w:szCs w:val="16"/>
        </w:rPr>
        <w:footnoteRef/>
      </w:r>
      <w:r w:rsidRPr="003279A7">
        <w:rPr>
          <w:sz w:val="16"/>
          <w:szCs w:val="16"/>
        </w:rPr>
        <w:t xml:space="preserve"> Údaje </w:t>
      </w:r>
      <w:r>
        <w:rPr>
          <w:sz w:val="16"/>
          <w:szCs w:val="16"/>
        </w:rPr>
        <w:t xml:space="preserve">statistiky zahraničního obchodu </w:t>
      </w:r>
      <w:r w:rsidRPr="003279A7">
        <w:rPr>
          <w:sz w:val="16"/>
          <w:szCs w:val="16"/>
        </w:rPr>
        <w:t>v národním pojetí v nominálním vyjádření zahrnující pouze obchod se zbožím. Hodnota vývozu je zachycena v cenách FOB, tj. včetně nákladů souvisejících s dopravou na hranice ČR. Dovoz</w:t>
      </w:r>
      <w:r>
        <w:rPr>
          <w:sz w:val="16"/>
          <w:szCs w:val="16"/>
        </w:rPr>
        <w:t xml:space="preserve"> uvedený níže v této kapitole</w:t>
      </w:r>
      <w:r w:rsidRPr="003279A7">
        <w:rPr>
          <w:sz w:val="16"/>
          <w:szCs w:val="16"/>
        </w:rPr>
        <w:t xml:space="preserve"> je v cenách CIF, tj. včetně nákladů souvisejících s dopravou v zahraničí na hranice ČR. Data jsou platná k </w:t>
      </w:r>
      <w:r>
        <w:rPr>
          <w:sz w:val="16"/>
          <w:szCs w:val="16"/>
        </w:rPr>
        <w:t>9</w:t>
      </w:r>
      <w:r w:rsidRPr="003279A7">
        <w:rPr>
          <w:sz w:val="16"/>
          <w:szCs w:val="16"/>
        </w:rPr>
        <w:t>.</w:t>
      </w:r>
      <w:r>
        <w:rPr>
          <w:sz w:val="16"/>
          <w:szCs w:val="16"/>
        </w:rPr>
        <w:t xml:space="preserve"> 3</w:t>
      </w:r>
      <w:r w:rsidRPr="003279A7">
        <w:rPr>
          <w:sz w:val="16"/>
          <w:szCs w:val="16"/>
        </w:rPr>
        <w:t>.</w:t>
      </w:r>
      <w:r>
        <w:rPr>
          <w:sz w:val="16"/>
          <w:szCs w:val="16"/>
        </w:rPr>
        <w:t xml:space="preserve"> 2018.</w:t>
      </w:r>
      <w:r w:rsidRPr="003279A7">
        <w:rPr>
          <w:sz w:val="16"/>
          <w:szCs w:val="16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95" w:rsidRPr="00C00831" w:rsidRDefault="00522795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roce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95" w:rsidRPr="0030768C" w:rsidRDefault="00522795" w:rsidP="0030768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roce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BAB"/>
    <w:multiLevelType w:val="hybridMultilevel"/>
    <w:tmpl w:val="4150E6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B457C"/>
    <w:multiLevelType w:val="hybridMultilevel"/>
    <w:tmpl w:val="5A2A4F0E"/>
    <w:lvl w:ilvl="0" w:tplc="AFDC3104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057FE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14A0B"/>
    <w:multiLevelType w:val="hybridMultilevel"/>
    <w:tmpl w:val="11CE6D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F62C9"/>
    <w:multiLevelType w:val="hybridMultilevel"/>
    <w:tmpl w:val="FFCA852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A48046E"/>
    <w:multiLevelType w:val="hybridMultilevel"/>
    <w:tmpl w:val="5A2A4F0E"/>
    <w:lvl w:ilvl="0" w:tplc="AFDC3104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A7708B"/>
    <w:multiLevelType w:val="hybridMultilevel"/>
    <w:tmpl w:val="9CF6FB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AD014E"/>
    <w:multiLevelType w:val="hybridMultilevel"/>
    <w:tmpl w:val="5A5AB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B18EA"/>
    <w:multiLevelType w:val="hybridMultilevel"/>
    <w:tmpl w:val="CFC2F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20C48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070079"/>
    <w:multiLevelType w:val="hybridMultilevel"/>
    <w:tmpl w:val="52062EC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34B5E"/>
    <w:multiLevelType w:val="hybridMultilevel"/>
    <w:tmpl w:val="1180B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605137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4D0FE2"/>
    <w:multiLevelType w:val="hybridMultilevel"/>
    <w:tmpl w:val="ECDE8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40067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90D45"/>
    <w:multiLevelType w:val="hybridMultilevel"/>
    <w:tmpl w:val="7810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C501C8"/>
    <w:multiLevelType w:val="hybridMultilevel"/>
    <w:tmpl w:val="0C04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05D16"/>
    <w:multiLevelType w:val="hybridMultilevel"/>
    <w:tmpl w:val="A1248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261EC"/>
    <w:multiLevelType w:val="hybridMultilevel"/>
    <w:tmpl w:val="BFC0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C47DB"/>
    <w:multiLevelType w:val="hybridMultilevel"/>
    <w:tmpl w:val="AA5065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4"/>
  </w:num>
  <w:num w:numId="4">
    <w:abstractNumId w:val="22"/>
  </w:num>
  <w:num w:numId="5">
    <w:abstractNumId w:val="16"/>
  </w:num>
  <w:num w:numId="6">
    <w:abstractNumId w:val="19"/>
  </w:num>
  <w:num w:numId="7">
    <w:abstractNumId w:val="5"/>
  </w:num>
  <w:num w:numId="8">
    <w:abstractNumId w:val="12"/>
  </w:num>
  <w:num w:numId="9">
    <w:abstractNumId w:val="21"/>
  </w:num>
  <w:num w:numId="10">
    <w:abstractNumId w:val="4"/>
  </w:num>
  <w:num w:numId="11">
    <w:abstractNumId w:val="9"/>
  </w:num>
  <w:num w:numId="12">
    <w:abstractNumId w:val="2"/>
  </w:num>
  <w:num w:numId="13">
    <w:abstractNumId w:val="8"/>
  </w:num>
  <w:num w:numId="14">
    <w:abstractNumId w:val="0"/>
  </w:num>
  <w:num w:numId="15">
    <w:abstractNumId w:val="20"/>
  </w:num>
  <w:num w:numId="16">
    <w:abstractNumId w:val="17"/>
  </w:num>
  <w:num w:numId="17">
    <w:abstractNumId w:val="7"/>
  </w:num>
  <w:num w:numId="18">
    <w:abstractNumId w:val="23"/>
  </w:num>
  <w:num w:numId="19">
    <w:abstractNumId w:val="10"/>
  </w:num>
  <w:num w:numId="20">
    <w:abstractNumId w:val="1"/>
  </w:num>
  <w:num w:numId="21">
    <w:abstractNumId w:val="13"/>
  </w:num>
  <w:num w:numId="22">
    <w:abstractNumId w:val="15"/>
  </w:num>
  <w:num w:numId="23">
    <w:abstractNumId w:val="3"/>
  </w:num>
  <w:num w:numId="24">
    <w:abstractNumId w:val="6"/>
  </w:num>
  <w:num w:numId="25">
    <w:abstractNumId w:val="11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lada">
    <w15:presenceInfo w15:providerId="None" w15:userId="Vla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0FA7"/>
    <w:rsid w:val="00001EFF"/>
    <w:rsid w:val="00003687"/>
    <w:rsid w:val="00003C43"/>
    <w:rsid w:val="00004C5D"/>
    <w:rsid w:val="00004EB0"/>
    <w:rsid w:val="00004FF9"/>
    <w:rsid w:val="00007498"/>
    <w:rsid w:val="0000767A"/>
    <w:rsid w:val="000101F5"/>
    <w:rsid w:val="000104B9"/>
    <w:rsid w:val="00010702"/>
    <w:rsid w:val="00010770"/>
    <w:rsid w:val="00010982"/>
    <w:rsid w:val="00011191"/>
    <w:rsid w:val="0001159B"/>
    <w:rsid w:val="000117CA"/>
    <w:rsid w:val="00012986"/>
    <w:rsid w:val="000129CF"/>
    <w:rsid w:val="00014028"/>
    <w:rsid w:val="00014690"/>
    <w:rsid w:val="00015195"/>
    <w:rsid w:val="0001519F"/>
    <w:rsid w:val="0001572B"/>
    <w:rsid w:val="0001573E"/>
    <w:rsid w:val="000157DA"/>
    <w:rsid w:val="0001589D"/>
    <w:rsid w:val="00016033"/>
    <w:rsid w:val="000162DB"/>
    <w:rsid w:val="00017F05"/>
    <w:rsid w:val="000202C6"/>
    <w:rsid w:val="00020315"/>
    <w:rsid w:val="000208B1"/>
    <w:rsid w:val="00020946"/>
    <w:rsid w:val="00022081"/>
    <w:rsid w:val="0002292C"/>
    <w:rsid w:val="00022B41"/>
    <w:rsid w:val="00023FB5"/>
    <w:rsid w:val="0002434F"/>
    <w:rsid w:val="00024887"/>
    <w:rsid w:val="00024CBA"/>
    <w:rsid w:val="00025501"/>
    <w:rsid w:val="00026998"/>
    <w:rsid w:val="00026B06"/>
    <w:rsid w:val="000304C4"/>
    <w:rsid w:val="0003066A"/>
    <w:rsid w:val="00030F14"/>
    <w:rsid w:val="000311C5"/>
    <w:rsid w:val="00032838"/>
    <w:rsid w:val="00032C12"/>
    <w:rsid w:val="00032E0C"/>
    <w:rsid w:val="00034D3F"/>
    <w:rsid w:val="00035CCF"/>
    <w:rsid w:val="00035FC6"/>
    <w:rsid w:val="0003705E"/>
    <w:rsid w:val="00037667"/>
    <w:rsid w:val="0003780E"/>
    <w:rsid w:val="0004075D"/>
    <w:rsid w:val="000411E1"/>
    <w:rsid w:val="00041E9C"/>
    <w:rsid w:val="00042EC6"/>
    <w:rsid w:val="00043C68"/>
    <w:rsid w:val="00043E05"/>
    <w:rsid w:val="00044913"/>
    <w:rsid w:val="00045681"/>
    <w:rsid w:val="0004694F"/>
    <w:rsid w:val="00046E43"/>
    <w:rsid w:val="000500DC"/>
    <w:rsid w:val="000509FD"/>
    <w:rsid w:val="00051ADE"/>
    <w:rsid w:val="00052052"/>
    <w:rsid w:val="00052172"/>
    <w:rsid w:val="000534FD"/>
    <w:rsid w:val="00053CBA"/>
    <w:rsid w:val="00054E43"/>
    <w:rsid w:val="00055059"/>
    <w:rsid w:val="000553E4"/>
    <w:rsid w:val="0005619C"/>
    <w:rsid w:val="000567FA"/>
    <w:rsid w:val="00056B26"/>
    <w:rsid w:val="00057C16"/>
    <w:rsid w:val="00060F26"/>
    <w:rsid w:val="00062D43"/>
    <w:rsid w:val="00062EC5"/>
    <w:rsid w:val="00063AF0"/>
    <w:rsid w:val="00064256"/>
    <w:rsid w:val="00066B7B"/>
    <w:rsid w:val="000673F8"/>
    <w:rsid w:val="00070314"/>
    <w:rsid w:val="000706A4"/>
    <w:rsid w:val="00070A0C"/>
    <w:rsid w:val="00071F80"/>
    <w:rsid w:val="00072118"/>
    <w:rsid w:val="00073173"/>
    <w:rsid w:val="0007324C"/>
    <w:rsid w:val="00073655"/>
    <w:rsid w:val="000779AC"/>
    <w:rsid w:val="000807ED"/>
    <w:rsid w:val="00080A41"/>
    <w:rsid w:val="00080AA8"/>
    <w:rsid w:val="00081851"/>
    <w:rsid w:val="00083803"/>
    <w:rsid w:val="00083D7F"/>
    <w:rsid w:val="00083FE5"/>
    <w:rsid w:val="00084393"/>
    <w:rsid w:val="00084771"/>
    <w:rsid w:val="0008716A"/>
    <w:rsid w:val="00087634"/>
    <w:rsid w:val="00091237"/>
    <w:rsid w:val="000916B1"/>
    <w:rsid w:val="0009191B"/>
    <w:rsid w:val="000920EC"/>
    <w:rsid w:val="000921B6"/>
    <w:rsid w:val="00092208"/>
    <w:rsid w:val="00092505"/>
    <w:rsid w:val="000927EB"/>
    <w:rsid w:val="00092C9A"/>
    <w:rsid w:val="00093F4B"/>
    <w:rsid w:val="000973B6"/>
    <w:rsid w:val="00097BFC"/>
    <w:rsid w:val="00097D02"/>
    <w:rsid w:val="000A1183"/>
    <w:rsid w:val="000A2121"/>
    <w:rsid w:val="000A2484"/>
    <w:rsid w:val="000A2929"/>
    <w:rsid w:val="000A36CE"/>
    <w:rsid w:val="000A59BF"/>
    <w:rsid w:val="000A66C2"/>
    <w:rsid w:val="000A68A7"/>
    <w:rsid w:val="000A6F68"/>
    <w:rsid w:val="000B1CFE"/>
    <w:rsid w:val="000B210A"/>
    <w:rsid w:val="000B2324"/>
    <w:rsid w:val="000B249B"/>
    <w:rsid w:val="000B2729"/>
    <w:rsid w:val="000B2ADE"/>
    <w:rsid w:val="000B3B01"/>
    <w:rsid w:val="000B3C13"/>
    <w:rsid w:val="000B3DB9"/>
    <w:rsid w:val="000B3F02"/>
    <w:rsid w:val="000B48A2"/>
    <w:rsid w:val="000B48E7"/>
    <w:rsid w:val="000B4E9F"/>
    <w:rsid w:val="000B4F41"/>
    <w:rsid w:val="000B7663"/>
    <w:rsid w:val="000B7A90"/>
    <w:rsid w:val="000C1106"/>
    <w:rsid w:val="000C11D3"/>
    <w:rsid w:val="000C12F5"/>
    <w:rsid w:val="000C3408"/>
    <w:rsid w:val="000C54AF"/>
    <w:rsid w:val="000C57C5"/>
    <w:rsid w:val="000C5C0F"/>
    <w:rsid w:val="000C5D56"/>
    <w:rsid w:val="000C60D8"/>
    <w:rsid w:val="000C6498"/>
    <w:rsid w:val="000D0B22"/>
    <w:rsid w:val="000D0D51"/>
    <w:rsid w:val="000D14B3"/>
    <w:rsid w:val="000D1BFB"/>
    <w:rsid w:val="000D1DCE"/>
    <w:rsid w:val="000D1F52"/>
    <w:rsid w:val="000D208B"/>
    <w:rsid w:val="000D263E"/>
    <w:rsid w:val="000D2B8D"/>
    <w:rsid w:val="000D2E41"/>
    <w:rsid w:val="000D342A"/>
    <w:rsid w:val="000D43CB"/>
    <w:rsid w:val="000D5E7A"/>
    <w:rsid w:val="000D5FAA"/>
    <w:rsid w:val="000D65A4"/>
    <w:rsid w:val="000D6AEF"/>
    <w:rsid w:val="000D7414"/>
    <w:rsid w:val="000E025B"/>
    <w:rsid w:val="000E0ECB"/>
    <w:rsid w:val="000E153A"/>
    <w:rsid w:val="000E19A8"/>
    <w:rsid w:val="000E1EEA"/>
    <w:rsid w:val="000E4241"/>
    <w:rsid w:val="000E4A42"/>
    <w:rsid w:val="000E6184"/>
    <w:rsid w:val="000E6476"/>
    <w:rsid w:val="000E78D2"/>
    <w:rsid w:val="000F3332"/>
    <w:rsid w:val="000F33EE"/>
    <w:rsid w:val="000F401E"/>
    <w:rsid w:val="000F5445"/>
    <w:rsid w:val="000F5598"/>
    <w:rsid w:val="000F5673"/>
    <w:rsid w:val="000F67B2"/>
    <w:rsid w:val="000F6CFB"/>
    <w:rsid w:val="000F7121"/>
    <w:rsid w:val="000F74B6"/>
    <w:rsid w:val="000F790F"/>
    <w:rsid w:val="000F7E1B"/>
    <w:rsid w:val="00100014"/>
    <w:rsid w:val="00100224"/>
    <w:rsid w:val="0010039A"/>
    <w:rsid w:val="00101E94"/>
    <w:rsid w:val="00101FB2"/>
    <w:rsid w:val="001028CF"/>
    <w:rsid w:val="00102CB8"/>
    <w:rsid w:val="00102F02"/>
    <w:rsid w:val="0010385D"/>
    <w:rsid w:val="00103E41"/>
    <w:rsid w:val="001041B6"/>
    <w:rsid w:val="001070EA"/>
    <w:rsid w:val="001076CA"/>
    <w:rsid w:val="0011002A"/>
    <w:rsid w:val="001107CE"/>
    <w:rsid w:val="001109F0"/>
    <w:rsid w:val="0011110A"/>
    <w:rsid w:val="001118AF"/>
    <w:rsid w:val="00111CA5"/>
    <w:rsid w:val="0011256E"/>
    <w:rsid w:val="0011352E"/>
    <w:rsid w:val="0011365A"/>
    <w:rsid w:val="00114FC0"/>
    <w:rsid w:val="00115496"/>
    <w:rsid w:val="00115BDB"/>
    <w:rsid w:val="00116DB9"/>
    <w:rsid w:val="00116F28"/>
    <w:rsid w:val="00117597"/>
    <w:rsid w:val="00117CE8"/>
    <w:rsid w:val="00117F28"/>
    <w:rsid w:val="001201F0"/>
    <w:rsid w:val="00121961"/>
    <w:rsid w:val="00121C39"/>
    <w:rsid w:val="00123255"/>
    <w:rsid w:val="00124D2D"/>
    <w:rsid w:val="00124DA1"/>
    <w:rsid w:val="00125326"/>
    <w:rsid w:val="00125CB5"/>
    <w:rsid w:val="001264C1"/>
    <w:rsid w:val="00127535"/>
    <w:rsid w:val="001305B2"/>
    <w:rsid w:val="001307BE"/>
    <w:rsid w:val="00130C8F"/>
    <w:rsid w:val="001314F2"/>
    <w:rsid w:val="001317DA"/>
    <w:rsid w:val="00131FFA"/>
    <w:rsid w:val="001323BA"/>
    <w:rsid w:val="0013254D"/>
    <w:rsid w:val="00133AAC"/>
    <w:rsid w:val="00133FBD"/>
    <w:rsid w:val="00134DFD"/>
    <w:rsid w:val="00136561"/>
    <w:rsid w:val="00136AE8"/>
    <w:rsid w:val="001400E1"/>
    <w:rsid w:val="001405FA"/>
    <w:rsid w:val="001408DD"/>
    <w:rsid w:val="001413B3"/>
    <w:rsid w:val="001425C3"/>
    <w:rsid w:val="00142F16"/>
    <w:rsid w:val="00143E03"/>
    <w:rsid w:val="00143E93"/>
    <w:rsid w:val="00143FA3"/>
    <w:rsid w:val="0014428D"/>
    <w:rsid w:val="0014731B"/>
    <w:rsid w:val="00147E55"/>
    <w:rsid w:val="00150040"/>
    <w:rsid w:val="001500FC"/>
    <w:rsid w:val="00151AC0"/>
    <w:rsid w:val="00151B27"/>
    <w:rsid w:val="00152046"/>
    <w:rsid w:val="001520AF"/>
    <w:rsid w:val="00152488"/>
    <w:rsid w:val="00152E53"/>
    <w:rsid w:val="00154147"/>
    <w:rsid w:val="001550F3"/>
    <w:rsid w:val="00155746"/>
    <w:rsid w:val="00156318"/>
    <w:rsid w:val="0015639A"/>
    <w:rsid w:val="0016081D"/>
    <w:rsid w:val="00160CF3"/>
    <w:rsid w:val="00160DCA"/>
    <w:rsid w:val="00160E61"/>
    <w:rsid w:val="00161300"/>
    <w:rsid w:val="00161DB6"/>
    <w:rsid w:val="001620FA"/>
    <w:rsid w:val="00162853"/>
    <w:rsid w:val="00163793"/>
    <w:rsid w:val="00167FB2"/>
    <w:rsid w:val="001707DE"/>
    <w:rsid w:val="00170B04"/>
    <w:rsid w:val="00170F47"/>
    <w:rsid w:val="001711F2"/>
    <w:rsid w:val="001714F2"/>
    <w:rsid w:val="001718C2"/>
    <w:rsid w:val="00172B64"/>
    <w:rsid w:val="00173642"/>
    <w:rsid w:val="001736BB"/>
    <w:rsid w:val="00173AF4"/>
    <w:rsid w:val="00173CB0"/>
    <w:rsid w:val="00174CE8"/>
    <w:rsid w:val="00174E7D"/>
    <w:rsid w:val="001752CB"/>
    <w:rsid w:val="00175351"/>
    <w:rsid w:val="00175F60"/>
    <w:rsid w:val="00176050"/>
    <w:rsid w:val="001764D8"/>
    <w:rsid w:val="00176A8F"/>
    <w:rsid w:val="00180D58"/>
    <w:rsid w:val="00181410"/>
    <w:rsid w:val="001814AE"/>
    <w:rsid w:val="00181938"/>
    <w:rsid w:val="00182981"/>
    <w:rsid w:val="00184CF9"/>
    <w:rsid w:val="00184DE8"/>
    <w:rsid w:val="00185010"/>
    <w:rsid w:val="001852EC"/>
    <w:rsid w:val="00186447"/>
    <w:rsid w:val="001874CF"/>
    <w:rsid w:val="00187F91"/>
    <w:rsid w:val="00190214"/>
    <w:rsid w:val="00190D9B"/>
    <w:rsid w:val="0019161A"/>
    <w:rsid w:val="00191BAE"/>
    <w:rsid w:val="00193432"/>
    <w:rsid w:val="0019346C"/>
    <w:rsid w:val="0019431C"/>
    <w:rsid w:val="00194AE3"/>
    <w:rsid w:val="00195335"/>
    <w:rsid w:val="00195444"/>
    <w:rsid w:val="0019579E"/>
    <w:rsid w:val="00197806"/>
    <w:rsid w:val="001A199D"/>
    <w:rsid w:val="001A2855"/>
    <w:rsid w:val="001A2BDB"/>
    <w:rsid w:val="001A30F4"/>
    <w:rsid w:val="001A47AB"/>
    <w:rsid w:val="001A4C0D"/>
    <w:rsid w:val="001A552F"/>
    <w:rsid w:val="001A56F3"/>
    <w:rsid w:val="001A737B"/>
    <w:rsid w:val="001A750C"/>
    <w:rsid w:val="001B008E"/>
    <w:rsid w:val="001B1D89"/>
    <w:rsid w:val="001B2143"/>
    <w:rsid w:val="001B3110"/>
    <w:rsid w:val="001B4198"/>
    <w:rsid w:val="001B44BC"/>
    <w:rsid w:val="001B5215"/>
    <w:rsid w:val="001B5888"/>
    <w:rsid w:val="001B5A75"/>
    <w:rsid w:val="001B618F"/>
    <w:rsid w:val="001B6277"/>
    <w:rsid w:val="001B6545"/>
    <w:rsid w:val="001B681B"/>
    <w:rsid w:val="001B6A49"/>
    <w:rsid w:val="001B7231"/>
    <w:rsid w:val="001B74FB"/>
    <w:rsid w:val="001B77A1"/>
    <w:rsid w:val="001C0422"/>
    <w:rsid w:val="001C0B1E"/>
    <w:rsid w:val="001C0E0E"/>
    <w:rsid w:val="001C0E66"/>
    <w:rsid w:val="001C0EB9"/>
    <w:rsid w:val="001C1219"/>
    <w:rsid w:val="001C357A"/>
    <w:rsid w:val="001C3657"/>
    <w:rsid w:val="001C3961"/>
    <w:rsid w:val="001C3A37"/>
    <w:rsid w:val="001C4384"/>
    <w:rsid w:val="001C55F5"/>
    <w:rsid w:val="001C65FF"/>
    <w:rsid w:val="001C6747"/>
    <w:rsid w:val="001D12FB"/>
    <w:rsid w:val="001D3787"/>
    <w:rsid w:val="001D47E5"/>
    <w:rsid w:val="001D584C"/>
    <w:rsid w:val="001D5E1B"/>
    <w:rsid w:val="001D66C1"/>
    <w:rsid w:val="001D6EF6"/>
    <w:rsid w:val="001D7C6F"/>
    <w:rsid w:val="001E0024"/>
    <w:rsid w:val="001E0735"/>
    <w:rsid w:val="001E0C65"/>
    <w:rsid w:val="001E23E3"/>
    <w:rsid w:val="001E29AF"/>
    <w:rsid w:val="001E3731"/>
    <w:rsid w:val="001E387A"/>
    <w:rsid w:val="001E3DA4"/>
    <w:rsid w:val="001E5469"/>
    <w:rsid w:val="001E5830"/>
    <w:rsid w:val="001E5F62"/>
    <w:rsid w:val="001E684C"/>
    <w:rsid w:val="001E701C"/>
    <w:rsid w:val="001E7552"/>
    <w:rsid w:val="001E7C03"/>
    <w:rsid w:val="001F02AF"/>
    <w:rsid w:val="001F0649"/>
    <w:rsid w:val="001F28F4"/>
    <w:rsid w:val="001F2902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3A7"/>
    <w:rsid w:val="001F670A"/>
    <w:rsid w:val="00200D15"/>
    <w:rsid w:val="0020223B"/>
    <w:rsid w:val="0020294A"/>
    <w:rsid w:val="00203074"/>
    <w:rsid w:val="0020340C"/>
    <w:rsid w:val="00203B09"/>
    <w:rsid w:val="00203B46"/>
    <w:rsid w:val="00203FCB"/>
    <w:rsid w:val="002048E1"/>
    <w:rsid w:val="002070AB"/>
    <w:rsid w:val="00207DB6"/>
    <w:rsid w:val="00210278"/>
    <w:rsid w:val="00210CC2"/>
    <w:rsid w:val="00210F5B"/>
    <w:rsid w:val="00210FFA"/>
    <w:rsid w:val="00211262"/>
    <w:rsid w:val="0021139C"/>
    <w:rsid w:val="002115F5"/>
    <w:rsid w:val="00211AC9"/>
    <w:rsid w:val="0021329E"/>
    <w:rsid w:val="0021355B"/>
    <w:rsid w:val="002137A1"/>
    <w:rsid w:val="00215061"/>
    <w:rsid w:val="0021507A"/>
    <w:rsid w:val="0021552C"/>
    <w:rsid w:val="00215A2C"/>
    <w:rsid w:val="00217980"/>
    <w:rsid w:val="002179F9"/>
    <w:rsid w:val="002205F2"/>
    <w:rsid w:val="0022080E"/>
    <w:rsid w:val="00220895"/>
    <w:rsid w:val="00220B20"/>
    <w:rsid w:val="0022139E"/>
    <w:rsid w:val="002224C1"/>
    <w:rsid w:val="0022272B"/>
    <w:rsid w:val="00222A99"/>
    <w:rsid w:val="00223678"/>
    <w:rsid w:val="002236F7"/>
    <w:rsid w:val="00223E00"/>
    <w:rsid w:val="00224048"/>
    <w:rsid w:val="002252E0"/>
    <w:rsid w:val="002255F6"/>
    <w:rsid w:val="00225F36"/>
    <w:rsid w:val="00226466"/>
    <w:rsid w:val="002266D0"/>
    <w:rsid w:val="00226887"/>
    <w:rsid w:val="00227991"/>
    <w:rsid w:val="00230DAD"/>
    <w:rsid w:val="0023229C"/>
    <w:rsid w:val="00232A3C"/>
    <w:rsid w:val="0023301B"/>
    <w:rsid w:val="002334DF"/>
    <w:rsid w:val="0023355C"/>
    <w:rsid w:val="00234280"/>
    <w:rsid w:val="00234DD5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1446"/>
    <w:rsid w:val="00242730"/>
    <w:rsid w:val="002436BA"/>
    <w:rsid w:val="002444ED"/>
    <w:rsid w:val="00244A15"/>
    <w:rsid w:val="00244D40"/>
    <w:rsid w:val="002452E5"/>
    <w:rsid w:val="00246AE9"/>
    <w:rsid w:val="0024799E"/>
    <w:rsid w:val="00250C59"/>
    <w:rsid w:val="00250E0D"/>
    <w:rsid w:val="002518F6"/>
    <w:rsid w:val="00251D59"/>
    <w:rsid w:val="00252602"/>
    <w:rsid w:val="00252609"/>
    <w:rsid w:val="00252FDC"/>
    <w:rsid w:val="002532E2"/>
    <w:rsid w:val="00253E11"/>
    <w:rsid w:val="00254069"/>
    <w:rsid w:val="00254B3B"/>
    <w:rsid w:val="00254C4B"/>
    <w:rsid w:val="002550D8"/>
    <w:rsid w:val="00257613"/>
    <w:rsid w:val="002609C2"/>
    <w:rsid w:val="00261A0F"/>
    <w:rsid w:val="00261E5B"/>
    <w:rsid w:val="00262EB9"/>
    <w:rsid w:val="00262F34"/>
    <w:rsid w:val="002633E5"/>
    <w:rsid w:val="00263470"/>
    <w:rsid w:val="00263733"/>
    <w:rsid w:val="00264676"/>
    <w:rsid w:val="00264A46"/>
    <w:rsid w:val="00265536"/>
    <w:rsid w:val="0026595E"/>
    <w:rsid w:val="00265E54"/>
    <w:rsid w:val="00266306"/>
    <w:rsid w:val="002664A1"/>
    <w:rsid w:val="00266F3E"/>
    <w:rsid w:val="00270785"/>
    <w:rsid w:val="00272464"/>
    <w:rsid w:val="00272B0B"/>
    <w:rsid w:val="00272CC5"/>
    <w:rsid w:val="00273C60"/>
    <w:rsid w:val="00273DCD"/>
    <w:rsid w:val="00274291"/>
    <w:rsid w:val="00276C09"/>
    <w:rsid w:val="00276CFE"/>
    <w:rsid w:val="00277071"/>
    <w:rsid w:val="002776A5"/>
    <w:rsid w:val="0027786C"/>
    <w:rsid w:val="00277BF7"/>
    <w:rsid w:val="00281416"/>
    <w:rsid w:val="00282084"/>
    <w:rsid w:val="00283C61"/>
    <w:rsid w:val="00283D6A"/>
    <w:rsid w:val="00284C6F"/>
    <w:rsid w:val="00285CD3"/>
    <w:rsid w:val="0028633E"/>
    <w:rsid w:val="0028686A"/>
    <w:rsid w:val="00286E66"/>
    <w:rsid w:val="002870B7"/>
    <w:rsid w:val="002919B5"/>
    <w:rsid w:val="00292D0B"/>
    <w:rsid w:val="00293441"/>
    <w:rsid w:val="00293553"/>
    <w:rsid w:val="00294238"/>
    <w:rsid w:val="00294776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3B9"/>
    <w:rsid w:val="002A6821"/>
    <w:rsid w:val="002A6F67"/>
    <w:rsid w:val="002A74D2"/>
    <w:rsid w:val="002A7CDA"/>
    <w:rsid w:val="002A7F47"/>
    <w:rsid w:val="002B1544"/>
    <w:rsid w:val="002B1DC1"/>
    <w:rsid w:val="002B36C8"/>
    <w:rsid w:val="002B385B"/>
    <w:rsid w:val="002B6B7A"/>
    <w:rsid w:val="002B71B4"/>
    <w:rsid w:val="002B7240"/>
    <w:rsid w:val="002B7323"/>
    <w:rsid w:val="002B7937"/>
    <w:rsid w:val="002C0FF4"/>
    <w:rsid w:val="002C125A"/>
    <w:rsid w:val="002C2668"/>
    <w:rsid w:val="002C43BD"/>
    <w:rsid w:val="002C493D"/>
    <w:rsid w:val="002C5261"/>
    <w:rsid w:val="002C5CB7"/>
    <w:rsid w:val="002C6091"/>
    <w:rsid w:val="002C63C1"/>
    <w:rsid w:val="002C6A6E"/>
    <w:rsid w:val="002D0562"/>
    <w:rsid w:val="002D1B5A"/>
    <w:rsid w:val="002D2500"/>
    <w:rsid w:val="002D338A"/>
    <w:rsid w:val="002D3E4C"/>
    <w:rsid w:val="002D3F00"/>
    <w:rsid w:val="002D4A1E"/>
    <w:rsid w:val="002D4D59"/>
    <w:rsid w:val="002D54BF"/>
    <w:rsid w:val="002D5C3D"/>
    <w:rsid w:val="002D5E94"/>
    <w:rsid w:val="002D632D"/>
    <w:rsid w:val="002D6B01"/>
    <w:rsid w:val="002D6B11"/>
    <w:rsid w:val="002D6FC7"/>
    <w:rsid w:val="002D7EF4"/>
    <w:rsid w:val="002E02A1"/>
    <w:rsid w:val="002E0982"/>
    <w:rsid w:val="002E0DB9"/>
    <w:rsid w:val="002E1BFA"/>
    <w:rsid w:val="002E2CE4"/>
    <w:rsid w:val="002E31A0"/>
    <w:rsid w:val="002E34F3"/>
    <w:rsid w:val="002E4217"/>
    <w:rsid w:val="002E435E"/>
    <w:rsid w:val="002E73F2"/>
    <w:rsid w:val="002F149A"/>
    <w:rsid w:val="002F33FB"/>
    <w:rsid w:val="002F36D0"/>
    <w:rsid w:val="002F663A"/>
    <w:rsid w:val="002F68A4"/>
    <w:rsid w:val="002F7594"/>
    <w:rsid w:val="002F7902"/>
    <w:rsid w:val="003003E7"/>
    <w:rsid w:val="003004EB"/>
    <w:rsid w:val="00300D6F"/>
    <w:rsid w:val="00301357"/>
    <w:rsid w:val="0030192C"/>
    <w:rsid w:val="00301D04"/>
    <w:rsid w:val="003035D4"/>
    <w:rsid w:val="00303A3C"/>
    <w:rsid w:val="00303DCB"/>
    <w:rsid w:val="00304771"/>
    <w:rsid w:val="00304E6C"/>
    <w:rsid w:val="00305736"/>
    <w:rsid w:val="00305C33"/>
    <w:rsid w:val="00306C5B"/>
    <w:rsid w:val="00306E3B"/>
    <w:rsid w:val="0030768C"/>
    <w:rsid w:val="00310ADB"/>
    <w:rsid w:val="003119B6"/>
    <w:rsid w:val="00312C3D"/>
    <w:rsid w:val="003131A6"/>
    <w:rsid w:val="00314331"/>
    <w:rsid w:val="00317E31"/>
    <w:rsid w:val="00320214"/>
    <w:rsid w:val="003209D6"/>
    <w:rsid w:val="0032109A"/>
    <w:rsid w:val="0032214F"/>
    <w:rsid w:val="00322164"/>
    <w:rsid w:val="00323486"/>
    <w:rsid w:val="00323A13"/>
    <w:rsid w:val="00323CF7"/>
    <w:rsid w:val="00323E61"/>
    <w:rsid w:val="0032513D"/>
    <w:rsid w:val="00326251"/>
    <w:rsid w:val="0032739C"/>
    <w:rsid w:val="003276D1"/>
    <w:rsid w:val="00327DEE"/>
    <w:rsid w:val="003302DA"/>
    <w:rsid w:val="00330EB0"/>
    <w:rsid w:val="00331574"/>
    <w:rsid w:val="0033229B"/>
    <w:rsid w:val="003329F3"/>
    <w:rsid w:val="00333134"/>
    <w:rsid w:val="0033352E"/>
    <w:rsid w:val="00333690"/>
    <w:rsid w:val="00333D20"/>
    <w:rsid w:val="00333F53"/>
    <w:rsid w:val="003340EF"/>
    <w:rsid w:val="00334A49"/>
    <w:rsid w:val="0033536F"/>
    <w:rsid w:val="00335BB0"/>
    <w:rsid w:val="00335E99"/>
    <w:rsid w:val="0033627B"/>
    <w:rsid w:val="003406BD"/>
    <w:rsid w:val="00343474"/>
    <w:rsid w:val="00343F84"/>
    <w:rsid w:val="00344135"/>
    <w:rsid w:val="003450E2"/>
    <w:rsid w:val="00351B63"/>
    <w:rsid w:val="00352482"/>
    <w:rsid w:val="00352E57"/>
    <w:rsid w:val="003541B0"/>
    <w:rsid w:val="0035457E"/>
    <w:rsid w:val="00355885"/>
    <w:rsid w:val="00355CAA"/>
    <w:rsid w:val="0035605E"/>
    <w:rsid w:val="00356244"/>
    <w:rsid w:val="00356CAE"/>
    <w:rsid w:val="00357449"/>
    <w:rsid w:val="00357C28"/>
    <w:rsid w:val="00361F76"/>
    <w:rsid w:val="0036238B"/>
    <w:rsid w:val="00362408"/>
    <w:rsid w:val="003630B0"/>
    <w:rsid w:val="00364087"/>
    <w:rsid w:val="003649FC"/>
    <w:rsid w:val="00364C0E"/>
    <w:rsid w:val="003651A4"/>
    <w:rsid w:val="00365680"/>
    <w:rsid w:val="003657F3"/>
    <w:rsid w:val="00366D4D"/>
    <w:rsid w:val="00366F77"/>
    <w:rsid w:val="00367038"/>
    <w:rsid w:val="003670FE"/>
    <w:rsid w:val="0036710C"/>
    <w:rsid w:val="0037040B"/>
    <w:rsid w:val="00370963"/>
    <w:rsid w:val="0037144E"/>
    <w:rsid w:val="00372272"/>
    <w:rsid w:val="0037290D"/>
    <w:rsid w:val="003736B5"/>
    <w:rsid w:val="00374DB6"/>
    <w:rsid w:val="00374F1E"/>
    <w:rsid w:val="003750CF"/>
    <w:rsid w:val="003769F0"/>
    <w:rsid w:val="00376DEC"/>
    <w:rsid w:val="00377200"/>
    <w:rsid w:val="00377666"/>
    <w:rsid w:val="0038034A"/>
    <w:rsid w:val="00380E04"/>
    <w:rsid w:val="00380E6C"/>
    <w:rsid w:val="0038187C"/>
    <w:rsid w:val="00383227"/>
    <w:rsid w:val="003839C9"/>
    <w:rsid w:val="0038422D"/>
    <w:rsid w:val="00384D8F"/>
    <w:rsid w:val="003857A2"/>
    <w:rsid w:val="00385D98"/>
    <w:rsid w:val="00385EC5"/>
    <w:rsid w:val="0038658E"/>
    <w:rsid w:val="003875C2"/>
    <w:rsid w:val="0039066E"/>
    <w:rsid w:val="00391C95"/>
    <w:rsid w:val="00392110"/>
    <w:rsid w:val="00393D74"/>
    <w:rsid w:val="003948D7"/>
    <w:rsid w:val="00394D49"/>
    <w:rsid w:val="00396DAC"/>
    <w:rsid w:val="003971D0"/>
    <w:rsid w:val="003A0214"/>
    <w:rsid w:val="003A027D"/>
    <w:rsid w:val="003A1D74"/>
    <w:rsid w:val="003A2B4D"/>
    <w:rsid w:val="003A2D2B"/>
    <w:rsid w:val="003A2DD4"/>
    <w:rsid w:val="003A3982"/>
    <w:rsid w:val="003A3B1C"/>
    <w:rsid w:val="003A4088"/>
    <w:rsid w:val="003A478C"/>
    <w:rsid w:val="003A4F82"/>
    <w:rsid w:val="003A5525"/>
    <w:rsid w:val="003A6B38"/>
    <w:rsid w:val="003B2142"/>
    <w:rsid w:val="003B2580"/>
    <w:rsid w:val="003B293F"/>
    <w:rsid w:val="003B2E63"/>
    <w:rsid w:val="003B3189"/>
    <w:rsid w:val="003B3A9D"/>
    <w:rsid w:val="003B3DDD"/>
    <w:rsid w:val="003B5031"/>
    <w:rsid w:val="003B5A32"/>
    <w:rsid w:val="003B6105"/>
    <w:rsid w:val="003B769D"/>
    <w:rsid w:val="003C03CC"/>
    <w:rsid w:val="003C04C4"/>
    <w:rsid w:val="003C08E2"/>
    <w:rsid w:val="003C0B96"/>
    <w:rsid w:val="003C26F4"/>
    <w:rsid w:val="003C3686"/>
    <w:rsid w:val="003C3E2C"/>
    <w:rsid w:val="003C4852"/>
    <w:rsid w:val="003C5BC7"/>
    <w:rsid w:val="003C601E"/>
    <w:rsid w:val="003C66C4"/>
    <w:rsid w:val="003C6DB9"/>
    <w:rsid w:val="003D1FA0"/>
    <w:rsid w:val="003D2393"/>
    <w:rsid w:val="003D2C4E"/>
    <w:rsid w:val="003D3600"/>
    <w:rsid w:val="003D3825"/>
    <w:rsid w:val="003D3EC4"/>
    <w:rsid w:val="003D3FB2"/>
    <w:rsid w:val="003D44E2"/>
    <w:rsid w:val="003D4760"/>
    <w:rsid w:val="003D49DC"/>
    <w:rsid w:val="003D4DD9"/>
    <w:rsid w:val="003D4FB5"/>
    <w:rsid w:val="003D59BE"/>
    <w:rsid w:val="003D5D7A"/>
    <w:rsid w:val="003D5E4B"/>
    <w:rsid w:val="003D653F"/>
    <w:rsid w:val="003D6B55"/>
    <w:rsid w:val="003E0663"/>
    <w:rsid w:val="003E133F"/>
    <w:rsid w:val="003E49F6"/>
    <w:rsid w:val="003E699C"/>
    <w:rsid w:val="003E69F3"/>
    <w:rsid w:val="003E782E"/>
    <w:rsid w:val="003E7A0B"/>
    <w:rsid w:val="003E7B2B"/>
    <w:rsid w:val="003E7F69"/>
    <w:rsid w:val="003F0293"/>
    <w:rsid w:val="003F116D"/>
    <w:rsid w:val="003F181F"/>
    <w:rsid w:val="003F1A48"/>
    <w:rsid w:val="003F1E23"/>
    <w:rsid w:val="003F22F6"/>
    <w:rsid w:val="003F2B0A"/>
    <w:rsid w:val="003F313C"/>
    <w:rsid w:val="003F32AB"/>
    <w:rsid w:val="003F341B"/>
    <w:rsid w:val="003F37FC"/>
    <w:rsid w:val="003F3A26"/>
    <w:rsid w:val="003F49A6"/>
    <w:rsid w:val="003F5047"/>
    <w:rsid w:val="003F5098"/>
    <w:rsid w:val="003F5568"/>
    <w:rsid w:val="003F5A95"/>
    <w:rsid w:val="003F6D19"/>
    <w:rsid w:val="003F7631"/>
    <w:rsid w:val="004000D5"/>
    <w:rsid w:val="00400244"/>
    <w:rsid w:val="004005C1"/>
    <w:rsid w:val="00400BBD"/>
    <w:rsid w:val="00401716"/>
    <w:rsid w:val="004018F7"/>
    <w:rsid w:val="00401A09"/>
    <w:rsid w:val="0040273A"/>
    <w:rsid w:val="00402C25"/>
    <w:rsid w:val="004036FB"/>
    <w:rsid w:val="004050D7"/>
    <w:rsid w:val="004078BD"/>
    <w:rsid w:val="00410132"/>
    <w:rsid w:val="004104E4"/>
    <w:rsid w:val="00410A97"/>
    <w:rsid w:val="00410BCD"/>
    <w:rsid w:val="00410DE5"/>
    <w:rsid w:val="0041175D"/>
    <w:rsid w:val="004117CE"/>
    <w:rsid w:val="004121D6"/>
    <w:rsid w:val="004123BE"/>
    <w:rsid w:val="0041329F"/>
    <w:rsid w:val="00414CE5"/>
    <w:rsid w:val="00416673"/>
    <w:rsid w:val="0041677D"/>
    <w:rsid w:val="00420D92"/>
    <w:rsid w:val="0042160D"/>
    <w:rsid w:val="00423A3C"/>
    <w:rsid w:val="00423C04"/>
    <w:rsid w:val="00424D9B"/>
    <w:rsid w:val="0042681B"/>
    <w:rsid w:val="00427193"/>
    <w:rsid w:val="0043068A"/>
    <w:rsid w:val="004306E0"/>
    <w:rsid w:val="00431D54"/>
    <w:rsid w:val="00431F98"/>
    <w:rsid w:val="004329BE"/>
    <w:rsid w:val="00432C38"/>
    <w:rsid w:val="004342EC"/>
    <w:rsid w:val="00434D5A"/>
    <w:rsid w:val="00436EDB"/>
    <w:rsid w:val="00437C76"/>
    <w:rsid w:val="00437F4A"/>
    <w:rsid w:val="0044105C"/>
    <w:rsid w:val="00442197"/>
    <w:rsid w:val="00442BD1"/>
    <w:rsid w:val="00443E95"/>
    <w:rsid w:val="004441A0"/>
    <w:rsid w:val="00444268"/>
    <w:rsid w:val="00444326"/>
    <w:rsid w:val="004443BF"/>
    <w:rsid w:val="00444C19"/>
    <w:rsid w:val="00445218"/>
    <w:rsid w:val="00445CDD"/>
    <w:rsid w:val="00446892"/>
    <w:rsid w:val="00447267"/>
    <w:rsid w:val="00447E36"/>
    <w:rsid w:val="00450700"/>
    <w:rsid w:val="00450C30"/>
    <w:rsid w:val="004529C7"/>
    <w:rsid w:val="004540FF"/>
    <w:rsid w:val="004541F1"/>
    <w:rsid w:val="00454921"/>
    <w:rsid w:val="00454D31"/>
    <w:rsid w:val="00455BB8"/>
    <w:rsid w:val="00455ECA"/>
    <w:rsid w:val="00457296"/>
    <w:rsid w:val="00457320"/>
    <w:rsid w:val="00460164"/>
    <w:rsid w:val="0046039A"/>
    <w:rsid w:val="00460A6B"/>
    <w:rsid w:val="00461977"/>
    <w:rsid w:val="00461A3F"/>
    <w:rsid w:val="00461C4C"/>
    <w:rsid w:val="004620C7"/>
    <w:rsid w:val="004629FD"/>
    <w:rsid w:val="00462AD2"/>
    <w:rsid w:val="00463B4B"/>
    <w:rsid w:val="00463F4D"/>
    <w:rsid w:val="00464658"/>
    <w:rsid w:val="0046471F"/>
    <w:rsid w:val="00464BE8"/>
    <w:rsid w:val="00465019"/>
    <w:rsid w:val="00465FA4"/>
    <w:rsid w:val="0046613F"/>
    <w:rsid w:val="0046655D"/>
    <w:rsid w:val="00466808"/>
    <w:rsid w:val="00466AAE"/>
    <w:rsid w:val="0046765E"/>
    <w:rsid w:val="004676E2"/>
    <w:rsid w:val="00471EDD"/>
    <w:rsid w:val="00473E94"/>
    <w:rsid w:val="0047400C"/>
    <w:rsid w:val="00474471"/>
    <w:rsid w:val="004745D9"/>
    <w:rsid w:val="00474619"/>
    <w:rsid w:val="00474B94"/>
    <w:rsid w:val="004761D2"/>
    <w:rsid w:val="004762D8"/>
    <w:rsid w:val="004765B3"/>
    <w:rsid w:val="00476D29"/>
    <w:rsid w:val="00477241"/>
    <w:rsid w:val="0047728F"/>
    <w:rsid w:val="004774F5"/>
    <w:rsid w:val="00477EAF"/>
    <w:rsid w:val="00477EE0"/>
    <w:rsid w:val="00480AB8"/>
    <w:rsid w:val="0048139F"/>
    <w:rsid w:val="00481C00"/>
    <w:rsid w:val="00483053"/>
    <w:rsid w:val="00484874"/>
    <w:rsid w:val="00485230"/>
    <w:rsid w:val="00487127"/>
    <w:rsid w:val="004879E9"/>
    <w:rsid w:val="00487F81"/>
    <w:rsid w:val="00490082"/>
    <w:rsid w:val="00490247"/>
    <w:rsid w:val="00490524"/>
    <w:rsid w:val="00490B20"/>
    <w:rsid w:val="0049104F"/>
    <w:rsid w:val="00491218"/>
    <w:rsid w:val="00491CFD"/>
    <w:rsid w:val="00492991"/>
    <w:rsid w:val="00493362"/>
    <w:rsid w:val="00494343"/>
    <w:rsid w:val="00494AAB"/>
    <w:rsid w:val="00494FB8"/>
    <w:rsid w:val="0049548B"/>
    <w:rsid w:val="00496C2F"/>
    <w:rsid w:val="0049740D"/>
    <w:rsid w:val="004978D3"/>
    <w:rsid w:val="004A06A6"/>
    <w:rsid w:val="004A11F8"/>
    <w:rsid w:val="004A22BD"/>
    <w:rsid w:val="004A22FA"/>
    <w:rsid w:val="004A25E2"/>
    <w:rsid w:val="004A269A"/>
    <w:rsid w:val="004A26AF"/>
    <w:rsid w:val="004A26DB"/>
    <w:rsid w:val="004A30FB"/>
    <w:rsid w:val="004A35DD"/>
    <w:rsid w:val="004A37D3"/>
    <w:rsid w:val="004A3AD6"/>
    <w:rsid w:val="004A3BCE"/>
    <w:rsid w:val="004A4D61"/>
    <w:rsid w:val="004A5865"/>
    <w:rsid w:val="004A7670"/>
    <w:rsid w:val="004A77DF"/>
    <w:rsid w:val="004B0295"/>
    <w:rsid w:val="004B0803"/>
    <w:rsid w:val="004B10A8"/>
    <w:rsid w:val="004B1F58"/>
    <w:rsid w:val="004B1F9D"/>
    <w:rsid w:val="004B22DA"/>
    <w:rsid w:val="004B3CB7"/>
    <w:rsid w:val="004B3D55"/>
    <w:rsid w:val="004B41DC"/>
    <w:rsid w:val="004B55B7"/>
    <w:rsid w:val="004B5836"/>
    <w:rsid w:val="004B5E1F"/>
    <w:rsid w:val="004B5F05"/>
    <w:rsid w:val="004C00A6"/>
    <w:rsid w:val="004C0243"/>
    <w:rsid w:val="004C0BBB"/>
    <w:rsid w:val="004C1AD6"/>
    <w:rsid w:val="004C1B86"/>
    <w:rsid w:val="004C1DEE"/>
    <w:rsid w:val="004C3382"/>
    <w:rsid w:val="004C3867"/>
    <w:rsid w:val="004C4AB7"/>
    <w:rsid w:val="004C4B88"/>
    <w:rsid w:val="004C4CD0"/>
    <w:rsid w:val="004C57B5"/>
    <w:rsid w:val="004C5C25"/>
    <w:rsid w:val="004C6717"/>
    <w:rsid w:val="004C6CFF"/>
    <w:rsid w:val="004C7065"/>
    <w:rsid w:val="004C70DC"/>
    <w:rsid w:val="004C7268"/>
    <w:rsid w:val="004C7C50"/>
    <w:rsid w:val="004D0211"/>
    <w:rsid w:val="004D1C9C"/>
    <w:rsid w:val="004D2A0E"/>
    <w:rsid w:val="004D458D"/>
    <w:rsid w:val="004D474F"/>
    <w:rsid w:val="004D4F13"/>
    <w:rsid w:val="004D504B"/>
    <w:rsid w:val="004D536E"/>
    <w:rsid w:val="004D58CE"/>
    <w:rsid w:val="004D6307"/>
    <w:rsid w:val="004D70B1"/>
    <w:rsid w:val="004D745A"/>
    <w:rsid w:val="004D76CC"/>
    <w:rsid w:val="004E1415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4D"/>
    <w:rsid w:val="004F2A73"/>
    <w:rsid w:val="004F33A0"/>
    <w:rsid w:val="004F353A"/>
    <w:rsid w:val="004F4353"/>
    <w:rsid w:val="004F447D"/>
    <w:rsid w:val="004F4C28"/>
    <w:rsid w:val="004F4E82"/>
    <w:rsid w:val="004F5470"/>
    <w:rsid w:val="004F5950"/>
    <w:rsid w:val="004F5CC5"/>
    <w:rsid w:val="004F5DCC"/>
    <w:rsid w:val="004F6350"/>
    <w:rsid w:val="004F7170"/>
    <w:rsid w:val="005028E1"/>
    <w:rsid w:val="00503955"/>
    <w:rsid w:val="00505989"/>
    <w:rsid w:val="00506309"/>
    <w:rsid w:val="0050692E"/>
    <w:rsid w:val="00507040"/>
    <w:rsid w:val="005079F8"/>
    <w:rsid w:val="00510189"/>
    <w:rsid w:val="00510428"/>
    <w:rsid w:val="005108C0"/>
    <w:rsid w:val="00511873"/>
    <w:rsid w:val="00512495"/>
    <w:rsid w:val="00512603"/>
    <w:rsid w:val="00512B54"/>
    <w:rsid w:val="00512CC5"/>
    <w:rsid w:val="0051367B"/>
    <w:rsid w:val="00513A89"/>
    <w:rsid w:val="00513B7E"/>
    <w:rsid w:val="005140DE"/>
    <w:rsid w:val="00514474"/>
    <w:rsid w:val="005147E9"/>
    <w:rsid w:val="0051507D"/>
    <w:rsid w:val="0051593C"/>
    <w:rsid w:val="0051668A"/>
    <w:rsid w:val="00517567"/>
    <w:rsid w:val="0051778E"/>
    <w:rsid w:val="005215EF"/>
    <w:rsid w:val="00522795"/>
    <w:rsid w:val="00524637"/>
    <w:rsid w:val="00524FDD"/>
    <w:rsid w:val="00525137"/>
    <w:rsid w:val="005251DD"/>
    <w:rsid w:val="00526D50"/>
    <w:rsid w:val="00526DB6"/>
    <w:rsid w:val="0053017A"/>
    <w:rsid w:val="00530492"/>
    <w:rsid w:val="005308E4"/>
    <w:rsid w:val="005325A8"/>
    <w:rsid w:val="00532854"/>
    <w:rsid w:val="005350F2"/>
    <w:rsid w:val="00535152"/>
    <w:rsid w:val="00535359"/>
    <w:rsid w:val="005357A2"/>
    <w:rsid w:val="005359E3"/>
    <w:rsid w:val="00535D87"/>
    <w:rsid w:val="00535EF0"/>
    <w:rsid w:val="00535F78"/>
    <w:rsid w:val="005363DF"/>
    <w:rsid w:val="005369CF"/>
    <w:rsid w:val="0053734B"/>
    <w:rsid w:val="005375B1"/>
    <w:rsid w:val="00537AFD"/>
    <w:rsid w:val="00537CB4"/>
    <w:rsid w:val="00540CB3"/>
    <w:rsid w:val="00540D25"/>
    <w:rsid w:val="00541822"/>
    <w:rsid w:val="00542D19"/>
    <w:rsid w:val="0054516B"/>
    <w:rsid w:val="0054559E"/>
    <w:rsid w:val="005459BD"/>
    <w:rsid w:val="00546833"/>
    <w:rsid w:val="0054787A"/>
    <w:rsid w:val="005513D5"/>
    <w:rsid w:val="005523B9"/>
    <w:rsid w:val="005538E2"/>
    <w:rsid w:val="00553C88"/>
    <w:rsid w:val="005545E0"/>
    <w:rsid w:val="00554865"/>
    <w:rsid w:val="00554E57"/>
    <w:rsid w:val="00557E6A"/>
    <w:rsid w:val="00562749"/>
    <w:rsid w:val="00562DE9"/>
    <w:rsid w:val="005638A5"/>
    <w:rsid w:val="00564137"/>
    <w:rsid w:val="00566381"/>
    <w:rsid w:val="00566A03"/>
    <w:rsid w:val="00571932"/>
    <w:rsid w:val="00573C97"/>
    <w:rsid w:val="00574240"/>
    <w:rsid w:val="005743B4"/>
    <w:rsid w:val="0057454C"/>
    <w:rsid w:val="005752EB"/>
    <w:rsid w:val="005755FE"/>
    <w:rsid w:val="0057569E"/>
    <w:rsid w:val="00575CDC"/>
    <w:rsid w:val="005765D5"/>
    <w:rsid w:val="00576A3E"/>
    <w:rsid w:val="0057703D"/>
    <w:rsid w:val="00581892"/>
    <w:rsid w:val="0058366F"/>
    <w:rsid w:val="00583D5B"/>
    <w:rsid w:val="00583FFD"/>
    <w:rsid w:val="00587CCD"/>
    <w:rsid w:val="005908AE"/>
    <w:rsid w:val="00590CDE"/>
    <w:rsid w:val="0059176E"/>
    <w:rsid w:val="00592854"/>
    <w:rsid w:val="00593152"/>
    <w:rsid w:val="005934CE"/>
    <w:rsid w:val="00593CA3"/>
    <w:rsid w:val="00594161"/>
    <w:rsid w:val="00594969"/>
    <w:rsid w:val="00594B91"/>
    <w:rsid w:val="00595035"/>
    <w:rsid w:val="005959ED"/>
    <w:rsid w:val="00595C7C"/>
    <w:rsid w:val="00596C5E"/>
    <w:rsid w:val="005A038A"/>
    <w:rsid w:val="005A2194"/>
    <w:rsid w:val="005A21E0"/>
    <w:rsid w:val="005A3210"/>
    <w:rsid w:val="005A33A1"/>
    <w:rsid w:val="005A3687"/>
    <w:rsid w:val="005A54EE"/>
    <w:rsid w:val="005A563B"/>
    <w:rsid w:val="005A5F82"/>
    <w:rsid w:val="005A61D1"/>
    <w:rsid w:val="005A6E85"/>
    <w:rsid w:val="005A7500"/>
    <w:rsid w:val="005A77E4"/>
    <w:rsid w:val="005A77F6"/>
    <w:rsid w:val="005B0262"/>
    <w:rsid w:val="005B0B8F"/>
    <w:rsid w:val="005B1BDB"/>
    <w:rsid w:val="005B22A7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0BA"/>
    <w:rsid w:val="005C419C"/>
    <w:rsid w:val="005C4A23"/>
    <w:rsid w:val="005C562C"/>
    <w:rsid w:val="005C5812"/>
    <w:rsid w:val="005C6400"/>
    <w:rsid w:val="005C7F1E"/>
    <w:rsid w:val="005D073B"/>
    <w:rsid w:val="005D25B4"/>
    <w:rsid w:val="005D374F"/>
    <w:rsid w:val="005D5802"/>
    <w:rsid w:val="005D6CFC"/>
    <w:rsid w:val="005D73E2"/>
    <w:rsid w:val="005D7503"/>
    <w:rsid w:val="005D757A"/>
    <w:rsid w:val="005D76AE"/>
    <w:rsid w:val="005D7C4B"/>
    <w:rsid w:val="005E1871"/>
    <w:rsid w:val="005E1E4B"/>
    <w:rsid w:val="005E362D"/>
    <w:rsid w:val="005E3A0C"/>
    <w:rsid w:val="005E3FAC"/>
    <w:rsid w:val="005E4483"/>
    <w:rsid w:val="005E492C"/>
    <w:rsid w:val="005E4BAA"/>
    <w:rsid w:val="005E52EF"/>
    <w:rsid w:val="005E5B56"/>
    <w:rsid w:val="005E6088"/>
    <w:rsid w:val="005E61DF"/>
    <w:rsid w:val="005E6AB8"/>
    <w:rsid w:val="005E6B65"/>
    <w:rsid w:val="005E6B78"/>
    <w:rsid w:val="005E75B8"/>
    <w:rsid w:val="005F0976"/>
    <w:rsid w:val="005F26CE"/>
    <w:rsid w:val="005F38D3"/>
    <w:rsid w:val="005F3F04"/>
    <w:rsid w:val="005F4057"/>
    <w:rsid w:val="005F4088"/>
    <w:rsid w:val="005F42F4"/>
    <w:rsid w:val="005F49ED"/>
    <w:rsid w:val="005F4C83"/>
    <w:rsid w:val="005F5628"/>
    <w:rsid w:val="005F5916"/>
    <w:rsid w:val="005F5F61"/>
    <w:rsid w:val="005F601D"/>
    <w:rsid w:val="005F6119"/>
    <w:rsid w:val="005F7940"/>
    <w:rsid w:val="00600712"/>
    <w:rsid w:val="0060091A"/>
    <w:rsid w:val="0060107A"/>
    <w:rsid w:val="00601AFF"/>
    <w:rsid w:val="00602D1D"/>
    <w:rsid w:val="00604307"/>
    <w:rsid w:val="0060487F"/>
    <w:rsid w:val="00605814"/>
    <w:rsid w:val="00606B93"/>
    <w:rsid w:val="00607727"/>
    <w:rsid w:val="00607934"/>
    <w:rsid w:val="00610BD5"/>
    <w:rsid w:val="00611363"/>
    <w:rsid w:val="00611531"/>
    <w:rsid w:val="006118AA"/>
    <w:rsid w:val="00611C28"/>
    <w:rsid w:val="00612E84"/>
    <w:rsid w:val="006139C7"/>
    <w:rsid w:val="006150EA"/>
    <w:rsid w:val="006153E3"/>
    <w:rsid w:val="006167AB"/>
    <w:rsid w:val="0061718A"/>
    <w:rsid w:val="00617D2D"/>
    <w:rsid w:val="00617D83"/>
    <w:rsid w:val="00620430"/>
    <w:rsid w:val="00620AC5"/>
    <w:rsid w:val="00621575"/>
    <w:rsid w:val="006215FC"/>
    <w:rsid w:val="00624093"/>
    <w:rsid w:val="006260B8"/>
    <w:rsid w:val="006305C4"/>
    <w:rsid w:val="00630E82"/>
    <w:rsid w:val="00630F66"/>
    <w:rsid w:val="00631FC2"/>
    <w:rsid w:val="00632171"/>
    <w:rsid w:val="0063332A"/>
    <w:rsid w:val="00633729"/>
    <w:rsid w:val="006347F9"/>
    <w:rsid w:val="0063494E"/>
    <w:rsid w:val="00634C90"/>
    <w:rsid w:val="00635818"/>
    <w:rsid w:val="00635E79"/>
    <w:rsid w:val="006365E8"/>
    <w:rsid w:val="00636A84"/>
    <w:rsid w:val="00636E5E"/>
    <w:rsid w:val="006379E0"/>
    <w:rsid w:val="00637D0E"/>
    <w:rsid w:val="006404A7"/>
    <w:rsid w:val="006407F3"/>
    <w:rsid w:val="006408EC"/>
    <w:rsid w:val="0064129B"/>
    <w:rsid w:val="00641DF7"/>
    <w:rsid w:val="00643497"/>
    <w:rsid w:val="00643735"/>
    <w:rsid w:val="00643A80"/>
    <w:rsid w:val="00644DFC"/>
    <w:rsid w:val="006451E4"/>
    <w:rsid w:val="006454B4"/>
    <w:rsid w:val="00645A9C"/>
    <w:rsid w:val="006460B8"/>
    <w:rsid w:val="00646448"/>
    <w:rsid w:val="006467D0"/>
    <w:rsid w:val="006504A0"/>
    <w:rsid w:val="00650784"/>
    <w:rsid w:val="006520C7"/>
    <w:rsid w:val="006520D5"/>
    <w:rsid w:val="00652179"/>
    <w:rsid w:val="00652CBB"/>
    <w:rsid w:val="006530B8"/>
    <w:rsid w:val="006535D6"/>
    <w:rsid w:val="00654093"/>
    <w:rsid w:val="00656716"/>
    <w:rsid w:val="006572ED"/>
    <w:rsid w:val="00657E87"/>
    <w:rsid w:val="0066026B"/>
    <w:rsid w:val="00660457"/>
    <w:rsid w:val="00660CB4"/>
    <w:rsid w:val="00660E1E"/>
    <w:rsid w:val="006637B1"/>
    <w:rsid w:val="00663CFD"/>
    <w:rsid w:val="006647AD"/>
    <w:rsid w:val="00664B64"/>
    <w:rsid w:val="00665691"/>
    <w:rsid w:val="00665D67"/>
    <w:rsid w:val="00665D77"/>
    <w:rsid w:val="006660CD"/>
    <w:rsid w:val="00666883"/>
    <w:rsid w:val="00666B1D"/>
    <w:rsid w:val="00666EC8"/>
    <w:rsid w:val="00666F4B"/>
    <w:rsid w:val="006676D0"/>
    <w:rsid w:val="0066796E"/>
    <w:rsid w:val="00670FAC"/>
    <w:rsid w:val="006710C9"/>
    <w:rsid w:val="006716A5"/>
    <w:rsid w:val="006717CC"/>
    <w:rsid w:val="006743E8"/>
    <w:rsid w:val="00675E37"/>
    <w:rsid w:val="00675F0F"/>
    <w:rsid w:val="006764ED"/>
    <w:rsid w:val="00676AFC"/>
    <w:rsid w:val="00676F11"/>
    <w:rsid w:val="00680079"/>
    <w:rsid w:val="00680ECC"/>
    <w:rsid w:val="00680F68"/>
    <w:rsid w:val="0068260E"/>
    <w:rsid w:val="0068373D"/>
    <w:rsid w:val="00683BFE"/>
    <w:rsid w:val="00683EAB"/>
    <w:rsid w:val="0068437D"/>
    <w:rsid w:val="006847C5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3FB"/>
    <w:rsid w:val="00696AA5"/>
    <w:rsid w:val="006977F6"/>
    <w:rsid w:val="0069789D"/>
    <w:rsid w:val="00697A13"/>
    <w:rsid w:val="006A109C"/>
    <w:rsid w:val="006A18AE"/>
    <w:rsid w:val="006A2EE8"/>
    <w:rsid w:val="006A3CF3"/>
    <w:rsid w:val="006A568F"/>
    <w:rsid w:val="006A65EF"/>
    <w:rsid w:val="006A672B"/>
    <w:rsid w:val="006B1781"/>
    <w:rsid w:val="006B23A9"/>
    <w:rsid w:val="006B23D8"/>
    <w:rsid w:val="006B281D"/>
    <w:rsid w:val="006B3F8A"/>
    <w:rsid w:val="006B5152"/>
    <w:rsid w:val="006B59D7"/>
    <w:rsid w:val="006B5CA3"/>
    <w:rsid w:val="006B6171"/>
    <w:rsid w:val="006B6B3B"/>
    <w:rsid w:val="006B7248"/>
    <w:rsid w:val="006B7714"/>
    <w:rsid w:val="006B78D8"/>
    <w:rsid w:val="006B7CCE"/>
    <w:rsid w:val="006C090F"/>
    <w:rsid w:val="006C0935"/>
    <w:rsid w:val="006C0BCE"/>
    <w:rsid w:val="006C113F"/>
    <w:rsid w:val="006C2927"/>
    <w:rsid w:val="006C2AED"/>
    <w:rsid w:val="006C38DD"/>
    <w:rsid w:val="006C3DC1"/>
    <w:rsid w:val="006C457F"/>
    <w:rsid w:val="006C53C7"/>
    <w:rsid w:val="006C5577"/>
    <w:rsid w:val="006C559A"/>
    <w:rsid w:val="006C586D"/>
    <w:rsid w:val="006C58FA"/>
    <w:rsid w:val="006C6197"/>
    <w:rsid w:val="006C7A7B"/>
    <w:rsid w:val="006D004F"/>
    <w:rsid w:val="006D042D"/>
    <w:rsid w:val="006D06EF"/>
    <w:rsid w:val="006D07EC"/>
    <w:rsid w:val="006D1418"/>
    <w:rsid w:val="006D142E"/>
    <w:rsid w:val="006D3976"/>
    <w:rsid w:val="006D3B87"/>
    <w:rsid w:val="006D4497"/>
    <w:rsid w:val="006D4E6F"/>
    <w:rsid w:val="006D61F6"/>
    <w:rsid w:val="006D710C"/>
    <w:rsid w:val="006E0EB0"/>
    <w:rsid w:val="006E182C"/>
    <w:rsid w:val="006E1F4C"/>
    <w:rsid w:val="006E22C8"/>
    <w:rsid w:val="006E279A"/>
    <w:rsid w:val="006E2C28"/>
    <w:rsid w:val="006E2F3F"/>
    <w:rsid w:val="006E313B"/>
    <w:rsid w:val="006E4368"/>
    <w:rsid w:val="006E442A"/>
    <w:rsid w:val="006E4434"/>
    <w:rsid w:val="006E4A1B"/>
    <w:rsid w:val="006E59FC"/>
    <w:rsid w:val="006E5CFD"/>
    <w:rsid w:val="006E635B"/>
    <w:rsid w:val="006E642F"/>
    <w:rsid w:val="006E76BE"/>
    <w:rsid w:val="006E7E2C"/>
    <w:rsid w:val="006F0D32"/>
    <w:rsid w:val="006F1326"/>
    <w:rsid w:val="006F1DDD"/>
    <w:rsid w:val="006F2280"/>
    <w:rsid w:val="006F2BEE"/>
    <w:rsid w:val="006F32FF"/>
    <w:rsid w:val="006F3708"/>
    <w:rsid w:val="006F376C"/>
    <w:rsid w:val="006F3A90"/>
    <w:rsid w:val="006F3E6B"/>
    <w:rsid w:val="006F4619"/>
    <w:rsid w:val="006F4A59"/>
    <w:rsid w:val="006F6968"/>
    <w:rsid w:val="00700232"/>
    <w:rsid w:val="00701382"/>
    <w:rsid w:val="007014C7"/>
    <w:rsid w:val="00702100"/>
    <w:rsid w:val="00702D6F"/>
    <w:rsid w:val="007031C6"/>
    <w:rsid w:val="00703B6C"/>
    <w:rsid w:val="00703C6B"/>
    <w:rsid w:val="007047D5"/>
    <w:rsid w:val="00705D98"/>
    <w:rsid w:val="00707891"/>
    <w:rsid w:val="00707D43"/>
    <w:rsid w:val="00710F7C"/>
    <w:rsid w:val="00711398"/>
    <w:rsid w:val="00711EF1"/>
    <w:rsid w:val="0071229A"/>
    <w:rsid w:val="00712572"/>
    <w:rsid w:val="00713495"/>
    <w:rsid w:val="00713EEB"/>
    <w:rsid w:val="007142C1"/>
    <w:rsid w:val="0071479D"/>
    <w:rsid w:val="00715487"/>
    <w:rsid w:val="007159D2"/>
    <w:rsid w:val="00716DCC"/>
    <w:rsid w:val="00717726"/>
    <w:rsid w:val="0072050E"/>
    <w:rsid w:val="00720958"/>
    <w:rsid w:val="00720FA2"/>
    <w:rsid w:val="007211F5"/>
    <w:rsid w:val="00722985"/>
    <w:rsid w:val="007240C5"/>
    <w:rsid w:val="00724666"/>
    <w:rsid w:val="00724E80"/>
    <w:rsid w:val="00725492"/>
    <w:rsid w:val="007256B7"/>
    <w:rsid w:val="00726043"/>
    <w:rsid w:val="007265C6"/>
    <w:rsid w:val="0072671B"/>
    <w:rsid w:val="0072704A"/>
    <w:rsid w:val="007273DC"/>
    <w:rsid w:val="007279B9"/>
    <w:rsid w:val="00727F9F"/>
    <w:rsid w:val="00730AE8"/>
    <w:rsid w:val="007315DA"/>
    <w:rsid w:val="00731963"/>
    <w:rsid w:val="00732706"/>
    <w:rsid w:val="0073325D"/>
    <w:rsid w:val="0073402C"/>
    <w:rsid w:val="00734321"/>
    <w:rsid w:val="00734597"/>
    <w:rsid w:val="00735044"/>
    <w:rsid w:val="0073532E"/>
    <w:rsid w:val="00735B01"/>
    <w:rsid w:val="007367F6"/>
    <w:rsid w:val="00740310"/>
    <w:rsid w:val="00740652"/>
    <w:rsid w:val="00740F02"/>
    <w:rsid w:val="00740FEC"/>
    <w:rsid w:val="0074132E"/>
    <w:rsid w:val="00741493"/>
    <w:rsid w:val="0074240C"/>
    <w:rsid w:val="007426B3"/>
    <w:rsid w:val="007426FD"/>
    <w:rsid w:val="007430AB"/>
    <w:rsid w:val="0074329D"/>
    <w:rsid w:val="00744376"/>
    <w:rsid w:val="007449EA"/>
    <w:rsid w:val="00744D00"/>
    <w:rsid w:val="00744D2B"/>
    <w:rsid w:val="00745273"/>
    <w:rsid w:val="00745F3C"/>
    <w:rsid w:val="00746DD9"/>
    <w:rsid w:val="00747459"/>
    <w:rsid w:val="0075057A"/>
    <w:rsid w:val="00751771"/>
    <w:rsid w:val="00751C1C"/>
    <w:rsid w:val="00752180"/>
    <w:rsid w:val="007521A1"/>
    <w:rsid w:val="00752BC3"/>
    <w:rsid w:val="0075315D"/>
    <w:rsid w:val="007538F9"/>
    <w:rsid w:val="00753AFD"/>
    <w:rsid w:val="00754253"/>
    <w:rsid w:val="007552BB"/>
    <w:rsid w:val="007558D3"/>
    <w:rsid w:val="007559D7"/>
    <w:rsid w:val="00755D3A"/>
    <w:rsid w:val="00755EA0"/>
    <w:rsid w:val="00760141"/>
    <w:rsid w:val="007609C6"/>
    <w:rsid w:val="00760C01"/>
    <w:rsid w:val="007610A0"/>
    <w:rsid w:val="00762036"/>
    <w:rsid w:val="007620F2"/>
    <w:rsid w:val="00762EBA"/>
    <w:rsid w:val="0076359D"/>
    <w:rsid w:val="00763A13"/>
    <w:rsid w:val="00763D86"/>
    <w:rsid w:val="00766F78"/>
    <w:rsid w:val="0077058D"/>
    <w:rsid w:val="00770931"/>
    <w:rsid w:val="00770FA7"/>
    <w:rsid w:val="00772536"/>
    <w:rsid w:val="00773613"/>
    <w:rsid w:val="0077430F"/>
    <w:rsid w:val="00774782"/>
    <w:rsid w:val="00776476"/>
    <w:rsid w:val="00776527"/>
    <w:rsid w:val="00777DB1"/>
    <w:rsid w:val="007805E1"/>
    <w:rsid w:val="00780DDF"/>
    <w:rsid w:val="0078113E"/>
    <w:rsid w:val="00781834"/>
    <w:rsid w:val="007821DB"/>
    <w:rsid w:val="00782235"/>
    <w:rsid w:val="00782818"/>
    <w:rsid w:val="007838F1"/>
    <w:rsid w:val="007841BB"/>
    <w:rsid w:val="00784C4A"/>
    <w:rsid w:val="00787432"/>
    <w:rsid w:val="00787507"/>
    <w:rsid w:val="0078778C"/>
    <w:rsid w:val="007879F2"/>
    <w:rsid w:val="00790393"/>
    <w:rsid w:val="00791804"/>
    <w:rsid w:val="0079197F"/>
    <w:rsid w:val="00791CF8"/>
    <w:rsid w:val="00791EF9"/>
    <w:rsid w:val="00792262"/>
    <w:rsid w:val="00793387"/>
    <w:rsid w:val="00793BAE"/>
    <w:rsid w:val="007941C3"/>
    <w:rsid w:val="00794870"/>
    <w:rsid w:val="00794E0A"/>
    <w:rsid w:val="00795B04"/>
    <w:rsid w:val="0079638B"/>
    <w:rsid w:val="00796642"/>
    <w:rsid w:val="007A11D9"/>
    <w:rsid w:val="007A327B"/>
    <w:rsid w:val="007A4048"/>
    <w:rsid w:val="007A45B1"/>
    <w:rsid w:val="007A4606"/>
    <w:rsid w:val="007A4D58"/>
    <w:rsid w:val="007A5039"/>
    <w:rsid w:val="007A74B4"/>
    <w:rsid w:val="007B04E8"/>
    <w:rsid w:val="007B0920"/>
    <w:rsid w:val="007B0D67"/>
    <w:rsid w:val="007B0F90"/>
    <w:rsid w:val="007B1966"/>
    <w:rsid w:val="007B2257"/>
    <w:rsid w:val="007B22E6"/>
    <w:rsid w:val="007B2779"/>
    <w:rsid w:val="007B2AF7"/>
    <w:rsid w:val="007B2F37"/>
    <w:rsid w:val="007B3DCC"/>
    <w:rsid w:val="007B4518"/>
    <w:rsid w:val="007B5031"/>
    <w:rsid w:val="007B573F"/>
    <w:rsid w:val="007B72AC"/>
    <w:rsid w:val="007B78F8"/>
    <w:rsid w:val="007C0065"/>
    <w:rsid w:val="007C010B"/>
    <w:rsid w:val="007C32B6"/>
    <w:rsid w:val="007C3AE3"/>
    <w:rsid w:val="007C5363"/>
    <w:rsid w:val="007C605B"/>
    <w:rsid w:val="007C6EBA"/>
    <w:rsid w:val="007C7BAC"/>
    <w:rsid w:val="007C7CC5"/>
    <w:rsid w:val="007D2749"/>
    <w:rsid w:val="007D2A5A"/>
    <w:rsid w:val="007D2AD8"/>
    <w:rsid w:val="007D2C47"/>
    <w:rsid w:val="007D2C61"/>
    <w:rsid w:val="007D2DA3"/>
    <w:rsid w:val="007D2F81"/>
    <w:rsid w:val="007D3167"/>
    <w:rsid w:val="007D3A2C"/>
    <w:rsid w:val="007D3CF7"/>
    <w:rsid w:val="007D4128"/>
    <w:rsid w:val="007D4281"/>
    <w:rsid w:val="007D42F5"/>
    <w:rsid w:val="007D44C3"/>
    <w:rsid w:val="007D5947"/>
    <w:rsid w:val="007D65C1"/>
    <w:rsid w:val="007E030F"/>
    <w:rsid w:val="007E0D49"/>
    <w:rsid w:val="007E0E59"/>
    <w:rsid w:val="007E0F4B"/>
    <w:rsid w:val="007E12C1"/>
    <w:rsid w:val="007E15E9"/>
    <w:rsid w:val="007E1EF7"/>
    <w:rsid w:val="007E3715"/>
    <w:rsid w:val="007E4996"/>
    <w:rsid w:val="007E5880"/>
    <w:rsid w:val="007E5F3D"/>
    <w:rsid w:val="007E61FF"/>
    <w:rsid w:val="007E6588"/>
    <w:rsid w:val="007E7063"/>
    <w:rsid w:val="007E7E61"/>
    <w:rsid w:val="007F0316"/>
    <w:rsid w:val="007F0845"/>
    <w:rsid w:val="007F0DF6"/>
    <w:rsid w:val="007F1092"/>
    <w:rsid w:val="007F16F9"/>
    <w:rsid w:val="007F2801"/>
    <w:rsid w:val="007F3E3E"/>
    <w:rsid w:val="007F42E0"/>
    <w:rsid w:val="007F500D"/>
    <w:rsid w:val="007F5F14"/>
    <w:rsid w:val="007F61D3"/>
    <w:rsid w:val="007F69EE"/>
    <w:rsid w:val="007F7B54"/>
    <w:rsid w:val="007F7C60"/>
    <w:rsid w:val="00800073"/>
    <w:rsid w:val="008005D7"/>
    <w:rsid w:val="00801547"/>
    <w:rsid w:val="00801D15"/>
    <w:rsid w:val="00801FDD"/>
    <w:rsid w:val="008020C2"/>
    <w:rsid w:val="0080255C"/>
    <w:rsid w:val="008054FB"/>
    <w:rsid w:val="00806088"/>
    <w:rsid w:val="00806D07"/>
    <w:rsid w:val="0081019B"/>
    <w:rsid w:val="0081187C"/>
    <w:rsid w:val="00811E24"/>
    <w:rsid w:val="008120C5"/>
    <w:rsid w:val="00812386"/>
    <w:rsid w:val="00812E2B"/>
    <w:rsid w:val="00813A70"/>
    <w:rsid w:val="00813CB4"/>
    <w:rsid w:val="00813DB0"/>
    <w:rsid w:val="00813FE6"/>
    <w:rsid w:val="00814965"/>
    <w:rsid w:val="00815B82"/>
    <w:rsid w:val="00815C6E"/>
    <w:rsid w:val="00815DD0"/>
    <w:rsid w:val="00815F10"/>
    <w:rsid w:val="0081645F"/>
    <w:rsid w:val="00816A28"/>
    <w:rsid w:val="008174A3"/>
    <w:rsid w:val="00817755"/>
    <w:rsid w:val="008178C2"/>
    <w:rsid w:val="008178CF"/>
    <w:rsid w:val="00817C98"/>
    <w:rsid w:val="00820C9F"/>
    <w:rsid w:val="00821AAE"/>
    <w:rsid w:val="00821FF6"/>
    <w:rsid w:val="00823AAF"/>
    <w:rsid w:val="00824081"/>
    <w:rsid w:val="0082409A"/>
    <w:rsid w:val="00824626"/>
    <w:rsid w:val="008252D7"/>
    <w:rsid w:val="00825C0F"/>
    <w:rsid w:val="00826376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4C3"/>
    <w:rsid w:val="008336D8"/>
    <w:rsid w:val="008339C4"/>
    <w:rsid w:val="00834F0A"/>
    <w:rsid w:val="00834FAA"/>
    <w:rsid w:val="00835181"/>
    <w:rsid w:val="00835991"/>
    <w:rsid w:val="00836086"/>
    <w:rsid w:val="00837566"/>
    <w:rsid w:val="00840458"/>
    <w:rsid w:val="00840699"/>
    <w:rsid w:val="00841D9F"/>
    <w:rsid w:val="00842078"/>
    <w:rsid w:val="00842604"/>
    <w:rsid w:val="00843ECF"/>
    <w:rsid w:val="00845AB1"/>
    <w:rsid w:val="00846673"/>
    <w:rsid w:val="00846891"/>
    <w:rsid w:val="008508A9"/>
    <w:rsid w:val="0085188D"/>
    <w:rsid w:val="008518D8"/>
    <w:rsid w:val="008525F9"/>
    <w:rsid w:val="0085281A"/>
    <w:rsid w:val="00853C0F"/>
    <w:rsid w:val="00853F33"/>
    <w:rsid w:val="008548EA"/>
    <w:rsid w:val="008550EA"/>
    <w:rsid w:val="008559FE"/>
    <w:rsid w:val="0085686D"/>
    <w:rsid w:val="00857339"/>
    <w:rsid w:val="00860706"/>
    <w:rsid w:val="00862A7A"/>
    <w:rsid w:val="00862FBD"/>
    <w:rsid w:val="00863104"/>
    <w:rsid w:val="008636CD"/>
    <w:rsid w:val="00863702"/>
    <w:rsid w:val="00863D9E"/>
    <w:rsid w:val="00863FDC"/>
    <w:rsid w:val="008642AF"/>
    <w:rsid w:val="00864F00"/>
    <w:rsid w:val="00865286"/>
    <w:rsid w:val="00865729"/>
    <w:rsid w:val="00865EA8"/>
    <w:rsid w:val="00865ED4"/>
    <w:rsid w:val="008669A7"/>
    <w:rsid w:val="00867464"/>
    <w:rsid w:val="00867D15"/>
    <w:rsid w:val="00867E29"/>
    <w:rsid w:val="00870F2B"/>
    <w:rsid w:val="00873B2E"/>
    <w:rsid w:val="00874097"/>
    <w:rsid w:val="008746E6"/>
    <w:rsid w:val="0087515D"/>
    <w:rsid w:val="00875740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0F23"/>
    <w:rsid w:val="00883A67"/>
    <w:rsid w:val="00883D45"/>
    <w:rsid w:val="00884D69"/>
    <w:rsid w:val="0088503D"/>
    <w:rsid w:val="00885620"/>
    <w:rsid w:val="00885EC6"/>
    <w:rsid w:val="008869D2"/>
    <w:rsid w:val="00886A8F"/>
    <w:rsid w:val="0088733A"/>
    <w:rsid w:val="008901CC"/>
    <w:rsid w:val="0089061C"/>
    <w:rsid w:val="00891BE0"/>
    <w:rsid w:val="00893302"/>
    <w:rsid w:val="00893648"/>
    <w:rsid w:val="00893D05"/>
    <w:rsid w:val="00893D83"/>
    <w:rsid w:val="00893F0C"/>
    <w:rsid w:val="00893F3C"/>
    <w:rsid w:val="008945A1"/>
    <w:rsid w:val="00894A63"/>
    <w:rsid w:val="00894F71"/>
    <w:rsid w:val="00895A54"/>
    <w:rsid w:val="00896776"/>
    <w:rsid w:val="00896874"/>
    <w:rsid w:val="00896916"/>
    <w:rsid w:val="00896BDE"/>
    <w:rsid w:val="0089763E"/>
    <w:rsid w:val="008A03DE"/>
    <w:rsid w:val="008A0861"/>
    <w:rsid w:val="008A0BB2"/>
    <w:rsid w:val="008A1AB3"/>
    <w:rsid w:val="008A1D5C"/>
    <w:rsid w:val="008A3292"/>
    <w:rsid w:val="008A3A85"/>
    <w:rsid w:val="008A43E9"/>
    <w:rsid w:val="008A4CB1"/>
    <w:rsid w:val="008A5F34"/>
    <w:rsid w:val="008A615E"/>
    <w:rsid w:val="008A632B"/>
    <w:rsid w:val="008A6BFE"/>
    <w:rsid w:val="008A6F21"/>
    <w:rsid w:val="008A6F3F"/>
    <w:rsid w:val="008A73DA"/>
    <w:rsid w:val="008B00C2"/>
    <w:rsid w:val="008B04A0"/>
    <w:rsid w:val="008B05E8"/>
    <w:rsid w:val="008B07EF"/>
    <w:rsid w:val="008B16DE"/>
    <w:rsid w:val="008B190E"/>
    <w:rsid w:val="008B1A8A"/>
    <w:rsid w:val="008B1FC9"/>
    <w:rsid w:val="008B531F"/>
    <w:rsid w:val="008B54A3"/>
    <w:rsid w:val="008B634C"/>
    <w:rsid w:val="008B6B67"/>
    <w:rsid w:val="008B7306"/>
    <w:rsid w:val="008B775F"/>
    <w:rsid w:val="008B77D1"/>
    <w:rsid w:val="008B7C02"/>
    <w:rsid w:val="008B7D13"/>
    <w:rsid w:val="008B7F9E"/>
    <w:rsid w:val="008C034E"/>
    <w:rsid w:val="008C0E88"/>
    <w:rsid w:val="008C1399"/>
    <w:rsid w:val="008C18A5"/>
    <w:rsid w:val="008C1AA8"/>
    <w:rsid w:val="008C22A8"/>
    <w:rsid w:val="008C5B43"/>
    <w:rsid w:val="008C63FD"/>
    <w:rsid w:val="008C6CB8"/>
    <w:rsid w:val="008C6D92"/>
    <w:rsid w:val="008C777A"/>
    <w:rsid w:val="008C7815"/>
    <w:rsid w:val="008C7A07"/>
    <w:rsid w:val="008C7E90"/>
    <w:rsid w:val="008C7EB3"/>
    <w:rsid w:val="008D0171"/>
    <w:rsid w:val="008D0632"/>
    <w:rsid w:val="008D0A23"/>
    <w:rsid w:val="008D0E3B"/>
    <w:rsid w:val="008D13EA"/>
    <w:rsid w:val="008D2671"/>
    <w:rsid w:val="008D2A16"/>
    <w:rsid w:val="008D2ECF"/>
    <w:rsid w:val="008D347D"/>
    <w:rsid w:val="008D3F3D"/>
    <w:rsid w:val="008D4376"/>
    <w:rsid w:val="008D51E9"/>
    <w:rsid w:val="008E0367"/>
    <w:rsid w:val="008E2DCD"/>
    <w:rsid w:val="008E308D"/>
    <w:rsid w:val="008E31FF"/>
    <w:rsid w:val="008E3B0F"/>
    <w:rsid w:val="008E46A3"/>
    <w:rsid w:val="008E5DE6"/>
    <w:rsid w:val="008E6113"/>
    <w:rsid w:val="008E6AB3"/>
    <w:rsid w:val="008E6AD3"/>
    <w:rsid w:val="008E6EBD"/>
    <w:rsid w:val="008E71A6"/>
    <w:rsid w:val="008E77B6"/>
    <w:rsid w:val="008E7C55"/>
    <w:rsid w:val="008F032E"/>
    <w:rsid w:val="008F0F14"/>
    <w:rsid w:val="008F1638"/>
    <w:rsid w:val="008F1723"/>
    <w:rsid w:val="008F2097"/>
    <w:rsid w:val="008F2F4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0E3"/>
    <w:rsid w:val="00901703"/>
    <w:rsid w:val="00901AF3"/>
    <w:rsid w:val="0090229C"/>
    <w:rsid w:val="00902CBE"/>
    <w:rsid w:val="00902D74"/>
    <w:rsid w:val="00902EFF"/>
    <w:rsid w:val="00902FAC"/>
    <w:rsid w:val="00903E06"/>
    <w:rsid w:val="009045D1"/>
    <w:rsid w:val="00904B9D"/>
    <w:rsid w:val="00905A11"/>
    <w:rsid w:val="00905FE8"/>
    <w:rsid w:val="009066E1"/>
    <w:rsid w:val="00906F67"/>
    <w:rsid w:val="00907A41"/>
    <w:rsid w:val="00910098"/>
    <w:rsid w:val="009102BD"/>
    <w:rsid w:val="00910F93"/>
    <w:rsid w:val="00910FBC"/>
    <w:rsid w:val="00911E3B"/>
    <w:rsid w:val="0091255A"/>
    <w:rsid w:val="00914426"/>
    <w:rsid w:val="0091675F"/>
    <w:rsid w:val="00917709"/>
    <w:rsid w:val="00917918"/>
    <w:rsid w:val="00920874"/>
    <w:rsid w:val="00921F14"/>
    <w:rsid w:val="009227C6"/>
    <w:rsid w:val="00923750"/>
    <w:rsid w:val="009243A5"/>
    <w:rsid w:val="0092465F"/>
    <w:rsid w:val="0092500F"/>
    <w:rsid w:val="009250D2"/>
    <w:rsid w:val="0092519D"/>
    <w:rsid w:val="0092540B"/>
    <w:rsid w:val="009256C5"/>
    <w:rsid w:val="00925A21"/>
    <w:rsid w:val="00926283"/>
    <w:rsid w:val="009306BE"/>
    <w:rsid w:val="0093161F"/>
    <w:rsid w:val="00934836"/>
    <w:rsid w:val="00934963"/>
    <w:rsid w:val="00936ECA"/>
    <w:rsid w:val="00937320"/>
    <w:rsid w:val="00937B11"/>
    <w:rsid w:val="00940F1F"/>
    <w:rsid w:val="00941250"/>
    <w:rsid w:val="00941339"/>
    <w:rsid w:val="0094396E"/>
    <w:rsid w:val="0094427A"/>
    <w:rsid w:val="00944380"/>
    <w:rsid w:val="009459C5"/>
    <w:rsid w:val="00945E5E"/>
    <w:rsid w:val="0094626C"/>
    <w:rsid w:val="0095013A"/>
    <w:rsid w:val="00953AEF"/>
    <w:rsid w:val="00954FC3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0D56"/>
    <w:rsid w:val="00962D2E"/>
    <w:rsid w:val="00963724"/>
    <w:rsid w:val="00963D22"/>
    <w:rsid w:val="00964498"/>
    <w:rsid w:val="0096504D"/>
    <w:rsid w:val="00965795"/>
    <w:rsid w:val="00965A2D"/>
    <w:rsid w:val="009663EB"/>
    <w:rsid w:val="0096650F"/>
    <w:rsid w:val="00967801"/>
    <w:rsid w:val="00967AD2"/>
    <w:rsid w:val="00967AE9"/>
    <w:rsid w:val="009700DB"/>
    <w:rsid w:val="00971DC6"/>
    <w:rsid w:val="00972263"/>
    <w:rsid w:val="00972502"/>
    <w:rsid w:val="00972D8D"/>
    <w:rsid w:val="00973AAE"/>
    <w:rsid w:val="009742F7"/>
    <w:rsid w:val="0097476C"/>
    <w:rsid w:val="00974923"/>
    <w:rsid w:val="00974D48"/>
    <w:rsid w:val="00974D5F"/>
    <w:rsid w:val="00975017"/>
    <w:rsid w:val="009759DF"/>
    <w:rsid w:val="009777B3"/>
    <w:rsid w:val="00977A4D"/>
    <w:rsid w:val="00980373"/>
    <w:rsid w:val="00980621"/>
    <w:rsid w:val="0098095B"/>
    <w:rsid w:val="00982072"/>
    <w:rsid w:val="009833FA"/>
    <w:rsid w:val="00983ACF"/>
    <w:rsid w:val="00983DBB"/>
    <w:rsid w:val="00983ECF"/>
    <w:rsid w:val="00985157"/>
    <w:rsid w:val="00986745"/>
    <w:rsid w:val="009867BC"/>
    <w:rsid w:val="00987109"/>
    <w:rsid w:val="00987309"/>
    <w:rsid w:val="00987351"/>
    <w:rsid w:val="0099012D"/>
    <w:rsid w:val="00990363"/>
    <w:rsid w:val="00991266"/>
    <w:rsid w:val="009928AE"/>
    <w:rsid w:val="00993BE6"/>
    <w:rsid w:val="00993D9C"/>
    <w:rsid w:val="00993F56"/>
    <w:rsid w:val="0099483E"/>
    <w:rsid w:val="009954FF"/>
    <w:rsid w:val="0099571E"/>
    <w:rsid w:val="00995E2F"/>
    <w:rsid w:val="009961BC"/>
    <w:rsid w:val="00996355"/>
    <w:rsid w:val="0099788F"/>
    <w:rsid w:val="00997ADD"/>
    <w:rsid w:val="009A05A2"/>
    <w:rsid w:val="009A1374"/>
    <w:rsid w:val="009A13FA"/>
    <w:rsid w:val="009A1C2F"/>
    <w:rsid w:val="009A2014"/>
    <w:rsid w:val="009A2030"/>
    <w:rsid w:val="009A3A87"/>
    <w:rsid w:val="009A4E12"/>
    <w:rsid w:val="009A5C68"/>
    <w:rsid w:val="009A5DE2"/>
    <w:rsid w:val="009A6EF7"/>
    <w:rsid w:val="009B04D0"/>
    <w:rsid w:val="009B052C"/>
    <w:rsid w:val="009B0676"/>
    <w:rsid w:val="009B0975"/>
    <w:rsid w:val="009B0EF2"/>
    <w:rsid w:val="009B23A3"/>
    <w:rsid w:val="009B25CE"/>
    <w:rsid w:val="009B2C0E"/>
    <w:rsid w:val="009B4925"/>
    <w:rsid w:val="009B4B4B"/>
    <w:rsid w:val="009B4BD4"/>
    <w:rsid w:val="009B4CE3"/>
    <w:rsid w:val="009B6FD3"/>
    <w:rsid w:val="009B70BD"/>
    <w:rsid w:val="009C07A5"/>
    <w:rsid w:val="009C24A3"/>
    <w:rsid w:val="009C3705"/>
    <w:rsid w:val="009C6215"/>
    <w:rsid w:val="009C7388"/>
    <w:rsid w:val="009C74C2"/>
    <w:rsid w:val="009D0CFF"/>
    <w:rsid w:val="009D1551"/>
    <w:rsid w:val="009D2859"/>
    <w:rsid w:val="009D36EC"/>
    <w:rsid w:val="009D3CD0"/>
    <w:rsid w:val="009D3E88"/>
    <w:rsid w:val="009D4173"/>
    <w:rsid w:val="009D51CA"/>
    <w:rsid w:val="009D6095"/>
    <w:rsid w:val="009D6306"/>
    <w:rsid w:val="009D6727"/>
    <w:rsid w:val="009E048A"/>
    <w:rsid w:val="009E1124"/>
    <w:rsid w:val="009E1FBA"/>
    <w:rsid w:val="009E2C54"/>
    <w:rsid w:val="009E3710"/>
    <w:rsid w:val="009E6F65"/>
    <w:rsid w:val="009E72A1"/>
    <w:rsid w:val="009E7340"/>
    <w:rsid w:val="009E7B1F"/>
    <w:rsid w:val="009F346F"/>
    <w:rsid w:val="009F371A"/>
    <w:rsid w:val="009F3F25"/>
    <w:rsid w:val="009F3FC3"/>
    <w:rsid w:val="009F41C4"/>
    <w:rsid w:val="009F5846"/>
    <w:rsid w:val="009F63D2"/>
    <w:rsid w:val="009F777A"/>
    <w:rsid w:val="009F7B52"/>
    <w:rsid w:val="009F7D77"/>
    <w:rsid w:val="00A004D2"/>
    <w:rsid w:val="00A015EA"/>
    <w:rsid w:val="00A0172C"/>
    <w:rsid w:val="00A05B91"/>
    <w:rsid w:val="00A10D66"/>
    <w:rsid w:val="00A12BA8"/>
    <w:rsid w:val="00A133F2"/>
    <w:rsid w:val="00A13993"/>
    <w:rsid w:val="00A1420C"/>
    <w:rsid w:val="00A1456C"/>
    <w:rsid w:val="00A14821"/>
    <w:rsid w:val="00A14C9D"/>
    <w:rsid w:val="00A15B39"/>
    <w:rsid w:val="00A17754"/>
    <w:rsid w:val="00A2055B"/>
    <w:rsid w:val="00A20E22"/>
    <w:rsid w:val="00A219FE"/>
    <w:rsid w:val="00A22210"/>
    <w:rsid w:val="00A2253C"/>
    <w:rsid w:val="00A23545"/>
    <w:rsid w:val="00A23A55"/>
    <w:rsid w:val="00A23E43"/>
    <w:rsid w:val="00A23EF0"/>
    <w:rsid w:val="00A24F8C"/>
    <w:rsid w:val="00A262BF"/>
    <w:rsid w:val="00A271AD"/>
    <w:rsid w:val="00A276D5"/>
    <w:rsid w:val="00A301C5"/>
    <w:rsid w:val="00A30336"/>
    <w:rsid w:val="00A30BB5"/>
    <w:rsid w:val="00A3128F"/>
    <w:rsid w:val="00A326D0"/>
    <w:rsid w:val="00A33C9A"/>
    <w:rsid w:val="00A348DC"/>
    <w:rsid w:val="00A35287"/>
    <w:rsid w:val="00A355F2"/>
    <w:rsid w:val="00A35CB2"/>
    <w:rsid w:val="00A37201"/>
    <w:rsid w:val="00A378F8"/>
    <w:rsid w:val="00A40965"/>
    <w:rsid w:val="00A40B19"/>
    <w:rsid w:val="00A40F56"/>
    <w:rsid w:val="00A41D07"/>
    <w:rsid w:val="00A424F8"/>
    <w:rsid w:val="00A42883"/>
    <w:rsid w:val="00A437B7"/>
    <w:rsid w:val="00A43EA2"/>
    <w:rsid w:val="00A45E2F"/>
    <w:rsid w:val="00A46C70"/>
    <w:rsid w:val="00A46D48"/>
    <w:rsid w:val="00A46DE0"/>
    <w:rsid w:val="00A4778A"/>
    <w:rsid w:val="00A47C94"/>
    <w:rsid w:val="00A504C0"/>
    <w:rsid w:val="00A5067F"/>
    <w:rsid w:val="00A517C1"/>
    <w:rsid w:val="00A518E0"/>
    <w:rsid w:val="00A5408A"/>
    <w:rsid w:val="00A5421F"/>
    <w:rsid w:val="00A5430D"/>
    <w:rsid w:val="00A55301"/>
    <w:rsid w:val="00A572FB"/>
    <w:rsid w:val="00A57B3C"/>
    <w:rsid w:val="00A57E77"/>
    <w:rsid w:val="00A57F1B"/>
    <w:rsid w:val="00A600D2"/>
    <w:rsid w:val="00A60383"/>
    <w:rsid w:val="00A6128E"/>
    <w:rsid w:val="00A614EB"/>
    <w:rsid w:val="00A62CE1"/>
    <w:rsid w:val="00A631FA"/>
    <w:rsid w:val="00A63517"/>
    <w:rsid w:val="00A64203"/>
    <w:rsid w:val="00A64348"/>
    <w:rsid w:val="00A644E1"/>
    <w:rsid w:val="00A67641"/>
    <w:rsid w:val="00A6766C"/>
    <w:rsid w:val="00A70765"/>
    <w:rsid w:val="00A711B0"/>
    <w:rsid w:val="00A71279"/>
    <w:rsid w:val="00A721FB"/>
    <w:rsid w:val="00A727BA"/>
    <w:rsid w:val="00A72CA4"/>
    <w:rsid w:val="00A72D4B"/>
    <w:rsid w:val="00A732AE"/>
    <w:rsid w:val="00A74192"/>
    <w:rsid w:val="00A750EB"/>
    <w:rsid w:val="00A75837"/>
    <w:rsid w:val="00A75E40"/>
    <w:rsid w:val="00A76B12"/>
    <w:rsid w:val="00A76EF2"/>
    <w:rsid w:val="00A7727E"/>
    <w:rsid w:val="00A77EB2"/>
    <w:rsid w:val="00A81094"/>
    <w:rsid w:val="00A82B66"/>
    <w:rsid w:val="00A82C52"/>
    <w:rsid w:val="00A83798"/>
    <w:rsid w:val="00A83B58"/>
    <w:rsid w:val="00A84D7D"/>
    <w:rsid w:val="00A84FAF"/>
    <w:rsid w:val="00A851B6"/>
    <w:rsid w:val="00A851ED"/>
    <w:rsid w:val="00A85729"/>
    <w:rsid w:val="00A8574B"/>
    <w:rsid w:val="00A857C0"/>
    <w:rsid w:val="00A85F5E"/>
    <w:rsid w:val="00A90343"/>
    <w:rsid w:val="00A91336"/>
    <w:rsid w:val="00A9221C"/>
    <w:rsid w:val="00A92277"/>
    <w:rsid w:val="00A92916"/>
    <w:rsid w:val="00A929D1"/>
    <w:rsid w:val="00A94628"/>
    <w:rsid w:val="00A94954"/>
    <w:rsid w:val="00A9497A"/>
    <w:rsid w:val="00A949A6"/>
    <w:rsid w:val="00A95AAE"/>
    <w:rsid w:val="00A96241"/>
    <w:rsid w:val="00A96463"/>
    <w:rsid w:val="00A97E3F"/>
    <w:rsid w:val="00AA09D3"/>
    <w:rsid w:val="00AA1356"/>
    <w:rsid w:val="00AA220F"/>
    <w:rsid w:val="00AA23FB"/>
    <w:rsid w:val="00AA34FE"/>
    <w:rsid w:val="00AA42AB"/>
    <w:rsid w:val="00AA4A76"/>
    <w:rsid w:val="00AA559A"/>
    <w:rsid w:val="00AA57A4"/>
    <w:rsid w:val="00AA5F10"/>
    <w:rsid w:val="00AB0BB9"/>
    <w:rsid w:val="00AB104D"/>
    <w:rsid w:val="00AB1441"/>
    <w:rsid w:val="00AB1653"/>
    <w:rsid w:val="00AB2AF1"/>
    <w:rsid w:val="00AB440B"/>
    <w:rsid w:val="00AB47E3"/>
    <w:rsid w:val="00AB74C5"/>
    <w:rsid w:val="00AB75A7"/>
    <w:rsid w:val="00AB7BEE"/>
    <w:rsid w:val="00AB7DF2"/>
    <w:rsid w:val="00AC1E3F"/>
    <w:rsid w:val="00AC219A"/>
    <w:rsid w:val="00AC3D02"/>
    <w:rsid w:val="00AC4F18"/>
    <w:rsid w:val="00AC5F5B"/>
    <w:rsid w:val="00AC69CA"/>
    <w:rsid w:val="00AD0B46"/>
    <w:rsid w:val="00AD1094"/>
    <w:rsid w:val="00AD2565"/>
    <w:rsid w:val="00AD2862"/>
    <w:rsid w:val="00AD306C"/>
    <w:rsid w:val="00AD3111"/>
    <w:rsid w:val="00AD3424"/>
    <w:rsid w:val="00AD3E3F"/>
    <w:rsid w:val="00AD4FEF"/>
    <w:rsid w:val="00AD50D1"/>
    <w:rsid w:val="00AD59BB"/>
    <w:rsid w:val="00AD5D68"/>
    <w:rsid w:val="00AD5D71"/>
    <w:rsid w:val="00AD6483"/>
    <w:rsid w:val="00AD675A"/>
    <w:rsid w:val="00AD6A63"/>
    <w:rsid w:val="00AD6C73"/>
    <w:rsid w:val="00AD7D49"/>
    <w:rsid w:val="00AE06D0"/>
    <w:rsid w:val="00AE1B8A"/>
    <w:rsid w:val="00AE20DF"/>
    <w:rsid w:val="00AE26E1"/>
    <w:rsid w:val="00AE39DC"/>
    <w:rsid w:val="00AE3CDA"/>
    <w:rsid w:val="00AE481D"/>
    <w:rsid w:val="00AE608F"/>
    <w:rsid w:val="00AE6734"/>
    <w:rsid w:val="00AE684E"/>
    <w:rsid w:val="00AE7968"/>
    <w:rsid w:val="00AE7B2B"/>
    <w:rsid w:val="00AE7DFF"/>
    <w:rsid w:val="00AF128B"/>
    <w:rsid w:val="00AF1AEA"/>
    <w:rsid w:val="00AF2536"/>
    <w:rsid w:val="00AF2852"/>
    <w:rsid w:val="00AF3225"/>
    <w:rsid w:val="00AF4983"/>
    <w:rsid w:val="00AF4B98"/>
    <w:rsid w:val="00AF4CA7"/>
    <w:rsid w:val="00AF518B"/>
    <w:rsid w:val="00AF5275"/>
    <w:rsid w:val="00AF5D62"/>
    <w:rsid w:val="00AF6367"/>
    <w:rsid w:val="00AF6A79"/>
    <w:rsid w:val="00AF6B7C"/>
    <w:rsid w:val="00AF724E"/>
    <w:rsid w:val="00AF73A9"/>
    <w:rsid w:val="00B013C0"/>
    <w:rsid w:val="00B01436"/>
    <w:rsid w:val="00B01C2C"/>
    <w:rsid w:val="00B0231C"/>
    <w:rsid w:val="00B07372"/>
    <w:rsid w:val="00B07C2A"/>
    <w:rsid w:val="00B10100"/>
    <w:rsid w:val="00B128E5"/>
    <w:rsid w:val="00B13681"/>
    <w:rsid w:val="00B13BCE"/>
    <w:rsid w:val="00B15DCD"/>
    <w:rsid w:val="00B16201"/>
    <w:rsid w:val="00B17E71"/>
    <w:rsid w:val="00B17FDE"/>
    <w:rsid w:val="00B208FC"/>
    <w:rsid w:val="00B20C65"/>
    <w:rsid w:val="00B21953"/>
    <w:rsid w:val="00B22E17"/>
    <w:rsid w:val="00B2419B"/>
    <w:rsid w:val="00B25567"/>
    <w:rsid w:val="00B25E31"/>
    <w:rsid w:val="00B266C5"/>
    <w:rsid w:val="00B27293"/>
    <w:rsid w:val="00B300E8"/>
    <w:rsid w:val="00B301BB"/>
    <w:rsid w:val="00B30737"/>
    <w:rsid w:val="00B321E3"/>
    <w:rsid w:val="00B3229E"/>
    <w:rsid w:val="00B32DDB"/>
    <w:rsid w:val="00B340AD"/>
    <w:rsid w:val="00B3447A"/>
    <w:rsid w:val="00B3448C"/>
    <w:rsid w:val="00B34931"/>
    <w:rsid w:val="00B35174"/>
    <w:rsid w:val="00B35BEA"/>
    <w:rsid w:val="00B365CB"/>
    <w:rsid w:val="00B37915"/>
    <w:rsid w:val="00B3793D"/>
    <w:rsid w:val="00B41BE6"/>
    <w:rsid w:val="00B42831"/>
    <w:rsid w:val="00B428A4"/>
    <w:rsid w:val="00B428EA"/>
    <w:rsid w:val="00B457E7"/>
    <w:rsid w:val="00B45D1B"/>
    <w:rsid w:val="00B45DE5"/>
    <w:rsid w:val="00B461D6"/>
    <w:rsid w:val="00B46D25"/>
    <w:rsid w:val="00B47430"/>
    <w:rsid w:val="00B4795A"/>
    <w:rsid w:val="00B47AC6"/>
    <w:rsid w:val="00B52D2D"/>
    <w:rsid w:val="00B534EF"/>
    <w:rsid w:val="00B548DA"/>
    <w:rsid w:val="00B55BA8"/>
    <w:rsid w:val="00B55F15"/>
    <w:rsid w:val="00B561A6"/>
    <w:rsid w:val="00B57CC4"/>
    <w:rsid w:val="00B60062"/>
    <w:rsid w:val="00B62960"/>
    <w:rsid w:val="00B63A11"/>
    <w:rsid w:val="00B63FD0"/>
    <w:rsid w:val="00B643EC"/>
    <w:rsid w:val="00B6449F"/>
    <w:rsid w:val="00B6493D"/>
    <w:rsid w:val="00B6553E"/>
    <w:rsid w:val="00B65C84"/>
    <w:rsid w:val="00B6608F"/>
    <w:rsid w:val="00B661F6"/>
    <w:rsid w:val="00B67E42"/>
    <w:rsid w:val="00B73180"/>
    <w:rsid w:val="00B74317"/>
    <w:rsid w:val="00B74D75"/>
    <w:rsid w:val="00B75700"/>
    <w:rsid w:val="00B760C1"/>
    <w:rsid w:val="00B76D1E"/>
    <w:rsid w:val="00B77BC8"/>
    <w:rsid w:val="00B77FB7"/>
    <w:rsid w:val="00B800EB"/>
    <w:rsid w:val="00B822D2"/>
    <w:rsid w:val="00B823F1"/>
    <w:rsid w:val="00B831B4"/>
    <w:rsid w:val="00B83CFE"/>
    <w:rsid w:val="00B83D46"/>
    <w:rsid w:val="00B848B8"/>
    <w:rsid w:val="00B84A41"/>
    <w:rsid w:val="00B84D57"/>
    <w:rsid w:val="00B8504B"/>
    <w:rsid w:val="00B853C2"/>
    <w:rsid w:val="00B85689"/>
    <w:rsid w:val="00B86748"/>
    <w:rsid w:val="00B907EA"/>
    <w:rsid w:val="00B91EC9"/>
    <w:rsid w:val="00B924CA"/>
    <w:rsid w:val="00B92A4B"/>
    <w:rsid w:val="00B93384"/>
    <w:rsid w:val="00B93616"/>
    <w:rsid w:val="00B94417"/>
    <w:rsid w:val="00B95566"/>
    <w:rsid w:val="00B95940"/>
    <w:rsid w:val="00B95EF8"/>
    <w:rsid w:val="00B95F50"/>
    <w:rsid w:val="00B96BD9"/>
    <w:rsid w:val="00B979A0"/>
    <w:rsid w:val="00BA094F"/>
    <w:rsid w:val="00BA0DED"/>
    <w:rsid w:val="00BA0F99"/>
    <w:rsid w:val="00BA6D2C"/>
    <w:rsid w:val="00BB0274"/>
    <w:rsid w:val="00BB0B13"/>
    <w:rsid w:val="00BB12AC"/>
    <w:rsid w:val="00BB1CFD"/>
    <w:rsid w:val="00BB2C53"/>
    <w:rsid w:val="00BB32DA"/>
    <w:rsid w:val="00BB3A54"/>
    <w:rsid w:val="00BB4286"/>
    <w:rsid w:val="00BB462A"/>
    <w:rsid w:val="00BB4D26"/>
    <w:rsid w:val="00BB4E21"/>
    <w:rsid w:val="00BB6F86"/>
    <w:rsid w:val="00BB7746"/>
    <w:rsid w:val="00BC22EB"/>
    <w:rsid w:val="00BC26CA"/>
    <w:rsid w:val="00BC682B"/>
    <w:rsid w:val="00BC68BA"/>
    <w:rsid w:val="00BC6B04"/>
    <w:rsid w:val="00BC6D27"/>
    <w:rsid w:val="00BD059A"/>
    <w:rsid w:val="00BD0CBB"/>
    <w:rsid w:val="00BD186B"/>
    <w:rsid w:val="00BD1EAC"/>
    <w:rsid w:val="00BD254C"/>
    <w:rsid w:val="00BD3428"/>
    <w:rsid w:val="00BD366B"/>
    <w:rsid w:val="00BD5298"/>
    <w:rsid w:val="00BD534C"/>
    <w:rsid w:val="00BD557B"/>
    <w:rsid w:val="00BD55A9"/>
    <w:rsid w:val="00BD56BC"/>
    <w:rsid w:val="00BD5D91"/>
    <w:rsid w:val="00BD6445"/>
    <w:rsid w:val="00BD6526"/>
    <w:rsid w:val="00BD6615"/>
    <w:rsid w:val="00BD6D50"/>
    <w:rsid w:val="00BE0D79"/>
    <w:rsid w:val="00BE0DB0"/>
    <w:rsid w:val="00BE15B9"/>
    <w:rsid w:val="00BE2C15"/>
    <w:rsid w:val="00BE3381"/>
    <w:rsid w:val="00BE3F09"/>
    <w:rsid w:val="00BE670A"/>
    <w:rsid w:val="00BE6906"/>
    <w:rsid w:val="00BF18F4"/>
    <w:rsid w:val="00BF1A69"/>
    <w:rsid w:val="00BF3BC8"/>
    <w:rsid w:val="00BF3DF1"/>
    <w:rsid w:val="00BF3FE5"/>
    <w:rsid w:val="00BF4C31"/>
    <w:rsid w:val="00BF4E57"/>
    <w:rsid w:val="00BF53B8"/>
    <w:rsid w:val="00BF71D5"/>
    <w:rsid w:val="00BF786A"/>
    <w:rsid w:val="00BF7CB8"/>
    <w:rsid w:val="00BF7F08"/>
    <w:rsid w:val="00BF7F28"/>
    <w:rsid w:val="00C00831"/>
    <w:rsid w:val="00C00F20"/>
    <w:rsid w:val="00C01354"/>
    <w:rsid w:val="00C01700"/>
    <w:rsid w:val="00C01B84"/>
    <w:rsid w:val="00C034E6"/>
    <w:rsid w:val="00C05715"/>
    <w:rsid w:val="00C05926"/>
    <w:rsid w:val="00C0784A"/>
    <w:rsid w:val="00C10B28"/>
    <w:rsid w:val="00C10B3B"/>
    <w:rsid w:val="00C10D62"/>
    <w:rsid w:val="00C10FAE"/>
    <w:rsid w:val="00C1135D"/>
    <w:rsid w:val="00C11DAF"/>
    <w:rsid w:val="00C123B4"/>
    <w:rsid w:val="00C12A69"/>
    <w:rsid w:val="00C13150"/>
    <w:rsid w:val="00C13737"/>
    <w:rsid w:val="00C150BE"/>
    <w:rsid w:val="00C158B0"/>
    <w:rsid w:val="00C15A0C"/>
    <w:rsid w:val="00C15CEB"/>
    <w:rsid w:val="00C15DCB"/>
    <w:rsid w:val="00C16208"/>
    <w:rsid w:val="00C1711F"/>
    <w:rsid w:val="00C17BF1"/>
    <w:rsid w:val="00C17E38"/>
    <w:rsid w:val="00C20027"/>
    <w:rsid w:val="00C2038A"/>
    <w:rsid w:val="00C205BF"/>
    <w:rsid w:val="00C20744"/>
    <w:rsid w:val="00C20B1C"/>
    <w:rsid w:val="00C20C4D"/>
    <w:rsid w:val="00C21D46"/>
    <w:rsid w:val="00C21F94"/>
    <w:rsid w:val="00C222A1"/>
    <w:rsid w:val="00C22C59"/>
    <w:rsid w:val="00C23371"/>
    <w:rsid w:val="00C23CBD"/>
    <w:rsid w:val="00C23D22"/>
    <w:rsid w:val="00C2463B"/>
    <w:rsid w:val="00C24E77"/>
    <w:rsid w:val="00C2732D"/>
    <w:rsid w:val="00C273C6"/>
    <w:rsid w:val="00C27913"/>
    <w:rsid w:val="00C3004E"/>
    <w:rsid w:val="00C300C6"/>
    <w:rsid w:val="00C30828"/>
    <w:rsid w:val="00C30924"/>
    <w:rsid w:val="00C31DD8"/>
    <w:rsid w:val="00C3271C"/>
    <w:rsid w:val="00C32A35"/>
    <w:rsid w:val="00C34FDE"/>
    <w:rsid w:val="00C35C16"/>
    <w:rsid w:val="00C36EC3"/>
    <w:rsid w:val="00C40E09"/>
    <w:rsid w:val="00C40F81"/>
    <w:rsid w:val="00C41463"/>
    <w:rsid w:val="00C41A06"/>
    <w:rsid w:val="00C41A72"/>
    <w:rsid w:val="00C42D45"/>
    <w:rsid w:val="00C43CB1"/>
    <w:rsid w:val="00C4422D"/>
    <w:rsid w:val="00C466D1"/>
    <w:rsid w:val="00C476C5"/>
    <w:rsid w:val="00C47EB6"/>
    <w:rsid w:val="00C503B0"/>
    <w:rsid w:val="00C511C2"/>
    <w:rsid w:val="00C527C6"/>
    <w:rsid w:val="00C538FC"/>
    <w:rsid w:val="00C53CDB"/>
    <w:rsid w:val="00C53D7B"/>
    <w:rsid w:val="00C53D82"/>
    <w:rsid w:val="00C54748"/>
    <w:rsid w:val="00C553E8"/>
    <w:rsid w:val="00C574CF"/>
    <w:rsid w:val="00C575FB"/>
    <w:rsid w:val="00C60696"/>
    <w:rsid w:val="00C60943"/>
    <w:rsid w:val="00C60EEF"/>
    <w:rsid w:val="00C610C5"/>
    <w:rsid w:val="00C6121D"/>
    <w:rsid w:val="00C615F1"/>
    <w:rsid w:val="00C61627"/>
    <w:rsid w:val="00C63B1A"/>
    <w:rsid w:val="00C64E60"/>
    <w:rsid w:val="00C657A4"/>
    <w:rsid w:val="00C66589"/>
    <w:rsid w:val="00C6736C"/>
    <w:rsid w:val="00C7179C"/>
    <w:rsid w:val="00C71A1D"/>
    <w:rsid w:val="00C71EC4"/>
    <w:rsid w:val="00C7410A"/>
    <w:rsid w:val="00C74791"/>
    <w:rsid w:val="00C7591E"/>
    <w:rsid w:val="00C75C7E"/>
    <w:rsid w:val="00C75C9B"/>
    <w:rsid w:val="00C76D8E"/>
    <w:rsid w:val="00C77833"/>
    <w:rsid w:val="00C80953"/>
    <w:rsid w:val="00C80C9B"/>
    <w:rsid w:val="00C8180B"/>
    <w:rsid w:val="00C8335E"/>
    <w:rsid w:val="00C83F9C"/>
    <w:rsid w:val="00C84CE3"/>
    <w:rsid w:val="00C85614"/>
    <w:rsid w:val="00C86127"/>
    <w:rsid w:val="00C864FB"/>
    <w:rsid w:val="00C9003C"/>
    <w:rsid w:val="00C90CF4"/>
    <w:rsid w:val="00C91C19"/>
    <w:rsid w:val="00C929A0"/>
    <w:rsid w:val="00C930FB"/>
    <w:rsid w:val="00C93389"/>
    <w:rsid w:val="00C937DB"/>
    <w:rsid w:val="00C94519"/>
    <w:rsid w:val="00C94E11"/>
    <w:rsid w:val="00C94E83"/>
    <w:rsid w:val="00C9567E"/>
    <w:rsid w:val="00C97038"/>
    <w:rsid w:val="00C97D46"/>
    <w:rsid w:val="00CA02B2"/>
    <w:rsid w:val="00CA0883"/>
    <w:rsid w:val="00CA1085"/>
    <w:rsid w:val="00CA140F"/>
    <w:rsid w:val="00CA25C2"/>
    <w:rsid w:val="00CA2BF5"/>
    <w:rsid w:val="00CA37BB"/>
    <w:rsid w:val="00CA37CA"/>
    <w:rsid w:val="00CA39E1"/>
    <w:rsid w:val="00CA5016"/>
    <w:rsid w:val="00CA5724"/>
    <w:rsid w:val="00CA6508"/>
    <w:rsid w:val="00CA6BA1"/>
    <w:rsid w:val="00CA6CD5"/>
    <w:rsid w:val="00CA6D0B"/>
    <w:rsid w:val="00CB1910"/>
    <w:rsid w:val="00CB2150"/>
    <w:rsid w:val="00CB289A"/>
    <w:rsid w:val="00CB28EE"/>
    <w:rsid w:val="00CB2B15"/>
    <w:rsid w:val="00CB2EEA"/>
    <w:rsid w:val="00CB39FE"/>
    <w:rsid w:val="00CB43A7"/>
    <w:rsid w:val="00CB4DF1"/>
    <w:rsid w:val="00CB5996"/>
    <w:rsid w:val="00CB6809"/>
    <w:rsid w:val="00CB7452"/>
    <w:rsid w:val="00CC0E10"/>
    <w:rsid w:val="00CC0F96"/>
    <w:rsid w:val="00CC1DAF"/>
    <w:rsid w:val="00CC212E"/>
    <w:rsid w:val="00CC2642"/>
    <w:rsid w:val="00CC2967"/>
    <w:rsid w:val="00CC2A1E"/>
    <w:rsid w:val="00CC2A36"/>
    <w:rsid w:val="00CC2E15"/>
    <w:rsid w:val="00CC30E2"/>
    <w:rsid w:val="00CC3440"/>
    <w:rsid w:val="00CC351B"/>
    <w:rsid w:val="00CC3908"/>
    <w:rsid w:val="00CC4F3D"/>
    <w:rsid w:val="00CC62AD"/>
    <w:rsid w:val="00CC6CA2"/>
    <w:rsid w:val="00CC7086"/>
    <w:rsid w:val="00CC7B80"/>
    <w:rsid w:val="00CD0080"/>
    <w:rsid w:val="00CD0779"/>
    <w:rsid w:val="00CD1A5C"/>
    <w:rsid w:val="00CD2B3C"/>
    <w:rsid w:val="00CD30F6"/>
    <w:rsid w:val="00CD4B29"/>
    <w:rsid w:val="00CD5493"/>
    <w:rsid w:val="00CD6607"/>
    <w:rsid w:val="00CD67CA"/>
    <w:rsid w:val="00CD6954"/>
    <w:rsid w:val="00CD6DA3"/>
    <w:rsid w:val="00CD6EF1"/>
    <w:rsid w:val="00CD7E35"/>
    <w:rsid w:val="00CE0CD6"/>
    <w:rsid w:val="00CE1313"/>
    <w:rsid w:val="00CE21C7"/>
    <w:rsid w:val="00CE2682"/>
    <w:rsid w:val="00CE2756"/>
    <w:rsid w:val="00CE442A"/>
    <w:rsid w:val="00CE44CE"/>
    <w:rsid w:val="00CE4DEB"/>
    <w:rsid w:val="00CE57D8"/>
    <w:rsid w:val="00CE5F03"/>
    <w:rsid w:val="00CE617A"/>
    <w:rsid w:val="00CE6E3C"/>
    <w:rsid w:val="00CE7158"/>
    <w:rsid w:val="00CE797F"/>
    <w:rsid w:val="00CF0826"/>
    <w:rsid w:val="00CF107E"/>
    <w:rsid w:val="00CF15BF"/>
    <w:rsid w:val="00CF243E"/>
    <w:rsid w:val="00CF25D2"/>
    <w:rsid w:val="00CF28C2"/>
    <w:rsid w:val="00CF3D3A"/>
    <w:rsid w:val="00CF42BD"/>
    <w:rsid w:val="00CF51EC"/>
    <w:rsid w:val="00CF6A9D"/>
    <w:rsid w:val="00CF6CD7"/>
    <w:rsid w:val="00CF7276"/>
    <w:rsid w:val="00CF75EC"/>
    <w:rsid w:val="00D002DF"/>
    <w:rsid w:val="00D0037A"/>
    <w:rsid w:val="00D0061E"/>
    <w:rsid w:val="00D00DAF"/>
    <w:rsid w:val="00D017EC"/>
    <w:rsid w:val="00D01CDA"/>
    <w:rsid w:val="00D020FC"/>
    <w:rsid w:val="00D024A1"/>
    <w:rsid w:val="00D03866"/>
    <w:rsid w:val="00D040DD"/>
    <w:rsid w:val="00D04E1B"/>
    <w:rsid w:val="00D0547B"/>
    <w:rsid w:val="00D076DB"/>
    <w:rsid w:val="00D07EFF"/>
    <w:rsid w:val="00D1067C"/>
    <w:rsid w:val="00D110AB"/>
    <w:rsid w:val="00D11102"/>
    <w:rsid w:val="00D11CBB"/>
    <w:rsid w:val="00D136D4"/>
    <w:rsid w:val="00D13830"/>
    <w:rsid w:val="00D13ECF"/>
    <w:rsid w:val="00D142E5"/>
    <w:rsid w:val="00D148CD"/>
    <w:rsid w:val="00D1611E"/>
    <w:rsid w:val="00D163CC"/>
    <w:rsid w:val="00D16E69"/>
    <w:rsid w:val="00D17F4A"/>
    <w:rsid w:val="00D205A9"/>
    <w:rsid w:val="00D217EE"/>
    <w:rsid w:val="00D24299"/>
    <w:rsid w:val="00D245BA"/>
    <w:rsid w:val="00D248FE"/>
    <w:rsid w:val="00D26923"/>
    <w:rsid w:val="00D26E27"/>
    <w:rsid w:val="00D277FF"/>
    <w:rsid w:val="00D27856"/>
    <w:rsid w:val="00D27D34"/>
    <w:rsid w:val="00D3006B"/>
    <w:rsid w:val="00D301CA"/>
    <w:rsid w:val="00D30740"/>
    <w:rsid w:val="00D309C0"/>
    <w:rsid w:val="00D30DC4"/>
    <w:rsid w:val="00D31075"/>
    <w:rsid w:val="00D31445"/>
    <w:rsid w:val="00D31932"/>
    <w:rsid w:val="00D32AE0"/>
    <w:rsid w:val="00D360DA"/>
    <w:rsid w:val="00D374B3"/>
    <w:rsid w:val="00D37689"/>
    <w:rsid w:val="00D378CC"/>
    <w:rsid w:val="00D37E80"/>
    <w:rsid w:val="00D4042C"/>
    <w:rsid w:val="00D40B9E"/>
    <w:rsid w:val="00D41281"/>
    <w:rsid w:val="00D41320"/>
    <w:rsid w:val="00D42312"/>
    <w:rsid w:val="00D433F5"/>
    <w:rsid w:val="00D43998"/>
    <w:rsid w:val="00D439C2"/>
    <w:rsid w:val="00D451E0"/>
    <w:rsid w:val="00D45A1D"/>
    <w:rsid w:val="00D4615E"/>
    <w:rsid w:val="00D4651F"/>
    <w:rsid w:val="00D478E2"/>
    <w:rsid w:val="00D51739"/>
    <w:rsid w:val="00D5264C"/>
    <w:rsid w:val="00D547BA"/>
    <w:rsid w:val="00D55626"/>
    <w:rsid w:val="00D556BC"/>
    <w:rsid w:val="00D5626D"/>
    <w:rsid w:val="00D56631"/>
    <w:rsid w:val="00D577A4"/>
    <w:rsid w:val="00D57E4B"/>
    <w:rsid w:val="00D60277"/>
    <w:rsid w:val="00D60336"/>
    <w:rsid w:val="00D61B06"/>
    <w:rsid w:val="00D61F88"/>
    <w:rsid w:val="00D623F7"/>
    <w:rsid w:val="00D62688"/>
    <w:rsid w:val="00D62901"/>
    <w:rsid w:val="00D6345E"/>
    <w:rsid w:val="00D6470C"/>
    <w:rsid w:val="00D64853"/>
    <w:rsid w:val="00D64CB5"/>
    <w:rsid w:val="00D66D48"/>
    <w:rsid w:val="00D7162F"/>
    <w:rsid w:val="00D72897"/>
    <w:rsid w:val="00D73256"/>
    <w:rsid w:val="00D73A30"/>
    <w:rsid w:val="00D73E6F"/>
    <w:rsid w:val="00D74ABF"/>
    <w:rsid w:val="00D74C65"/>
    <w:rsid w:val="00D74E97"/>
    <w:rsid w:val="00D74F21"/>
    <w:rsid w:val="00D754CE"/>
    <w:rsid w:val="00D758D0"/>
    <w:rsid w:val="00D75DC2"/>
    <w:rsid w:val="00D75DC3"/>
    <w:rsid w:val="00D766EF"/>
    <w:rsid w:val="00D76C03"/>
    <w:rsid w:val="00D77F8D"/>
    <w:rsid w:val="00D80E07"/>
    <w:rsid w:val="00D8119B"/>
    <w:rsid w:val="00D81B44"/>
    <w:rsid w:val="00D82462"/>
    <w:rsid w:val="00D831C6"/>
    <w:rsid w:val="00D83EF3"/>
    <w:rsid w:val="00D84BD1"/>
    <w:rsid w:val="00D85773"/>
    <w:rsid w:val="00D85886"/>
    <w:rsid w:val="00D85D55"/>
    <w:rsid w:val="00D868CE"/>
    <w:rsid w:val="00D86DAE"/>
    <w:rsid w:val="00D875C9"/>
    <w:rsid w:val="00D90116"/>
    <w:rsid w:val="00D90C1E"/>
    <w:rsid w:val="00D91BDF"/>
    <w:rsid w:val="00D91F2C"/>
    <w:rsid w:val="00D9266B"/>
    <w:rsid w:val="00D93F09"/>
    <w:rsid w:val="00D94859"/>
    <w:rsid w:val="00D954C2"/>
    <w:rsid w:val="00D95D83"/>
    <w:rsid w:val="00D96368"/>
    <w:rsid w:val="00D9640A"/>
    <w:rsid w:val="00D97AAD"/>
    <w:rsid w:val="00D97BB8"/>
    <w:rsid w:val="00DA1318"/>
    <w:rsid w:val="00DA1382"/>
    <w:rsid w:val="00DA28B7"/>
    <w:rsid w:val="00DA2FE8"/>
    <w:rsid w:val="00DA4AF6"/>
    <w:rsid w:val="00DA7AB2"/>
    <w:rsid w:val="00DB016E"/>
    <w:rsid w:val="00DB06E9"/>
    <w:rsid w:val="00DB0BF3"/>
    <w:rsid w:val="00DB19BD"/>
    <w:rsid w:val="00DB1D55"/>
    <w:rsid w:val="00DB378E"/>
    <w:rsid w:val="00DB3C0D"/>
    <w:rsid w:val="00DB3E9D"/>
    <w:rsid w:val="00DB47B9"/>
    <w:rsid w:val="00DB4FB8"/>
    <w:rsid w:val="00DB53CE"/>
    <w:rsid w:val="00DB549D"/>
    <w:rsid w:val="00DB5792"/>
    <w:rsid w:val="00DB6A88"/>
    <w:rsid w:val="00DB7BA4"/>
    <w:rsid w:val="00DB7D77"/>
    <w:rsid w:val="00DC08D7"/>
    <w:rsid w:val="00DC226A"/>
    <w:rsid w:val="00DC257F"/>
    <w:rsid w:val="00DC2A9F"/>
    <w:rsid w:val="00DC2FA9"/>
    <w:rsid w:val="00DC350B"/>
    <w:rsid w:val="00DC3790"/>
    <w:rsid w:val="00DC408A"/>
    <w:rsid w:val="00DC436D"/>
    <w:rsid w:val="00DC519B"/>
    <w:rsid w:val="00DC53D9"/>
    <w:rsid w:val="00DC5B3B"/>
    <w:rsid w:val="00DC60C2"/>
    <w:rsid w:val="00DC6796"/>
    <w:rsid w:val="00DC6CC6"/>
    <w:rsid w:val="00DC78DF"/>
    <w:rsid w:val="00DC7D4C"/>
    <w:rsid w:val="00DD0726"/>
    <w:rsid w:val="00DD0821"/>
    <w:rsid w:val="00DD0E32"/>
    <w:rsid w:val="00DD1878"/>
    <w:rsid w:val="00DD1DC1"/>
    <w:rsid w:val="00DD2670"/>
    <w:rsid w:val="00DD2872"/>
    <w:rsid w:val="00DD2A62"/>
    <w:rsid w:val="00DD2BB1"/>
    <w:rsid w:val="00DD2BD0"/>
    <w:rsid w:val="00DD2BFE"/>
    <w:rsid w:val="00DD36E7"/>
    <w:rsid w:val="00DD373E"/>
    <w:rsid w:val="00DD3867"/>
    <w:rsid w:val="00DD57AD"/>
    <w:rsid w:val="00DD7435"/>
    <w:rsid w:val="00DD7C6D"/>
    <w:rsid w:val="00DE009B"/>
    <w:rsid w:val="00DE08F8"/>
    <w:rsid w:val="00DE0C31"/>
    <w:rsid w:val="00DE0E40"/>
    <w:rsid w:val="00DE1460"/>
    <w:rsid w:val="00DE2ED9"/>
    <w:rsid w:val="00DE319A"/>
    <w:rsid w:val="00DF0615"/>
    <w:rsid w:val="00DF0DC3"/>
    <w:rsid w:val="00DF1A2F"/>
    <w:rsid w:val="00DF21FD"/>
    <w:rsid w:val="00DF2873"/>
    <w:rsid w:val="00DF293C"/>
    <w:rsid w:val="00DF34B2"/>
    <w:rsid w:val="00DF4C74"/>
    <w:rsid w:val="00DF5578"/>
    <w:rsid w:val="00DF594F"/>
    <w:rsid w:val="00DF6CF8"/>
    <w:rsid w:val="00DF78DD"/>
    <w:rsid w:val="00DF7FEC"/>
    <w:rsid w:val="00E01B16"/>
    <w:rsid w:val="00E01C0E"/>
    <w:rsid w:val="00E02086"/>
    <w:rsid w:val="00E023BE"/>
    <w:rsid w:val="00E02740"/>
    <w:rsid w:val="00E03B27"/>
    <w:rsid w:val="00E03B58"/>
    <w:rsid w:val="00E04694"/>
    <w:rsid w:val="00E049F6"/>
    <w:rsid w:val="00E04CA9"/>
    <w:rsid w:val="00E05B2B"/>
    <w:rsid w:val="00E05EAD"/>
    <w:rsid w:val="00E065FC"/>
    <w:rsid w:val="00E06A2A"/>
    <w:rsid w:val="00E07F05"/>
    <w:rsid w:val="00E106A2"/>
    <w:rsid w:val="00E127E1"/>
    <w:rsid w:val="00E12BCE"/>
    <w:rsid w:val="00E144D2"/>
    <w:rsid w:val="00E144D6"/>
    <w:rsid w:val="00E15346"/>
    <w:rsid w:val="00E15B7D"/>
    <w:rsid w:val="00E17C5F"/>
    <w:rsid w:val="00E2097E"/>
    <w:rsid w:val="00E215EA"/>
    <w:rsid w:val="00E21CAB"/>
    <w:rsid w:val="00E221FC"/>
    <w:rsid w:val="00E22E78"/>
    <w:rsid w:val="00E24619"/>
    <w:rsid w:val="00E24871"/>
    <w:rsid w:val="00E25223"/>
    <w:rsid w:val="00E25999"/>
    <w:rsid w:val="00E26123"/>
    <w:rsid w:val="00E263A8"/>
    <w:rsid w:val="00E30BEA"/>
    <w:rsid w:val="00E31764"/>
    <w:rsid w:val="00E3288A"/>
    <w:rsid w:val="00E329AB"/>
    <w:rsid w:val="00E32BC2"/>
    <w:rsid w:val="00E33313"/>
    <w:rsid w:val="00E34985"/>
    <w:rsid w:val="00E34E4A"/>
    <w:rsid w:val="00E365B3"/>
    <w:rsid w:val="00E366BB"/>
    <w:rsid w:val="00E372FD"/>
    <w:rsid w:val="00E37C45"/>
    <w:rsid w:val="00E40AAA"/>
    <w:rsid w:val="00E41A59"/>
    <w:rsid w:val="00E42444"/>
    <w:rsid w:val="00E438CF"/>
    <w:rsid w:val="00E43B06"/>
    <w:rsid w:val="00E43C41"/>
    <w:rsid w:val="00E4500E"/>
    <w:rsid w:val="00E450CE"/>
    <w:rsid w:val="00E45703"/>
    <w:rsid w:val="00E45A00"/>
    <w:rsid w:val="00E45CE7"/>
    <w:rsid w:val="00E4631F"/>
    <w:rsid w:val="00E46A4A"/>
    <w:rsid w:val="00E46E03"/>
    <w:rsid w:val="00E4793B"/>
    <w:rsid w:val="00E47B32"/>
    <w:rsid w:val="00E47CB8"/>
    <w:rsid w:val="00E522BB"/>
    <w:rsid w:val="00E52A3D"/>
    <w:rsid w:val="00E533B7"/>
    <w:rsid w:val="00E539E4"/>
    <w:rsid w:val="00E53C14"/>
    <w:rsid w:val="00E549C7"/>
    <w:rsid w:val="00E569C7"/>
    <w:rsid w:val="00E571F2"/>
    <w:rsid w:val="00E57429"/>
    <w:rsid w:val="00E60FCE"/>
    <w:rsid w:val="00E61EA8"/>
    <w:rsid w:val="00E62A33"/>
    <w:rsid w:val="00E63200"/>
    <w:rsid w:val="00E63221"/>
    <w:rsid w:val="00E63960"/>
    <w:rsid w:val="00E63EC6"/>
    <w:rsid w:val="00E64AE4"/>
    <w:rsid w:val="00E64CFF"/>
    <w:rsid w:val="00E64EA1"/>
    <w:rsid w:val="00E6582D"/>
    <w:rsid w:val="00E669C7"/>
    <w:rsid w:val="00E67611"/>
    <w:rsid w:val="00E70510"/>
    <w:rsid w:val="00E71262"/>
    <w:rsid w:val="00E71A58"/>
    <w:rsid w:val="00E737F6"/>
    <w:rsid w:val="00E7568F"/>
    <w:rsid w:val="00E764AE"/>
    <w:rsid w:val="00E76F80"/>
    <w:rsid w:val="00E7724B"/>
    <w:rsid w:val="00E80E31"/>
    <w:rsid w:val="00E81130"/>
    <w:rsid w:val="00E813EF"/>
    <w:rsid w:val="00E83DAB"/>
    <w:rsid w:val="00E84F21"/>
    <w:rsid w:val="00E8618A"/>
    <w:rsid w:val="00E90A4B"/>
    <w:rsid w:val="00E90D67"/>
    <w:rsid w:val="00E90F73"/>
    <w:rsid w:val="00E910A7"/>
    <w:rsid w:val="00E91607"/>
    <w:rsid w:val="00E921C7"/>
    <w:rsid w:val="00E92995"/>
    <w:rsid w:val="00E932EA"/>
    <w:rsid w:val="00E9446C"/>
    <w:rsid w:val="00E94612"/>
    <w:rsid w:val="00E94ADB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1CFB"/>
    <w:rsid w:val="00EA2169"/>
    <w:rsid w:val="00EA3EBE"/>
    <w:rsid w:val="00EA3FAC"/>
    <w:rsid w:val="00EA4153"/>
    <w:rsid w:val="00EA421A"/>
    <w:rsid w:val="00EA5CD6"/>
    <w:rsid w:val="00EA76FD"/>
    <w:rsid w:val="00EA77CA"/>
    <w:rsid w:val="00EA78FE"/>
    <w:rsid w:val="00EB03D4"/>
    <w:rsid w:val="00EB0555"/>
    <w:rsid w:val="00EB0938"/>
    <w:rsid w:val="00EB1298"/>
    <w:rsid w:val="00EB20A0"/>
    <w:rsid w:val="00EB29CA"/>
    <w:rsid w:val="00EB2B44"/>
    <w:rsid w:val="00EB2CE9"/>
    <w:rsid w:val="00EB30B6"/>
    <w:rsid w:val="00EB4335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413"/>
    <w:rsid w:val="00EC0860"/>
    <w:rsid w:val="00EC0EC1"/>
    <w:rsid w:val="00EC424C"/>
    <w:rsid w:val="00EC454B"/>
    <w:rsid w:val="00EC4941"/>
    <w:rsid w:val="00EC4D9C"/>
    <w:rsid w:val="00EC6153"/>
    <w:rsid w:val="00EC7F92"/>
    <w:rsid w:val="00ED00A8"/>
    <w:rsid w:val="00ED0A79"/>
    <w:rsid w:val="00ED2989"/>
    <w:rsid w:val="00ED2B0B"/>
    <w:rsid w:val="00ED2CA5"/>
    <w:rsid w:val="00ED336F"/>
    <w:rsid w:val="00ED390A"/>
    <w:rsid w:val="00ED3A94"/>
    <w:rsid w:val="00ED40F0"/>
    <w:rsid w:val="00ED4AC0"/>
    <w:rsid w:val="00ED54D6"/>
    <w:rsid w:val="00ED5726"/>
    <w:rsid w:val="00ED7C3C"/>
    <w:rsid w:val="00EE0113"/>
    <w:rsid w:val="00EE0298"/>
    <w:rsid w:val="00EE0384"/>
    <w:rsid w:val="00EE043A"/>
    <w:rsid w:val="00EE0473"/>
    <w:rsid w:val="00EE07DE"/>
    <w:rsid w:val="00EE1057"/>
    <w:rsid w:val="00EE10AA"/>
    <w:rsid w:val="00EE1637"/>
    <w:rsid w:val="00EE208C"/>
    <w:rsid w:val="00EE3547"/>
    <w:rsid w:val="00EE3B7A"/>
    <w:rsid w:val="00EE3E78"/>
    <w:rsid w:val="00EE4534"/>
    <w:rsid w:val="00EE495A"/>
    <w:rsid w:val="00EE5E02"/>
    <w:rsid w:val="00EE617D"/>
    <w:rsid w:val="00EE61BF"/>
    <w:rsid w:val="00EE6538"/>
    <w:rsid w:val="00EE6748"/>
    <w:rsid w:val="00EE6C6B"/>
    <w:rsid w:val="00EF0E75"/>
    <w:rsid w:val="00EF1D92"/>
    <w:rsid w:val="00EF1ED5"/>
    <w:rsid w:val="00EF1F5A"/>
    <w:rsid w:val="00EF303D"/>
    <w:rsid w:val="00EF3486"/>
    <w:rsid w:val="00EF3CF0"/>
    <w:rsid w:val="00EF4685"/>
    <w:rsid w:val="00EF5397"/>
    <w:rsid w:val="00EF63CC"/>
    <w:rsid w:val="00EF6BE3"/>
    <w:rsid w:val="00F00D0E"/>
    <w:rsid w:val="00F00D3C"/>
    <w:rsid w:val="00F020EA"/>
    <w:rsid w:val="00F02A72"/>
    <w:rsid w:val="00F032C4"/>
    <w:rsid w:val="00F0356B"/>
    <w:rsid w:val="00F04811"/>
    <w:rsid w:val="00F0488C"/>
    <w:rsid w:val="00F0496E"/>
    <w:rsid w:val="00F04D10"/>
    <w:rsid w:val="00F04FAE"/>
    <w:rsid w:val="00F053EA"/>
    <w:rsid w:val="00F0625B"/>
    <w:rsid w:val="00F068A8"/>
    <w:rsid w:val="00F06944"/>
    <w:rsid w:val="00F06C6F"/>
    <w:rsid w:val="00F0732D"/>
    <w:rsid w:val="00F101FF"/>
    <w:rsid w:val="00F104DF"/>
    <w:rsid w:val="00F10A33"/>
    <w:rsid w:val="00F10B64"/>
    <w:rsid w:val="00F1186C"/>
    <w:rsid w:val="00F11AD5"/>
    <w:rsid w:val="00F126D0"/>
    <w:rsid w:val="00F12A83"/>
    <w:rsid w:val="00F14ACD"/>
    <w:rsid w:val="00F15309"/>
    <w:rsid w:val="00F15BEF"/>
    <w:rsid w:val="00F160EC"/>
    <w:rsid w:val="00F172BE"/>
    <w:rsid w:val="00F1776C"/>
    <w:rsid w:val="00F2037E"/>
    <w:rsid w:val="00F20D17"/>
    <w:rsid w:val="00F2103E"/>
    <w:rsid w:val="00F214FC"/>
    <w:rsid w:val="00F21837"/>
    <w:rsid w:val="00F21C31"/>
    <w:rsid w:val="00F23825"/>
    <w:rsid w:val="00F2389A"/>
    <w:rsid w:val="00F23F6C"/>
    <w:rsid w:val="00F23FFF"/>
    <w:rsid w:val="00F24115"/>
    <w:rsid w:val="00F2441D"/>
    <w:rsid w:val="00F2490D"/>
    <w:rsid w:val="00F24FAA"/>
    <w:rsid w:val="00F25226"/>
    <w:rsid w:val="00F25860"/>
    <w:rsid w:val="00F26197"/>
    <w:rsid w:val="00F273D4"/>
    <w:rsid w:val="00F307DD"/>
    <w:rsid w:val="00F30C2E"/>
    <w:rsid w:val="00F30CB4"/>
    <w:rsid w:val="00F30EBF"/>
    <w:rsid w:val="00F318FC"/>
    <w:rsid w:val="00F31D53"/>
    <w:rsid w:val="00F31F76"/>
    <w:rsid w:val="00F325A3"/>
    <w:rsid w:val="00F3364D"/>
    <w:rsid w:val="00F339D0"/>
    <w:rsid w:val="00F353AE"/>
    <w:rsid w:val="00F35ACD"/>
    <w:rsid w:val="00F365BF"/>
    <w:rsid w:val="00F36BF8"/>
    <w:rsid w:val="00F375BA"/>
    <w:rsid w:val="00F37760"/>
    <w:rsid w:val="00F403D1"/>
    <w:rsid w:val="00F4170B"/>
    <w:rsid w:val="00F43921"/>
    <w:rsid w:val="00F44E1B"/>
    <w:rsid w:val="00F45222"/>
    <w:rsid w:val="00F4524F"/>
    <w:rsid w:val="00F45530"/>
    <w:rsid w:val="00F4591F"/>
    <w:rsid w:val="00F47321"/>
    <w:rsid w:val="00F4736B"/>
    <w:rsid w:val="00F47804"/>
    <w:rsid w:val="00F47997"/>
    <w:rsid w:val="00F47D05"/>
    <w:rsid w:val="00F50030"/>
    <w:rsid w:val="00F502F5"/>
    <w:rsid w:val="00F50B9D"/>
    <w:rsid w:val="00F51FC9"/>
    <w:rsid w:val="00F529EE"/>
    <w:rsid w:val="00F52AE1"/>
    <w:rsid w:val="00F53243"/>
    <w:rsid w:val="00F541ED"/>
    <w:rsid w:val="00F54B31"/>
    <w:rsid w:val="00F54FD3"/>
    <w:rsid w:val="00F554F9"/>
    <w:rsid w:val="00F55605"/>
    <w:rsid w:val="00F56375"/>
    <w:rsid w:val="00F57CD7"/>
    <w:rsid w:val="00F6080A"/>
    <w:rsid w:val="00F61BFE"/>
    <w:rsid w:val="00F62F02"/>
    <w:rsid w:val="00F6339F"/>
    <w:rsid w:val="00F63DDE"/>
    <w:rsid w:val="00F63FB7"/>
    <w:rsid w:val="00F64726"/>
    <w:rsid w:val="00F64F44"/>
    <w:rsid w:val="00F6561A"/>
    <w:rsid w:val="00F66243"/>
    <w:rsid w:val="00F66CA8"/>
    <w:rsid w:val="00F67BDA"/>
    <w:rsid w:val="00F70309"/>
    <w:rsid w:val="00F7078A"/>
    <w:rsid w:val="00F70C8E"/>
    <w:rsid w:val="00F70E45"/>
    <w:rsid w:val="00F727D5"/>
    <w:rsid w:val="00F72F44"/>
    <w:rsid w:val="00F73A0C"/>
    <w:rsid w:val="00F7593B"/>
    <w:rsid w:val="00F759DC"/>
    <w:rsid w:val="00F76563"/>
    <w:rsid w:val="00F76F35"/>
    <w:rsid w:val="00F7717C"/>
    <w:rsid w:val="00F771A5"/>
    <w:rsid w:val="00F77387"/>
    <w:rsid w:val="00F80021"/>
    <w:rsid w:val="00F80D1E"/>
    <w:rsid w:val="00F817A4"/>
    <w:rsid w:val="00F81C3A"/>
    <w:rsid w:val="00F83573"/>
    <w:rsid w:val="00F835E1"/>
    <w:rsid w:val="00F835FC"/>
    <w:rsid w:val="00F8373A"/>
    <w:rsid w:val="00F83E21"/>
    <w:rsid w:val="00F83FA4"/>
    <w:rsid w:val="00F8410C"/>
    <w:rsid w:val="00F84E18"/>
    <w:rsid w:val="00F852E5"/>
    <w:rsid w:val="00F853A5"/>
    <w:rsid w:val="00F90350"/>
    <w:rsid w:val="00F91EAF"/>
    <w:rsid w:val="00F9310A"/>
    <w:rsid w:val="00F94681"/>
    <w:rsid w:val="00F95117"/>
    <w:rsid w:val="00F97ED2"/>
    <w:rsid w:val="00FA05D7"/>
    <w:rsid w:val="00FA16BD"/>
    <w:rsid w:val="00FA1992"/>
    <w:rsid w:val="00FA1C6C"/>
    <w:rsid w:val="00FA2447"/>
    <w:rsid w:val="00FA2A4A"/>
    <w:rsid w:val="00FA2BDE"/>
    <w:rsid w:val="00FA2C2A"/>
    <w:rsid w:val="00FA309A"/>
    <w:rsid w:val="00FA6B3F"/>
    <w:rsid w:val="00FA7644"/>
    <w:rsid w:val="00FA76E1"/>
    <w:rsid w:val="00FB0A9A"/>
    <w:rsid w:val="00FB16AD"/>
    <w:rsid w:val="00FB1F21"/>
    <w:rsid w:val="00FB332E"/>
    <w:rsid w:val="00FB3763"/>
    <w:rsid w:val="00FB483B"/>
    <w:rsid w:val="00FB56F1"/>
    <w:rsid w:val="00FB5FD4"/>
    <w:rsid w:val="00FB6398"/>
    <w:rsid w:val="00FB67F3"/>
    <w:rsid w:val="00FB6AF4"/>
    <w:rsid w:val="00FB7710"/>
    <w:rsid w:val="00FC0D8A"/>
    <w:rsid w:val="00FC0E5F"/>
    <w:rsid w:val="00FC135D"/>
    <w:rsid w:val="00FC26FB"/>
    <w:rsid w:val="00FC2CF4"/>
    <w:rsid w:val="00FC3C84"/>
    <w:rsid w:val="00FC3EED"/>
    <w:rsid w:val="00FC4660"/>
    <w:rsid w:val="00FC56DE"/>
    <w:rsid w:val="00FC5E01"/>
    <w:rsid w:val="00FC6140"/>
    <w:rsid w:val="00FC6DB5"/>
    <w:rsid w:val="00FD1261"/>
    <w:rsid w:val="00FD1627"/>
    <w:rsid w:val="00FD1BBD"/>
    <w:rsid w:val="00FD38B2"/>
    <w:rsid w:val="00FD4262"/>
    <w:rsid w:val="00FD43A0"/>
    <w:rsid w:val="00FD473D"/>
    <w:rsid w:val="00FD55BA"/>
    <w:rsid w:val="00FD61C8"/>
    <w:rsid w:val="00FD63CE"/>
    <w:rsid w:val="00FD77BB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60A8"/>
    <w:rsid w:val="00FE688F"/>
    <w:rsid w:val="00FE705E"/>
    <w:rsid w:val="00FF02EB"/>
    <w:rsid w:val="00FF288B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5B22A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D4281"/>
    <w:pPr>
      <w:jc w:val="both"/>
    </w:pPr>
    <w:rPr>
      <w:rFonts w:ascii="Arial" w:eastAsia="Times New Roman" w:hAnsi="Arial"/>
      <w:szCs w:val="24"/>
    </w:rPr>
  </w:style>
  <w:style w:type="character" w:customStyle="1" w:styleId="ssfpaarticletext">
    <w:name w:val="ssfpaarticletext"/>
    <w:basedOn w:val="Standardnpsmoodstavce"/>
    <w:rsid w:val="00EE0473"/>
  </w:style>
  <w:style w:type="paragraph" w:customStyle="1" w:styleId="Default">
    <w:name w:val="Default"/>
    <w:rsid w:val="00424D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5A61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5A61D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1D1"/>
    <w:rPr>
      <w:rFonts w:ascii="Arial" w:hAnsi="Arial"/>
    </w:rPr>
  </w:style>
  <w:style w:type="character" w:customStyle="1" w:styleId="tabulka">
    <w:name w:val="tabulka"/>
    <w:basedOn w:val="Standardnpsmoodstavce"/>
    <w:rsid w:val="001C396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9E72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72A1"/>
    <w:rPr>
      <w:rFonts w:ascii="Arial" w:hAnsi="Arial"/>
      <w:b/>
      <w:bCs/>
    </w:rPr>
  </w:style>
  <w:style w:type="character" w:styleId="Zvraznn">
    <w:name w:val="Emphasis"/>
    <w:basedOn w:val="Standardnpsmoodstavce"/>
    <w:uiPriority w:val="20"/>
    <w:qFormat/>
    <w:locked/>
    <w:rsid w:val="005D7503"/>
    <w:rPr>
      <w:i/>
      <w:iCs/>
    </w:rPr>
  </w:style>
  <w:style w:type="paragraph" w:styleId="Revize">
    <w:name w:val="Revision"/>
    <w:hidden/>
    <w:uiPriority w:val="99"/>
    <w:semiHidden/>
    <w:rsid w:val="0079638B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11097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240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47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46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48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2017Q4\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2017Q4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6.9865404755441327E-2"/>
          <c:y val="3.3960026067356604E-2"/>
          <c:w val="0.90126857480580858"/>
          <c:h val="0.78310705842620731"/>
        </c:manualLayout>
      </c:layout>
      <c:barChart>
        <c:barDir val="col"/>
        <c:grouping val="stacked"/>
        <c:ser>
          <c:idx val="3"/>
          <c:order val="1"/>
          <c:tx>
            <c:strRef>
              <c:f>'Vnější vztahy 1'!$E$5</c:f>
              <c:strCache>
                <c:ptCount val="1"/>
                <c:pt idx="0">
                  <c:v>Bilance zboží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val>
            <c:numRef>
              <c:f>'Vnější vztahy 1'!$E$6:$E$15</c:f>
              <c:numCache>
                <c:formatCode>0.0</c:formatCode>
                <c:ptCount val="10"/>
                <c:pt idx="0">
                  <c:v>-4.4290999999999983</c:v>
                </c:pt>
                <c:pt idx="1">
                  <c:v>64.959600000000023</c:v>
                </c:pt>
                <c:pt idx="2">
                  <c:v>40.389599999999994</c:v>
                </c:pt>
                <c:pt idx="3">
                  <c:v>75.477600000000024</c:v>
                </c:pt>
                <c:pt idx="4">
                  <c:v>123.79790000000024</c:v>
                </c:pt>
                <c:pt idx="5">
                  <c:v>166.97310000000002</c:v>
                </c:pt>
                <c:pt idx="6">
                  <c:v>219.95090000000027</c:v>
                </c:pt>
                <c:pt idx="7">
                  <c:v>188.03190000000001</c:v>
                </c:pt>
                <c:pt idx="8">
                  <c:v>245.69</c:v>
                </c:pt>
                <c:pt idx="9" formatCode="General">
                  <c:v>240.94940000000003</c:v>
                </c:pt>
              </c:numCache>
            </c:numRef>
          </c:val>
        </c:ser>
        <c:ser>
          <c:idx val="4"/>
          <c:order val="2"/>
          <c:tx>
            <c:strRef>
              <c:f>'Vnější vztahy 1'!$F$5</c:f>
              <c:strCache>
                <c:ptCount val="1"/>
                <c:pt idx="0">
                  <c:v>Bilance služeb</c:v>
                </c:pt>
              </c:strCache>
            </c:strRef>
          </c:tx>
          <c:spPr>
            <a:solidFill>
              <a:srgbClr val="E8AFB2"/>
            </a:solidFill>
            <a:ln>
              <a:noFill/>
            </a:ln>
          </c:spPr>
          <c:val>
            <c:numRef>
              <c:f>'Vnější vztahy 1'!$F$6:$F$15</c:f>
              <c:numCache>
                <c:formatCode>0.0</c:formatCode>
                <c:ptCount val="10"/>
                <c:pt idx="0">
                  <c:v>89.274299999999997</c:v>
                </c:pt>
                <c:pt idx="1">
                  <c:v>81.917000000000272</c:v>
                </c:pt>
                <c:pt idx="2">
                  <c:v>78.475799999999978</c:v>
                </c:pt>
                <c:pt idx="3">
                  <c:v>81.281700000000001</c:v>
                </c:pt>
                <c:pt idx="4">
                  <c:v>77.626200000000011</c:v>
                </c:pt>
                <c:pt idx="5">
                  <c:v>70.35929999999999</c:v>
                </c:pt>
                <c:pt idx="6">
                  <c:v>55.650800000000004</c:v>
                </c:pt>
                <c:pt idx="7">
                  <c:v>78.0381</c:v>
                </c:pt>
                <c:pt idx="8">
                  <c:v>107.60920000000002</c:v>
                </c:pt>
                <c:pt idx="9" formatCode="General">
                  <c:v>121.9937</c:v>
                </c:pt>
              </c:numCache>
            </c:numRef>
          </c:val>
        </c:ser>
        <c:ser>
          <c:idx val="2"/>
          <c:order val="3"/>
          <c:tx>
            <c:strRef>
              <c:f>'Vnější vztahy 1'!$D$5</c:f>
              <c:strCache>
                <c:ptCount val="1"/>
                <c:pt idx="0">
                  <c:v>Saldo prvotních důchodů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val>
            <c:numRef>
              <c:f>'Vnější vztahy 1'!$D$6:$D$15</c:f>
              <c:numCache>
                <c:formatCode>0.0</c:formatCode>
                <c:ptCount val="10"/>
                <c:pt idx="0">
                  <c:v>-147.68770000000001</c:v>
                </c:pt>
                <c:pt idx="1">
                  <c:v>-216.65909999999997</c:v>
                </c:pt>
                <c:pt idx="2">
                  <c:v>-249.9298</c:v>
                </c:pt>
                <c:pt idx="3">
                  <c:v>-223.34540000000001</c:v>
                </c:pt>
                <c:pt idx="4">
                  <c:v>-237.52780000000001</c:v>
                </c:pt>
                <c:pt idx="5">
                  <c:v>-249.01870000000002</c:v>
                </c:pt>
                <c:pt idx="6">
                  <c:v>-260.78889999999899</c:v>
                </c:pt>
                <c:pt idx="7">
                  <c:v>-254.83810000000048</c:v>
                </c:pt>
                <c:pt idx="8">
                  <c:v>-251.7878</c:v>
                </c:pt>
                <c:pt idx="9" formatCode="General">
                  <c:v>-260.83799999999923</c:v>
                </c:pt>
              </c:numCache>
            </c:numRef>
          </c:val>
        </c:ser>
        <c:ser>
          <c:idx val="1"/>
          <c:order val="4"/>
          <c:tx>
            <c:strRef>
              <c:f>'Vnější vztahy 1'!$C$5</c:f>
              <c:strCache>
                <c:ptCount val="1"/>
                <c:pt idx="0">
                  <c:v>Saldo druhotných důchodů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val>
            <c:numRef>
              <c:f>'Vnější vztahy 1'!$C$6:$C$15</c:f>
              <c:numCache>
                <c:formatCode>0.0</c:formatCode>
                <c:ptCount val="10"/>
                <c:pt idx="0">
                  <c:v>-12.4122</c:v>
                </c:pt>
                <c:pt idx="1">
                  <c:v>-19.420499999999915</c:v>
                </c:pt>
                <c:pt idx="2">
                  <c:v>-10.712</c:v>
                </c:pt>
                <c:pt idx="3">
                  <c:v>-18.214599999999987</c:v>
                </c:pt>
                <c:pt idx="4">
                  <c:v>-27.209300000000002</c:v>
                </c:pt>
                <c:pt idx="5">
                  <c:v>-10.098199999999999</c:v>
                </c:pt>
                <c:pt idx="6">
                  <c:v>-6.9301000000000004</c:v>
                </c:pt>
                <c:pt idx="7">
                  <c:v>5.1300000000001122E-2</c:v>
                </c:pt>
                <c:pt idx="8">
                  <c:v>-27.292000000000002</c:v>
                </c:pt>
                <c:pt idx="9" formatCode="General">
                  <c:v>-44.957499999999996</c:v>
                </c:pt>
              </c:numCache>
            </c:numRef>
          </c:val>
        </c:ser>
        <c:gapWidth val="60"/>
        <c:overlap val="100"/>
        <c:axId val="181388416"/>
        <c:axId val="182616448"/>
      </c:barChart>
      <c:lineChart>
        <c:grouping val="standard"/>
        <c:ser>
          <c:idx val="0"/>
          <c:order val="0"/>
          <c:tx>
            <c:strRef>
              <c:f>'Vnější vztahy 1'!$B$5</c:f>
              <c:strCache>
                <c:ptCount val="1"/>
                <c:pt idx="0">
                  <c:v>Běžný účet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'Vnější vztahy 1'!$A$6:$A$15</c:f>
              <c:strCach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strCache>
            </c:strRef>
          </c:cat>
          <c:val>
            <c:numRef>
              <c:f>'Vnější vztahy 1'!$B$6:$B$15</c:f>
              <c:numCache>
                <c:formatCode>0.0</c:formatCode>
                <c:ptCount val="10"/>
                <c:pt idx="0">
                  <c:v>-75.2547</c:v>
                </c:pt>
                <c:pt idx="1">
                  <c:v>-89.203000000000003</c:v>
                </c:pt>
                <c:pt idx="2">
                  <c:v>-141.77669999999998</c:v>
                </c:pt>
                <c:pt idx="3">
                  <c:v>-84.800900000000013</c:v>
                </c:pt>
                <c:pt idx="4">
                  <c:v>-63.312999999999995</c:v>
                </c:pt>
                <c:pt idx="5">
                  <c:v>-21.78429999999992</c:v>
                </c:pt>
                <c:pt idx="6">
                  <c:v>7.8828000000000005</c:v>
                </c:pt>
                <c:pt idx="7">
                  <c:v>11.283000000000001</c:v>
                </c:pt>
                <c:pt idx="8">
                  <c:v>74.219300000000004</c:v>
                </c:pt>
                <c:pt idx="9" formatCode="General">
                  <c:v>54.157000000000004</c:v>
                </c:pt>
              </c:numCache>
            </c:numRef>
          </c:val>
        </c:ser>
        <c:marker val="1"/>
        <c:axId val="181388416"/>
        <c:axId val="182616448"/>
      </c:lineChart>
      <c:catAx>
        <c:axId val="181388416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82616448"/>
        <c:crosses val="autoZero"/>
        <c:auto val="1"/>
        <c:lblAlgn val="ctr"/>
        <c:lblOffset val="100"/>
      </c:catAx>
      <c:valAx>
        <c:axId val="182616448"/>
        <c:scaling>
          <c:orientation val="minMax"/>
          <c:max val="400"/>
          <c:min val="-35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81388416"/>
        <c:crosses val="autoZero"/>
        <c:crossBetween val="between"/>
        <c:majorUnit val="50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5159268884492888E-2"/>
          <c:y val="0.88053282633520458"/>
          <c:w val="0.89859169199594657"/>
          <c:h val="0.10077544407177033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8656266097578916E-2"/>
          <c:y val="2.3304908251716772E-2"/>
          <c:w val="0.92389825103638756"/>
          <c:h val="0.58623184734886868"/>
        </c:manualLayout>
      </c:layout>
      <c:barChart>
        <c:barDir val="col"/>
        <c:grouping val="clustered"/>
        <c:ser>
          <c:idx val="0"/>
          <c:order val="0"/>
          <c:tx>
            <c:strRef>
              <c:f>'Vnější vztahy 2'!$A$6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</c:spPr>
          <c:cat>
            <c:strRef>
              <c:f>'Vnější vztahy 2'!$B$5:$N$5</c:f>
              <c:strCache>
                <c:ptCount val="13"/>
                <c:pt idx="0">
                  <c:v>Ropa a zemní plyn</c:v>
                </c:pt>
                <c:pt idx="1">
                  <c:v>Potrav. výrobky</c:v>
                </c:pt>
                <c:pt idx="2">
                  <c:v>Oděvy</c:v>
                </c:pt>
                <c:pt idx="3">
                  <c:v>Koks, raf. ropné prod.</c:v>
                </c:pt>
                <c:pt idx="4">
                  <c:v>Chem. látky a přípr.</c:v>
                </c:pt>
                <c:pt idx="5">
                  <c:v>Farmac. výrobky</c:v>
                </c:pt>
                <c:pt idx="6">
                  <c:v>Ostat. nekov. minerály</c:v>
                </c:pt>
                <c:pt idx="7">
                  <c:v>Základní kovy</c:v>
                </c:pt>
                <c:pt idx="8">
                  <c:v>Kovodělné výrobky</c:v>
                </c:pt>
                <c:pt idx="9">
                  <c:v>Počítače,                                             elektron. přístr.</c:v>
                </c:pt>
                <c:pt idx="10">
                  <c:v>Elektrická zařízení</c:v>
                </c:pt>
                <c:pt idx="11">
                  <c:v>Stroje a zařízení j.n.</c:v>
                </c:pt>
                <c:pt idx="12">
                  <c:v>Motorová vozidla</c:v>
                </c:pt>
              </c:strCache>
            </c:strRef>
          </c:cat>
          <c:val>
            <c:numRef>
              <c:f>'Vnější vztahy 2'!$B$6:$N$6</c:f>
              <c:numCache>
                <c:formatCode>General</c:formatCode>
                <c:ptCount val="13"/>
                <c:pt idx="0">
                  <c:v>-77.664999999999992</c:v>
                </c:pt>
                <c:pt idx="1">
                  <c:v>-36.097000000000001</c:v>
                </c:pt>
                <c:pt idx="2">
                  <c:v>-27.305</c:v>
                </c:pt>
                <c:pt idx="3">
                  <c:v>-30.190999999999999</c:v>
                </c:pt>
                <c:pt idx="4">
                  <c:v>-119.44500000000002</c:v>
                </c:pt>
                <c:pt idx="5">
                  <c:v>-45.016000000000005</c:v>
                </c:pt>
                <c:pt idx="6">
                  <c:v>23.847999999999999</c:v>
                </c:pt>
                <c:pt idx="7">
                  <c:v>-95.741000000000227</c:v>
                </c:pt>
                <c:pt idx="8">
                  <c:v>60.407000000000004</c:v>
                </c:pt>
                <c:pt idx="9">
                  <c:v>-59.457999999999998</c:v>
                </c:pt>
                <c:pt idx="10">
                  <c:v>39.121000000000002</c:v>
                </c:pt>
                <c:pt idx="11">
                  <c:v>63.431000000000004</c:v>
                </c:pt>
                <c:pt idx="12">
                  <c:v>415.952</c:v>
                </c:pt>
              </c:numCache>
            </c:numRef>
          </c:val>
        </c:ser>
        <c:ser>
          <c:idx val="1"/>
          <c:order val="1"/>
          <c:tx>
            <c:strRef>
              <c:f>'Vnější vztahy 2'!$A$7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val>
            <c:numRef>
              <c:f>'Vnější vztahy 2'!$B$7:$N$7</c:f>
              <c:numCache>
                <c:formatCode>General</c:formatCode>
                <c:ptCount val="13"/>
                <c:pt idx="0">
                  <c:v>-117.798</c:v>
                </c:pt>
                <c:pt idx="1">
                  <c:v>-41.052</c:v>
                </c:pt>
                <c:pt idx="2">
                  <c:v>-29.896000000000001</c:v>
                </c:pt>
                <c:pt idx="3">
                  <c:v>-16.481999999999989</c:v>
                </c:pt>
                <c:pt idx="4">
                  <c:v>-108.26400000000002</c:v>
                </c:pt>
                <c:pt idx="5">
                  <c:v>-50.586000000000006</c:v>
                </c:pt>
                <c:pt idx="6">
                  <c:v>23.992999999999871</c:v>
                </c:pt>
                <c:pt idx="7">
                  <c:v>-124.97799999999999</c:v>
                </c:pt>
                <c:pt idx="8">
                  <c:v>59.509</c:v>
                </c:pt>
                <c:pt idx="9">
                  <c:v>-61.706000000000003</c:v>
                </c:pt>
                <c:pt idx="10">
                  <c:v>40.922000000000011</c:v>
                </c:pt>
                <c:pt idx="11">
                  <c:v>76.837999999999994</c:v>
                </c:pt>
                <c:pt idx="12">
                  <c:v>447.09099999999899</c:v>
                </c:pt>
              </c:numCache>
            </c:numRef>
          </c:val>
        </c:ser>
        <c:gapWidth val="97"/>
        <c:axId val="191669376"/>
        <c:axId val="191671680"/>
      </c:barChart>
      <c:catAx>
        <c:axId val="191669376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91671680"/>
        <c:crosses val="autoZero"/>
        <c:auto val="1"/>
        <c:lblAlgn val="ctr"/>
        <c:lblOffset val="100"/>
      </c:catAx>
      <c:valAx>
        <c:axId val="191671680"/>
        <c:scaling>
          <c:orientation val="minMax"/>
          <c:max val="450"/>
          <c:min val="-15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tickLblPos val="nextTo"/>
        <c:crossAx val="191669376"/>
        <c:crosses val="autoZero"/>
        <c:crossBetween val="between"/>
        <c:majorUnit val="50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5873075264417107E-2"/>
          <c:y val="0.93271781816746591"/>
          <c:w val="0.92593890471149387"/>
          <c:h val="5.4750853511732103E-2"/>
        </c:manualLayout>
      </c:layout>
      <c:overlay val="1"/>
      <c:spPr>
        <a:ln w="6350">
          <a:solidFill>
            <a:sysClr val="windowText" lastClr="000000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0EDE4-B818-4F29-B78B-0BBFA85206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E1FAED-1E03-40F3-ACAB-4F337B285D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0B852C-A90F-4228-9128-F923D5EA52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C3A2EC-6446-4FE2-A8D5-61C6612E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1</TotalTime>
  <Pages>3</Pages>
  <Words>1411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9723</CharactersWithSpaces>
  <SharedDoc>false</SharedDoc>
  <HLinks>
    <vt:vector size="66" baseType="variant"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_Toc469327805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_Toc469327804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_Toc469327803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_Toc469327802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_Toc469327801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_Toc469327800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_Toc469327799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_Toc469327798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_Toc469327797</vt:lpwstr>
      </vt:variant>
      <vt:variant>
        <vt:i4>6553606</vt:i4>
      </vt:variant>
      <vt:variant>
        <vt:i4>3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  <vt:variant>
        <vt:i4>6553606</vt:i4>
      </vt:variant>
      <vt:variant>
        <vt:i4>0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kamenicky3604</cp:lastModifiedBy>
  <cp:revision>3</cp:revision>
  <cp:lastPrinted>2018-03-14T17:02:00Z</cp:lastPrinted>
  <dcterms:created xsi:type="dcterms:W3CDTF">2018-03-22T15:39:00Z</dcterms:created>
  <dcterms:modified xsi:type="dcterms:W3CDTF">2018-03-22T15:40:00Z</dcterms:modified>
</cp:coreProperties>
</file>