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08" w:rsidRPr="0011365A" w:rsidRDefault="00F853A5" w:rsidP="00113A7A">
      <w:pPr>
        <w:pStyle w:val="Nadpis1"/>
        <w:numPr>
          <w:ilvl w:val="0"/>
          <w:numId w:val="25"/>
        </w:numPr>
        <w:jc w:val="both"/>
      </w:pPr>
      <w:bookmarkStart w:id="0" w:name="_Toc493683640"/>
      <w:r w:rsidRPr="00A74192">
        <w:t>Státní rozpočet</w:t>
      </w:r>
      <w:bookmarkEnd w:id="0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D7503" w:rsidRPr="00F06A1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D607C1" w:rsidRDefault="005D7503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Sílící hospodářský růst pomohl státnímu rozpočtu k dosažení druhého nejpříznivějšího salda po</w:t>
            </w:r>
            <w:r w:rsidR="006D07EC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roce 1996. 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206862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3"/>
              </w:rPr>
              <w:t xml:space="preserve">V roce 2017 skončilo hospodaření státního rozpočtu 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>(SR)</w:t>
            </w:r>
            <w:r w:rsidRPr="00DF5BC7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 mírném deficitu (6,2</w:t>
            </w:r>
            <w:r w:rsidR="000F7121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 korun). Neopakoval se tak příznivý výsledek z předešlého roku (+61,8</w:t>
            </w:r>
            <w:r w:rsidR="006D07E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mld.), jenž byl výrazně ovlivněn dobíhajícími platbami z rozpočtu EU vázanými na skončené programové období. I přesto byl loňský výsledek druhý nejlepší po roce 1996. Po většinu roku 2017 přitom SR dosahoval mírných přebytků, do deficitu ho stáhlo až zrychlené čerpání investic i některých běžných výdajů na sklonku roku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Oproti schválenému rozpočtu byl dosažený schodek o 53,8 mld. korun nižší (v roce 2016 dokonce o téměř 132</w:t>
            </w:r>
            <w:r w:rsidR="006D07E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mld.). Hospodaření SR po celý rok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 xml:space="preserve"> ovlivňoval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jak 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>s</w:t>
            </w:r>
            <w:r w:rsidR="006D07EC">
              <w:rPr>
                <w:rFonts w:cs="Arial"/>
                <w:color w:val="0D0D0D" w:themeColor="text1" w:themeTint="F2"/>
                <w:spacing w:val="-4"/>
              </w:rPr>
              <w:t xml:space="preserve">ílící hospodářský růst, tak </w:t>
            </w:r>
            <w:r>
              <w:rPr>
                <w:rFonts w:cs="Arial"/>
                <w:color w:val="0D0D0D" w:themeColor="text1" w:themeTint="F2"/>
                <w:spacing w:val="-4"/>
              </w:rPr>
              <w:t>pomalejší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 xml:space="preserve"> náběh čerpání evropských fondů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>Saldo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>SR</w:t>
            </w:r>
            <w:r>
              <w:rPr>
                <w:rFonts w:cs="Arial"/>
                <w:color w:val="0D0D0D" w:themeColor="text1" w:themeTint="F2"/>
                <w:spacing w:val="-4"/>
              </w:rPr>
              <w:t>,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 xml:space="preserve"> tvoř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ící klíčovou složku deficitu či 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 xml:space="preserve">přebytku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hospodaření 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>sektoru vládních institucí</w:t>
            </w:r>
            <w:r>
              <w:rPr>
                <w:rFonts w:cs="Arial"/>
                <w:color w:val="0D0D0D" w:themeColor="text1" w:themeTint="F2"/>
                <w:spacing w:val="-4"/>
              </w:rPr>
              <w:t>, činilo loni v</w:t>
            </w:r>
            <w:r w:rsidRPr="00DF5BC7"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relaci</w:t>
            </w:r>
            <w:r w:rsidRPr="00DF5BC7">
              <w:rPr>
                <w:rFonts w:cs="Arial"/>
                <w:color w:val="0D0D0D" w:themeColor="text1" w:themeTint="F2"/>
                <w:spacing w:val="-4"/>
              </w:rPr>
              <w:t xml:space="preserve"> k</w:t>
            </w:r>
            <w:r w:rsidRPr="00DF5BC7"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nominálnímu HDP </w:t>
            </w:r>
            <w:r w:rsidRPr="002C52DB">
              <w:rPr>
                <w:rFonts w:cs="Arial"/>
                <w:color w:val="000000" w:themeColor="text1"/>
                <w:spacing w:val="-4"/>
              </w:rPr>
              <w:t>+0,1</w:t>
            </w:r>
            <w:r w:rsidR="006D07EC">
              <w:rPr>
                <w:rFonts w:cs="Arial"/>
                <w:color w:val="000000" w:themeColor="text1"/>
                <w:spacing w:val="-4"/>
              </w:rPr>
              <w:t> </w:t>
            </w:r>
            <w:r w:rsidRPr="002C52DB">
              <w:rPr>
                <w:rFonts w:cs="Arial"/>
                <w:color w:val="000000" w:themeColor="text1"/>
                <w:spacing w:val="-4"/>
              </w:rPr>
              <w:t>% (</w:t>
            </w:r>
            <w:r>
              <w:rPr>
                <w:rFonts w:cs="Arial"/>
                <w:color w:val="000000" w:themeColor="text1"/>
                <w:spacing w:val="-4"/>
              </w:rPr>
              <w:t>o rok dříve +1</w:t>
            </w:r>
            <w:r w:rsidRPr="00DF5BC7">
              <w:rPr>
                <w:rFonts w:cs="Arial"/>
                <w:color w:val="000000" w:themeColor="text1"/>
                <w:spacing w:val="-4"/>
              </w:rPr>
              <w:t>,3</w:t>
            </w:r>
            <w:r w:rsidR="006D07EC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%</w:t>
            </w:r>
            <w:r w:rsidRPr="00DF5BC7">
              <w:rPr>
                <w:rFonts w:cs="Arial"/>
                <w:color w:val="000000" w:themeColor="text1"/>
                <w:spacing w:val="-4"/>
              </w:rPr>
              <w:t>).</w:t>
            </w:r>
          </w:p>
          <w:p w:rsidR="005D7503" w:rsidRPr="00650863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  <w:sz w:val="14"/>
                <w:szCs w:val="14"/>
              </w:rPr>
            </w:pPr>
          </w:p>
        </w:tc>
      </w:tr>
      <w:tr w:rsidR="005D7503" w:rsidRPr="0094422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Default="005D7503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Celkové příjmy SR </w:t>
            </w:r>
            <w:r w:rsidR="00503955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se poprvé po čtyřech letech </w:t>
            </w: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snížily. Svižný růst daňových příjmů včetně pojistného nestačil vykompenzovat prudký pokles prostředků z rozpočtu EU.</w:t>
            </w:r>
          </w:p>
          <w:p w:rsidR="005D7503" w:rsidRPr="0053582D" w:rsidRDefault="005D7503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0111EB" w:rsidRDefault="005D7503" w:rsidP="00CF0826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 w:rsidRPr="00BC6893">
              <w:rPr>
                <w:rFonts w:cs="Arial"/>
                <w:color w:val="000000" w:themeColor="text1"/>
                <w:spacing w:val="-4"/>
              </w:rPr>
              <w:t>Celkové příjmy S</w:t>
            </w:r>
            <w:r w:rsidRPr="00986E18">
              <w:rPr>
                <w:rFonts w:cs="Arial"/>
                <w:color w:val="000000" w:themeColor="text1"/>
                <w:spacing w:val="-4"/>
              </w:rPr>
              <w:t>R</w:t>
            </w:r>
            <w:r>
              <w:rPr>
                <w:rFonts w:cs="Arial"/>
                <w:color w:val="000000" w:themeColor="text1"/>
                <w:spacing w:val="-4"/>
              </w:rPr>
              <w:t xml:space="preserve"> se loni meziročně snížily o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0,6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%. Stalo se tak poprvé od roku 2012, kdy tuzemskou ekonomiku svírala recese. Za loňským výsledkem stál výhradně prudký pokles příjmů z rozpočtu EU (meziročně o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82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mld. korun, na 77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mld.), který byl zároveň o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21</w:t>
            </w:r>
            <w:r w:rsidR="00F04FAE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mld. hlubší než rozpočtové očekávání. To bylo loni naopak překonáno u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všech objemově významnějších daňových příjmů. </w:t>
            </w:r>
            <w:r>
              <w:rPr>
                <w:spacing w:val="-4"/>
              </w:rPr>
              <w:t>Celostátní výběr</w:t>
            </w:r>
            <w:r w:rsidRPr="00986E18">
              <w:rPr>
                <w:spacing w:val="-4"/>
              </w:rPr>
              <w:t xml:space="preserve"> všech daňových </w:t>
            </w:r>
            <w:r>
              <w:rPr>
                <w:spacing w:val="-4"/>
              </w:rPr>
              <w:t>příjmů (vč.</w:t>
            </w:r>
            <w:r w:rsidR="00F04FAE">
              <w:rPr>
                <w:spacing w:val="-4"/>
              </w:rPr>
              <w:t> </w:t>
            </w:r>
            <w:r>
              <w:rPr>
                <w:spacing w:val="-4"/>
              </w:rPr>
              <w:t>pojistného) rostl loni o</w:t>
            </w:r>
            <w:r w:rsidR="00F04FAE">
              <w:rPr>
                <w:spacing w:val="-4"/>
              </w:rPr>
              <w:t> </w:t>
            </w:r>
            <w:r>
              <w:rPr>
                <w:spacing w:val="-4"/>
              </w:rPr>
              <w:t>6,9</w:t>
            </w:r>
            <w:r w:rsidR="00F04FAE">
              <w:rPr>
                <w:spacing w:val="-4"/>
              </w:rPr>
              <w:t> </w:t>
            </w:r>
            <w:r>
              <w:rPr>
                <w:spacing w:val="-4"/>
              </w:rPr>
              <w:t>% a přiblížil se hodnotě z roku 2016 (+7,2</w:t>
            </w:r>
            <w:r w:rsidR="00F04FAE">
              <w:rPr>
                <w:spacing w:val="-4"/>
              </w:rPr>
              <w:t> </w:t>
            </w:r>
            <w:r w:rsidR="00503955">
              <w:rPr>
                <w:spacing w:val="-4"/>
              </w:rPr>
              <w:t>%, nejvyšší</w:t>
            </w:r>
            <w:r>
              <w:rPr>
                <w:spacing w:val="-4"/>
              </w:rPr>
              <w:t xml:space="preserve"> po roce 2007). Tempo výběru daňových příjmů v</w:t>
            </w:r>
            <w:r w:rsidR="00F04FAE">
              <w:rPr>
                <w:spacing w:val="-4"/>
              </w:rPr>
              <w:t> druhé</w:t>
            </w:r>
            <w:r>
              <w:rPr>
                <w:spacing w:val="-4"/>
              </w:rPr>
              <w:t xml:space="preserve"> polovině loňského roku sláblo, především vlivem méně příznivého inkasa </w:t>
            </w:r>
            <w:proofErr w:type="spellStart"/>
            <w:r>
              <w:rPr>
                <w:spacing w:val="-4"/>
              </w:rPr>
              <w:t>korporátní</w:t>
            </w:r>
            <w:proofErr w:type="spellEnd"/>
            <w:r>
              <w:rPr>
                <w:spacing w:val="-4"/>
              </w:rPr>
              <w:t xml:space="preserve"> daně. </w:t>
            </w:r>
          </w:p>
          <w:p w:rsidR="005D7503" w:rsidRPr="00650863" w:rsidRDefault="005D7503" w:rsidP="00CF0826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5D7503" w:rsidRPr="00F06A1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D607C1" w:rsidRDefault="005D7503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K růstu daňových příjmů loni téměř z poloviny přispěl vyšší výběr DPH</w:t>
            </w:r>
            <w:r w:rsidR="00503955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,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tažený především sílícími výdaji na konečnou spotřebu domácností i vládních institucí.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AC2E22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Zatímco v letech 2015 i 2016 táhl růst daňových příjmů SR (bez pojistného) vysoký výběr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korporátní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daně, loni to naopak byla DPH, jež přispěla k růstu téměř z poloviny. </w:t>
            </w:r>
            <w:r w:rsidRPr="00AC2E22">
              <w:rPr>
                <w:rFonts w:cs="Arial"/>
                <w:color w:val="0D0D0D" w:themeColor="text1" w:themeTint="F2"/>
                <w:spacing w:val="-4"/>
              </w:rPr>
              <w:t xml:space="preserve">Inkaso DPH </w:t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>meziročně posílil</w:t>
            </w:r>
            <w:r>
              <w:rPr>
                <w:rFonts w:cs="Arial"/>
                <w:color w:val="0D0D0D" w:themeColor="text1" w:themeTint="F2"/>
                <w:spacing w:val="-4"/>
              </w:rPr>
              <w:t>o o</w:t>
            </w:r>
            <w:r w:rsidR="0050395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8,3</w:t>
            </w:r>
            <w:r w:rsidR="0050395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</w:t>
            </w:r>
            <w:r w:rsidRPr="00986E18"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>, na úrovni všech veřejných rozpočtů pak o</w:t>
            </w:r>
            <w:r w:rsidR="00503955">
              <w:rPr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9,1</w:t>
            </w:r>
            <w:r w:rsidR="0050395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</w:t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 xml:space="preserve"> (o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>rok dříve o</w:t>
            </w:r>
            <w:r w:rsidR="0050395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5,4</w:t>
            </w:r>
            <w:r w:rsidR="0050395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</w:t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 xml:space="preserve">). Na zrychleném růstu se podílel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především příznivý vývoj </w:t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>ve 2</w:t>
            </w:r>
            <w:r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 w:rsidRPr="00986E18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Přispěl k tomu </w:t>
            </w:r>
            <w:r w:rsidRPr="00986E18">
              <w:rPr>
                <w:rFonts w:cs="Arial"/>
                <w:color w:val="000000" w:themeColor="text1"/>
                <w:spacing w:val="-4"/>
              </w:rPr>
              <w:t>i</w:t>
            </w:r>
            <w:r w:rsidRPr="00986E18">
              <w:rPr>
                <w:spacing w:val="-4"/>
              </w:rPr>
              <w:t> </w:t>
            </w:r>
            <w:r w:rsidRPr="00986E18">
              <w:rPr>
                <w:rFonts w:cs="Arial"/>
                <w:color w:val="000000" w:themeColor="text1"/>
                <w:spacing w:val="-4"/>
              </w:rPr>
              <w:t>přesu</w:t>
            </w:r>
            <w:r>
              <w:rPr>
                <w:rFonts w:cs="Arial"/>
                <w:color w:val="000000" w:themeColor="text1"/>
                <w:spacing w:val="-4"/>
              </w:rPr>
              <w:t>n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některých aktivit z šedé ekonomiky vlivem nedávných opatření zavedených na straně výběru daně</w:t>
            </w:r>
            <w:r>
              <w:rPr>
                <w:rFonts w:cs="Arial"/>
                <w:color w:val="000000" w:themeColor="text1"/>
                <w:spacing w:val="-4"/>
              </w:rPr>
              <w:t>. Klíčovým faktorem vyššího výběru DPH však nadále zůstal ekonomický růst reflektovaný i ve výdajích na konečnou spotřebu – ty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>se v roce 2017 zvýšily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v nomin</w:t>
            </w:r>
            <w:r>
              <w:rPr>
                <w:rFonts w:cs="Arial"/>
                <w:color w:val="000000" w:themeColor="text1"/>
                <w:spacing w:val="-4"/>
              </w:rPr>
              <w:t>álním vyjádření u domácností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</w:t>
            </w:r>
            <w:r w:rsidRPr="002C52DB">
              <w:rPr>
                <w:rFonts w:cs="Arial"/>
                <w:color w:val="000000" w:themeColor="text1"/>
                <w:spacing w:val="-4"/>
              </w:rPr>
              <w:t>meziročně o</w:t>
            </w:r>
            <w:r w:rsidR="00503955">
              <w:rPr>
                <w:rFonts w:cs="Arial"/>
                <w:color w:val="000000" w:themeColor="text1"/>
                <w:spacing w:val="-4"/>
              </w:rPr>
              <w:t> </w:t>
            </w:r>
            <w:r w:rsidRPr="002C52DB">
              <w:rPr>
                <w:rFonts w:cs="Arial"/>
                <w:color w:val="000000" w:themeColor="text1"/>
                <w:spacing w:val="-4"/>
              </w:rPr>
              <w:t>6,5</w:t>
            </w:r>
            <w:r w:rsidR="00503955">
              <w:rPr>
                <w:rFonts w:cs="Arial"/>
                <w:color w:val="000000" w:themeColor="text1"/>
                <w:spacing w:val="-4"/>
              </w:rPr>
              <w:t> </w:t>
            </w:r>
            <w:r w:rsidRPr="002C52DB">
              <w:rPr>
                <w:rFonts w:cs="Arial"/>
                <w:color w:val="000000" w:themeColor="text1"/>
                <w:spacing w:val="-4"/>
              </w:rPr>
              <w:t xml:space="preserve">%, u vládních institucí </w:t>
            </w:r>
            <w:r w:rsidR="00503955">
              <w:rPr>
                <w:rFonts w:cs="Arial"/>
                <w:color w:val="000000" w:themeColor="text1"/>
                <w:spacing w:val="-4"/>
              </w:rPr>
              <w:t>o </w:t>
            </w:r>
            <w:r w:rsidRPr="002C52DB">
              <w:rPr>
                <w:rFonts w:cs="Arial"/>
                <w:color w:val="000000" w:themeColor="text1"/>
                <w:spacing w:val="-4"/>
              </w:rPr>
              <w:t>5,0</w:t>
            </w:r>
            <w:r w:rsidR="00503955">
              <w:rPr>
                <w:rFonts w:cs="Arial"/>
                <w:color w:val="000000" w:themeColor="text1"/>
                <w:spacing w:val="-4"/>
              </w:rPr>
              <w:t> </w:t>
            </w:r>
            <w:r w:rsidRPr="002C52DB">
              <w:rPr>
                <w:rFonts w:cs="Arial"/>
                <w:color w:val="000000" w:themeColor="text1"/>
                <w:spacing w:val="-4"/>
              </w:rPr>
              <w:t>%.</w:t>
            </w:r>
          </w:p>
          <w:p w:rsidR="005D7503" w:rsidRPr="00650863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5D7503" w:rsidRPr="0094422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967629" w:rsidRDefault="005D7503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Inkaso spotřební daně z minerálních olejů vzrostlo díky vyšším dopravním výkonům. Výběr daně z tabákových výrobků byl podpořen lednovým zvýšením sazeb této daně.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7A08BA" w:rsidRDefault="005D7503" w:rsidP="00CF0826">
            <w:pPr>
              <w:pStyle w:val="Textpoznpodarou"/>
              <w:jc w:val="both"/>
              <w:rPr>
                <w:spacing w:val="-4"/>
              </w:rPr>
            </w:pPr>
            <w:r w:rsidRPr="00986E18">
              <w:rPr>
                <w:rFonts w:cs="Arial"/>
                <w:color w:val="000000" w:themeColor="text1"/>
                <w:spacing w:val="-4"/>
              </w:rPr>
              <w:t xml:space="preserve">Ze všech </w:t>
            </w:r>
            <w:r w:rsidRPr="00EA23C9">
              <w:rPr>
                <w:rFonts w:cs="Arial"/>
                <w:color w:val="000000" w:themeColor="text1"/>
                <w:spacing w:val="-4"/>
              </w:rPr>
              <w:t>spotřebních daní získal</w:t>
            </w:r>
            <w:r>
              <w:rPr>
                <w:rFonts w:cs="Arial"/>
                <w:color w:val="000000" w:themeColor="text1"/>
                <w:spacing w:val="-4"/>
              </w:rPr>
              <w:t xml:space="preserve"> SR v roce 2017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meziročně o</w:t>
            </w:r>
            <w:r>
              <w:rPr>
                <w:rFonts w:cs="Arial"/>
                <w:color w:val="000000" w:themeColor="text1"/>
                <w:spacing w:val="-4"/>
              </w:rPr>
              <w:t> 2,9 %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více. Po</w:t>
            </w:r>
            <w:r>
              <w:rPr>
                <w:rFonts w:cs="Arial"/>
                <w:color w:val="000000" w:themeColor="text1"/>
                <w:spacing w:val="-4"/>
              </w:rPr>
              <w:t>dobným tempem posílilo i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 inkaso dvou nejvýznamnějších </w:t>
            </w:r>
            <w:r>
              <w:rPr>
                <w:rFonts w:cs="Arial"/>
                <w:color w:val="000000" w:themeColor="text1"/>
                <w:spacing w:val="-4"/>
              </w:rPr>
              <w:t>pod</w:t>
            </w:r>
            <w:r w:rsidRPr="00986E18">
              <w:rPr>
                <w:rFonts w:cs="Arial"/>
                <w:color w:val="000000" w:themeColor="text1"/>
                <w:spacing w:val="-4"/>
              </w:rPr>
              <w:t>skupin – daně z minerálních olejů a</w:t>
            </w:r>
            <w:r w:rsidR="003B769D">
              <w:rPr>
                <w:rFonts w:cs="Arial"/>
                <w:color w:val="000000" w:themeColor="text1"/>
                <w:spacing w:val="-4"/>
              </w:rPr>
              <w:t> </w:t>
            </w:r>
            <w:r w:rsidRPr="00986E18">
              <w:rPr>
                <w:rFonts w:cs="Arial"/>
                <w:color w:val="000000" w:themeColor="text1"/>
                <w:spacing w:val="-4"/>
              </w:rPr>
              <w:t xml:space="preserve">daně z tabákových výrobků. </w:t>
            </w:r>
            <w:r>
              <w:rPr>
                <w:rFonts w:cs="Arial"/>
                <w:color w:val="000000" w:themeColor="text1"/>
                <w:spacing w:val="-4"/>
              </w:rPr>
              <w:t>Rostoucí dopravní výkony se pozitivně promítly ve váhově dominantní dani z minerálních olejů, rostla spotřeba zejména motorové nafty a</w:t>
            </w:r>
            <w:r w:rsidR="003B769D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leteckého petroleje. Meziroční tempo růstu maloobchodních tržeb za pohonné hmoty se během roku 2017 téměř zdvojnásobilo (z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3,4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% v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1.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čtvrtletí na 6,6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% ve 4.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čtvrtletí). Tyto vlivy tak převýšily dopad </w:t>
            </w:r>
            <w:r w:rsidRPr="00986E18">
              <w:rPr>
                <w:spacing w:val="-4"/>
              </w:rPr>
              <w:t>zavedení tzv.</w:t>
            </w:r>
            <w:r w:rsidR="005369CF">
              <w:rPr>
                <w:spacing w:val="-4"/>
              </w:rPr>
              <w:t> </w:t>
            </w:r>
            <w:r w:rsidRPr="00986E18">
              <w:rPr>
                <w:spacing w:val="-4"/>
              </w:rPr>
              <w:t>zelené na</w:t>
            </w:r>
            <w:r>
              <w:rPr>
                <w:spacing w:val="-4"/>
              </w:rPr>
              <w:t xml:space="preserve">fty i pro živočišnou prvovýrobu, která naopak výběr daně mírně tlumila. Pokud jde o výběr daně </w:t>
            </w:r>
            <w:r w:rsidRPr="00986E18">
              <w:rPr>
                <w:rFonts w:cs="Arial"/>
                <w:color w:val="000000" w:themeColor="text1"/>
                <w:spacing w:val="-4"/>
              </w:rPr>
              <w:t>z tabákových výrobků</w:t>
            </w:r>
            <w:r>
              <w:rPr>
                <w:rFonts w:cs="Arial"/>
                <w:color w:val="000000" w:themeColor="text1"/>
                <w:spacing w:val="-4"/>
              </w:rPr>
              <w:t>, v</w:t>
            </w:r>
            <w:r w:rsidR="005369C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pozadí jeho růstu stálo především </w:t>
            </w:r>
            <w:r>
              <w:t>zvýš</w:t>
            </w:r>
            <w:r w:rsidR="00A83798">
              <w:t>ení sazby daně od ledna 2017.</w:t>
            </w:r>
          </w:p>
          <w:p w:rsidR="005D7503" w:rsidRPr="00650863" w:rsidRDefault="005D7503" w:rsidP="00CF0826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5D7503" w:rsidRPr="00751FC1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A7478D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Inkaso daně z příjmu právnických osob rostlo nejslabším tempem za poslední čtyři roky, mj.</w:t>
            </w:r>
            <w:r w:rsidR="00A83798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i vlivem sílících mzdových nákladů firem.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Default="005D7503" w:rsidP="00CF0826">
            <w:pPr>
              <w:pStyle w:val="Textpoznpodarou"/>
              <w:jc w:val="both"/>
              <w:rPr>
                <w:spacing w:val="-4"/>
              </w:rPr>
            </w:pPr>
            <w:r w:rsidRPr="00E12BB3">
              <w:rPr>
                <w:spacing w:val="-4"/>
              </w:rPr>
              <w:t xml:space="preserve">Tempo růstu </w:t>
            </w:r>
            <w:r>
              <w:rPr>
                <w:spacing w:val="-4"/>
              </w:rPr>
              <w:t xml:space="preserve">výběru </w:t>
            </w:r>
            <w:proofErr w:type="spellStart"/>
            <w:r w:rsidRPr="009E44AB">
              <w:rPr>
                <w:spacing w:val="-4"/>
              </w:rPr>
              <w:t>korporátní</w:t>
            </w:r>
            <w:proofErr w:type="spellEnd"/>
            <w:r w:rsidRPr="009E44AB">
              <w:rPr>
                <w:spacing w:val="-4"/>
              </w:rPr>
              <w:t xml:space="preserve"> daně </w:t>
            </w:r>
            <w:r w:rsidRPr="00E12BB3">
              <w:rPr>
                <w:spacing w:val="-4"/>
              </w:rPr>
              <w:t>v p</w:t>
            </w:r>
            <w:r>
              <w:rPr>
                <w:spacing w:val="-4"/>
              </w:rPr>
              <w:t>růběhu roku 2017 sláblo a ve</w:t>
            </w:r>
            <w:r w:rsidRPr="00E12BB3">
              <w:rPr>
                <w:spacing w:val="-4"/>
              </w:rPr>
              <w:t xml:space="preserve"> 3</w:t>
            </w:r>
            <w:r>
              <w:rPr>
                <w:spacing w:val="-4"/>
              </w:rPr>
              <w:t>. čtvrtletí</w:t>
            </w:r>
            <w:r w:rsidRPr="00E12BB3">
              <w:rPr>
                <w:spacing w:val="-4"/>
              </w:rPr>
              <w:t xml:space="preserve"> již bylo celostátní inkaso nižší než ve stejném období loňského roku. Šlo o</w:t>
            </w:r>
            <w:r>
              <w:rPr>
                <w:spacing w:val="-4"/>
              </w:rPr>
              <w:t> </w:t>
            </w:r>
            <w:r w:rsidRPr="00E12BB3">
              <w:rPr>
                <w:spacing w:val="-4"/>
              </w:rPr>
              <w:t>první meziroční pokles od konce roku 2013.</w:t>
            </w:r>
            <w:r>
              <w:rPr>
                <w:spacing w:val="-4"/>
              </w:rPr>
              <w:t xml:space="preserve"> Díky vyššímu výběru ve 4.</w:t>
            </w:r>
            <w:r w:rsidR="00A83798">
              <w:rPr>
                <w:spacing w:val="-4"/>
              </w:rPr>
              <w:t> </w:t>
            </w:r>
            <w:r>
              <w:rPr>
                <w:spacing w:val="-4"/>
              </w:rPr>
              <w:t>čtvrtletí bylo celoroční rozpočtové očekávání této daně naplněno. Její výběr byl meziročně o</w:t>
            </w:r>
            <w:r w:rsidR="00A83798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3,6</w:t>
            </w:r>
            <w:r w:rsidR="00A83798">
              <w:rPr>
                <w:spacing w:val="-4"/>
              </w:rPr>
              <w:t> </w:t>
            </w:r>
            <w:r>
              <w:rPr>
                <w:spacing w:val="-4"/>
              </w:rPr>
              <w:t xml:space="preserve">% vyšší, šlo však o nejslabší růst za poslední čtyři roky. </w:t>
            </w:r>
            <w:r>
              <w:rPr>
                <w:rFonts w:cs="Arial"/>
                <w:color w:val="0D0D0D" w:themeColor="text1" w:themeTint="F2"/>
                <w:spacing w:val="-4"/>
              </w:rPr>
              <w:t>Ve větší míře se již začala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 xml:space="preserve"> projevovat mírně klesající ziskovost podniků z let 2016 (a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zčásti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2017), především vlivem sílících mzdových nákladů</w:t>
            </w:r>
            <w:r>
              <w:rPr>
                <w:rFonts w:cs="Arial"/>
                <w:color w:val="0D0D0D" w:themeColor="text1" w:themeTint="F2"/>
                <w:spacing w:val="-4"/>
              </w:rPr>
              <w:t>. Loňské inkaso zatím stále nedosáhlo úrovně z vrcholu konjunktury minulé dekády, zčásti i vlivem mírné redukce sazeb daně.</w:t>
            </w:r>
          </w:p>
          <w:p w:rsidR="005D7503" w:rsidRPr="00650863" w:rsidRDefault="005D7503" w:rsidP="00CF0826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5D7503" w:rsidRPr="00F06A1D" w:rsidTr="00CF0826">
        <w:trPr>
          <w:trHeight w:val="233"/>
        </w:trPr>
        <w:tc>
          <w:tcPr>
            <w:tcW w:w="1016" w:type="pct"/>
            <w:shd w:val="clear" w:color="auto" w:fill="auto"/>
          </w:tcPr>
          <w:p w:rsidR="005D7503" w:rsidRPr="00D607C1" w:rsidRDefault="005D7503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Rekordní úroveň zaměstnanosti, sílící růst průměrných mezd i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navyšování hladiny 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lastRenderedPageBreak/>
              <w:t>minimální mzdy dynami</w:t>
            </w:r>
            <w:r w:rsidR="00AE26E1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zovaly růst výběru daně z příjmů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fyzických osob ze závislé činnosti.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E705FB" w:rsidRDefault="005D7503" w:rsidP="00CF0826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Naopak ve výběru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 xml:space="preserve"> daně z příjmů fyzických osob (DPFO) ze závislé činnosti se vývoj na trhu práce projevoval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nadále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pozitivně.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Její celostátní výběr sílil již třetím rokem v řadě (až na loňských +13,3</w:t>
            </w:r>
            <w:r w:rsidR="00AE26E1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%) a</w:t>
            </w:r>
            <w:r w:rsidR="00AE26E1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tě</w:t>
            </w:r>
            <w:r w:rsidR="00AE26E1">
              <w:rPr>
                <w:rFonts w:cs="Arial"/>
                <w:color w:val="0D0D0D" w:themeColor="text1" w:themeTint="F2"/>
                <w:spacing w:val="-4"/>
              </w:rPr>
              <w:t>s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ně překonal rekordní meziroční růst </w:t>
            </w:r>
            <w:r>
              <w:rPr>
                <w:spacing w:val="-5"/>
              </w:rPr>
              <w:lastRenderedPageBreak/>
              <w:t>z konjunkturního roku</w:t>
            </w:r>
            <w:r w:rsidRPr="00E12BB3">
              <w:rPr>
                <w:spacing w:val="-5"/>
              </w:rPr>
              <w:t xml:space="preserve"> 2007</w:t>
            </w:r>
            <w:r>
              <w:rPr>
                <w:spacing w:val="-5"/>
              </w:rPr>
              <w:t>. Sílící ekonomika</w:t>
            </w:r>
            <w:r w:rsidRPr="00E12BB3">
              <w:rPr>
                <w:spacing w:val="-5"/>
              </w:rPr>
              <w:t xml:space="preserve"> stimuloval</w:t>
            </w:r>
            <w:r>
              <w:rPr>
                <w:spacing w:val="-5"/>
              </w:rPr>
              <w:t>a</w:t>
            </w:r>
            <w:r w:rsidRPr="00E12BB3">
              <w:rPr>
                <w:spacing w:val="-5"/>
              </w:rPr>
              <w:t xml:space="preserve"> i podnikatelskou </w:t>
            </w:r>
            <w:r>
              <w:rPr>
                <w:spacing w:val="-4"/>
              </w:rPr>
              <w:t>aktivitu, což se projevilo i vyšším výběrem</w:t>
            </w:r>
            <w:r w:rsidRPr="00E12BB3">
              <w:rPr>
                <w:spacing w:val="-4"/>
              </w:rPr>
              <w:t xml:space="preserve"> </w:t>
            </w:r>
            <w:r w:rsidRPr="00E12BB3">
              <w:rPr>
                <w:rFonts w:cs="Arial"/>
                <w:spacing w:val="-4"/>
              </w:rPr>
              <w:t>DPFO ze sam</w:t>
            </w:r>
            <w:r>
              <w:rPr>
                <w:rFonts w:cs="Arial"/>
                <w:spacing w:val="-4"/>
              </w:rPr>
              <w:t>ostatné výdělečné činnosti (o</w:t>
            </w:r>
            <w:r w:rsidR="00AE26E1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11,2</w:t>
            </w:r>
            <w:r w:rsidR="00AE26E1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% na 7,6 mld.</w:t>
            </w:r>
            <w:r w:rsidRPr="00E12BB3">
              <w:rPr>
                <w:rFonts w:cs="Arial"/>
                <w:spacing w:val="-4"/>
              </w:rPr>
              <w:t xml:space="preserve"> korun</w:t>
            </w:r>
            <w:r>
              <w:rPr>
                <w:rFonts w:cs="Arial"/>
                <w:spacing w:val="-4"/>
              </w:rPr>
              <w:t xml:space="preserve">). Inkaso této daně rostlo již třetím rokem v řadě. Výběr </w:t>
            </w:r>
            <w:r w:rsidRPr="00E12BB3">
              <w:rPr>
                <w:rFonts w:cs="Arial"/>
                <w:spacing w:val="-4"/>
              </w:rPr>
              <w:t>DPFO z kapitálových výnosů</w:t>
            </w:r>
            <w:r>
              <w:rPr>
                <w:rFonts w:cs="Arial"/>
                <w:spacing w:val="-4"/>
              </w:rPr>
              <w:t xml:space="preserve"> dosáhl loni 16</w:t>
            </w:r>
            <w:r w:rsidR="00AE26E1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mld. korun. Šlo o jedinou objemově významnější daň, u níž stát vybral loni méně. Projevily se zde</w:t>
            </w:r>
            <w:r w:rsidRPr="00E12BB3">
              <w:rPr>
                <w:rFonts w:cs="Arial"/>
                <w:spacing w:val="-4"/>
              </w:rPr>
              <w:t xml:space="preserve"> nejen přetrvávající nízké úrokové sazby vkladů, ale zejména </w:t>
            </w:r>
            <w:r w:rsidRPr="00E12BB3">
              <w:rPr>
                <w:spacing w:val="-4"/>
              </w:rPr>
              <w:t>legislativní změna související s osvobozením daně u </w:t>
            </w:r>
            <w:proofErr w:type="spellStart"/>
            <w:r w:rsidRPr="00E12BB3">
              <w:rPr>
                <w:spacing w:val="-4"/>
              </w:rPr>
              <w:t>výsluhového</w:t>
            </w:r>
            <w:proofErr w:type="spellEnd"/>
            <w:r w:rsidRPr="00E12BB3">
              <w:rPr>
                <w:spacing w:val="-4"/>
              </w:rPr>
              <w:t xml:space="preserve"> nároku ozbrojených složek.</w:t>
            </w:r>
          </w:p>
        </w:tc>
      </w:tr>
    </w:tbl>
    <w:p w:rsidR="005D7503" w:rsidRPr="00B31338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5D7503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5D7503" w:rsidRPr="00AA4A76" w:rsidRDefault="005D7503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 19</w:t>
            </w:r>
          </w:p>
        </w:tc>
        <w:tc>
          <w:tcPr>
            <w:tcW w:w="3262" w:type="pct"/>
          </w:tcPr>
          <w:p w:rsidR="005D7503" w:rsidRDefault="005D7503" w:rsidP="00CF0826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  <w:r>
              <w:rPr>
                <w:rFonts w:cs="Arial"/>
                <w:bCs/>
              </w:rPr>
              <w:t xml:space="preserve"> </w:t>
            </w:r>
          </w:p>
          <w:p w:rsidR="005D7503" w:rsidRPr="0007324C" w:rsidRDefault="005D7503" w:rsidP="00CF082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</w:p>
        </w:tc>
      </w:tr>
      <w:tr w:rsidR="005D7503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5D7503" w:rsidRPr="006D3F53" w:rsidRDefault="005D7503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5D7503" w:rsidRPr="00A74192" w:rsidRDefault="005D7503" w:rsidP="00CF0826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5D7503" w:rsidRDefault="005D7503" w:rsidP="00CF082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3059E9">
              <w:rPr>
                <w:noProof/>
                <w:sz w:val="16"/>
                <w:szCs w:val="16"/>
              </w:rPr>
              <w:drawing>
                <wp:inline distT="0" distB="0" distL="0" distR="0">
                  <wp:extent cx="4752000" cy="3551605"/>
                  <wp:effectExtent l="19050" t="0" r="0" b="0"/>
                  <wp:docPr id="4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5D7503" w:rsidRPr="00535F78" w:rsidRDefault="005D7503" w:rsidP="00CF0826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>Zdroj: MF</w:t>
            </w:r>
          </w:p>
        </w:tc>
      </w:tr>
    </w:tbl>
    <w:p w:rsidR="005D7503" w:rsidRPr="00B31338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D7503" w:rsidRPr="00F06A1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K navýšení výdajů SR přispěly výhradně běžné výdaje, jež rostly nejvyšším tempem za posledních osm let.</w:t>
            </w: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D7503" w:rsidRPr="001D63AA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„Nedočerpání“ investic ve vztahu k rozpočtovému očekávání se loni prohloubilo na 22 mld. korun.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587A4C" w:rsidRDefault="005D7503" w:rsidP="00CF0826">
            <w:pPr>
              <w:pStyle w:val="Textpoznpodarou"/>
              <w:jc w:val="both"/>
            </w:pPr>
            <w:r w:rsidRPr="000A66C0">
              <w:rPr>
                <w:rFonts w:cs="Arial"/>
                <w:color w:val="0D0D0D" w:themeColor="text1" w:themeTint="F2"/>
                <w:spacing w:val="-4"/>
              </w:rPr>
              <w:t>Celkové výdaje SR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loni vzrostly o 4,9 % na necelých 1 280 mld. korun. Podobně jako v roce 2016 přispěly k jejich růstu výhradně běžné výdaje, </w:t>
            </w:r>
            <w:r w:rsidRPr="009F23BE">
              <w:rPr>
                <w:rFonts w:cs="Arial"/>
                <w:color w:val="0D0D0D" w:themeColor="text1" w:themeTint="F2"/>
                <w:spacing w:val="-4"/>
              </w:rPr>
              <w:t>jejichž tempo b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ylo nejvyšší za posledních osm let (+5,5 %). Kapitálové výdaje navzdory nízké srovnávací základně loni opět </w:t>
            </w:r>
            <w:r w:rsidR="003F7631">
              <w:rPr>
                <w:rFonts w:cs="Arial"/>
                <w:color w:val="0D0D0D" w:themeColor="text1" w:themeTint="F2"/>
                <w:spacing w:val="-4"/>
              </w:rPr>
              <w:t>poklesly (-3,1</w:t>
            </w:r>
            <w:r w:rsidR="00A603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%). Zatímco v roce 2016 zůstalo čerpání investic jen těsně za rozpočtovým očekáváním, loni činil tento rozdíl již více než 22</w:t>
            </w:r>
            <w:r w:rsidR="00A603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 korun. Jejich čerpání v průběhu roku vykazovalo výraznější nepravidelnosti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Objem investic </w:t>
            </w:r>
            <w:r>
              <w:t>realizovaných prostřednictvím společných programů EU a ČR (z programového období 2014</w:t>
            </w:r>
            <w:r w:rsidR="00A60383">
              <w:t>–</w:t>
            </w:r>
            <w:r>
              <w:t xml:space="preserve">2020) dosáhl 36,9 mld. korun, meziročně se zdvojnásobil. Bezmála polovina z tohoto objemu byla financována pomocí operačního programu (OP) Doprava, pětina pak přes </w:t>
            </w:r>
            <w:proofErr w:type="gramStart"/>
            <w:r>
              <w:t>OP</w:t>
            </w:r>
            <w:proofErr w:type="gramEnd"/>
            <w:r>
              <w:t xml:space="preserve"> Životní prostředí. Veškeré výdaje na financování společných programů EU a ČR (vč. běžných výdajů) činily loni 91,1</w:t>
            </w:r>
            <w:r w:rsidR="00A60383">
              <w:t> </w:t>
            </w:r>
            <w:r>
              <w:t>mld. korun a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t>oproti roku 2016 fakticky stagnovaly. Necelých 55</w:t>
            </w:r>
            <w:r w:rsidR="00A60383">
              <w:t> </w:t>
            </w:r>
            <w:r>
              <w:t>% všech kapitálových výdajů SR směřovalo výhradně na národní projekty</w:t>
            </w:r>
            <w:r w:rsidR="00A60383">
              <w:t>,</w:t>
            </w:r>
            <w:r>
              <w:t xml:space="preserve"> a nemělo tedy žádný vztah k EU. Objem takto určených investic (44</w:t>
            </w:r>
            <w:r w:rsidR="00A60383">
              <w:t> </w:t>
            </w:r>
            <w:r>
              <w:t xml:space="preserve">mld. korun) meziročně stagnoval, </w:t>
            </w:r>
            <w:r w:rsidR="00A60383">
              <w:t>o</w:t>
            </w:r>
            <w:r>
              <w:t xml:space="preserve">proti roku 2015 byl však téměř </w:t>
            </w:r>
            <w:r w:rsidR="00A60383">
              <w:t>o </w:t>
            </w:r>
            <w:r>
              <w:t>polovinu vyšší.</w:t>
            </w:r>
            <w:r w:rsidRPr="009F23BE">
              <w:rPr>
                <w:rFonts w:cs="Arial"/>
                <w:color w:val="000000" w:themeColor="text1"/>
                <w:spacing w:val="-4"/>
              </w:rPr>
              <w:t xml:space="preserve"> Podíl investi</w:t>
            </w:r>
            <w:r>
              <w:rPr>
                <w:rFonts w:cs="Arial"/>
                <w:color w:val="000000" w:themeColor="text1"/>
                <w:spacing w:val="-4"/>
              </w:rPr>
              <w:t>c na celkových výdajích SR loni kles</w:t>
            </w:r>
            <w:r w:rsidRPr="009F23BE">
              <w:rPr>
                <w:rFonts w:cs="Arial"/>
                <w:color w:val="000000" w:themeColor="text1"/>
                <w:spacing w:val="-4"/>
              </w:rPr>
              <w:t>a</w:t>
            </w:r>
            <w:r>
              <w:rPr>
                <w:rFonts w:cs="Arial"/>
                <w:color w:val="000000" w:themeColor="text1"/>
                <w:spacing w:val="-4"/>
              </w:rPr>
              <w:t>l</w:t>
            </w:r>
            <w:r w:rsidRPr="009F23BE">
              <w:rPr>
                <w:rFonts w:cs="Arial"/>
                <w:color w:val="000000" w:themeColor="text1"/>
                <w:spacing w:val="-4"/>
              </w:rPr>
              <w:t xml:space="preserve"> již druhým</w:t>
            </w:r>
            <w:r>
              <w:rPr>
                <w:rFonts w:cs="Arial"/>
                <w:color w:val="000000" w:themeColor="text1"/>
                <w:spacing w:val="-4"/>
              </w:rPr>
              <w:t xml:space="preserve"> rokem v řadě a čítal pouhých 6</w:t>
            </w:r>
            <w:r w:rsidRPr="009F23BE">
              <w:rPr>
                <w:rFonts w:cs="Arial"/>
                <w:color w:val="000000" w:themeColor="text1"/>
                <w:spacing w:val="-4"/>
              </w:rPr>
              <w:t>,</w:t>
            </w:r>
            <w:r>
              <w:rPr>
                <w:rFonts w:cs="Arial"/>
                <w:color w:val="000000" w:themeColor="text1"/>
                <w:spacing w:val="-4"/>
              </w:rPr>
              <w:t>4</w:t>
            </w:r>
            <w:r w:rsidR="00A603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</w:t>
            </w:r>
            <w:r>
              <w:rPr>
                <w:rFonts w:cs="Arial"/>
                <w:color w:val="000000" w:themeColor="text1"/>
                <w:spacing w:val="-4"/>
              </w:rPr>
              <w:t>, což bylo nejméně od roku 1998.</w:t>
            </w:r>
          </w:p>
          <w:p w:rsidR="005D7503" w:rsidRPr="00CB791E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5D7503" w:rsidRPr="0094422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864037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Kladné saldo ČR vůči rozpočtu EU se snížilo na šestileté minimum. V pozadí stálo slabší čerpání strukturálních fondů</w:t>
            </w:r>
            <w:r w:rsidR="00C17BF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,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zahrnujících mj.</w:t>
            </w:r>
            <w:r w:rsidR="00C17BF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projekty náročné na</w:t>
            </w:r>
            <w:r w:rsidR="00C17BF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investiční přípravu.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1D47C2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Čerpání investic SR určených na evropské projekty se s určitým zpožděním projevuje ve vývoji pozice ČR vůči rozpočtu EU. Přestože ČR získala loni „v</w:t>
            </w:r>
            <w:r w:rsidR="00C17BF1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čistém“ od EU bezmála 98</w:t>
            </w:r>
            <w:r w:rsidR="00C17BF1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mld. korun, bylo to nejméně za posledních šest let. Souviselo to s hlubším poklesem refundovaných prostředků v oblasti strukturálních fondů. Jejich loňská výše (33</w:t>
            </w:r>
            <w:r w:rsidR="00D875C9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mld. korun) nicméně mírně převyšovala úroveň z let 2007 a 2008, resp.</w:t>
            </w:r>
            <w:r w:rsidR="00D875C9">
              <w:rPr>
                <w:rFonts w:cs="Arial"/>
                <w:color w:val="0D0D0D" w:themeColor="text1" w:themeTint="F2"/>
                <w:spacing w:val="-2"/>
              </w:rPr>
              <w:t> z 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počátku předešlého programového období. Čerpání prostředků učených na přímé platby v zemědělství či na rozvoj venkova probíhalo naopak v posledních </w:t>
            </w:r>
            <w:r>
              <w:rPr>
                <w:rFonts w:cs="Arial"/>
                <w:color w:val="0D0D0D" w:themeColor="text1" w:themeTint="F2"/>
                <w:spacing w:val="-2"/>
              </w:rPr>
              <w:lastRenderedPageBreak/>
              <w:t>letech relativně plynule. Stabilní zůstávají také celkové platby ČR do rozpočtu EU. Ty v posledním pětiletí oscilovaly kolem 43 mld. korun ročně.</w:t>
            </w:r>
          </w:p>
        </w:tc>
      </w:tr>
    </w:tbl>
    <w:p w:rsidR="005D7503" w:rsidRPr="00B31338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5D7503" w:rsidRPr="007E5880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5D7503" w:rsidRPr="00AA4A76" w:rsidRDefault="005D7503" w:rsidP="00CF0826">
            <w:pPr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 20</w:t>
            </w:r>
          </w:p>
        </w:tc>
        <w:tc>
          <w:tcPr>
            <w:tcW w:w="3262" w:type="pct"/>
          </w:tcPr>
          <w:p w:rsidR="005D7503" w:rsidRDefault="005D7503" w:rsidP="00CF0826">
            <w:pPr>
              <w:pStyle w:val="Textpoznpodarou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Skladba příjm</w:t>
            </w:r>
            <w:r w:rsidRPr="00501E54">
              <w:rPr>
                <w:rFonts w:cs="Arial"/>
                <w:b/>
                <w:bCs/>
              </w:rPr>
              <w:t xml:space="preserve">ů ČR z rozpočtu EU a čistá pozice ČR vůči EU </w:t>
            </w:r>
          </w:p>
          <w:p w:rsidR="005D7503" w:rsidRPr="00C9521B" w:rsidRDefault="005D7503" w:rsidP="00CF0826">
            <w:pPr>
              <w:pStyle w:val="Textpoznpodarou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 mld. korun)</w:t>
            </w:r>
          </w:p>
        </w:tc>
      </w:tr>
      <w:tr w:rsidR="005D7503" w:rsidRPr="006D67AC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5D7503" w:rsidRPr="006D3F53" w:rsidRDefault="005D7503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5D7503" w:rsidRPr="00A74192" w:rsidRDefault="005D7503" w:rsidP="00CF0826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5D7503" w:rsidRDefault="005D7503" w:rsidP="00CF082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210B4F">
              <w:rPr>
                <w:noProof/>
                <w:sz w:val="16"/>
                <w:szCs w:val="16"/>
              </w:rPr>
              <w:drawing>
                <wp:inline distT="0" distB="0" distL="0" distR="0">
                  <wp:extent cx="4752000" cy="3528000"/>
                  <wp:effectExtent l="0" t="0" r="0" b="0"/>
                  <wp:docPr id="4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5D7503" w:rsidRPr="00863B2C" w:rsidRDefault="005D7503" w:rsidP="00CF082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*Zahrnuje také tržní operace a veterinární opatření.                                         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>Zdroj: MF ČR</w:t>
            </w:r>
          </w:p>
        </w:tc>
      </w:tr>
    </w:tbl>
    <w:p w:rsidR="005D7503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50"/>
        <w:gridCol w:w="1949"/>
        <w:gridCol w:w="16"/>
        <w:gridCol w:w="268"/>
        <w:gridCol w:w="12"/>
        <w:gridCol w:w="1103"/>
        <w:gridCol w:w="6277"/>
        <w:gridCol w:w="169"/>
      </w:tblGrid>
      <w:tr w:rsidR="005D7503" w:rsidRPr="00751FC1" w:rsidTr="00CF0826">
        <w:trPr>
          <w:trHeight w:val="145"/>
        </w:trPr>
        <w:tc>
          <w:tcPr>
            <w:tcW w:w="1016" w:type="pct"/>
            <w:gridSpan w:val="2"/>
            <w:shd w:val="clear" w:color="auto" w:fill="auto"/>
          </w:tcPr>
          <w:p w:rsidR="005D7503" w:rsidRPr="001D63AA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Růst běžných výdajů táhly především vyšší výdaje n</w:t>
            </w:r>
            <w:r w:rsidRPr="00864037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a mzdy zaměstnanců v oblastech s dominancí státu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a</w:t>
            </w:r>
            <w:r w:rsidRPr="00864037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na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valorizaci důchodů. </w:t>
            </w:r>
          </w:p>
        </w:tc>
        <w:tc>
          <w:tcPr>
            <w:tcW w:w="144" w:type="pct"/>
            <w:gridSpan w:val="2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  <w:gridSpan w:val="4"/>
          </w:tcPr>
          <w:p w:rsidR="005D7503" w:rsidRPr="00F95DB9" w:rsidRDefault="005D7503" w:rsidP="00CF0826">
            <w:pPr>
              <w:pStyle w:val="Textpoznpodarou"/>
              <w:jc w:val="both"/>
              <w:rPr>
                <w:bCs/>
                <w:spacing w:val="-2"/>
                <w:szCs w:val="24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Na meziročně vyšších</w:t>
            </w:r>
            <w:r w:rsidRPr="00CF5119">
              <w:rPr>
                <w:rFonts w:cs="Arial"/>
                <w:color w:val="0D0D0D" w:themeColor="text1" w:themeTint="F2"/>
                <w:spacing w:val="-2"/>
              </w:rPr>
              <w:t xml:space="preserve"> běžných výdaj</w:t>
            </w:r>
            <w:r>
              <w:rPr>
                <w:rFonts w:cs="Arial"/>
                <w:color w:val="0D0D0D" w:themeColor="text1" w:themeTint="F2"/>
                <w:spacing w:val="-2"/>
              </w:rPr>
              <w:t>ích</w:t>
            </w:r>
            <w:r w:rsidRPr="00CF5119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>SR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>(o</w:t>
            </w:r>
            <w:r w:rsidR="004D6307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62,6 mld. korun) se loni nejvíce podílely </w:t>
            </w:r>
            <w:r>
              <w:rPr>
                <w:bCs/>
                <w:spacing w:val="-2"/>
                <w:szCs w:val="24"/>
              </w:rPr>
              <w:t>neinvestiční transfery</w:t>
            </w:r>
            <w:r w:rsidRPr="00751FC1">
              <w:rPr>
                <w:bCs/>
                <w:spacing w:val="-2"/>
                <w:szCs w:val="24"/>
              </w:rPr>
              <w:t xml:space="preserve"> veřejným rozpočtům územní úrovně</w:t>
            </w:r>
            <w:r>
              <w:rPr>
                <w:bCs/>
                <w:spacing w:val="-2"/>
                <w:szCs w:val="24"/>
              </w:rPr>
              <w:t>, jejichž růst zrychlil na 13,4</w:t>
            </w:r>
            <w:r w:rsidR="00B340AD">
              <w:rPr>
                <w:bCs/>
                <w:spacing w:val="-2"/>
                <w:szCs w:val="24"/>
              </w:rPr>
              <w:t> </w:t>
            </w:r>
            <w:r>
              <w:rPr>
                <w:bCs/>
                <w:spacing w:val="-2"/>
                <w:szCs w:val="24"/>
              </w:rPr>
              <w:t>% (ze 4,6 % v roce 2016). V těchto výdajích se promítal především růst výdělků pracovníků v regionálním školství</w:t>
            </w:r>
            <w:r>
              <w:rPr>
                <w:rStyle w:val="Znakapoznpodarou"/>
                <w:bCs/>
                <w:spacing w:val="-2"/>
                <w:szCs w:val="24"/>
              </w:rPr>
              <w:footnoteReference w:id="6"/>
            </w:r>
            <w:r>
              <w:rPr>
                <w:bCs/>
                <w:spacing w:val="-2"/>
                <w:szCs w:val="24"/>
              </w:rPr>
              <w:t xml:space="preserve">. Čtvrtinou se na růstu běžných výdajů podílela i </w:t>
            </w:r>
            <w:r w:rsidRPr="00751FC1">
              <w:rPr>
                <w:rFonts w:cs="Arial"/>
                <w:color w:val="000000" w:themeColor="text1"/>
                <w:spacing w:val="-2"/>
              </w:rPr>
              <w:t>váhově dominantní položk</w:t>
            </w:r>
            <w:r>
              <w:rPr>
                <w:rFonts w:cs="Arial"/>
                <w:color w:val="000000" w:themeColor="text1"/>
                <w:spacing w:val="-2"/>
              </w:rPr>
              <w:t>a sociálních dávek, jejíž navýšení (+16,9 mld.) bylo ovlivněno primárně valorizací důchodů. Tempo růstu výdajů na platy</w:t>
            </w:r>
            <w:r>
              <w:rPr>
                <w:bCs/>
                <w:spacing w:val="-2"/>
                <w:szCs w:val="24"/>
              </w:rPr>
              <w:t xml:space="preserve"> státních zaměstnanců se téměř zdvojnásobilo (na 9,2</w:t>
            </w:r>
            <w:r w:rsidR="00B340AD">
              <w:rPr>
                <w:bCs/>
                <w:spacing w:val="-2"/>
                <w:szCs w:val="24"/>
              </w:rPr>
              <w:t> </w:t>
            </w:r>
            <w:r>
              <w:rPr>
                <w:bCs/>
                <w:spacing w:val="-2"/>
                <w:szCs w:val="24"/>
              </w:rPr>
              <w:t>%), především vlivem navýšení platových tarifů. Vysokou dynamiku vykázaly i neinvestiční transfery příspěvkový</w:t>
            </w:r>
            <w:r w:rsidR="00B340AD">
              <w:rPr>
                <w:bCs/>
                <w:spacing w:val="-2"/>
                <w:szCs w:val="24"/>
              </w:rPr>
              <w:t>m</w:t>
            </w:r>
            <w:r>
              <w:rPr>
                <w:bCs/>
                <w:spacing w:val="-2"/>
                <w:szCs w:val="24"/>
              </w:rPr>
              <w:t xml:space="preserve"> organizacím (+13,8</w:t>
            </w:r>
            <w:r w:rsidR="00B340AD">
              <w:rPr>
                <w:bCs/>
                <w:spacing w:val="-2"/>
                <w:szCs w:val="24"/>
              </w:rPr>
              <w:t> </w:t>
            </w:r>
            <w:r>
              <w:rPr>
                <w:bCs/>
                <w:spacing w:val="-2"/>
                <w:szCs w:val="24"/>
              </w:rPr>
              <w:t>%)</w:t>
            </w:r>
            <w:r w:rsidR="00885620">
              <w:rPr>
                <w:bCs/>
                <w:spacing w:val="-2"/>
                <w:szCs w:val="24"/>
              </w:rPr>
              <w:t>,</w:t>
            </w:r>
            <w:r>
              <w:rPr>
                <w:bCs/>
                <w:spacing w:val="-2"/>
                <w:szCs w:val="24"/>
              </w:rPr>
              <w:t xml:space="preserve"> zahrnující</w:t>
            </w:r>
            <w:r w:rsidR="00B340AD">
              <w:rPr>
                <w:bCs/>
                <w:spacing w:val="-2"/>
                <w:szCs w:val="24"/>
              </w:rPr>
              <w:t>m</w:t>
            </w:r>
            <w:r>
              <w:rPr>
                <w:bCs/>
                <w:spacing w:val="-2"/>
                <w:szCs w:val="24"/>
              </w:rPr>
              <w:t xml:space="preserve"> např. vysoké školy či výzkumné organizace. O bezmála desetinu </w:t>
            </w:r>
            <w:r w:rsidR="00885620">
              <w:rPr>
                <w:bCs/>
                <w:spacing w:val="-2"/>
                <w:szCs w:val="24"/>
              </w:rPr>
              <w:t xml:space="preserve">(na 48,3 mld. korun) </w:t>
            </w:r>
            <w:r>
              <w:rPr>
                <w:bCs/>
                <w:spacing w:val="-2"/>
                <w:szCs w:val="24"/>
              </w:rPr>
              <w:t>vzrostl i objem neinvestičních transferů podnikate</w:t>
            </w:r>
            <w:r w:rsidR="00885620">
              <w:rPr>
                <w:bCs/>
                <w:spacing w:val="-2"/>
                <w:szCs w:val="24"/>
              </w:rPr>
              <w:t>lským subjektům</w:t>
            </w:r>
            <w:r>
              <w:rPr>
                <w:bCs/>
                <w:spacing w:val="-2"/>
                <w:szCs w:val="24"/>
              </w:rPr>
              <w:t xml:space="preserve">. Tyto transfery z významné části souvisejí s podporou obnovitelných zdrojů energie. </w:t>
            </w:r>
          </w:p>
          <w:p w:rsidR="005D7503" w:rsidRPr="00F95DB9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5D7503" w:rsidRPr="00F06A1D" w:rsidTr="00CF0826">
        <w:trPr>
          <w:trHeight w:val="145"/>
        </w:trPr>
        <w:tc>
          <w:tcPr>
            <w:tcW w:w="1016" w:type="pct"/>
            <w:gridSpan w:val="2"/>
            <w:shd w:val="clear" w:color="auto" w:fill="auto"/>
          </w:tcPr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Dynamický růst výběru pojistného spolu s minimálním přírůstkem počtu příjemců důchodů vyústil ve výrazné zlepšení salda důchodového účtu. </w:t>
            </w:r>
          </w:p>
          <w:p w:rsidR="005D7503" w:rsidRPr="001D63AA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To se poprvé za devět let vymanilo z deficitu.</w:t>
            </w:r>
          </w:p>
        </w:tc>
        <w:tc>
          <w:tcPr>
            <w:tcW w:w="144" w:type="pct"/>
            <w:gridSpan w:val="2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  <w:gridSpan w:val="4"/>
          </w:tcPr>
          <w:p w:rsidR="005D7503" w:rsidRPr="00B31338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Na sociální dávky loni směřovalo 41,4 % veškerých výdajů SR (meziročně o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0,7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p.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proofErr w:type="spellStart"/>
            <w:r>
              <w:rPr>
                <w:rFonts w:cs="Arial"/>
                <w:color w:val="0D0D0D" w:themeColor="text1" w:themeTint="F2"/>
                <w:spacing w:val="-2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</w:rPr>
              <w:t xml:space="preserve">. </w:t>
            </w:r>
            <w:proofErr w:type="gramStart"/>
            <w:r>
              <w:rPr>
                <w:rFonts w:cs="Arial"/>
                <w:color w:val="0D0D0D" w:themeColor="text1" w:themeTint="F2"/>
                <w:spacing w:val="-2"/>
              </w:rPr>
              <w:t>méně</w:t>
            </w:r>
            <w:proofErr w:type="gramEnd"/>
            <w:r>
              <w:rPr>
                <w:rFonts w:cs="Arial"/>
                <w:color w:val="0D0D0D" w:themeColor="text1" w:themeTint="F2"/>
                <w:spacing w:val="-2"/>
              </w:rPr>
              <w:t>). Plných 78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% výdajů na sociální dávky putovalo na důchody, na které stát vydal meziročně o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3,9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% více (v roce 2016 o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0,9</w:t>
            </w:r>
            <w:r w:rsidR="00EE208C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%). V rostoucím tempu výdajů se promítl vliv 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>nové legislativní úpravy umožňující zvýšit důchody nad rámec standardní valorizace</w:t>
            </w:r>
            <w:r>
              <w:rPr>
                <w:rFonts w:cs="Arial"/>
                <w:color w:val="0D0D0D" w:themeColor="text1" w:themeTint="F2"/>
                <w:spacing w:val="-4"/>
              </w:rPr>
              <w:t>. Naopak počet všech příjemců důchodů (2,896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mil. osob) se navýšil jen minimálně (+0,1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%). Kromě demografických vlivů to souviselo i</w:t>
            </w:r>
            <w:r>
              <w:rPr>
                <w:rFonts w:cs="Arial"/>
                <w:color w:val="000000" w:themeColor="text1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s příznivou situací na trhu práce a z ní plynoucí „menší poptávky“ po předčasných důchodech (meziroční relativní přírůstek osob s trvale kráceným starobním důchodem byl loni nejslabší za poslední čtyři roky). Rekordní výše zaměstnanosti doprovázená sílícím mzdovým růstem podpořila dynamický výběr pojistného (+8,2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%, nejvyšší</w:t>
            </w:r>
            <w:r>
              <w:rPr>
                <w:rFonts w:cs="Arial"/>
                <w:color w:val="0D0D0D" w:themeColor="text1" w:themeTint="F2"/>
                <w:spacing w:val="-4"/>
              </w:rPr>
              <w:t>ho po roce 2007). Tempo výběru pojistného na důchody se přitom v</w:t>
            </w:r>
            <w:r>
              <w:rPr>
                <w:bCs/>
                <w:spacing w:val="-2"/>
                <w:szCs w:val="2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průběhu roku 2017 nadále navyšovalo (1. čtvrtletí činilo meziročně 6,6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%, na sklonku roku se blížilo 10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%). Tyto tendence vyústily v citelné zlepšení salda 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>důchodového účtu</w:t>
            </w:r>
            <w:r w:rsidRPr="00751FC1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rFonts w:cs="Arial"/>
                <w:color w:val="0D0D0D" w:themeColor="text1" w:themeTint="F2"/>
                <w:spacing w:val="-4"/>
              </w:rPr>
              <w:t>, jež bylo meziročně o</w:t>
            </w:r>
            <w:r>
              <w:rPr>
                <w:rFonts w:cs="Arial"/>
                <w:color w:val="000000" w:themeColor="text1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téměř 16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 příznivější a dosáhlo +0,1</w:t>
            </w:r>
            <w:r w:rsidR="00EE208C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mld. korun. Důchodový účet se tak poprvé od konce konjunktury minulé dekády vymanil z deficitu. </w:t>
            </w:r>
          </w:p>
          <w:p w:rsidR="005D7503" w:rsidRPr="00B31338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6"/>
                <w:szCs w:val="6"/>
              </w:rPr>
            </w:pPr>
          </w:p>
        </w:tc>
      </w:tr>
      <w:tr w:rsidR="005D7503" w:rsidRPr="00AA4A76" w:rsidTr="00CF0826">
        <w:tblPrEx>
          <w:tblCellMar>
            <w:left w:w="57" w:type="dxa"/>
            <w:right w:w="0" w:type="dxa"/>
          </w:tblCellMar>
        </w:tblPrEx>
        <w:trPr>
          <w:gridBefore w:val="1"/>
          <w:gridAfter w:val="1"/>
          <w:wBefore w:w="26" w:type="pct"/>
          <w:wAfter w:w="86" w:type="pct"/>
          <w:trHeight w:val="145"/>
        </w:trPr>
        <w:tc>
          <w:tcPr>
            <w:tcW w:w="998" w:type="pct"/>
            <w:gridSpan w:val="2"/>
            <w:shd w:val="clear" w:color="auto" w:fill="auto"/>
          </w:tcPr>
          <w:p w:rsidR="005D7503" w:rsidRPr="00AA4A76" w:rsidRDefault="005D7503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2" w:type="pct"/>
            <w:gridSpan w:val="2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60" w:type="pct"/>
          </w:tcPr>
          <w:p w:rsidR="005D7503" w:rsidRPr="00177BD8" w:rsidRDefault="005D7503" w:rsidP="00CF0826">
            <w:pPr>
              <w:pStyle w:val="Textpoznpodarou"/>
              <w:jc w:val="both"/>
              <w:rPr>
                <w:spacing w:val="-4"/>
                <w:highlight w:val="yellow"/>
              </w:rPr>
            </w:pPr>
            <w:r>
              <w:rPr>
                <w:color w:val="000000"/>
                <w:spacing w:val="-4"/>
              </w:rPr>
              <w:t>Graf č. </w:t>
            </w:r>
            <w:r w:rsidRPr="00177BD8">
              <w:rPr>
                <w:color w:val="000000"/>
                <w:spacing w:val="-4"/>
              </w:rPr>
              <w:t>2</w:t>
            </w: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3188" w:type="pct"/>
          </w:tcPr>
          <w:p w:rsidR="005D7503" w:rsidRPr="001356FC" w:rsidRDefault="005D7503" w:rsidP="00CF0826">
            <w:pPr>
              <w:spacing w:line="240" w:lineRule="auto"/>
              <w:rPr>
                <w:rFonts w:cs="Arial"/>
                <w:b/>
                <w:bCs/>
                <w:spacing w:val="-4"/>
              </w:rPr>
            </w:pPr>
            <w:r w:rsidRPr="001356FC">
              <w:rPr>
                <w:rFonts w:cs="Arial"/>
                <w:b/>
                <w:bCs/>
                <w:spacing w:val="-4"/>
              </w:rPr>
              <w:t>Příjemci důchodů</w:t>
            </w:r>
            <w:r w:rsidRPr="001356FC">
              <w:rPr>
                <w:rFonts w:cs="Arial"/>
                <w:bCs/>
                <w:spacing w:val="-4"/>
              </w:rPr>
              <w:t>,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Pr="001356FC">
              <w:rPr>
                <w:rFonts w:cs="Arial"/>
                <w:bCs/>
                <w:spacing w:val="-4"/>
              </w:rPr>
              <w:t>(</w:t>
            </w:r>
            <w:r w:rsidRPr="001356FC">
              <w:rPr>
                <w:spacing w:val="-4"/>
              </w:rPr>
              <w:t>meziročně</w:t>
            </w:r>
            <w:r w:rsidRPr="001356FC">
              <w:rPr>
                <w:bCs/>
                <w:spacing w:val="-4"/>
              </w:rPr>
              <w:t xml:space="preserve"> v %)</w:t>
            </w:r>
            <w:r w:rsidRPr="001356FC">
              <w:rPr>
                <w:rFonts w:cs="Arial"/>
                <w:bCs/>
                <w:spacing w:val="-4"/>
              </w:rPr>
              <w:t xml:space="preserve"> </w:t>
            </w:r>
            <w:r>
              <w:rPr>
                <w:rFonts w:cs="Arial"/>
                <w:b/>
                <w:bCs/>
                <w:spacing w:val="-4"/>
              </w:rPr>
              <w:t>a bilance důchodového účtu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Pr="001356FC">
              <w:rPr>
                <w:rFonts w:cs="Arial"/>
                <w:bCs/>
                <w:spacing w:val="-4"/>
              </w:rPr>
              <w:t>(v mld. korun)</w:t>
            </w:r>
          </w:p>
        </w:tc>
      </w:tr>
      <w:tr w:rsidR="005D7503" w:rsidRPr="00AA4A76" w:rsidTr="00CF0826">
        <w:tblPrEx>
          <w:tblCellMar>
            <w:left w:w="57" w:type="dxa"/>
            <w:right w:w="0" w:type="dxa"/>
          </w:tblCellMar>
        </w:tblPrEx>
        <w:trPr>
          <w:gridBefore w:val="1"/>
          <w:gridAfter w:val="1"/>
          <w:wBefore w:w="26" w:type="pct"/>
          <w:wAfter w:w="86" w:type="pct"/>
          <w:trHeight w:val="145"/>
        </w:trPr>
        <w:tc>
          <w:tcPr>
            <w:tcW w:w="998" w:type="pct"/>
            <w:gridSpan w:val="2"/>
            <w:shd w:val="clear" w:color="auto" w:fill="auto"/>
          </w:tcPr>
          <w:p w:rsidR="005D7503" w:rsidRPr="006D3F53" w:rsidRDefault="005D7503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2" w:type="pct"/>
            <w:gridSpan w:val="2"/>
          </w:tcPr>
          <w:p w:rsidR="005D7503" w:rsidRPr="00A74192" w:rsidRDefault="005D7503" w:rsidP="00CF0826">
            <w:pPr>
              <w:pStyle w:val="Textpoznpodarou"/>
              <w:jc w:val="both"/>
            </w:pPr>
          </w:p>
        </w:tc>
        <w:tc>
          <w:tcPr>
            <w:tcW w:w="3748" w:type="pct"/>
            <w:gridSpan w:val="2"/>
          </w:tcPr>
          <w:p w:rsidR="005D7503" w:rsidRDefault="005D7503" w:rsidP="00CF0826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  <w:r w:rsidRPr="00BA1DC7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45405" cy="3528000"/>
                  <wp:effectExtent l="0" t="0" r="0" b="0"/>
                  <wp:docPr id="4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rPr>
                <w:rFonts w:cs="Arial"/>
                <w:sz w:val="14"/>
                <w:szCs w:val="14"/>
              </w:rPr>
              <w:t>*Jde o s</w:t>
            </w:r>
            <w:r w:rsidRPr="006D67AC">
              <w:rPr>
                <w:rFonts w:cs="Arial"/>
                <w:sz w:val="14"/>
                <w:szCs w:val="14"/>
              </w:rPr>
              <w:t>tarobní důchod přiznaný před dosažením důchodového v</w:t>
            </w:r>
            <w:r>
              <w:rPr>
                <w:rFonts w:cs="Arial"/>
                <w:sz w:val="14"/>
                <w:szCs w:val="14"/>
              </w:rPr>
              <w:t xml:space="preserve">ěku a krácený za předčasnost </w:t>
            </w:r>
            <w:r w:rsidRPr="006D67AC">
              <w:rPr>
                <w:rFonts w:cs="Arial"/>
                <w:sz w:val="14"/>
                <w:szCs w:val="14"/>
              </w:rPr>
              <w:t xml:space="preserve">po celou dobu </w:t>
            </w:r>
          </w:p>
          <w:p w:rsidR="005D7503" w:rsidRPr="00386F9F" w:rsidRDefault="005D7503" w:rsidP="00CF0826">
            <w:pPr>
              <w:pStyle w:val="Textpoznpodarou"/>
              <w:jc w:val="both"/>
              <w:rPr>
                <w:sz w:val="16"/>
                <w:szCs w:val="16"/>
              </w:rPr>
            </w:pPr>
            <w:r w:rsidRPr="006D67AC">
              <w:rPr>
                <w:rFonts w:cs="Arial"/>
                <w:sz w:val="14"/>
                <w:szCs w:val="14"/>
              </w:rPr>
              <w:t>pobí</w:t>
            </w:r>
            <w:r>
              <w:rPr>
                <w:rFonts w:cs="Arial"/>
                <w:sz w:val="14"/>
                <w:szCs w:val="14"/>
              </w:rPr>
              <w:t xml:space="preserve">rání důchodu.                                                                                                                                   </w:t>
            </w:r>
            <w:r w:rsidRPr="007E5880">
              <w:rPr>
                <w:sz w:val="14"/>
                <w:szCs w:val="14"/>
              </w:rPr>
              <w:t>Zdroj: MF, ČSSZ</w:t>
            </w:r>
          </w:p>
        </w:tc>
      </w:tr>
    </w:tbl>
    <w:p w:rsidR="005D7503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5"/>
          <w:szCs w:val="15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D7503" w:rsidRPr="00BB4331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Tempo růstu výdajů na ostatní sociální dávky se loni zredukovalo</w:t>
            </w:r>
            <w:r w:rsidR="00FB7710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,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a navyšovalo se tak výrazně pomaleji než výdaje na důchody.</w:t>
            </w: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Pr="00D66F29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Vyšší příjmy domácností ze zaměstnání vedly k redukci výdajů na hmotnou nouzi či státní sociální podporu.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Default="005D7503" w:rsidP="00CF0826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Tempo růstu výdajů SR na ostatní sociální dávky (mimo důchody) dosáhlo 1,3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% a</w:t>
            </w:r>
            <w:r w:rsidR="00FB7710">
              <w:rPr>
                <w:rFonts w:cs="Arial"/>
                <w:color w:val="0D0D0D" w:themeColor="text1" w:themeTint="F2"/>
                <w:spacing w:val="-4"/>
              </w:rPr>
              <w:t> o</w:t>
            </w:r>
            <w:r>
              <w:rPr>
                <w:spacing w:val="-4"/>
              </w:rPr>
              <w:t>proti roku 2016 se snížilo na polovinu. Stále více se projevuje vliv hospodářského růstu na příjmy domácností. Stát vydal méně především na dávky v hmotné nouzi (meziročně o pětinu, za tři roky o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35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%, resp.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3,9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mld. korun), u nichž silně klesly jak váhově dominant</w:t>
            </w:r>
            <w:r w:rsidR="00FB7710">
              <w:rPr>
                <w:spacing w:val="-4"/>
              </w:rPr>
              <w:t xml:space="preserve">ní příspěvky na živobytí, tak </w:t>
            </w:r>
            <w:r>
              <w:rPr>
                <w:spacing w:val="-4"/>
              </w:rPr>
              <w:t>doplatky na bydlení. O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1,3</w:t>
            </w:r>
            <w:r w:rsidR="00FB7710">
              <w:rPr>
                <w:spacing w:val="-4"/>
              </w:rPr>
              <w:t> </w:t>
            </w:r>
            <w:r>
              <w:rPr>
                <w:spacing w:val="-4"/>
              </w:rPr>
              <w:t>% poklesly dávky státní sociální podpory, jejichž růst</w:t>
            </w:r>
            <w:r w:rsidR="00FB7710">
              <w:rPr>
                <w:spacing w:val="-4"/>
              </w:rPr>
              <w:t>,</w:t>
            </w:r>
            <w:r>
              <w:rPr>
                <w:spacing w:val="-4"/>
              </w:rPr>
              <w:t xml:space="preserve"> trvající předchozí čtyři roky</w:t>
            </w:r>
            <w:r w:rsidR="00FB7710">
              <w:rPr>
                <w:spacing w:val="-4"/>
              </w:rPr>
              <w:t>,</w:t>
            </w:r>
            <w:r w:rsidR="00084771">
              <w:rPr>
                <w:spacing w:val="-4"/>
              </w:rPr>
              <w:t xml:space="preserve"> se tak zastavil. Přispěl</w:t>
            </w:r>
            <w:r>
              <w:rPr>
                <w:spacing w:val="-4"/>
              </w:rPr>
              <w:t xml:space="preserve"> k tomu zejména nižší objem příspěvků na bydlení a přídavků na dítě. V opačném směru působil mírný růst dávek pěstounské péče i váhově dominantní skupiny rodičovských dávek (tato dávka není vázána na příjem rodiny</w:t>
            </w:r>
            <w:r w:rsidR="00FB7710">
              <w:rPr>
                <w:spacing w:val="-4"/>
              </w:rPr>
              <w:t>,</w:t>
            </w:r>
            <w:r>
              <w:rPr>
                <w:spacing w:val="-4"/>
              </w:rPr>
              <w:t xml:space="preserve"> a její vývoj tak spíše odráží mírný růst p</w:t>
            </w:r>
            <w:r w:rsidR="00526D50">
              <w:rPr>
                <w:spacing w:val="-4"/>
              </w:rPr>
              <w:t>orodnosti</w:t>
            </w:r>
            <w:r>
              <w:rPr>
                <w:spacing w:val="-4"/>
              </w:rPr>
              <w:t xml:space="preserve"> v posledních letech). Menší úspory bylo dosaženo u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podpory v nezaměstnanosti (meziročně 4,9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%, za tři roky o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19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%, resp. 1,8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mld. korun). V pozadí stálo zvýšení relativního zastoupení frikční složky nezaměstnanosti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sílící růst mezd (s dopadem na výši vyplácených podpor)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 xml:space="preserve">. Naopak již pátým rokem pokračoval růst </w:t>
            </w:r>
            <w:r>
              <w:rPr>
                <w:color w:val="000000" w:themeColor="text1"/>
                <w:spacing w:val="-4"/>
              </w:rPr>
              <w:t>dávek</w:t>
            </w:r>
            <w:r w:rsidRPr="00751FC1">
              <w:rPr>
                <w:color w:val="000000" w:themeColor="text1"/>
                <w:spacing w:val="-4"/>
              </w:rPr>
              <w:t xml:space="preserve"> nemocenského pojištění</w:t>
            </w:r>
            <w:r>
              <w:rPr>
                <w:color w:val="000000" w:themeColor="text1"/>
                <w:spacing w:val="-4"/>
              </w:rPr>
              <w:t xml:space="preserve"> (v roce 2017 o</w:t>
            </w:r>
            <w:r w:rsidR="007E15E9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7,8</w:t>
            </w:r>
            <w:r w:rsidR="007E15E9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%)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9"/>
            </w:r>
            <w:r>
              <w:rPr>
                <w:color w:val="000000" w:themeColor="text1"/>
                <w:spacing w:val="-4"/>
              </w:rPr>
              <w:t>. Souvisel jak se silněj</w:t>
            </w:r>
            <w:r>
              <w:rPr>
                <w:spacing w:val="-4"/>
              </w:rPr>
              <w:t>ším</w:t>
            </w:r>
            <w:r w:rsidRPr="00751FC1">
              <w:rPr>
                <w:spacing w:val="-4"/>
              </w:rPr>
              <w:t xml:space="preserve"> čerpáním peněžité pomoci v</w:t>
            </w:r>
            <w:r>
              <w:rPr>
                <w:spacing w:val="-4"/>
              </w:rPr>
              <w:t> </w:t>
            </w:r>
            <w:r w:rsidRPr="00751FC1">
              <w:rPr>
                <w:spacing w:val="-4"/>
              </w:rPr>
              <w:t>mateřstv</w:t>
            </w:r>
            <w:r>
              <w:rPr>
                <w:spacing w:val="-4"/>
              </w:rPr>
              <w:t xml:space="preserve">í vlivem mírně vyšší porodnosti, tak zejména s </w:t>
            </w:r>
            <w:r>
              <w:rPr>
                <w:color w:val="000000" w:themeColor="text1"/>
                <w:spacing w:val="-4"/>
              </w:rPr>
              <w:t>vyšším objem</w:t>
            </w:r>
            <w:r w:rsidR="007E15E9"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4"/>
              </w:rPr>
              <w:t xml:space="preserve"> dávek nemocenské (+7,7 %) v důsledku zvýšené nemocnosti i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rostoucího počtu </w:t>
            </w:r>
            <w:proofErr w:type="spellStart"/>
            <w:r>
              <w:rPr>
                <w:color w:val="000000" w:themeColor="text1"/>
                <w:spacing w:val="-4"/>
              </w:rPr>
              <w:t>nemocensky</w:t>
            </w:r>
            <w:proofErr w:type="spellEnd"/>
            <w:r>
              <w:rPr>
                <w:color w:val="000000" w:themeColor="text1"/>
                <w:spacing w:val="-4"/>
              </w:rPr>
              <w:t xml:space="preserve"> pojištěných osob. </w:t>
            </w:r>
            <w:r>
              <w:rPr>
                <w:spacing w:val="-4"/>
              </w:rPr>
              <w:t>Na příspěvcích na péči (pro dlouhodobě nemocné) vydal SR 25,1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mld. korun, meziročně o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9,0</w:t>
            </w:r>
            <w:r w:rsidR="007E15E9">
              <w:rPr>
                <w:spacing w:val="-4"/>
              </w:rPr>
              <w:t> </w:t>
            </w:r>
            <w:r>
              <w:rPr>
                <w:spacing w:val="-4"/>
              </w:rPr>
              <w:t>% více</w:t>
            </w:r>
            <w:r>
              <w:rPr>
                <w:rStyle w:val="Znakapoznpodarou"/>
                <w:spacing w:val="-4"/>
              </w:rPr>
              <w:footnoteReference w:id="10"/>
            </w:r>
            <w:r>
              <w:rPr>
                <w:spacing w:val="-4"/>
              </w:rPr>
              <w:t xml:space="preserve">. </w:t>
            </w:r>
          </w:p>
          <w:p w:rsidR="005D7503" w:rsidRPr="009C241D" w:rsidRDefault="005D7503" w:rsidP="00CF0826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5D7503" w:rsidRPr="00BB4331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D66F29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Výše státního dluhu během roku 2017 výrazně kolísala. Projevila se </w:t>
            </w:r>
            <w:r>
              <w:rPr>
                <w:spacing w:val="-2"/>
                <w:sz w:val="16"/>
                <w:szCs w:val="16"/>
              </w:rPr>
              <w:t>očekávání spojená</w:t>
            </w:r>
            <w:r w:rsidRPr="00A92D7D">
              <w:rPr>
                <w:spacing w:val="-2"/>
                <w:sz w:val="16"/>
                <w:szCs w:val="16"/>
              </w:rPr>
              <w:t xml:space="preserve"> s ukončením </w:t>
            </w:r>
            <w:r w:rsidRPr="00A92D7D">
              <w:rPr>
                <w:color w:val="000000" w:themeColor="text1"/>
                <w:spacing w:val="-4"/>
                <w:sz w:val="16"/>
                <w:szCs w:val="16"/>
              </w:rPr>
              <w:t xml:space="preserve">režimu devizových </w:t>
            </w:r>
            <w:r w:rsidRPr="00A92D7D">
              <w:rPr>
                <w:color w:val="000000" w:themeColor="text1"/>
                <w:spacing w:val="-4"/>
                <w:sz w:val="16"/>
                <w:szCs w:val="16"/>
              </w:rPr>
              <w:lastRenderedPageBreak/>
              <w:t>intervencí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>. Stát ve větší míře prodával dluhopisy za záporný výnos.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BD2DC3" w:rsidRDefault="005D7503" w:rsidP="00CF0826">
            <w:pPr>
              <w:pStyle w:val="Textpoznpodarou"/>
              <w:jc w:val="both"/>
              <w:rPr>
                <w:spacing w:val="-4"/>
              </w:rPr>
            </w:pPr>
            <w:r w:rsidRPr="00F95DB9">
              <w:rPr>
                <w:rFonts w:cs="Arial"/>
                <w:color w:val="0D0D0D" w:themeColor="text1" w:themeTint="F2"/>
                <w:spacing w:val="-4"/>
              </w:rPr>
              <w:t xml:space="preserve">Čisté výdaje na státní </w:t>
            </w:r>
            <w:r>
              <w:rPr>
                <w:rFonts w:cs="Arial"/>
                <w:color w:val="0D0D0D" w:themeColor="text1" w:themeTint="F2"/>
                <w:spacing w:val="-4"/>
              </w:rPr>
              <w:t>dluh se v roce 2017 rovnaly 39</w:t>
            </w:r>
            <w:r w:rsidRPr="00F95DB9">
              <w:rPr>
                <w:rFonts w:cs="Arial"/>
                <w:color w:val="0D0D0D" w:themeColor="text1" w:themeTint="F2"/>
                <w:spacing w:val="-4"/>
              </w:rPr>
              <w:t>,8 mld. korun</w:t>
            </w:r>
            <w:r>
              <w:rPr>
                <w:rFonts w:cs="Arial"/>
                <w:color w:val="0D0D0D" w:themeColor="text1" w:themeTint="F2"/>
                <w:spacing w:val="-4"/>
              </w:rPr>
              <w:t>. K</w:t>
            </w:r>
            <w:r w:rsidRPr="00F95DB9">
              <w:rPr>
                <w:rFonts w:cs="Arial"/>
                <w:color w:val="0D0D0D" w:themeColor="text1" w:themeTint="F2"/>
                <w:spacing w:val="-4"/>
              </w:rPr>
              <w:t xml:space="preserve">lesaly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(byť pomalejším tempem) 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>již čtvrtý rok</w:t>
            </w:r>
            <w:r w:rsidRPr="00F95DB9">
              <w:rPr>
                <w:rFonts w:cs="Arial"/>
                <w:color w:val="0D0D0D" w:themeColor="text1" w:themeTint="F2"/>
                <w:spacing w:val="-4"/>
              </w:rPr>
              <w:t xml:space="preserve"> v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F95DB9">
              <w:rPr>
                <w:rFonts w:cs="Arial"/>
                <w:color w:val="0D0D0D" w:themeColor="text1" w:themeTint="F2"/>
                <w:spacing w:val="-4"/>
              </w:rPr>
              <w:t>ř</w:t>
            </w:r>
            <w:r>
              <w:rPr>
                <w:rFonts w:cs="Arial"/>
                <w:color w:val="0D0D0D" w:themeColor="text1" w:themeTint="F2"/>
                <w:spacing w:val="-4"/>
              </w:rPr>
              <w:t>adě – v úhrnu tak byly nižší o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21,9</w:t>
            </w:r>
            <w:r w:rsidRPr="00F95DB9">
              <w:rPr>
                <w:rFonts w:cs="Arial"/>
                <w:color w:val="0D0D0D" w:themeColor="text1" w:themeTint="F2"/>
                <w:spacing w:val="-4"/>
              </w:rPr>
              <w:t xml:space="preserve"> %. Za poklesem stály nižší úrokové sazby na trhu se státními dluhopisy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 první polovině roku </w:t>
            </w:r>
            <w:r w:rsidRPr="00F95DB9">
              <w:rPr>
                <w:rFonts w:cs="Arial"/>
                <w:color w:val="0D0D0D" w:themeColor="text1" w:themeTint="F2"/>
                <w:spacing w:val="-4"/>
              </w:rPr>
              <w:t>a také slabší výpůjční potřeba státu (vlivem zlepšování salda hospodaření SR).</w:t>
            </w:r>
            <w:r w:rsidRPr="00A92D7D">
              <w:rPr>
                <w:rFonts w:cs="Arial"/>
                <w:color w:val="0D0D0D" w:themeColor="text1" w:themeTint="F2"/>
                <w:spacing w:val="-4"/>
              </w:rPr>
              <w:t xml:space="preserve"> Státní dluh v</w:t>
            </w:r>
            <w:r>
              <w:rPr>
                <w:rFonts w:cs="Arial"/>
                <w:color w:val="0D0D0D" w:themeColor="text1" w:themeTint="F2"/>
                <w:spacing w:val="-4"/>
              </w:rPr>
              <w:t> průběhu roku 2017 značně kolísal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 na konci prosince činil 1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625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 xml:space="preserve"> mld. korun, 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lastRenderedPageBreak/>
              <w:t>meziročně o </w:t>
            </w:r>
            <w:r>
              <w:rPr>
                <w:rFonts w:cs="Arial"/>
                <w:color w:val="0D0D0D" w:themeColor="text1" w:themeTint="F2"/>
                <w:spacing w:val="-4"/>
              </w:rPr>
              <w:t>0,7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více. Zatímco vnitřní zadluženost mírně vzrostla (+27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mld.), korunová hodnota vnějšího dluhu klesla již třetím rokem v řadě, neboť stát svou výpůjční potřebu realizoval</w:t>
            </w:r>
            <w:r w:rsidRPr="00B42A0C">
              <w:rPr>
                <w:rFonts w:cs="Arial"/>
                <w:color w:val="0D0D0D" w:themeColor="text1" w:themeTint="F2"/>
                <w:spacing w:val="-4"/>
              </w:rPr>
              <w:t xml:space="preserve"> výhradně na domácím trhu. V</w:t>
            </w:r>
            <w:r w:rsidRPr="00B42A0C">
              <w:rPr>
                <w:color w:val="0D0D0D" w:themeColor="text1" w:themeTint="F2"/>
                <w:spacing w:val="-4"/>
              </w:rPr>
              <w:t>nější dluh se tak na celkové zadluženosti státu podílel 1</w:t>
            </w:r>
            <w:r>
              <w:rPr>
                <w:color w:val="0D0D0D" w:themeColor="text1" w:themeTint="F2"/>
                <w:spacing w:val="-4"/>
              </w:rPr>
              <w:t>5,6 % a v rámci 4. čtvrtletí šlo</w:t>
            </w:r>
            <w:r w:rsidRPr="00B42A0C">
              <w:rPr>
                <w:color w:val="0D0D0D" w:themeColor="text1" w:themeTint="F2"/>
                <w:spacing w:val="-4"/>
              </w:rPr>
              <w:t xml:space="preserve"> </w:t>
            </w:r>
            <w:r w:rsidR="00AD6483">
              <w:rPr>
                <w:color w:val="0D0D0D" w:themeColor="text1" w:themeTint="F2"/>
                <w:spacing w:val="-4"/>
              </w:rPr>
              <w:t>o </w:t>
            </w:r>
            <w:r w:rsidRPr="00B42A0C">
              <w:rPr>
                <w:color w:val="0D0D0D" w:themeColor="text1" w:themeTint="F2"/>
                <w:spacing w:val="-4"/>
              </w:rPr>
              <w:t xml:space="preserve">nejnižší </w:t>
            </w:r>
            <w:r>
              <w:rPr>
                <w:color w:val="0D0D0D" w:themeColor="text1" w:themeTint="F2"/>
                <w:spacing w:val="-4"/>
              </w:rPr>
              <w:t xml:space="preserve">podíl </w:t>
            </w:r>
            <w:r w:rsidRPr="00B42A0C">
              <w:rPr>
                <w:color w:val="0D0D0D" w:themeColor="text1" w:themeTint="F2"/>
                <w:spacing w:val="-4"/>
              </w:rPr>
              <w:t>za posledních deset let.</w:t>
            </w:r>
            <w:r>
              <w:rPr>
                <w:color w:val="0D0D0D" w:themeColor="text1" w:themeTint="F2"/>
                <w:spacing w:val="-4"/>
              </w:rPr>
              <w:t xml:space="preserve"> V průběhu 4. čtvrtletí 2017 v souvislosti s odlivem spekulativního kapitálu výrazně klesl objem, ale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podíl korunových dluhopisů v držbě nerezidentů (z</w:t>
            </w:r>
            <w:r w:rsidR="00AD648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51,4</w:t>
            </w:r>
            <w:r w:rsidR="00AD6483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% na 41,6</w:t>
            </w:r>
            <w:r w:rsidR="00AD6483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%</w:t>
            </w:r>
            <w:r w:rsidR="00AD6483">
              <w:rPr>
                <w:color w:val="0D0D0D" w:themeColor="text1" w:themeTint="F2"/>
                <w:spacing w:val="-4"/>
              </w:rPr>
              <w:t>),</w:t>
            </w:r>
            <w:r>
              <w:rPr>
                <w:color w:val="0D0D0D" w:themeColor="text1" w:themeTint="F2"/>
                <w:spacing w:val="-4"/>
              </w:rPr>
              <w:t xml:space="preserve"> a vrátil s</w:t>
            </w:r>
            <w:r w:rsidR="00AD6483">
              <w:rPr>
                <w:color w:val="0D0D0D" w:themeColor="text1" w:themeTint="F2"/>
                <w:spacing w:val="-4"/>
              </w:rPr>
              <w:t>e tak na hodnotu z počátku roku</w:t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</w:p>
        </w:tc>
      </w:tr>
    </w:tbl>
    <w:p w:rsidR="005D7503" w:rsidRPr="00BD2DC3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5D7503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5D7503" w:rsidRPr="00AA4A76" w:rsidRDefault="005D7503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5D7503" w:rsidRPr="00AA4A76" w:rsidRDefault="005D7503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 22</w:t>
            </w:r>
          </w:p>
        </w:tc>
        <w:tc>
          <w:tcPr>
            <w:tcW w:w="3262" w:type="pct"/>
          </w:tcPr>
          <w:p w:rsidR="005D7503" w:rsidRPr="0007324C" w:rsidRDefault="005D7503" w:rsidP="00CF082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Vybrané výdaje státního rozpočtu </w:t>
            </w: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> mld.</w:t>
            </w:r>
            <w:r w:rsidRPr="00DB06E9">
              <w:rPr>
                <w:rFonts w:cs="Arial"/>
                <w:bCs/>
              </w:rPr>
              <w:t xml:space="preserve"> korun</w:t>
            </w:r>
            <w:r>
              <w:rPr>
                <w:rFonts w:cs="Arial"/>
                <w:bCs/>
              </w:rPr>
              <w:t>)</w:t>
            </w:r>
          </w:p>
        </w:tc>
      </w:tr>
      <w:tr w:rsidR="005D7503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5D7503" w:rsidRPr="006D3F53" w:rsidRDefault="005D7503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5D7503" w:rsidRPr="00A74192" w:rsidRDefault="005D7503" w:rsidP="00CF0826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5D7503" w:rsidRDefault="005D7503" w:rsidP="00CF082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FA7FB3">
              <w:rPr>
                <w:noProof/>
                <w:sz w:val="16"/>
                <w:szCs w:val="16"/>
              </w:rPr>
              <w:drawing>
                <wp:inline distT="0" distB="0" distL="0" distR="0">
                  <wp:extent cx="4760919" cy="3412044"/>
                  <wp:effectExtent l="19050" t="0" r="1581" b="0"/>
                  <wp:docPr id="4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D7503" w:rsidRDefault="005D7503" w:rsidP="00CF0826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bez úroků, záruk a ostatních</w:t>
            </w:r>
            <w:r w:rsidRPr="00C9521B">
              <w:rPr>
                <w:sz w:val="14"/>
                <w:szCs w:val="14"/>
              </w:rPr>
              <w:t xml:space="preserve"> finančních výdajů na státní dluh</w:t>
            </w:r>
          </w:p>
          <w:p w:rsidR="005D7503" w:rsidRDefault="005D7503" w:rsidP="00CF0826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 včetně dávek pěstounské péče</w:t>
            </w:r>
          </w:p>
          <w:p w:rsidR="005D7503" w:rsidRDefault="005D7503" w:rsidP="00CF0826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</w:t>
            </w:r>
          </w:p>
          <w:p w:rsidR="005D7503" w:rsidRPr="007E5880" w:rsidRDefault="005D7503" w:rsidP="00CF0826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o sociálních </w:t>
            </w:r>
            <w:proofErr w:type="gramStart"/>
            <w:r>
              <w:rPr>
                <w:sz w:val="14"/>
                <w:szCs w:val="14"/>
              </w:rPr>
              <w:t>službách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Zdroj</w:t>
            </w:r>
            <w:proofErr w:type="gramEnd"/>
            <w:r>
              <w:rPr>
                <w:rFonts w:cs="Arial"/>
                <w:sz w:val="14"/>
                <w:szCs w:val="14"/>
              </w:rPr>
              <w:t>: MF</w:t>
            </w:r>
            <w:r w:rsidRPr="007E5880">
              <w:rPr>
                <w:rFonts w:cs="Arial"/>
                <w:sz w:val="14"/>
                <w:szCs w:val="14"/>
              </w:rPr>
              <w:t>, MPSV</w:t>
            </w:r>
          </w:p>
        </w:tc>
      </w:tr>
    </w:tbl>
    <w:p w:rsidR="005D7503" w:rsidRDefault="005D7503" w:rsidP="005D7503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D7503" w:rsidRPr="00AD0FC0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Pr="00674567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Míra zadlužení celého sektoru vládních institucí dosáhla ve 3. čtvrtletí 35,1</w:t>
            </w:r>
            <w:r w:rsidR="00A851E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% HDP, meziročně se snížila téměř </w:t>
            </w:r>
            <w:r w:rsidR="00A851E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 desetinu.</w:t>
            </w: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734071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00000" w:themeColor="text1"/>
                <w:spacing w:val="-4"/>
              </w:rPr>
              <w:t>Konsolidovaný d</w:t>
            </w:r>
            <w:r w:rsidRPr="004739FE">
              <w:rPr>
                <w:color w:val="000000" w:themeColor="text1"/>
                <w:spacing w:val="-4"/>
              </w:rPr>
              <w:t>luh</w:t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celého </w:t>
            </w:r>
            <w:r w:rsidRPr="004739FE">
              <w:rPr>
                <w:color w:val="0D0D0D" w:themeColor="text1" w:themeTint="F2"/>
                <w:spacing w:val="-4"/>
              </w:rPr>
              <w:t>sektoru vládních institucí (zohledňující</w:t>
            </w:r>
            <w:r w:rsidRPr="004739FE">
              <w:rPr>
                <w:color w:val="000000" w:themeColor="text1"/>
                <w:spacing w:val="-4"/>
              </w:rPr>
              <w:t xml:space="preserve"> </w:t>
            </w:r>
            <w:r w:rsidRPr="0043535F">
              <w:rPr>
                <w:color w:val="000000" w:themeColor="text1"/>
                <w:spacing w:val="-4"/>
              </w:rPr>
              <w:t>i hospodaření územn</w:t>
            </w:r>
            <w:r w:rsidR="00A851ED">
              <w:rPr>
                <w:color w:val="000000" w:themeColor="text1"/>
                <w:spacing w:val="-4"/>
              </w:rPr>
              <w:t>ích</w:t>
            </w:r>
            <w:r w:rsidRPr="0043535F">
              <w:rPr>
                <w:color w:val="000000" w:themeColor="text1"/>
                <w:spacing w:val="-4"/>
              </w:rPr>
              <w:t xml:space="preserve"> správních celků či zdravotních pojišťoven) dosáhl d</w:t>
            </w:r>
            <w:r>
              <w:rPr>
                <w:color w:val="000000" w:themeColor="text1"/>
                <w:spacing w:val="-4"/>
              </w:rPr>
              <w:t>le aktuálních dat ČSÚ na konci 3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>letí 2017</w:t>
            </w:r>
            <w:r w:rsidRPr="0043535F">
              <w:rPr>
                <w:rStyle w:val="Znakapoznpodarou"/>
                <w:color w:val="000000" w:themeColor="text1"/>
                <w:spacing w:val="-4"/>
              </w:rPr>
              <w:footnoteReference w:id="12"/>
            </w:r>
            <w:r>
              <w:rPr>
                <w:color w:val="000000" w:themeColor="text1"/>
                <w:spacing w:val="-4"/>
              </w:rPr>
              <w:t xml:space="preserve"> výše 1</w:t>
            </w:r>
            <w:r w:rsidR="00A851ED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739</w:t>
            </w:r>
            <w:r w:rsidR="00A851ED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mld.</w:t>
            </w:r>
            <w:r w:rsidRPr="0043535F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korun. Míra zadlužení činila 35,1</w:t>
            </w:r>
            <w:r w:rsidR="006E635B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% HDP a</w:t>
            </w:r>
            <w:r w:rsidRPr="0043535F">
              <w:rPr>
                <w:color w:val="000000" w:themeColor="text1"/>
                <w:spacing w:val="-4"/>
              </w:rPr>
              <w:t> meziročně</w:t>
            </w:r>
            <w:r>
              <w:rPr>
                <w:color w:val="000000" w:themeColor="text1"/>
                <w:spacing w:val="-4"/>
              </w:rPr>
              <w:t xml:space="preserve"> klesla o</w:t>
            </w:r>
            <w:r w:rsidR="006E635B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3</w:t>
            </w:r>
            <w:r w:rsidRPr="0043535F">
              <w:rPr>
                <w:color w:val="000000" w:themeColor="text1"/>
                <w:spacing w:val="-4"/>
              </w:rPr>
              <w:t>,1</w:t>
            </w:r>
            <w:r w:rsidR="006E635B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p.</w:t>
            </w:r>
            <w:r w:rsidR="006E635B">
              <w:rPr>
                <w:color w:val="000000" w:themeColor="text1"/>
                <w:spacing w:val="-4"/>
              </w:rPr>
              <w:t> </w:t>
            </w:r>
            <w:proofErr w:type="spellStart"/>
            <w:r>
              <w:rPr>
                <w:color w:val="000000" w:themeColor="text1"/>
                <w:spacing w:val="-4"/>
              </w:rPr>
              <w:t>b</w:t>
            </w:r>
            <w:proofErr w:type="spellEnd"/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, k čemuž podobným dílem přispěly jak sníž</w:t>
            </w:r>
            <w:r w:rsidR="006E635B">
              <w:rPr>
                <w:color w:val="000000" w:themeColor="text1"/>
                <w:spacing w:val="-4"/>
              </w:rPr>
              <w:t xml:space="preserve">ení absolutní výše dluhu, tak </w:t>
            </w:r>
            <w:r>
              <w:rPr>
                <w:color w:val="000000" w:themeColor="text1"/>
                <w:spacing w:val="-4"/>
              </w:rPr>
              <w:t xml:space="preserve">růst nominálního HDP. Na redukci absolutní výše zadlužení se vedle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>ústřední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ch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vládní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ch institucí významně podílely také místní vládní instituce. V 1. až 3. čtvrtletí 2017 hospodařily vládní instituce s přebytkem 84</w:t>
            </w:r>
            <w:r w:rsidR="006E635B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mld. korun (o rok dříve 50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mld. korun). Kladné saldo, jakož i jeho meziroční zvýšení vykázaly všechny vládní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subsektory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. K navýšení celkového přebytku přispěly nejvíce ústřední vládní instituce.</w:t>
            </w:r>
          </w:p>
          <w:p w:rsidR="005D7503" w:rsidRPr="00751FC1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5D7503" w:rsidRPr="00AD0FC0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6C31B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Česko bylo čtvrtou relativně nejméně zadluženou zemí EU. </w:t>
            </w: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5D7503" w:rsidRPr="000939F9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0939F9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Tendence snižovat relativní zadluženost je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na úrovni celé</w:t>
            </w:r>
            <w:r w:rsidRPr="000939F9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 EU patrná od poloviny roku 2015, do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posud však probíhala</w:t>
            </w:r>
            <w:r w:rsidRPr="000939F9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jen velmi pozvolna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.</w:t>
            </w:r>
          </w:p>
          <w:p w:rsidR="005D7503" w:rsidRPr="006C31B4" w:rsidRDefault="005D7503" w:rsidP="00CF0826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4" w:type="pct"/>
          </w:tcPr>
          <w:p w:rsidR="005D7503" w:rsidRPr="00A90EFD" w:rsidRDefault="005D7503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D7503" w:rsidRPr="00573992" w:rsidRDefault="005D7503" w:rsidP="00CF0826">
            <w:pPr>
              <w:pStyle w:val="Textpoznpodarou"/>
              <w:jc w:val="both"/>
              <w:rPr>
                <w:rFonts w:cs="Arial"/>
                <w:bCs/>
                <w:iCs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Česko bylo na konci 3. čtvrtletí 2017 čtvrtou relativně nejméně zadluženou zemí EU (s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odstupem za Estonskem, Lucemburskem a Bulharskem). Šlo o dosud nejlepší postavení od vstupu ČR do EU. Míra zadluženosti v EU se od konce poslední recese – na rozdíl od Česka – významně nesnížila. Za poslední tři roky poklesla o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rovné 3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p.</w:t>
            </w:r>
            <w:r>
              <w:rPr>
                <w:color w:val="000000" w:themeColor="text1"/>
                <w:spacing w:val="-4"/>
              </w:rPr>
              <w:t>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., oproti 3.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čtvrtletí 2016 pouze o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0,4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 (na 82,5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HDP). Meziroční redukci zadluženosti signalizovalo 24 zemí Unie (o rok dříve 19). Postavení nejzadluženějších ekonomik se však zlepšilo jen minimálně. V Itálii a Francii, sužovaných vysokou nezaměstnaností, dokonce míra zadlužení narostla (o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2, resp.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1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meziročně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>). Maastrichtské dluhové kritérium (60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 HDP) splňovala jen třetina členů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Eurozóny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, z toho z</w:t>
            </w:r>
            <w:r w:rsidR="00CA2BF5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jádrových zemí (EU15) jen Lucembursko a Nizozemsko.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Snížit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svou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>zadluženost na úroveň blízk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ou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předkrizovému roku 2008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se dosud podařilo jen Německu, Švédsku a Maltě.</w:t>
            </w:r>
          </w:p>
        </w:tc>
      </w:tr>
    </w:tbl>
    <w:p w:rsidR="008A03DE" w:rsidRPr="00CE7158" w:rsidRDefault="008A03DE" w:rsidP="00293553">
      <w:pPr>
        <w:pStyle w:val="Textpoznpodarou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113A7A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27" w:rsidRDefault="00C67227" w:rsidP="00E71A58">
      <w:r>
        <w:separator/>
      </w:r>
    </w:p>
  </w:endnote>
  <w:endnote w:type="continuationSeparator" w:id="0">
    <w:p w:rsidR="00C67227" w:rsidRDefault="00C6722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FB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F4FB7" w:rsidRPr="005A21E0">
      <w:rPr>
        <w:rFonts w:ascii="Arial" w:hAnsi="Arial" w:cs="Arial"/>
        <w:sz w:val="16"/>
        <w:szCs w:val="16"/>
      </w:rPr>
      <w:fldChar w:fldCharType="separate"/>
    </w:r>
    <w:r w:rsidR="00113A7A">
      <w:rPr>
        <w:rFonts w:ascii="Arial" w:hAnsi="Arial" w:cs="Arial"/>
        <w:noProof/>
        <w:sz w:val="16"/>
        <w:szCs w:val="16"/>
      </w:rPr>
      <w:t>30</w:t>
    </w:r>
    <w:r w:rsidR="00BF4FB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BF4FB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BF4FB7" w:rsidRPr="00223E00">
      <w:rPr>
        <w:rFonts w:ascii="Arial" w:hAnsi="Arial" w:cs="Arial"/>
        <w:sz w:val="16"/>
        <w:szCs w:val="16"/>
      </w:rPr>
      <w:fldChar w:fldCharType="separate"/>
    </w:r>
    <w:r w:rsidR="00113A7A">
      <w:rPr>
        <w:rFonts w:ascii="Arial" w:hAnsi="Arial" w:cs="Arial"/>
        <w:noProof/>
        <w:sz w:val="16"/>
        <w:szCs w:val="16"/>
      </w:rPr>
      <w:t>29</w:t>
    </w:r>
    <w:r w:rsidR="00BF4FB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27" w:rsidRDefault="00C67227" w:rsidP="00E71A58">
      <w:r>
        <w:separator/>
      </w:r>
    </w:p>
  </w:footnote>
  <w:footnote w:type="continuationSeparator" w:id="0">
    <w:p w:rsidR="00C67227" w:rsidRDefault="00C67227" w:rsidP="00E71A58">
      <w:r>
        <w:continuationSeparator/>
      </w:r>
    </w:p>
  </w:footnote>
  <w:footnote w:id="1">
    <w:p w:rsidR="00522795" w:rsidRPr="00C47EB6" w:rsidRDefault="00522795" w:rsidP="005D7503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566703">
        <w:rPr>
          <w:rStyle w:val="Znakapoznpodarou"/>
          <w:spacing w:val="-2"/>
          <w:sz w:val="16"/>
          <w:szCs w:val="16"/>
        </w:rPr>
        <w:footnoteRef/>
      </w:r>
      <w:r w:rsidRPr="00566703">
        <w:rPr>
          <w:spacing w:val="-2"/>
          <w:sz w:val="16"/>
          <w:szCs w:val="16"/>
        </w:rPr>
        <w:t xml:space="preserve"> </w:t>
      </w:r>
      <w:r w:rsidRPr="00C47EB6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C47EB6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  <w:r w:rsidRPr="00C47EB6">
        <w:rPr>
          <w:color w:val="0D0D0D" w:themeColor="text1" w:themeTint="F2"/>
          <w:spacing w:val="-2"/>
          <w:sz w:val="16"/>
          <w:szCs w:val="16"/>
        </w:rPr>
        <w:t xml:space="preserve"> </w:t>
      </w:r>
    </w:p>
  </w:footnote>
  <w:footnote w:id="2">
    <w:p w:rsidR="00522795" w:rsidRPr="00C47EB6" w:rsidRDefault="00522795" w:rsidP="005D7503">
      <w:pPr>
        <w:pStyle w:val="Textpoznpodarou"/>
        <w:jc w:val="both"/>
        <w:rPr>
          <w:color w:val="0D0D0D" w:themeColor="text1" w:themeTint="F2"/>
          <w:spacing w:val="-3"/>
          <w:sz w:val="16"/>
          <w:szCs w:val="16"/>
        </w:rPr>
      </w:pPr>
      <w:r w:rsidRPr="00C47EB6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 w:rsidRPr="00C47EB6">
        <w:rPr>
          <w:color w:val="0D0D0D" w:themeColor="text1" w:themeTint="F2"/>
          <w:spacing w:val="-3"/>
          <w:sz w:val="16"/>
          <w:szCs w:val="16"/>
        </w:rPr>
        <w:t xml:space="preserve"> V úhrnu za prvních deset měsíců roku 2017 čítalo saldo +26,5 mld. korun. Během listopadu a prosince vzrostly kapitálové výdaje (o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C47EB6">
        <w:rPr>
          <w:color w:val="0D0D0D" w:themeColor="text1" w:themeTint="F2"/>
          <w:spacing w:val="-3"/>
          <w:sz w:val="16"/>
          <w:szCs w:val="16"/>
        </w:rPr>
        <w:t>30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C47EB6">
        <w:rPr>
          <w:color w:val="0D0D0D" w:themeColor="text1" w:themeTint="F2"/>
          <w:spacing w:val="-3"/>
          <w:sz w:val="16"/>
          <w:szCs w:val="16"/>
        </w:rPr>
        <w:t>mld. korun, na 81,6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C47EB6">
        <w:rPr>
          <w:color w:val="0D0D0D" w:themeColor="text1" w:themeTint="F2"/>
          <w:spacing w:val="-3"/>
          <w:sz w:val="16"/>
          <w:szCs w:val="16"/>
        </w:rPr>
        <w:t xml:space="preserve">mld.). Zrychlilo i tempo růstu výdajů na platy státních zaměstnanců, podobně jako neinvestiční výdaje podnikatelským subjektům či státním fondům. </w:t>
      </w:r>
    </w:p>
  </w:footnote>
  <w:footnote w:id="3">
    <w:p w:rsidR="00522795" w:rsidRPr="00C47EB6" w:rsidRDefault="00522795" w:rsidP="005D7503">
      <w:pPr>
        <w:pStyle w:val="Textpoznpodarou"/>
        <w:rPr>
          <w:i/>
          <w:color w:val="0D0D0D" w:themeColor="text1" w:themeTint="F2"/>
          <w:sz w:val="16"/>
          <w:szCs w:val="16"/>
        </w:rPr>
      </w:pPr>
      <w:r w:rsidRPr="00C47EB6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C47EB6">
        <w:rPr>
          <w:color w:val="0D0D0D" w:themeColor="text1" w:themeTint="F2"/>
          <w:spacing w:val="-2"/>
          <w:sz w:val="16"/>
          <w:szCs w:val="16"/>
        </w:rPr>
        <w:t xml:space="preserve"> Dle propočtů MF by saldo SR očištěné na příjmové i výdajové straně</w:t>
      </w:r>
      <w:r w:rsidRPr="00C47EB6">
        <w:rPr>
          <w:rStyle w:val="Zvraznn"/>
          <w:color w:val="0D0D0D" w:themeColor="text1" w:themeTint="F2"/>
          <w:spacing w:val="-2"/>
          <w:sz w:val="16"/>
          <w:szCs w:val="16"/>
        </w:rPr>
        <w:t xml:space="preserve"> </w:t>
      </w:r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o prostřed</w:t>
      </w:r>
      <w:r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ky na programy z rozpočtu EU a </w:t>
      </w:r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Finančních mechanismů (EHP a Norské fondy, Program švýcarsko-české spolupráce) v roce 2017 </w:t>
      </w:r>
      <w:proofErr w:type="gramStart"/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činilo </w:t>
      </w:r>
      <w:r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–</w:t>
      </w:r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1,3</w:t>
      </w:r>
      <w:proofErr w:type="gramEnd"/>
      <w:r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 </w:t>
      </w:r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mld. korun (o rok dříve </w:t>
      </w:r>
      <w:r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–</w:t>
      </w:r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13,6</w:t>
      </w:r>
      <w:r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 </w:t>
      </w:r>
      <w:r w:rsidRPr="00C47EB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mld.).</w:t>
      </w:r>
    </w:p>
  </w:footnote>
  <w:footnote w:id="4">
    <w:p w:rsidR="00522795" w:rsidRPr="00566703" w:rsidRDefault="00522795" w:rsidP="005D7503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 w:rsidRPr="00C47EB6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C47EB6">
        <w:rPr>
          <w:color w:val="0D0D0D" w:themeColor="text1" w:themeTint="F2"/>
          <w:spacing w:val="-4"/>
          <w:sz w:val="16"/>
          <w:szCs w:val="16"/>
        </w:rPr>
        <w:t xml:space="preserve"> Od 1.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C47EB6">
        <w:rPr>
          <w:color w:val="0D0D0D" w:themeColor="text1" w:themeTint="F2"/>
          <w:spacing w:val="-4"/>
          <w:sz w:val="16"/>
          <w:szCs w:val="16"/>
        </w:rPr>
        <w:t>1.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C47EB6">
        <w:rPr>
          <w:color w:val="0D0D0D" w:themeColor="text1" w:themeTint="F2"/>
          <w:spacing w:val="-4"/>
          <w:sz w:val="16"/>
          <w:szCs w:val="16"/>
        </w:rPr>
        <w:t>2017 klesl změnou rozpočtového určení daní podíl SR na celostátním výnosu DPH ze 70,25 % na 69,68 % ve prospěch obcí. Recipročně došlo (ve prospěch SR) k úpravě procentního podílu u výnosu daně z příjmu fyzických osob ze samostatné výdělečné činnosti.</w:t>
      </w:r>
    </w:p>
  </w:footnote>
  <w:footnote w:id="5">
    <w:p w:rsidR="00522795" w:rsidRPr="007F2E68" w:rsidRDefault="00522795" w:rsidP="005D7503">
      <w:pPr>
        <w:pStyle w:val="Textpoznpodarou"/>
        <w:rPr>
          <w:sz w:val="16"/>
          <w:szCs w:val="16"/>
        </w:rPr>
      </w:pPr>
      <w:r w:rsidRPr="007F2E68">
        <w:rPr>
          <w:rStyle w:val="Znakapoznpodarou"/>
          <w:sz w:val="16"/>
          <w:szCs w:val="16"/>
        </w:rPr>
        <w:footnoteRef/>
      </w:r>
      <w:r w:rsidRPr="007F2E68">
        <w:rPr>
          <w:sz w:val="16"/>
          <w:szCs w:val="16"/>
        </w:rPr>
        <w:t xml:space="preserve"> Téměř polovina z celoročního objemu investic byla čerpána v posledním čtvrtletí. Další čtvrtina pak připadala na 3. čtvrtletí</w:t>
      </w:r>
      <w:r>
        <w:rPr>
          <w:sz w:val="16"/>
          <w:szCs w:val="16"/>
        </w:rPr>
        <w:t xml:space="preserve"> 2017.</w:t>
      </w:r>
    </w:p>
  </w:footnote>
  <w:footnote w:id="6">
    <w:p w:rsidR="00522795" w:rsidRPr="002B6CE9" w:rsidRDefault="00522795" w:rsidP="005D7503">
      <w:pPr>
        <w:pStyle w:val="Textpoznpodarou"/>
        <w:jc w:val="both"/>
        <w:rPr>
          <w:sz w:val="16"/>
          <w:szCs w:val="16"/>
        </w:rPr>
      </w:pPr>
      <w:r w:rsidRPr="002B6CE9">
        <w:rPr>
          <w:rStyle w:val="Znakapoznpodarou"/>
          <w:sz w:val="16"/>
          <w:szCs w:val="16"/>
        </w:rPr>
        <w:footnoteRef/>
      </w:r>
      <w:r w:rsidRPr="002B6CE9">
        <w:rPr>
          <w:sz w:val="16"/>
          <w:szCs w:val="16"/>
        </w:rPr>
        <w:t xml:space="preserve"> Od 1.</w:t>
      </w:r>
      <w:r>
        <w:rPr>
          <w:sz w:val="16"/>
          <w:szCs w:val="16"/>
        </w:rPr>
        <w:t> </w:t>
      </w:r>
      <w:r w:rsidRPr="002B6CE9">
        <w:rPr>
          <w:sz w:val="16"/>
          <w:szCs w:val="16"/>
        </w:rPr>
        <w:t>září 2016 se navýšily platy pedagogům (+8</w:t>
      </w:r>
      <w:r>
        <w:rPr>
          <w:sz w:val="16"/>
          <w:szCs w:val="16"/>
        </w:rPr>
        <w:t> %</w:t>
      </w:r>
      <w:r w:rsidRPr="002B6CE9">
        <w:rPr>
          <w:sz w:val="16"/>
          <w:szCs w:val="16"/>
        </w:rPr>
        <w:t>), ale i nepedagogickým pracovníkům (+5</w:t>
      </w:r>
      <w:r>
        <w:rPr>
          <w:sz w:val="16"/>
          <w:szCs w:val="16"/>
        </w:rPr>
        <w:t> %) – ti dostali přidáno</w:t>
      </w:r>
      <w:r w:rsidRPr="002B6CE9">
        <w:rPr>
          <w:sz w:val="16"/>
          <w:szCs w:val="16"/>
        </w:rPr>
        <w:t xml:space="preserve"> také od 1.</w:t>
      </w:r>
      <w:r>
        <w:rPr>
          <w:sz w:val="16"/>
          <w:szCs w:val="16"/>
        </w:rPr>
        <w:t> </w:t>
      </w:r>
      <w:r w:rsidRPr="002B6CE9">
        <w:rPr>
          <w:sz w:val="16"/>
          <w:szCs w:val="16"/>
        </w:rPr>
        <w:t>července 2017 (o dalších 9,4</w:t>
      </w:r>
      <w:r>
        <w:rPr>
          <w:sz w:val="16"/>
          <w:szCs w:val="16"/>
        </w:rPr>
        <w:t> %</w:t>
      </w:r>
      <w:r w:rsidRPr="002B6CE9">
        <w:rPr>
          <w:sz w:val="16"/>
          <w:szCs w:val="16"/>
        </w:rPr>
        <w:t xml:space="preserve">). </w:t>
      </w:r>
      <w:r>
        <w:rPr>
          <w:sz w:val="16"/>
          <w:szCs w:val="16"/>
        </w:rPr>
        <w:t>Od 1. listopadu 2017 dále vzrostly platy i pedagogickým pracovníkům (+15 %).</w:t>
      </w:r>
    </w:p>
  </w:footnote>
  <w:footnote w:id="7">
    <w:p w:rsidR="00522795" w:rsidRPr="00E82336" w:rsidRDefault="00522795" w:rsidP="005D7503">
      <w:pPr>
        <w:pStyle w:val="Textpoznpodarou"/>
        <w:rPr>
          <w:sz w:val="16"/>
          <w:szCs w:val="16"/>
        </w:rPr>
      </w:pPr>
      <w:r w:rsidRPr="00E82336">
        <w:rPr>
          <w:rStyle w:val="Znakapoznpodarou"/>
          <w:sz w:val="16"/>
          <w:szCs w:val="16"/>
        </w:rPr>
        <w:footnoteRef/>
      </w:r>
      <w:r w:rsidRPr="00E82336">
        <w:rPr>
          <w:sz w:val="16"/>
          <w:szCs w:val="16"/>
        </w:rPr>
        <w:t xml:space="preserve"> </w:t>
      </w:r>
      <w:r>
        <w:rPr>
          <w:sz w:val="16"/>
          <w:szCs w:val="16"/>
        </w:rPr>
        <w:t>Je vyjádřen</w:t>
      </w:r>
      <w:r w:rsidRPr="00E82336">
        <w:rPr>
          <w:sz w:val="16"/>
          <w:szCs w:val="16"/>
        </w:rPr>
        <w:t xml:space="preserve"> jako 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rozdíl mezi příjmy a výdaji na důchody ze SR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(z předběžných údajů)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.</w:t>
      </w:r>
    </w:p>
  </w:footnote>
  <w:footnote w:id="8">
    <w:p w:rsidR="00522795" w:rsidRPr="00791F3A" w:rsidRDefault="00522795" w:rsidP="005D7503">
      <w:pPr>
        <w:pStyle w:val="Textpoznpodarou"/>
        <w:jc w:val="both"/>
        <w:rPr>
          <w:sz w:val="16"/>
          <w:szCs w:val="16"/>
        </w:rPr>
      </w:pPr>
      <w:r w:rsidRPr="001B736A">
        <w:rPr>
          <w:rStyle w:val="Znakapoznpodarou"/>
          <w:sz w:val="16"/>
          <w:szCs w:val="16"/>
        </w:rPr>
        <w:footnoteRef/>
      </w:r>
      <w:r w:rsidRPr="001B736A">
        <w:rPr>
          <w:sz w:val="16"/>
          <w:szCs w:val="16"/>
        </w:rPr>
        <w:t xml:space="preserve"> Přestože celkový počet neza</w:t>
      </w:r>
      <w:r>
        <w:rPr>
          <w:sz w:val="16"/>
          <w:szCs w:val="16"/>
        </w:rPr>
        <w:t>městnaných v evidenci ÚP o více než 100 tis. kles</w:t>
      </w:r>
      <w:r w:rsidRPr="001B736A">
        <w:rPr>
          <w:sz w:val="16"/>
          <w:szCs w:val="16"/>
        </w:rPr>
        <w:t>l, počet osob s náro</w:t>
      </w:r>
      <w:r>
        <w:rPr>
          <w:sz w:val="16"/>
          <w:szCs w:val="16"/>
        </w:rPr>
        <w:t>kem na podporu byl na konci prosince 2017 meziročně nižší jen o 17,3</w:t>
      </w:r>
      <w:r w:rsidRPr="001B736A">
        <w:rPr>
          <w:sz w:val="16"/>
          <w:szCs w:val="16"/>
        </w:rPr>
        <w:t xml:space="preserve"> tis</w:t>
      </w:r>
      <w:r>
        <w:rPr>
          <w:sz w:val="16"/>
          <w:szCs w:val="16"/>
        </w:rPr>
        <w:t>íce</w:t>
      </w:r>
      <w:r w:rsidRPr="001B736A">
        <w:rPr>
          <w:sz w:val="16"/>
          <w:szCs w:val="16"/>
        </w:rPr>
        <w:t xml:space="preserve">. Práci nacházeli ve větší míře hlavně dlouhodobě nezaměstnaní. Podíl uchazečů s nárokem na podporu v nezaměstnanosti se </w:t>
      </w:r>
      <w:r>
        <w:rPr>
          <w:sz w:val="16"/>
          <w:szCs w:val="16"/>
        </w:rPr>
        <w:t>tak mírně zvýšil na 30,5 % (z loňských 27,0 %</w:t>
      </w:r>
      <w:r w:rsidRPr="001B736A">
        <w:rPr>
          <w:sz w:val="16"/>
          <w:szCs w:val="16"/>
        </w:rPr>
        <w:t xml:space="preserve">). </w:t>
      </w:r>
      <w:r>
        <w:rPr>
          <w:sz w:val="16"/>
          <w:szCs w:val="16"/>
        </w:rPr>
        <w:t xml:space="preserve">Na konci roku 2017 činila průměrná </w:t>
      </w:r>
      <w:r w:rsidRPr="00791F3A">
        <w:rPr>
          <w:sz w:val="16"/>
          <w:szCs w:val="16"/>
        </w:rPr>
        <w:t>měsíční výše podpory 6 969 korun, o rok dříve 6 457 korun.</w:t>
      </w:r>
    </w:p>
  </w:footnote>
  <w:footnote w:id="9">
    <w:p w:rsidR="00522795" w:rsidRPr="00791F3A" w:rsidRDefault="00522795" w:rsidP="005D7503">
      <w:pPr>
        <w:pStyle w:val="Textpoznpodarou"/>
        <w:jc w:val="both"/>
        <w:rPr>
          <w:sz w:val="16"/>
          <w:szCs w:val="16"/>
        </w:rPr>
      </w:pPr>
      <w:r w:rsidRPr="00791F3A">
        <w:rPr>
          <w:rStyle w:val="Znakapoznpodarou"/>
          <w:sz w:val="16"/>
          <w:szCs w:val="16"/>
        </w:rPr>
        <w:footnoteRef/>
      </w:r>
      <w:r w:rsidRPr="00791F3A">
        <w:rPr>
          <w:sz w:val="16"/>
          <w:szCs w:val="16"/>
        </w:rPr>
        <w:t xml:space="preserve"> Vlivem silného růstu výběru pojistného (+10,7 %) zůstal </w:t>
      </w:r>
      <w:r>
        <w:rPr>
          <w:sz w:val="16"/>
          <w:szCs w:val="16"/>
        </w:rPr>
        <w:t xml:space="preserve">dle údajů MPSV </w:t>
      </w:r>
      <w:r w:rsidRPr="00791F3A">
        <w:rPr>
          <w:sz w:val="16"/>
          <w:szCs w:val="16"/>
        </w:rPr>
        <w:t>rozdíl mezi příjmy a výdaji v oblasti nemocenského pojištění v roce 2017 kladný (+3,1 mld. korun).</w:t>
      </w:r>
    </w:p>
  </w:footnote>
  <w:footnote w:id="10">
    <w:p w:rsidR="00522795" w:rsidRPr="00D842A8" w:rsidRDefault="00522795" w:rsidP="005D7503">
      <w:pPr>
        <w:pStyle w:val="Textpoznpodarou"/>
        <w:jc w:val="both"/>
        <w:rPr>
          <w:rFonts w:cs="Arial"/>
          <w:color w:val="0D0D0D" w:themeColor="text1" w:themeTint="F2"/>
          <w:spacing w:val="-4"/>
          <w:sz w:val="16"/>
          <w:szCs w:val="16"/>
        </w:rPr>
      </w:pPr>
      <w:r w:rsidRPr="00791F3A">
        <w:rPr>
          <w:rStyle w:val="Znakapoznpodarou"/>
          <w:spacing w:val="-4"/>
          <w:sz w:val="16"/>
          <w:szCs w:val="16"/>
        </w:rPr>
        <w:footnoteRef/>
      </w:r>
      <w:r w:rsidRPr="00791F3A">
        <w:rPr>
          <w:spacing w:val="-4"/>
          <w:sz w:val="16"/>
          <w:szCs w:val="16"/>
        </w:rPr>
        <w:t xml:space="preserve"> Zrychlení tempa růstu bylo způsobeno hlavně legislativní úpravou</w:t>
      </w:r>
      <w:r w:rsidRPr="00D842A8">
        <w:rPr>
          <w:spacing w:val="-4"/>
          <w:sz w:val="16"/>
          <w:szCs w:val="16"/>
        </w:rPr>
        <w:t>, která od 1.</w:t>
      </w:r>
      <w:r>
        <w:rPr>
          <w:spacing w:val="-4"/>
          <w:sz w:val="16"/>
          <w:szCs w:val="16"/>
        </w:rPr>
        <w:t> </w:t>
      </w:r>
      <w:r w:rsidRPr="00D842A8">
        <w:rPr>
          <w:spacing w:val="-4"/>
          <w:sz w:val="16"/>
          <w:szCs w:val="16"/>
        </w:rPr>
        <w:t>8.</w:t>
      </w:r>
      <w:r>
        <w:rPr>
          <w:spacing w:val="-4"/>
          <w:sz w:val="16"/>
          <w:szCs w:val="16"/>
        </w:rPr>
        <w:t> </w:t>
      </w:r>
      <w:r w:rsidRPr="00D842A8">
        <w:rPr>
          <w:spacing w:val="-4"/>
          <w:sz w:val="16"/>
          <w:szCs w:val="16"/>
        </w:rPr>
        <w:t>2016 navýšila příspěvek</w:t>
      </w:r>
      <w:r>
        <w:rPr>
          <w:spacing w:val="-4"/>
          <w:sz w:val="16"/>
          <w:szCs w:val="16"/>
        </w:rPr>
        <w:t xml:space="preserve"> ve všech stupních závislosti o </w:t>
      </w:r>
      <w:r w:rsidRPr="00D842A8">
        <w:rPr>
          <w:spacing w:val="-4"/>
          <w:sz w:val="16"/>
          <w:szCs w:val="16"/>
        </w:rPr>
        <w:t>10</w:t>
      </w:r>
      <w:r>
        <w:rPr>
          <w:spacing w:val="-4"/>
          <w:sz w:val="16"/>
          <w:szCs w:val="16"/>
        </w:rPr>
        <w:t> %.</w:t>
      </w:r>
    </w:p>
  </w:footnote>
  <w:footnote w:id="11">
    <w:p w:rsidR="00522795" w:rsidRPr="00A92D7D" w:rsidRDefault="00522795" w:rsidP="005D7503">
      <w:pPr>
        <w:pStyle w:val="Textpoznpodarou"/>
        <w:jc w:val="both"/>
        <w:rPr>
          <w:sz w:val="16"/>
          <w:szCs w:val="16"/>
        </w:rPr>
      </w:pPr>
      <w:r w:rsidRPr="00A92D7D">
        <w:rPr>
          <w:rStyle w:val="Znakapoznpodarou"/>
          <w:sz w:val="16"/>
          <w:szCs w:val="16"/>
        </w:rPr>
        <w:footnoteRef/>
      </w:r>
      <w:r w:rsidRPr="00A92D7D">
        <w:rPr>
          <w:sz w:val="16"/>
          <w:szCs w:val="16"/>
        </w:rPr>
        <w:t xml:space="preserve"> 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 xml:space="preserve">Během 1. čtvrtletí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dluh 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>vystoupal na</w:t>
      </w:r>
      <w:r w:rsidRPr="00A92D7D">
        <w:rPr>
          <w:spacing w:val="-2"/>
          <w:sz w:val="16"/>
          <w:szCs w:val="16"/>
        </w:rPr>
        <w:t xml:space="preserve"> 1 789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> mld.</w:t>
      </w:r>
      <w:r w:rsidRPr="00A92D7D">
        <w:rPr>
          <w:spacing w:val="-2"/>
          <w:sz w:val="16"/>
          <w:szCs w:val="16"/>
        </w:rPr>
        <w:t xml:space="preserve"> korun a zaznamenal nejrychlejší mezičtvrtletní růst od roku 2010 (+</w:t>
      </w:r>
      <w:r w:rsidRPr="00A92D7D">
        <w:rPr>
          <w:rFonts w:cs="Arial"/>
          <w:spacing w:val="-2"/>
          <w:sz w:val="16"/>
          <w:szCs w:val="16"/>
        </w:rPr>
        <w:t>11 %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>)</w:t>
      </w:r>
      <w:r w:rsidRPr="00A92D7D">
        <w:rPr>
          <w:spacing w:val="-2"/>
          <w:sz w:val="16"/>
          <w:szCs w:val="16"/>
        </w:rPr>
        <w:t xml:space="preserve">. Toto krátkodobé navýšení souviselo se specifickou situací na dluhopisovém trhu vlivem očekávání spojených s ukončením </w:t>
      </w:r>
      <w:r w:rsidRPr="00A92D7D">
        <w:rPr>
          <w:color w:val="000000" w:themeColor="text1"/>
          <w:spacing w:val="-4"/>
          <w:sz w:val="16"/>
          <w:szCs w:val="16"/>
        </w:rPr>
        <w:t>režimu devizových intervencí.</w:t>
      </w:r>
      <w:r>
        <w:rPr>
          <w:color w:val="000000" w:themeColor="text1"/>
          <w:spacing w:val="-4"/>
          <w:sz w:val="16"/>
          <w:szCs w:val="16"/>
        </w:rPr>
        <w:t xml:space="preserve"> V roce 2017 byly prodány státní dluhopisy za záporný výnos v hodnotě 493 mld. korun, z nichž byly získány dodatečné příjmy do státního rozpočtu ve výši 1,2 mld. Podíl státního dluhu, se kterým nejsou spojeny žádné úrokové výdaje, stoupl během roku 2017 z 12,0 % na 15,2 %.</w:t>
      </w:r>
    </w:p>
  </w:footnote>
  <w:footnote w:id="12">
    <w:p w:rsidR="00522795" w:rsidRPr="00E9220F" w:rsidRDefault="00522795" w:rsidP="005D7503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Předběžné údaje o dluhu a deficitu</w:t>
      </w:r>
      <w:r>
        <w:rPr>
          <w:color w:val="0D0D0D" w:themeColor="text1" w:themeTint="F2"/>
          <w:spacing w:val="-2"/>
          <w:sz w:val="16"/>
          <w:szCs w:val="16"/>
        </w:rPr>
        <w:t xml:space="preserve"> sektoru vládních institucí za celý rok 2017 zveřejní ČSÚ 4. dubna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2018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, </w:t>
      </w:r>
      <w:proofErr w:type="spellStart"/>
      <w:r w:rsidRPr="00E9220F">
        <w:rPr>
          <w:color w:val="0D0D0D" w:themeColor="text1" w:themeTint="F2"/>
          <w:spacing w:val="-2"/>
          <w:sz w:val="16"/>
          <w:szCs w:val="16"/>
        </w:rPr>
        <w:t>Eurostat</w:t>
      </w:r>
      <w:proofErr w:type="spellEnd"/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24</w:t>
      </w:r>
      <w:r w:rsidRPr="00E9220F">
        <w:rPr>
          <w:color w:val="0D0D0D" w:themeColor="text1" w:themeTint="F2"/>
          <w:spacing w:val="-2"/>
          <w:sz w:val="16"/>
          <w:szCs w:val="16"/>
        </w:rPr>
        <w:t>.</w:t>
      </w:r>
      <w:r>
        <w:rPr>
          <w:color w:val="0D0D0D" w:themeColor="text1" w:themeTint="F2"/>
          <w:spacing w:val="-2"/>
          <w:sz w:val="16"/>
          <w:szCs w:val="16"/>
        </w:rPr>
        <w:t xml:space="preserve"> dubna 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F1914"/>
    <w:multiLevelType w:val="hybridMultilevel"/>
    <w:tmpl w:val="C71E4E0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21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20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1"/>
  </w:num>
  <w:num w:numId="21">
    <w:abstractNumId w:val="13"/>
  </w:num>
  <w:num w:numId="22">
    <w:abstractNumId w:val="15"/>
  </w:num>
  <w:num w:numId="23">
    <w:abstractNumId w:val="4"/>
  </w:num>
  <w:num w:numId="24">
    <w:abstractNumId w:val="7"/>
  </w:num>
  <w:num w:numId="2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3A7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099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4FB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227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Grafy-st&#225;tn&#237;%20rozpo&#269;et-rok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Grafy-st&#225;tn&#237;%20rozpo&#269;et-rok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Grafy-st&#225;tn&#237;%20rozpo&#269;et-rok-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Grafy-st&#225;tn&#237;%20rozpo&#269;et-rok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43E-2"/>
          <c:w val="0.90191712370541821"/>
          <c:h val="0.80441990809425656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 1'!$A$40</c:f>
              <c:strCache>
                <c:ptCount val="1"/>
                <c:pt idx="0">
                  <c:v>Saldo státního rozpočtu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</c:spP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1'!$B$40:$N$40</c:f>
              <c:numCache>
                <c:formatCode>#,##0.0</c:formatCode>
                <c:ptCount val="13"/>
                <c:pt idx="0">
                  <c:v>-56.36</c:v>
                </c:pt>
                <c:pt idx="1">
                  <c:v>-97.3</c:v>
                </c:pt>
                <c:pt idx="2">
                  <c:v>-66.391999999999996</c:v>
                </c:pt>
                <c:pt idx="3">
                  <c:v>-20.003</c:v>
                </c:pt>
                <c:pt idx="4">
                  <c:v>-192.39400000000001</c:v>
                </c:pt>
                <c:pt idx="5">
                  <c:v>-156.416</c:v>
                </c:pt>
                <c:pt idx="6">
                  <c:v>-142.77099999999999</c:v>
                </c:pt>
                <c:pt idx="7">
                  <c:v>-101</c:v>
                </c:pt>
                <c:pt idx="8">
                  <c:v>-81.263999999999996</c:v>
                </c:pt>
                <c:pt idx="9">
                  <c:v>-77.78</c:v>
                </c:pt>
                <c:pt idx="10">
                  <c:v>-62.8</c:v>
                </c:pt>
                <c:pt idx="11">
                  <c:v>61.77</c:v>
                </c:pt>
                <c:pt idx="12">
                  <c:v>-6.1499999999999995</c:v>
                </c:pt>
              </c:numCache>
            </c:numRef>
          </c:val>
        </c:ser>
        <c:gapWidth val="43"/>
        <c:axId val="167859328"/>
        <c:axId val="167848960"/>
      </c:barChart>
      <c:lineChart>
        <c:grouping val="standard"/>
        <c:ser>
          <c:idx val="0"/>
          <c:order val="0"/>
          <c:tx>
            <c:strRef>
              <c:f>'Státní rozpočet 1'!$A$36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1'!$B$36:$N$36</c:f>
              <c:numCache>
                <c:formatCode>0.0</c:formatCode>
                <c:ptCount val="13"/>
                <c:pt idx="0">
                  <c:v>13.1556086437181</c:v>
                </c:pt>
                <c:pt idx="1">
                  <c:v>4.4959454920589224</c:v>
                </c:pt>
                <c:pt idx="2">
                  <c:v>8.540729176232901</c:v>
                </c:pt>
                <c:pt idx="3">
                  <c:v>7.9575260174295455</c:v>
                </c:pt>
                <c:pt idx="4">
                  <c:v>-0.61914651828049316</c:v>
                </c:pt>
                <c:pt idx="5">
                  <c:v>6.2852411182524524</c:v>
                </c:pt>
                <c:pt idx="6">
                  <c:v>2.1665739194954341</c:v>
                </c:pt>
                <c:pt idx="7">
                  <c:v>1.0312647518065459</c:v>
                </c:pt>
                <c:pt idx="8">
                  <c:v>10.865111598318032</c:v>
                </c:pt>
                <c:pt idx="9">
                  <c:v>4.6748362834727395</c:v>
                </c:pt>
                <c:pt idx="10">
                  <c:v>2.775024777006966</c:v>
                </c:pt>
                <c:pt idx="11">
                  <c:v>5.3881388621022355</c:v>
                </c:pt>
                <c:pt idx="12">
                  <c:v>9.138739563079028</c:v>
                </c:pt>
              </c:numCache>
            </c:numRef>
          </c:val>
        </c:ser>
        <c:ser>
          <c:idx val="1"/>
          <c:order val="1"/>
          <c:tx>
            <c:strRef>
              <c:f>'Státní rozpočet 1'!$A$37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1'!$B$37:$N$37</c:f>
              <c:numCache>
                <c:formatCode>0.0</c:formatCode>
                <c:ptCount val="13"/>
                <c:pt idx="0">
                  <c:v>15.148989372785994</c:v>
                </c:pt>
                <c:pt idx="1">
                  <c:v>8.1704668838219767</c:v>
                </c:pt>
                <c:pt idx="2">
                  <c:v>16.227519866164599</c:v>
                </c:pt>
                <c:pt idx="3">
                  <c:v>-4.2605253688376745</c:v>
                </c:pt>
                <c:pt idx="4">
                  <c:v>-1.473351875516798</c:v>
                </c:pt>
                <c:pt idx="5">
                  <c:v>5.4932478828107696</c:v>
                </c:pt>
                <c:pt idx="6">
                  <c:v>6.0099804729876354</c:v>
                </c:pt>
                <c:pt idx="7">
                  <c:v>0.13644426251875091</c:v>
                </c:pt>
                <c:pt idx="8">
                  <c:v>-2.2891402098378602</c:v>
                </c:pt>
                <c:pt idx="9">
                  <c:v>-1.4712034583739826</c:v>
                </c:pt>
                <c:pt idx="10">
                  <c:v>6.5034321704055005</c:v>
                </c:pt>
                <c:pt idx="11">
                  <c:v>5.1362126245847124</c:v>
                </c:pt>
                <c:pt idx="12">
                  <c:v>2.9071604626177252</c:v>
                </c:pt>
              </c:numCache>
            </c:numRef>
          </c:val>
        </c:ser>
        <c:ser>
          <c:idx val="3"/>
          <c:order val="2"/>
          <c:tx>
            <c:strRef>
              <c:f>'Státní rozpočet 1'!$A$38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1'!$B$38:$N$38</c:f>
              <c:numCache>
                <c:formatCode>0.0</c:formatCode>
                <c:ptCount val="13"/>
                <c:pt idx="0">
                  <c:v>7.8339666764103955</c:v>
                </c:pt>
                <c:pt idx="1">
                  <c:v>0.86744375169422483</c:v>
                </c:pt>
                <c:pt idx="2">
                  <c:v>13.222252082773448</c:v>
                </c:pt>
                <c:pt idx="3">
                  <c:v>-8.8693725769444267</c:v>
                </c:pt>
                <c:pt idx="4">
                  <c:v>-3.5943740232679402</c:v>
                </c:pt>
                <c:pt idx="5">
                  <c:v>0.72046109510085898</c:v>
                </c:pt>
                <c:pt idx="6">
                  <c:v>6.7328326180257445</c:v>
                </c:pt>
                <c:pt idx="7">
                  <c:v>0.35184719778837348</c:v>
                </c:pt>
                <c:pt idx="8">
                  <c:v>5.2925953752399755</c:v>
                </c:pt>
                <c:pt idx="9">
                  <c:v>3.7580274320145861</c:v>
                </c:pt>
                <c:pt idx="10">
                  <c:v>4.0116145793535445</c:v>
                </c:pt>
                <c:pt idx="11">
                  <c:v>9.7487511019687254</c:v>
                </c:pt>
                <c:pt idx="12">
                  <c:v>13.287368632438502</c:v>
                </c:pt>
              </c:numCache>
            </c:numRef>
          </c:val>
        </c:ser>
        <c:ser>
          <c:idx val="4"/>
          <c:order val="3"/>
          <c:tx>
            <c:strRef>
              <c:f>'Státní rozpočet 1'!$A$39</c:f>
              <c:strCache>
                <c:ptCount val="1"/>
                <c:pt idx="0">
                  <c:v>Daně z příjmů PO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1'!$B$39:$N$39</c:f>
              <c:numCache>
                <c:formatCode>0.0</c:formatCode>
                <c:ptCount val="13"/>
                <c:pt idx="0">
                  <c:v>26.9635844341305</c:v>
                </c:pt>
                <c:pt idx="1">
                  <c:v>-4.7873462214411324</c:v>
                </c:pt>
                <c:pt idx="2">
                  <c:v>20.193443591258116</c:v>
                </c:pt>
                <c:pt idx="3">
                  <c:v>12.113766201855157</c:v>
                </c:pt>
                <c:pt idx="4">
                  <c:v>-34.469344145526264</c:v>
                </c:pt>
                <c:pt idx="5">
                  <c:v>3.5618729096989967</c:v>
                </c:pt>
                <c:pt idx="6">
                  <c:v>-4.6423381236880354</c:v>
                </c:pt>
                <c:pt idx="7">
                  <c:v>8.3735500804335032</c:v>
                </c:pt>
                <c:pt idx="8">
                  <c:v>-5.6874999999999956</c:v>
                </c:pt>
                <c:pt idx="9">
                  <c:v>9.6752816434725109</c:v>
                </c:pt>
                <c:pt idx="10">
                  <c:v>11.412386706948718</c:v>
                </c:pt>
                <c:pt idx="11">
                  <c:v>11.667005626737165</c:v>
                </c:pt>
                <c:pt idx="12">
                  <c:v>3.6000485672656595</c:v>
                </c:pt>
              </c:numCache>
            </c:numRef>
          </c:val>
        </c:ser>
        <c:marker val="1"/>
        <c:axId val="167350272"/>
        <c:axId val="167845888"/>
      </c:lineChart>
      <c:catAx>
        <c:axId val="16735027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67845888"/>
        <c:crosses val="autoZero"/>
        <c:auto val="1"/>
        <c:lblAlgn val="ctr"/>
        <c:lblOffset val="0"/>
      </c:catAx>
      <c:valAx>
        <c:axId val="167845888"/>
        <c:scaling>
          <c:orientation val="minMax"/>
          <c:max val="30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7350272"/>
        <c:crosses val="autoZero"/>
        <c:crossBetween val="between"/>
        <c:majorUnit val="5"/>
      </c:valAx>
      <c:valAx>
        <c:axId val="167848960"/>
        <c:scaling>
          <c:orientation val="minMax"/>
          <c:max val="150"/>
          <c:min val="-200"/>
        </c:scaling>
        <c:axPos val="r"/>
        <c:numFmt formatCode="#,##0" sourceLinked="0"/>
        <c:tickLblPos val="nextTo"/>
        <c:crossAx val="167859328"/>
        <c:crosses val="max"/>
        <c:crossBetween val="between"/>
        <c:majorUnit val="25"/>
      </c:valAx>
      <c:catAx>
        <c:axId val="167859328"/>
        <c:scaling>
          <c:orientation val="minMax"/>
        </c:scaling>
        <c:delete val="1"/>
        <c:axPos val="b"/>
        <c:tickLblPos val="none"/>
        <c:crossAx val="16784896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78156565656246E-2"/>
          <c:y val="0.87269019274377524"/>
          <c:w val="0.88108922558922553"/>
          <c:h val="0.1201102607709752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5885856591416561E-2"/>
          <c:y val="2.1967687074830006E-2"/>
          <c:w val="0.92164178636878447"/>
          <c:h val="0.79758786848072549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2'!$A$39</c:f>
              <c:strCache>
                <c:ptCount val="1"/>
                <c:pt idx="0">
                  <c:v>Strukturální fondy</c:v>
                </c:pt>
              </c:strCache>
            </c:strRef>
          </c:tx>
          <c:spPr>
            <a:solidFill>
              <a:srgbClr val="BD1B25"/>
            </a:solidFill>
            <a:ln>
              <a:noFill/>
            </a:ln>
          </c:spPr>
          <c:cat>
            <c:numRef>
              <c:f>'Státní rozpočet 2'!$B$38:$N$38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2'!$B$39:$N$39</c:f>
              <c:numCache>
                <c:formatCode>#,##0.0</c:formatCode>
                <c:ptCount val="13"/>
                <c:pt idx="0">
                  <c:v>4.4123665769599745</c:v>
                </c:pt>
                <c:pt idx="1">
                  <c:v>7.1633856882119682</c:v>
                </c:pt>
                <c:pt idx="2">
                  <c:v>21.116304846792957</c:v>
                </c:pt>
                <c:pt idx="3">
                  <c:v>27.054443506608962</c:v>
                </c:pt>
                <c:pt idx="4">
                  <c:v>32.764587240562051</c:v>
                </c:pt>
                <c:pt idx="5">
                  <c:v>40.619410000000002</c:v>
                </c:pt>
                <c:pt idx="6">
                  <c:v>42.454847750173442</c:v>
                </c:pt>
                <c:pt idx="7">
                  <c:v>44.317030145591225</c:v>
                </c:pt>
                <c:pt idx="8">
                  <c:v>56.533247644358177</c:v>
                </c:pt>
                <c:pt idx="9">
                  <c:v>57.303112398046913</c:v>
                </c:pt>
                <c:pt idx="10">
                  <c:v>109.92965235829206</c:v>
                </c:pt>
                <c:pt idx="11">
                  <c:v>48.210545255019021</c:v>
                </c:pt>
                <c:pt idx="12">
                  <c:v>32.965705627111213</c:v>
                </c:pt>
              </c:numCache>
            </c:numRef>
          </c:val>
        </c:ser>
        <c:ser>
          <c:idx val="1"/>
          <c:order val="1"/>
          <c:tx>
            <c:strRef>
              <c:f>'Státní rozpočet 2'!$A$40</c:f>
              <c:strCache>
                <c:ptCount val="1"/>
                <c:pt idx="0">
                  <c:v>Fond soudržnosti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cat>
            <c:numRef>
              <c:f>'Státní rozpočet 2'!$B$38:$N$38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2'!$B$40:$N$40</c:f>
              <c:numCache>
                <c:formatCode>#,##0.0</c:formatCode>
                <c:ptCount val="13"/>
                <c:pt idx="0">
                  <c:v>2.3760864943999769</c:v>
                </c:pt>
                <c:pt idx="1">
                  <c:v>6.1369082624399756</c:v>
                </c:pt>
                <c:pt idx="2">
                  <c:v>6.4491126000000003</c:v>
                </c:pt>
                <c:pt idx="3">
                  <c:v>14.851307279303777</c:v>
                </c:pt>
                <c:pt idx="4">
                  <c:v>19.142700914047026</c:v>
                </c:pt>
                <c:pt idx="5">
                  <c:v>14.83794</c:v>
                </c:pt>
                <c:pt idx="6">
                  <c:v>1.0006079238812939</c:v>
                </c:pt>
                <c:pt idx="7">
                  <c:v>36.973114268359282</c:v>
                </c:pt>
                <c:pt idx="8">
                  <c:v>35.920021817604372</c:v>
                </c:pt>
                <c:pt idx="9">
                  <c:v>24.830230876574589</c:v>
                </c:pt>
                <c:pt idx="10">
                  <c:v>47.478337172235072</c:v>
                </c:pt>
                <c:pt idx="11">
                  <c:v>39.746769959372003</c:v>
                </c:pt>
                <c:pt idx="12">
                  <c:v>31.124818884783199</c:v>
                </c:pt>
              </c:numCache>
            </c:numRef>
          </c:val>
        </c:ser>
        <c:ser>
          <c:idx val="2"/>
          <c:order val="2"/>
          <c:tx>
            <c:strRef>
              <c:f>'Státní rozpočet 2'!$A$41</c:f>
              <c:strCache>
                <c:ptCount val="1"/>
                <c:pt idx="0">
                  <c:v>Přímé platby v zemědělství*</c:v>
                </c:pt>
              </c:strCache>
            </c:strRef>
          </c:tx>
          <c:spPr>
            <a:solidFill>
              <a:srgbClr val="47AEE7"/>
            </a:solidFill>
            <a:ln>
              <a:noFill/>
            </a:ln>
          </c:spPr>
          <c:cat>
            <c:numRef>
              <c:f>'Státní rozpočet 2'!$B$38:$N$38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2'!$B$41:$N$41</c:f>
              <c:numCache>
                <c:formatCode>#,##0.0</c:formatCode>
                <c:ptCount val="13"/>
                <c:pt idx="0">
                  <c:v>8.4001158167300005</c:v>
                </c:pt>
                <c:pt idx="1">
                  <c:v>9.2691018341200024</c:v>
                </c:pt>
                <c:pt idx="2">
                  <c:v>9.1230810208661186</c:v>
                </c:pt>
                <c:pt idx="3">
                  <c:v>9.2205451040404185</c:v>
                </c:pt>
                <c:pt idx="4">
                  <c:v>13.469158734599551</c:v>
                </c:pt>
                <c:pt idx="5">
                  <c:v>15.109960000000001</c:v>
                </c:pt>
                <c:pt idx="6">
                  <c:v>16.503768791381287</c:v>
                </c:pt>
                <c:pt idx="7">
                  <c:v>19.068706411758626</c:v>
                </c:pt>
                <c:pt idx="8">
                  <c:v>21.656415013433495</c:v>
                </c:pt>
                <c:pt idx="9">
                  <c:v>24.611693796169373</c:v>
                </c:pt>
                <c:pt idx="10">
                  <c:v>24.459875117348901</c:v>
                </c:pt>
                <c:pt idx="11">
                  <c:v>23.029869848496595</c:v>
                </c:pt>
                <c:pt idx="12">
                  <c:v>22.535048320524787</c:v>
                </c:pt>
              </c:numCache>
            </c:numRef>
          </c:val>
        </c:ser>
        <c:ser>
          <c:idx val="3"/>
          <c:order val="3"/>
          <c:tx>
            <c:strRef>
              <c:f>'Státní rozpočet 2'!$A$42</c:f>
              <c:strCache>
                <c:ptCount val="1"/>
                <c:pt idx="0">
                  <c:v>Rozvoj venkova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cat>
            <c:numRef>
              <c:f>'Státní rozpočet 2'!$B$38:$N$38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2'!$B$42:$N$42</c:f>
              <c:numCache>
                <c:formatCode>#,##0.0</c:formatCode>
                <c:ptCount val="13"/>
                <c:pt idx="0">
                  <c:v>4.3391509744000007</c:v>
                </c:pt>
                <c:pt idx="1">
                  <c:v>4.9818796020600375</c:v>
                </c:pt>
                <c:pt idx="2">
                  <c:v>8.5034302857945008</c:v>
                </c:pt>
                <c:pt idx="3">
                  <c:v>5.3506080876543924</c:v>
                </c:pt>
                <c:pt idx="4">
                  <c:v>9.6977976768652567</c:v>
                </c:pt>
                <c:pt idx="5">
                  <c:v>11.243359999999999</c:v>
                </c:pt>
                <c:pt idx="6">
                  <c:v>9.9614397561765546</c:v>
                </c:pt>
                <c:pt idx="7">
                  <c:v>10.65403796237409</c:v>
                </c:pt>
                <c:pt idx="8">
                  <c:v>9.5903583937878487</c:v>
                </c:pt>
                <c:pt idx="9">
                  <c:v>7.7010185247794691</c:v>
                </c:pt>
                <c:pt idx="10">
                  <c:v>6.5632254156874108</c:v>
                </c:pt>
                <c:pt idx="11">
                  <c:v>9.3056681374391967</c:v>
                </c:pt>
                <c:pt idx="12">
                  <c:v>6.8198793311826993</c:v>
                </c:pt>
              </c:numCache>
            </c:numRef>
          </c:val>
        </c:ser>
        <c:ser>
          <c:idx val="4"/>
          <c:order val="4"/>
          <c:tx>
            <c:strRef>
              <c:f>'Státní rozpočet 2'!$A$43</c:f>
              <c:strCache>
                <c:ptCount val="1"/>
                <c:pt idx="0">
                  <c:v>Ostatní příjmy</c:v>
                </c:pt>
              </c:strCache>
            </c:strRef>
          </c:tx>
          <c:spPr>
            <a:solidFill>
              <a:srgbClr val="BFBFBF"/>
            </a:solidFill>
            <a:ln>
              <a:noFill/>
            </a:ln>
          </c:spPr>
          <c:cat>
            <c:numRef>
              <c:f>'Státní rozpočet 2'!$B$38:$N$38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2'!$B$43:$N$43</c:f>
              <c:numCache>
                <c:formatCode>#,##0.0</c:formatCode>
                <c:ptCount val="13"/>
                <c:pt idx="0">
                  <c:v>13.154089376000064</c:v>
                </c:pt>
                <c:pt idx="1">
                  <c:v>9.7590691246000016</c:v>
                </c:pt>
                <c:pt idx="2">
                  <c:v>2.122935653916</c:v>
                </c:pt>
                <c:pt idx="3">
                  <c:v>2.7450628739981378</c:v>
                </c:pt>
                <c:pt idx="4">
                  <c:v>3.0715704455996997</c:v>
                </c:pt>
                <c:pt idx="5">
                  <c:v>3.206808129230776</c:v>
                </c:pt>
                <c:pt idx="6">
                  <c:v>2.5927529258200592</c:v>
                </c:pt>
                <c:pt idx="7">
                  <c:v>1.9634601788174999</c:v>
                </c:pt>
                <c:pt idx="8">
                  <c:v>2.7149471946952377</c:v>
                </c:pt>
                <c:pt idx="9">
                  <c:v>5.3475363946925221</c:v>
                </c:pt>
                <c:pt idx="10">
                  <c:v>3.4961593460097227</c:v>
                </c:pt>
                <c:pt idx="11">
                  <c:v>4.5246595533158755</c:v>
                </c:pt>
                <c:pt idx="12">
                  <c:v>4.4069946376209455</c:v>
                </c:pt>
              </c:numCache>
            </c:numRef>
          </c:val>
        </c:ser>
        <c:gapWidth val="39"/>
        <c:overlap val="100"/>
        <c:axId val="175770624"/>
        <c:axId val="180205056"/>
      </c:barChart>
      <c:lineChart>
        <c:grouping val="standard"/>
        <c:ser>
          <c:idx val="5"/>
          <c:order val="5"/>
          <c:tx>
            <c:strRef>
              <c:f>'Státní rozpočet 2'!$A$44</c:f>
              <c:strCache>
                <c:ptCount val="1"/>
                <c:pt idx="0">
                  <c:v>Čistá pozice vůči rozpočtu EU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'Státní rozpočet 2'!$B$38:$N$38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2'!$B$44:$N$44</c:f>
              <c:numCache>
                <c:formatCode>#,##0.0</c:formatCode>
                <c:ptCount val="13"/>
                <c:pt idx="0">
                  <c:v>1.9779110718699995</c:v>
                </c:pt>
                <c:pt idx="1">
                  <c:v>6.908048532141998</c:v>
                </c:pt>
                <c:pt idx="2">
                  <c:v>15.192764407369573</c:v>
                </c:pt>
                <c:pt idx="3">
                  <c:v>23.773366851605584</c:v>
                </c:pt>
                <c:pt idx="4">
                  <c:v>42.317715011673357</c:v>
                </c:pt>
                <c:pt idx="5">
                  <c:v>47.917408129230459</c:v>
                </c:pt>
                <c:pt idx="6">
                  <c:v>30.770247147433022</c:v>
                </c:pt>
                <c:pt idx="7">
                  <c:v>73.129787229670228</c:v>
                </c:pt>
                <c:pt idx="8">
                  <c:v>84.753656527119333</c:v>
                </c:pt>
                <c:pt idx="9">
                  <c:v>75.317574780103399</c:v>
                </c:pt>
                <c:pt idx="10">
                  <c:v>150.02804750760532</c:v>
                </c:pt>
                <c:pt idx="11">
                  <c:v>80.627095328612668</c:v>
                </c:pt>
                <c:pt idx="12">
                  <c:v>55.443297501582471</c:v>
                </c:pt>
              </c:numCache>
            </c:numRef>
          </c:val>
        </c:ser>
        <c:marker val="1"/>
        <c:axId val="175770624"/>
        <c:axId val="180205056"/>
      </c:lineChart>
      <c:catAx>
        <c:axId val="1757706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80205056"/>
        <c:crosses val="autoZero"/>
        <c:auto val="1"/>
        <c:lblAlgn val="ctr"/>
        <c:lblOffset val="20"/>
      </c:catAx>
      <c:valAx>
        <c:axId val="180205056"/>
        <c:scaling>
          <c:orientation val="minMax"/>
          <c:max val="200"/>
          <c:min val="0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75770624"/>
        <c:crosses val="autoZero"/>
        <c:crossBetween val="between"/>
        <c:majorUnit val="10"/>
      </c:valAx>
      <c:spPr>
        <a:ln>
          <a:solidFill>
            <a:schemeClr val="tx1">
              <a:lumMod val="95000"/>
              <a:lumOff val="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6.3517658206840313E-2"/>
          <c:y val="0.86898582766441612"/>
          <c:w val="0.92018571517242886"/>
          <c:h val="0.1223741496598639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857900718404552E-2"/>
          <c:y val="1.544165056508486E-2"/>
          <c:w val="0.86053409090909083"/>
          <c:h val="0.79972056504783351"/>
        </c:manualLayout>
      </c:layout>
      <c:barChart>
        <c:barDir val="col"/>
        <c:grouping val="clustered"/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Saldo příjmů a výdajů (pravá osa)</c:v>
                </c:pt>
              </c:strCache>
            </c:strRef>
          </c:tx>
          <c:spPr>
            <a:solidFill>
              <a:srgbClr val="BFBFBF"/>
            </a:solidFill>
            <a:ln>
              <a:noFill/>
            </a:ln>
          </c:spP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4'!$F$23:$F$35</c:f>
              <c:numCache>
                <c:formatCode>0.0</c:formatCode>
                <c:ptCount val="13"/>
                <c:pt idx="0">
                  <c:v>10.890000000000002</c:v>
                </c:pt>
                <c:pt idx="1">
                  <c:v>3.9490000000000132</c:v>
                </c:pt>
                <c:pt idx="2">
                  <c:v>15.005000000000004</c:v>
                </c:pt>
                <c:pt idx="3">
                  <c:v>7.4180000000000064</c:v>
                </c:pt>
                <c:pt idx="4">
                  <c:v>-29.578000000000028</c:v>
                </c:pt>
                <c:pt idx="5">
                  <c:v>-28.443000000000026</c:v>
                </c:pt>
                <c:pt idx="6">
                  <c:v>-40.189000000000021</c:v>
                </c:pt>
                <c:pt idx="7">
                  <c:v>-50.061</c:v>
                </c:pt>
                <c:pt idx="8">
                  <c:v>-50.313000000000045</c:v>
                </c:pt>
                <c:pt idx="9">
                  <c:v>-43.919999999999959</c:v>
                </c:pt>
                <c:pt idx="10">
                  <c:v>-33.78000000000003</c:v>
                </c:pt>
                <c:pt idx="11">
                  <c:v>-15.840000000000032</c:v>
                </c:pt>
                <c:pt idx="12">
                  <c:v>6.9999999999993845E-2</c:v>
                </c:pt>
              </c:numCache>
            </c:numRef>
          </c:val>
        </c:ser>
        <c:gapWidth val="43"/>
        <c:axId val="181940224"/>
        <c:axId val="181851648"/>
      </c:barChart>
      <c:lineChart>
        <c:grouping val="standard"/>
        <c:ser>
          <c:idx val="2"/>
          <c:order val="0"/>
          <c:tx>
            <c:strRef>
              <c:f>'Státní rozpočet 4'!$D$22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4'!$D$23:$D$35</c:f>
              <c:numCache>
                <c:formatCode>0.0</c:formatCode>
                <c:ptCount val="13"/>
                <c:pt idx="0">
                  <c:v>6.1875591004399055</c:v>
                </c:pt>
                <c:pt idx="1">
                  <c:v>7.1937432244076414</c:v>
                </c:pt>
                <c:pt idx="2">
                  <c:v>10.1134147222423</c:v>
                </c:pt>
                <c:pt idx="3">
                  <c:v>4.9498130289312883</c:v>
                </c:pt>
                <c:pt idx="4">
                  <c:v>-3.0442256602594142</c:v>
                </c:pt>
                <c:pt idx="5">
                  <c:v>2.4370587666419552</c:v>
                </c:pt>
                <c:pt idx="6">
                  <c:v>3.1815464014853632</c:v>
                </c:pt>
                <c:pt idx="7">
                  <c:v>1.2474075881420106</c:v>
                </c:pt>
                <c:pt idx="8">
                  <c:v>0.14760369912943391</c:v>
                </c:pt>
                <c:pt idx="9">
                  <c:v>2.8454550923419504</c:v>
                </c:pt>
                <c:pt idx="10">
                  <c:v>5.7089377632194465</c:v>
                </c:pt>
                <c:pt idx="11">
                  <c:v>6.0009960159362379</c:v>
                </c:pt>
                <c:pt idx="12">
                  <c:v>8.1721608853391814</c:v>
                </c:pt>
              </c:numCache>
            </c:numRef>
          </c:val>
        </c:ser>
        <c:ser>
          <c:idx val="0"/>
          <c:order val="1"/>
          <c:tx>
            <c:strRef>
              <c:f>'Státní rozpočet 4'!$B$22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4'!$B$23:$B$35</c:f>
              <c:numCache>
                <c:formatCode>0.0</c:formatCode>
                <c:ptCount val="13"/>
                <c:pt idx="0">
                  <c:v>0.73942609261963865</c:v>
                </c:pt>
                <c:pt idx="1">
                  <c:v>1.462477789119518</c:v>
                </c:pt>
                <c:pt idx="2">
                  <c:v>1.3181761274379653</c:v>
                </c:pt>
                <c:pt idx="3">
                  <c:v>1.281645331041446</c:v>
                </c:pt>
                <c:pt idx="4">
                  <c:v>1.3209823780660361</c:v>
                </c:pt>
                <c:pt idx="5">
                  <c:v>1.0286013680520079</c:v>
                </c:pt>
                <c:pt idx="6">
                  <c:v>1.9123526609444923</c:v>
                </c:pt>
                <c:pt idx="7">
                  <c:v>-0.24183746350509419</c:v>
                </c:pt>
                <c:pt idx="8">
                  <c:v>-0.28610745917036695</c:v>
                </c:pt>
                <c:pt idx="9">
                  <c:v>0.18699332646569825</c:v>
                </c:pt>
                <c:pt idx="10">
                  <c:v>0.37555881531155355</c:v>
                </c:pt>
                <c:pt idx="11">
                  <c:v>0.64426940872033367</c:v>
                </c:pt>
                <c:pt idx="12">
                  <c:v>0.12207563849430868</c:v>
                </c:pt>
              </c:numCache>
            </c:numRef>
          </c:val>
        </c:ser>
        <c:ser>
          <c:idx val="3"/>
          <c:order val="2"/>
          <c:tx>
            <c:strRef>
              <c:f>'Státní rozpočet 4'!$E$22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4'!$E$23:$E$35</c:f>
              <c:numCache>
                <c:formatCode>0.0</c:formatCode>
                <c:ptCount val="13"/>
                <c:pt idx="0">
                  <c:v>7.1430118191228047</c:v>
                </c:pt>
                <c:pt idx="1">
                  <c:v>10.316100084886276</c:v>
                </c:pt>
                <c:pt idx="2">
                  <c:v>6.2086174613702099</c:v>
                </c:pt>
                <c:pt idx="3">
                  <c:v>7.8235669558917209</c:v>
                </c:pt>
                <c:pt idx="4">
                  <c:v>8.7210269668385489</c:v>
                </c:pt>
                <c:pt idx="5">
                  <c:v>1.8908849047052843</c:v>
                </c:pt>
                <c:pt idx="6">
                  <c:v>6.3128767550611826</c:v>
                </c:pt>
                <c:pt idx="7">
                  <c:v>3.7933104934129211</c:v>
                </c:pt>
                <c:pt idx="8">
                  <c:v>0.19422507597550967</c:v>
                </c:pt>
                <c:pt idx="9">
                  <c:v>0.80125818696718909</c:v>
                </c:pt>
                <c:pt idx="10">
                  <c:v>2.4310595065312128</c:v>
                </c:pt>
                <c:pt idx="11">
                  <c:v>0.9488386215272584</c:v>
                </c:pt>
                <c:pt idx="12">
                  <c:v>3.8599393438103111</c:v>
                </c:pt>
              </c:numCache>
            </c:numRef>
          </c:val>
        </c:ser>
        <c:ser>
          <c:idx val="1"/>
          <c:order val="3"/>
          <c:tx>
            <c:strRef>
              <c:f>'Státní rozpočet 4'!$C$22</c:f>
              <c:strCache>
                <c:ptCount val="1"/>
                <c:pt idx="0">
                  <c:v>z toho starobních trvale krácených*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7DBB2D"/>
              </a:solidFill>
              <a:ln>
                <a:noFill/>
              </a:ln>
            </c:spPr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4'!$C$23:$C$35</c:f>
              <c:numCache>
                <c:formatCode>0.0</c:formatCode>
                <c:ptCount val="13"/>
                <c:pt idx="0">
                  <c:v>3.68435403828326</c:v>
                </c:pt>
                <c:pt idx="1">
                  <c:v>8.3719919071212505</c:v>
                </c:pt>
                <c:pt idx="2">
                  <c:v>8.0300260463009465</c:v>
                </c:pt>
                <c:pt idx="3">
                  <c:v>7.4636923712797794</c:v>
                </c:pt>
                <c:pt idx="4">
                  <c:v>10.14595753101284</c:v>
                </c:pt>
                <c:pt idx="5">
                  <c:v>8.3976245360027342</c:v>
                </c:pt>
                <c:pt idx="6">
                  <c:v>17.132319471515729</c:v>
                </c:pt>
                <c:pt idx="7">
                  <c:v>4.4036437626173992</c:v>
                </c:pt>
                <c:pt idx="8">
                  <c:v>3.7164573972200117</c:v>
                </c:pt>
                <c:pt idx="9">
                  <c:v>4.1538144420968655</c:v>
                </c:pt>
                <c:pt idx="10">
                  <c:v>3.5486971794898921</c:v>
                </c:pt>
                <c:pt idx="11">
                  <c:v>2.9849370914098614</c:v>
                </c:pt>
                <c:pt idx="12">
                  <c:v>2.5681813286142052</c:v>
                </c:pt>
              </c:numCache>
            </c:numRef>
          </c:val>
        </c:ser>
        <c:marker val="1"/>
        <c:axId val="181805440"/>
        <c:axId val="181850112"/>
      </c:lineChart>
      <c:catAx>
        <c:axId val="18180544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ysClr val="window" lastClr="FFFFFF">
                <a:lumMod val="50000"/>
              </a:sysClr>
            </a:solidFill>
          </a:ln>
        </c:spPr>
        <c:crossAx val="181850112"/>
        <c:crossesAt val="0"/>
        <c:auto val="1"/>
        <c:lblAlgn val="ctr"/>
        <c:lblOffset val="0"/>
      </c:catAx>
      <c:valAx>
        <c:axId val="181850112"/>
        <c:scaling>
          <c:orientation val="minMax"/>
          <c:max val="18"/>
          <c:min val="-18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1805440"/>
        <c:crosses val="autoZero"/>
        <c:crossBetween val="between"/>
        <c:majorUnit val="3"/>
      </c:valAx>
      <c:valAx>
        <c:axId val="181851648"/>
        <c:scaling>
          <c:orientation val="minMax"/>
          <c:max val="60"/>
          <c:min val="-6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81940224"/>
        <c:crosses val="max"/>
        <c:crossBetween val="between"/>
        <c:majorUnit val="10"/>
      </c:valAx>
      <c:catAx>
        <c:axId val="181940224"/>
        <c:scaling>
          <c:orientation val="minMax"/>
        </c:scaling>
        <c:delete val="1"/>
        <c:axPos val="b"/>
        <c:numFmt formatCode="General" sourceLinked="1"/>
        <c:tickLblPos val="none"/>
        <c:crossAx val="18185164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377514358176704E-2"/>
          <c:y val="0.86875085034014465"/>
          <c:w val="0.85780583250584974"/>
          <c:h val="0.1207964852607724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654503640965086E-2"/>
          <c:y val="1.7112323287741892E-2"/>
          <c:w val="0.88571919735113291"/>
          <c:h val="0.76067747074773961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 3'!$B$31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3'!$B$32:$B$44</c:f>
              <c:numCache>
                <c:formatCode>0.0</c:formatCode>
                <c:ptCount val="13"/>
                <c:pt idx="0">
                  <c:v>840.85999999999797</c:v>
                </c:pt>
                <c:pt idx="1">
                  <c:v>912.08</c:v>
                </c:pt>
                <c:pt idx="2">
                  <c:v>973.84999999999798</c:v>
                </c:pt>
                <c:pt idx="3">
                  <c:v>975.85999999999797</c:v>
                </c:pt>
                <c:pt idx="4">
                  <c:v>1032.78</c:v>
                </c:pt>
                <c:pt idx="5">
                  <c:v>1021.89</c:v>
                </c:pt>
                <c:pt idx="6">
                  <c:v>1031.83</c:v>
                </c:pt>
                <c:pt idx="7">
                  <c:v>1038.76</c:v>
                </c:pt>
                <c:pt idx="8">
                  <c:v>1070.8129999999999</c:v>
                </c:pt>
                <c:pt idx="9">
                  <c:v>1100.1019999999999</c:v>
                </c:pt>
                <c:pt idx="10">
                  <c:v>1121.6599999999999</c:v>
                </c:pt>
                <c:pt idx="11">
                  <c:v>1135.57</c:v>
                </c:pt>
                <c:pt idx="12">
                  <c:v>1198.1499999999999</c:v>
                </c:pt>
              </c:numCache>
            </c:numRef>
          </c:val>
        </c:ser>
        <c:gapWidth val="70"/>
        <c:axId val="191103744"/>
        <c:axId val="181971968"/>
      </c:barChart>
      <c:lineChart>
        <c:grouping val="standard"/>
        <c:ser>
          <c:idx val="1"/>
          <c:order val="1"/>
          <c:tx>
            <c:strRef>
              <c:f>'Státní rozpočet 3'!$C$31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3'!$C$32:$C$44</c:f>
              <c:numCache>
                <c:formatCode>0.0</c:formatCode>
                <c:ptCount val="13"/>
                <c:pt idx="0">
                  <c:v>88.07</c:v>
                </c:pt>
                <c:pt idx="1">
                  <c:v>89.990000000000023</c:v>
                </c:pt>
                <c:pt idx="2">
                  <c:v>95.76</c:v>
                </c:pt>
                <c:pt idx="3">
                  <c:v>97.33</c:v>
                </c:pt>
                <c:pt idx="4">
                  <c:v>100.19</c:v>
                </c:pt>
                <c:pt idx="5">
                  <c:v>97.669999999999987</c:v>
                </c:pt>
                <c:pt idx="6">
                  <c:v>89.6</c:v>
                </c:pt>
                <c:pt idx="7">
                  <c:v>90.45</c:v>
                </c:pt>
                <c:pt idx="8">
                  <c:v>92.374999999999986</c:v>
                </c:pt>
                <c:pt idx="9">
                  <c:v>96.582999999999998</c:v>
                </c:pt>
                <c:pt idx="10">
                  <c:v>104.19</c:v>
                </c:pt>
                <c:pt idx="11">
                  <c:v>109.86</c:v>
                </c:pt>
                <c:pt idx="12">
                  <c:v>119.92</c:v>
                </c:pt>
              </c:numCache>
            </c:numRef>
          </c:val>
        </c:ser>
        <c:ser>
          <c:idx val="6"/>
          <c:order val="2"/>
          <c:tx>
            <c:strRef>
              <c:f>'Státní rozpočet 3'!$H$31</c:f>
              <c:strCache>
                <c:ptCount val="1"/>
                <c:pt idx="0">
                  <c:v>Neinv. nákupy a souvis.výdaje*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3'!$H$32:$H$44</c:f>
              <c:numCache>
                <c:formatCode>0.0</c:formatCode>
                <c:ptCount val="13"/>
                <c:pt idx="0">
                  <c:v>73.387999999999991</c:v>
                </c:pt>
                <c:pt idx="1">
                  <c:v>82.167000000000002</c:v>
                </c:pt>
                <c:pt idx="2">
                  <c:v>68.822999999999979</c:v>
                </c:pt>
                <c:pt idx="3">
                  <c:v>74.822999999999979</c:v>
                </c:pt>
                <c:pt idx="4">
                  <c:v>72.738</c:v>
                </c:pt>
                <c:pt idx="5">
                  <c:v>69.86</c:v>
                </c:pt>
                <c:pt idx="6">
                  <c:v>67.708000000000013</c:v>
                </c:pt>
                <c:pt idx="7">
                  <c:v>55.810999999999993</c:v>
                </c:pt>
                <c:pt idx="8">
                  <c:v>56.384999999999998</c:v>
                </c:pt>
                <c:pt idx="9">
                  <c:v>56.801000000000002</c:v>
                </c:pt>
                <c:pt idx="10">
                  <c:v>63.75</c:v>
                </c:pt>
                <c:pt idx="11">
                  <c:v>59.14</c:v>
                </c:pt>
                <c:pt idx="12">
                  <c:v>63.68</c:v>
                </c:pt>
              </c:numCache>
            </c:numRef>
          </c:val>
        </c:ser>
        <c:ser>
          <c:idx val="7"/>
          <c:order val="3"/>
          <c:tx>
            <c:strRef>
              <c:f>'Státní rozpočet 3'!$I$31</c:f>
              <c:strCache>
                <c:ptCount val="1"/>
                <c:pt idx="0">
                  <c:v>Státní dluh (čisté výdaje)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3'!$I$32:$I$44</c:f>
              <c:numCache>
                <c:formatCode>0.0</c:formatCode>
                <c:ptCount val="13"/>
                <c:pt idx="0">
                  <c:v>25.43</c:v>
                </c:pt>
                <c:pt idx="1">
                  <c:v>31.610000000000031</c:v>
                </c:pt>
                <c:pt idx="2">
                  <c:v>34.130000000000003</c:v>
                </c:pt>
                <c:pt idx="3">
                  <c:v>37.64</c:v>
                </c:pt>
                <c:pt idx="4">
                  <c:v>44.46</c:v>
                </c:pt>
                <c:pt idx="5">
                  <c:v>35.840000000000003</c:v>
                </c:pt>
                <c:pt idx="6">
                  <c:v>45.120000000000012</c:v>
                </c:pt>
                <c:pt idx="7">
                  <c:v>41.400000000000006</c:v>
                </c:pt>
                <c:pt idx="8">
                  <c:v>50.89</c:v>
                </c:pt>
                <c:pt idx="9">
                  <c:v>48.49</c:v>
                </c:pt>
                <c:pt idx="10">
                  <c:v>45.28</c:v>
                </c:pt>
                <c:pt idx="11">
                  <c:v>40.65</c:v>
                </c:pt>
                <c:pt idx="12">
                  <c:v>39.77000000000001</c:v>
                </c:pt>
              </c:numCache>
            </c:numRef>
          </c:val>
        </c:ser>
        <c:ser>
          <c:idx val="2"/>
          <c:order val="4"/>
          <c:tx>
            <c:strRef>
              <c:f>'Státní rozpočet 3'!$D$31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3'!$D$32:$D$44</c:f>
              <c:numCache>
                <c:formatCode>0.0</c:formatCode>
                <c:ptCount val="13"/>
                <c:pt idx="0">
                  <c:v>7.1099999999999985</c:v>
                </c:pt>
                <c:pt idx="1">
                  <c:v>7.3599999999999985</c:v>
                </c:pt>
                <c:pt idx="2">
                  <c:v>7.24</c:v>
                </c:pt>
                <c:pt idx="3">
                  <c:v>7.1099999999999985</c:v>
                </c:pt>
                <c:pt idx="4">
                  <c:v>15.078000000000001</c:v>
                </c:pt>
                <c:pt idx="5">
                  <c:v>13.355000000000073</c:v>
                </c:pt>
                <c:pt idx="6">
                  <c:v>10.349</c:v>
                </c:pt>
                <c:pt idx="7">
                  <c:v>8.76</c:v>
                </c:pt>
                <c:pt idx="8">
                  <c:v>9.65</c:v>
                </c:pt>
                <c:pt idx="9">
                  <c:v>9.2620000000000005</c:v>
                </c:pt>
                <c:pt idx="10">
                  <c:v>8.2760000000000016</c:v>
                </c:pt>
                <c:pt idx="11">
                  <c:v>8.2200000000000006</c:v>
                </c:pt>
                <c:pt idx="12">
                  <c:v>7.8199999999999985</c:v>
                </c:pt>
              </c:numCache>
            </c:numRef>
          </c:val>
        </c:ser>
        <c:ser>
          <c:idx val="3"/>
          <c:order val="5"/>
          <c:tx>
            <c:strRef>
              <c:f>'Státní rozpočet 3'!$E$31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3'!$E$32:$E$44</c:f>
              <c:numCache>
                <c:formatCode>General</c:formatCode>
                <c:ptCount val="13"/>
                <c:pt idx="0">
                  <c:v>33.14</c:v>
                </c:pt>
                <c:pt idx="1">
                  <c:v>34.35</c:v>
                </c:pt>
                <c:pt idx="2">
                  <c:v>49.47</c:v>
                </c:pt>
                <c:pt idx="3">
                  <c:v>41.97</c:v>
                </c:pt>
                <c:pt idx="4">
                  <c:v>41.168000000000013</c:v>
                </c:pt>
                <c:pt idx="5">
                  <c:v>40.880999999999993</c:v>
                </c:pt>
                <c:pt idx="6">
                  <c:v>36.094000000000001</c:v>
                </c:pt>
                <c:pt idx="7">
                  <c:v>35.554000000000002</c:v>
                </c:pt>
                <c:pt idx="8">
                  <c:v>37.423000000000002</c:v>
                </c:pt>
                <c:pt idx="9">
                  <c:v>37.544000000000004</c:v>
                </c:pt>
                <c:pt idx="10">
                  <c:v>37.65</c:v>
                </c:pt>
                <c:pt idx="11">
                  <c:v>37.78</c:v>
                </c:pt>
                <c:pt idx="12">
                  <c:v>37.290000000000013</c:v>
                </c:pt>
              </c:numCache>
            </c:numRef>
          </c:val>
        </c:ser>
        <c:ser>
          <c:idx val="4"/>
          <c:order val="6"/>
          <c:tx>
            <c:strRef>
              <c:f>'Státní rozpočet 3'!$F$31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3'!$F$32:$F$44</c:f>
              <c:numCache>
                <c:formatCode>0.00</c:formatCode>
                <c:ptCount val="13"/>
                <c:pt idx="0">
                  <c:v>31.66</c:v>
                </c:pt>
                <c:pt idx="1">
                  <c:v>32.773000000000003</c:v>
                </c:pt>
                <c:pt idx="2">
                  <c:v>34.671000000000006</c:v>
                </c:pt>
                <c:pt idx="3">
                  <c:v>31.881999999999987</c:v>
                </c:pt>
                <c:pt idx="4">
                  <c:v>26.233000000000001</c:v>
                </c:pt>
                <c:pt idx="5">
                  <c:v>22.995999999999889</c:v>
                </c:pt>
                <c:pt idx="6">
                  <c:v>21.734000000000005</c:v>
                </c:pt>
                <c:pt idx="7">
                  <c:v>19.602</c:v>
                </c:pt>
                <c:pt idx="8">
                  <c:v>20.350000000000001</c:v>
                </c:pt>
                <c:pt idx="9">
                  <c:v>22.282999999999863</c:v>
                </c:pt>
                <c:pt idx="10">
                  <c:v>24.310000000000031</c:v>
                </c:pt>
                <c:pt idx="11">
                  <c:v>26.5</c:v>
                </c:pt>
                <c:pt idx="12">
                  <c:v>28.57</c:v>
                </c:pt>
              </c:numCache>
            </c:numRef>
          </c:val>
        </c:ser>
        <c:ser>
          <c:idx val="5"/>
          <c:order val="7"/>
          <c:tx>
            <c:strRef>
              <c:f>'Státní rozpočet 3'!$G$31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3'!$G$32:$G$44</c:f>
              <c:numCache>
                <c:formatCode>General</c:formatCode>
                <c:ptCount val="13"/>
                <c:pt idx="2" formatCode="0.00">
                  <c:v>20.811000000000035</c:v>
                </c:pt>
                <c:pt idx="3" formatCode="0.00">
                  <c:v>23.542000000000002</c:v>
                </c:pt>
                <c:pt idx="4" formatCode="0.00">
                  <c:v>24.256</c:v>
                </c:pt>
                <c:pt idx="5" formatCode="0.00">
                  <c:v>25.292000000000002</c:v>
                </c:pt>
                <c:pt idx="6" formatCode="0.00">
                  <c:v>24.966999999999889</c:v>
                </c:pt>
                <c:pt idx="7" formatCode="0.00">
                  <c:v>27.695499999999889</c:v>
                </c:pt>
                <c:pt idx="8" formatCode="0.00">
                  <c:v>31.978999999999989</c:v>
                </c:pt>
                <c:pt idx="9" formatCode="0.00">
                  <c:v>33.622000000000163</c:v>
                </c:pt>
                <c:pt idx="10" formatCode="0.00">
                  <c:v>33.621000000000002</c:v>
                </c:pt>
                <c:pt idx="11" formatCode="0.00">
                  <c:v>34.295000000000243</c:v>
                </c:pt>
                <c:pt idx="12" formatCode="0.00">
                  <c:v>34.439</c:v>
                </c:pt>
              </c:numCache>
            </c:numRef>
          </c:val>
        </c:ser>
        <c:ser>
          <c:idx val="8"/>
          <c:order val="8"/>
          <c:tx>
            <c:strRef>
              <c:f>'Státní rozpočet 3'!$J$31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3'!$J$32:$J$44</c:f>
              <c:numCache>
                <c:formatCode>0.0</c:formatCode>
                <c:ptCount val="13"/>
                <c:pt idx="0">
                  <c:v>81.990000000000023</c:v>
                </c:pt>
                <c:pt idx="1">
                  <c:v>108.54</c:v>
                </c:pt>
                <c:pt idx="2">
                  <c:v>118.42</c:v>
                </c:pt>
                <c:pt idx="3">
                  <c:v>108.08</c:v>
                </c:pt>
                <c:pt idx="4">
                  <c:v>134.22999999999999</c:v>
                </c:pt>
                <c:pt idx="5">
                  <c:v>134.91</c:v>
                </c:pt>
                <c:pt idx="6">
                  <c:v>123.69</c:v>
                </c:pt>
                <c:pt idx="7">
                  <c:v>113.61999999999999</c:v>
                </c:pt>
                <c:pt idx="8">
                  <c:v>102.315</c:v>
                </c:pt>
                <c:pt idx="9">
                  <c:v>111.50700000000002</c:v>
                </c:pt>
                <c:pt idx="10">
                  <c:v>175.66</c:v>
                </c:pt>
                <c:pt idx="11">
                  <c:v>84.27</c:v>
                </c:pt>
                <c:pt idx="12">
                  <c:v>81.64</c:v>
                </c:pt>
              </c:numCache>
            </c:numRef>
          </c:val>
        </c:ser>
        <c:marker val="1"/>
        <c:axId val="181968896"/>
        <c:axId val="181970432"/>
      </c:lineChart>
      <c:catAx>
        <c:axId val="181968896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81970432"/>
        <c:crosses val="autoZero"/>
        <c:auto val="1"/>
        <c:lblAlgn val="ctr"/>
        <c:lblOffset val="20"/>
      </c:catAx>
      <c:valAx>
        <c:axId val="181970432"/>
        <c:scaling>
          <c:orientation val="minMax"/>
          <c:max val="18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1968896"/>
        <c:crosses val="autoZero"/>
        <c:crossBetween val="between"/>
        <c:majorUnit val="10"/>
      </c:valAx>
      <c:valAx>
        <c:axId val="181971968"/>
        <c:scaling>
          <c:orientation val="minMax"/>
          <c:max val="13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91103744"/>
        <c:crosses val="max"/>
        <c:crossBetween val="between"/>
        <c:majorUnit val="100"/>
      </c:valAx>
      <c:catAx>
        <c:axId val="191103744"/>
        <c:scaling>
          <c:orientation val="minMax"/>
        </c:scaling>
        <c:delete val="1"/>
        <c:axPos val="b"/>
        <c:numFmt formatCode="General" sourceLinked="1"/>
        <c:tickLblPos val="none"/>
        <c:crossAx val="18197196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741128971108313E-2"/>
          <c:y val="0.82679736838094697"/>
          <c:w val="0.87022442515825205"/>
          <c:h val="0.1642642943643169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EDE4-B818-4F29-B78B-0BBFA8520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06C32-C085-4738-AFB8-62AC0C5F0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35683-750C-4CE1-9523-2B2F3D50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C3CB7-90CD-42A1-B6CB-B006C20F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5</Pages>
  <Words>2345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16154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2018-03-14T17:02:00Z</cp:lastPrinted>
  <dcterms:created xsi:type="dcterms:W3CDTF">2018-03-22T15:46:00Z</dcterms:created>
  <dcterms:modified xsi:type="dcterms:W3CDTF">2018-03-22T15:47:00Z</dcterms:modified>
</cp:coreProperties>
</file>