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bookmarkStart w:id="0" w:name="_GoBack"/>
      <w:bookmarkEnd w:id="0"/>
    </w:p>
    <w:p w:rsidR="00576A3E" w:rsidRPr="00A74192" w:rsidRDefault="00B60748" w:rsidP="00D94859">
      <w:pPr>
        <w:spacing w:line="240" w:lineRule="auto"/>
        <w:rPr>
          <w:rFonts w:cs="Arial"/>
          <w:lang w:eastAsia="ar-SA"/>
        </w:rPr>
      </w:pPr>
      <w:r w:rsidRPr="00B60748">
        <w:rPr>
          <w:noProof/>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4A6717" w:rsidRPr="005251DD" w:rsidRDefault="004A6717" w:rsidP="004F191F">
                  <w:r w:rsidRPr="005251DD">
                    <w:t xml:space="preserve">Český statistický úřad, </w:t>
                  </w:r>
                  <w:r>
                    <w:t>Praha, 2017</w:t>
                  </w:r>
                </w:p>
              </w:txbxContent>
            </v:textbox>
            <w10:wrap anchorx="page" anchory="page"/>
            <w10:anchorlock/>
          </v:shape>
        </w:pict>
      </w:r>
      <w:r w:rsidRPr="00B60748">
        <w:rPr>
          <w:noProof/>
        </w:rPr>
        <w:pict>
          <v:shape id="_x0000_s1039"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4A6717" w:rsidRPr="006C5577" w:rsidRDefault="004A6717" w:rsidP="004F2A73">
                  <w:pPr>
                    <w:pStyle w:val="TL-Identifikace-dole"/>
                  </w:pPr>
                  <w:r>
                    <w:t>Z</w:t>
                  </w:r>
                  <w:r w:rsidRPr="006C5577">
                    <w:t xml:space="preserve">pracoval: </w:t>
                  </w:r>
                  <w:r>
                    <w:t>o</w:t>
                  </w:r>
                  <w:r w:rsidRPr="006C5577">
                    <w:t>dbor</w:t>
                  </w:r>
                  <w:r>
                    <w:t xml:space="preserve"> Kancelář předsedkyně, oddělení svodných analýz</w:t>
                  </w:r>
                </w:p>
                <w:p w:rsidR="004A6717" w:rsidRPr="006C5577" w:rsidRDefault="004A6717" w:rsidP="004F191F">
                  <w:pPr>
                    <w:pStyle w:val="TL-Identifikace-dole"/>
                  </w:pPr>
                  <w:r w:rsidRPr="006C5577">
                    <w:t xml:space="preserve">Ředitel odboru: </w:t>
                  </w:r>
                  <w:r>
                    <w:tab/>
                  </w:r>
                  <w:proofErr w:type="spellStart"/>
                  <w:r>
                    <w:t>Egor</w:t>
                  </w:r>
                  <w:proofErr w:type="spellEnd"/>
                  <w:r>
                    <w:t xml:space="preserve"> </w:t>
                  </w:r>
                  <w:proofErr w:type="spellStart"/>
                  <w:r>
                    <w:t>Sidorov</w:t>
                  </w:r>
                  <w:proofErr w:type="spellEnd"/>
                  <w:r>
                    <w:t xml:space="preserve">, </w:t>
                  </w:r>
                  <w:proofErr w:type="spellStart"/>
                  <w:r>
                    <w:t>Ph.D</w:t>
                  </w:r>
                  <w:proofErr w:type="spellEnd"/>
                  <w:r>
                    <w:t>.</w:t>
                  </w:r>
                </w:p>
                <w:p w:rsidR="004A6717" w:rsidRPr="009F63D2" w:rsidRDefault="004A6717" w:rsidP="004F191F">
                  <w:pPr>
                    <w:pStyle w:val="TL-Identifikace-dole"/>
                    <w:rPr>
                      <w:rFonts w:cs="Arial"/>
                    </w:rPr>
                  </w:pPr>
                  <w:r>
                    <w:t xml:space="preserve">Autorský tým: Bc. Jiří Kamenický, Mgr. Bc. Karolína </w:t>
                  </w:r>
                  <w:proofErr w:type="spellStart"/>
                  <w:r>
                    <w:t>Súkupová</w:t>
                  </w:r>
                  <w:proofErr w:type="spellEnd"/>
                </w:p>
                <w:p w:rsidR="004A6717" w:rsidRDefault="004A6717" w:rsidP="00225F36">
                  <w:pPr>
                    <w:pStyle w:val="TL-Identifikace-dole"/>
                  </w:pPr>
                  <w:r w:rsidRPr="006C5577">
                    <w:t xml:space="preserve">Kontaktní osoba: </w:t>
                  </w:r>
                  <w:r>
                    <w:t xml:space="preserve">Bc. Jiří Kamenický, e-mail: </w:t>
                  </w:r>
                  <w:proofErr w:type="spellStart"/>
                  <w:r w:rsidRPr="006B5E5B">
                    <w:t>jiri.kamenicky</w:t>
                  </w:r>
                  <w:proofErr w:type="spellEnd"/>
                  <w:r w:rsidRPr="006B5E5B">
                    <w:t>@czso.</w:t>
                  </w:r>
                  <w:proofErr w:type="gramStart"/>
                  <w:r w:rsidRPr="006B5E5B">
                    <w:t>cz</w:t>
                  </w:r>
                  <w:r>
                    <w:t>,  tel.</w:t>
                  </w:r>
                  <w:proofErr w:type="gramEnd"/>
                  <w:r>
                    <w:t xml:space="preserve"> 274 052 741</w:t>
                  </w:r>
                </w:p>
                <w:p w:rsidR="004A6717" w:rsidRDefault="004A6717" w:rsidP="004F191F">
                  <w:pPr>
                    <w:pStyle w:val="TL-Identifikace-dole"/>
                  </w:pPr>
                </w:p>
                <w:p w:rsidR="004A6717" w:rsidRDefault="004A6717"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Pr="00B60748">
        <w:rPr>
          <w:noProof/>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4A6717" w:rsidRPr="00D31445" w:rsidRDefault="004A6717" w:rsidP="004F191F">
                  <w:pPr>
                    <w:pStyle w:val="TL-identifikace-sted"/>
                  </w:pPr>
                  <w:r>
                    <w:t>Souhrnná data o České republice</w:t>
                  </w:r>
                </w:p>
                <w:p w:rsidR="004A6717" w:rsidRPr="00473E94" w:rsidRDefault="004A6717" w:rsidP="004F191F">
                  <w:pPr>
                    <w:pStyle w:val="TL-identifikace-sted"/>
                    <w:rPr>
                      <w:color w:val="000000"/>
                    </w:rPr>
                  </w:pPr>
                  <w:r>
                    <w:rPr>
                      <w:color w:val="000000"/>
                    </w:rPr>
                    <w:t>Praha 21. 12. 2017</w:t>
                  </w:r>
                </w:p>
                <w:p w:rsidR="004A6717" w:rsidRPr="004E1415" w:rsidRDefault="004A6717" w:rsidP="004F191F">
                  <w:pPr>
                    <w:pStyle w:val="TL-identifikace-sted"/>
                  </w:pPr>
                  <w:r w:rsidRPr="00D31445">
                    <w:t xml:space="preserve">Kód </w:t>
                  </w:r>
                  <w:r>
                    <w:t xml:space="preserve">publikace: </w:t>
                  </w:r>
                  <w:r w:rsidRPr="004E1415">
                    <w:t>320193-17</w:t>
                  </w:r>
                </w:p>
                <w:p w:rsidR="004A6717" w:rsidRPr="00EA1CFB" w:rsidRDefault="004A6717" w:rsidP="00EA1CFB">
                  <w:pPr>
                    <w:spacing w:after="200"/>
                    <w:rPr>
                      <w:rFonts w:eastAsia="Times New Roman" w:cs="Arial"/>
                      <w:sz w:val="24"/>
                    </w:rPr>
                  </w:pPr>
                  <w:r w:rsidRPr="00EA1CFB">
                    <w:rPr>
                      <w:rFonts w:cs="Arial"/>
                      <w:color w:val="0D0D0D"/>
                      <w:sz w:val="24"/>
                    </w:rPr>
                    <w:t xml:space="preserve">Č. </w:t>
                  </w:r>
                  <w:proofErr w:type="spellStart"/>
                  <w:r w:rsidRPr="00EA1CFB">
                    <w:rPr>
                      <w:rFonts w:cs="Arial"/>
                      <w:color w:val="0D0D0D"/>
                      <w:sz w:val="24"/>
                    </w:rPr>
                    <w:t>j</w:t>
                  </w:r>
                  <w:proofErr w:type="spellEnd"/>
                  <w:r w:rsidRPr="00EA1CFB">
                    <w:rPr>
                      <w:rFonts w:cs="Arial"/>
                      <w:color w:val="0D0D0D"/>
                      <w:sz w:val="24"/>
                    </w:rPr>
                    <w:t xml:space="preserve">.: </w:t>
                  </w:r>
                  <w:r w:rsidR="007D66E3">
                    <w:rPr>
                      <w:rFonts w:eastAsia="Times New Roman" w:cs="Arial"/>
                      <w:sz w:val="24"/>
                    </w:rPr>
                    <w:t>3022</w:t>
                  </w:r>
                  <w:r w:rsidRPr="00EA1CFB">
                    <w:rPr>
                      <w:rFonts w:eastAsia="Times New Roman" w:cs="Arial"/>
                      <w:sz w:val="24"/>
                    </w:rPr>
                    <w:t>/2017-01</w:t>
                  </w:r>
                </w:p>
                <w:p w:rsidR="004A6717" w:rsidRPr="00D31445" w:rsidRDefault="004A6717" w:rsidP="004F191F">
                  <w:pPr>
                    <w:spacing w:after="200"/>
                    <w:rPr>
                      <w:sz w:val="24"/>
                    </w:rPr>
                  </w:pPr>
                  <w:r>
                    <w:rPr>
                      <w:sz w:val="24"/>
                    </w:rPr>
                    <w:t>Pořadové číslo v roce: 3</w:t>
                  </w:r>
                </w:p>
              </w:txbxContent>
            </v:textbox>
            <w10:wrap anchorx="page" anchory="page"/>
            <w10:anchorlock/>
          </v:shape>
        </w:pict>
      </w:r>
      <w:r w:rsidRPr="00B60748">
        <w:rPr>
          <w:noProof/>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4A6717" w:rsidRDefault="004A6717" w:rsidP="001C357A">
                  <w:pPr>
                    <w:pStyle w:val="Podtitul"/>
                    <w:rPr>
                      <w:sz w:val="56"/>
                      <w:szCs w:val="56"/>
                    </w:rPr>
                  </w:pPr>
                  <w:r>
                    <w:rPr>
                      <w:sz w:val="56"/>
                      <w:szCs w:val="56"/>
                    </w:rPr>
                    <w:t>VÝVOJ EKONOMIKY Č</w:t>
                  </w:r>
                  <w:r w:rsidRPr="001C357A">
                    <w:rPr>
                      <w:sz w:val="56"/>
                      <w:szCs w:val="56"/>
                    </w:rPr>
                    <w:t>E</w:t>
                  </w:r>
                  <w:r>
                    <w:rPr>
                      <w:sz w:val="56"/>
                      <w:szCs w:val="56"/>
                    </w:rPr>
                    <w:t xml:space="preserve">SKÉ REPUBLIKY </w:t>
                  </w:r>
                </w:p>
                <w:p w:rsidR="004A6717" w:rsidRPr="001C357A" w:rsidRDefault="004A6717" w:rsidP="001C357A">
                  <w:pPr>
                    <w:pStyle w:val="Podtitul"/>
                    <w:rPr>
                      <w:sz w:val="56"/>
                      <w:szCs w:val="56"/>
                    </w:rPr>
                  </w:pPr>
                  <w:r>
                    <w:rPr>
                      <w:sz w:val="56"/>
                      <w:szCs w:val="56"/>
                    </w:rPr>
                    <w:t>V 1. AŽ 3. ČTVRTLETÍ 2017</w:t>
                  </w:r>
                </w:p>
                <w:p w:rsidR="004A6717" w:rsidRPr="009B04D0" w:rsidRDefault="004A6717" w:rsidP="004F191F">
                  <w:pPr>
                    <w:pStyle w:val="Podtitul"/>
                  </w:pPr>
                </w:p>
              </w:txbxContent>
            </v:textbox>
            <w10:wrap anchorx="page" anchory="page"/>
            <w10:anchorlock/>
          </v:shape>
        </w:pict>
      </w:r>
      <w:r w:rsidRPr="00B60748">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B60748" w:rsidP="00D94859">
      <w:pPr>
        <w:autoSpaceDE w:val="0"/>
        <w:autoSpaceDN w:val="0"/>
        <w:adjustRightInd w:val="0"/>
        <w:spacing w:line="240" w:lineRule="auto"/>
        <w:jc w:val="both"/>
        <w:rPr>
          <w:rFonts w:cs="Arial"/>
          <w:lang w:eastAsia="ar-SA"/>
        </w:rPr>
      </w:pPr>
      <w:r w:rsidRPr="00B60748">
        <w:rPr>
          <w:noProof/>
        </w:rPr>
        <w:pict>
          <v:line id="Přímá spojnice 33" o:spid="_x0000_s1029"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B60748" w:rsidP="00D94859">
      <w:pPr>
        <w:pStyle w:val="Styl1"/>
        <w:rPr>
          <w:rFonts w:cs="Arial"/>
          <w:color w:val="7DB41E"/>
          <w:sz w:val="20"/>
          <w:szCs w:val="20"/>
        </w:rPr>
      </w:pPr>
      <w:r w:rsidRPr="00B60748">
        <w:rPr>
          <w:noProof/>
          <w:lang w:eastAsia="cs-CZ"/>
        </w:rPr>
        <w:pict>
          <v:shape id="_x0000_s102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4A6717" w:rsidRPr="00D766EF" w:rsidRDefault="004A6717" w:rsidP="00437C76">
                  <w:pPr>
                    <w:pStyle w:val="TL-Kontakty"/>
                  </w:pPr>
                  <w:r w:rsidRPr="00D766EF">
                    <w:rPr>
                      <w:caps w:val="0"/>
                    </w:rPr>
                    <w:t>KONTAKTY V</w:t>
                  </w:r>
                  <w:r w:rsidRPr="00D766EF">
                    <w:t> ÚSTŘEDÍ</w:t>
                  </w:r>
                </w:p>
                <w:p w:rsidR="004A6717" w:rsidRPr="00EA4153" w:rsidRDefault="004A6717"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4A6717" w:rsidRPr="00B27293" w:rsidRDefault="004A6717"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4A6717" w:rsidRPr="00EA4153" w:rsidRDefault="004A6717" w:rsidP="00BD366B">
                  <w:pPr>
                    <w:spacing w:after="80" w:line="240" w:lineRule="auto"/>
                    <w:rPr>
                      <w:b/>
                    </w:rPr>
                  </w:pPr>
                  <w:r w:rsidRPr="00100014">
                    <w:rPr>
                      <w:b/>
                    </w:rPr>
                    <w:t>Prodejna publikací ČSÚ</w:t>
                  </w:r>
                  <w:r>
                    <w:t xml:space="preserve"> | tel.: 274 052 361 | e-mail: prodejna@czso.cz</w:t>
                  </w:r>
                </w:p>
                <w:p w:rsidR="004A6717" w:rsidRPr="00EA4153" w:rsidRDefault="004A6717"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4A6717" w:rsidRPr="00EA4153" w:rsidRDefault="004A6717" w:rsidP="00BD366B">
                  <w:pPr>
                    <w:spacing w:after="80" w:line="240" w:lineRule="auto"/>
                    <w:rPr>
                      <w:b/>
                    </w:rPr>
                  </w:pPr>
                  <w:r w:rsidRPr="00100014">
                    <w:rPr>
                      <w:b/>
                    </w:rPr>
                    <w:t>Ústřední statistická knihovna</w:t>
                  </w:r>
                  <w:r>
                    <w:t xml:space="preserve"> | tel.: 274 052 361 | e-mail: knihovna@czso.cz</w:t>
                  </w:r>
                </w:p>
                <w:p w:rsidR="004A6717" w:rsidRDefault="004A6717" w:rsidP="00BD366B">
                  <w:pPr>
                    <w:spacing w:line="240" w:lineRule="auto"/>
                  </w:pPr>
                </w:p>
                <w:p w:rsidR="004A6717" w:rsidRPr="0071229A" w:rsidRDefault="004A6717" w:rsidP="004F06F5">
                  <w:pPr>
                    <w:pStyle w:val="TL-Kontakty"/>
                  </w:pPr>
                  <w:r w:rsidRPr="0071229A">
                    <w:t>INFORMAČNÍ SLUŽBY V REGIONECH</w:t>
                  </w:r>
                </w:p>
                <w:p w:rsidR="004A6717" w:rsidRDefault="004A6717" w:rsidP="00BD366B">
                  <w:pPr>
                    <w:spacing w:line="240" w:lineRule="auto"/>
                  </w:pPr>
                  <w:r w:rsidRPr="00100014">
                    <w:rPr>
                      <w:b/>
                      <w:color w:val="0071BC"/>
                    </w:rPr>
                    <w:t>Hl. m. Praha</w:t>
                  </w:r>
                  <w:r>
                    <w:t xml:space="preserve"> | Na padesátém 81, 100 82 Praha 10 | tel.: 274 052 673, 274 054 223</w:t>
                  </w:r>
                </w:p>
                <w:p w:rsidR="004A6717" w:rsidRPr="00100014" w:rsidRDefault="004A6717" w:rsidP="00BD366B">
                  <w:pPr>
                    <w:spacing w:line="240" w:lineRule="auto"/>
                    <w:rPr>
                      <w:b/>
                    </w:rPr>
                  </w:pPr>
                  <w:r>
                    <w:t xml:space="preserve">e-mail: infoservispraha@czso.cz | </w:t>
                  </w:r>
                  <w:r w:rsidRPr="00100014">
                    <w:rPr>
                      <w:b/>
                    </w:rPr>
                    <w:t>www.praha.czso.cz</w:t>
                  </w:r>
                </w:p>
                <w:p w:rsidR="004A6717" w:rsidRDefault="004A6717" w:rsidP="00BD366B">
                  <w:pPr>
                    <w:spacing w:line="240" w:lineRule="auto"/>
                  </w:pPr>
                </w:p>
                <w:p w:rsidR="004A6717" w:rsidRPr="00B27293" w:rsidRDefault="004A6717"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4A6717" w:rsidRPr="00B27293" w:rsidRDefault="004A6717" w:rsidP="00BD366B">
                  <w:pPr>
                    <w:spacing w:line="240" w:lineRule="auto"/>
                  </w:pPr>
                  <w:r>
                    <w:t xml:space="preserve">e-mail: infoservisstc@czso.cz | </w:t>
                  </w:r>
                  <w:r w:rsidRPr="00100014">
                    <w:rPr>
                      <w:b/>
                    </w:rPr>
                    <w:t>www.stredocesky.czso.cz</w:t>
                  </w:r>
                </w:p>
                <w:p w:rsidR="004A6717" w:rsidRDefault="004A6717" w:rsidP="00BD366B">
                  <w:pPr>
                    <w:spacing w:line="240" w:lineRule="auto"/>
                  </w:pPr>
                </w:p>
                <w:p w:rsidR="004A6717" w:rsidRPr="00B27293" w:rsidRDefault="004A6717" w:rsidP="00BD366B">
                  <w:pPr>
                    <w:spacing w:line="240" w:lineRule="auto"/>
                    <w:rPr>
                      <w:b/>
                      <w:color w:val="0071BC"/>
                    </w:rPr>
                  </w:pPr>
                  <w:r w:rsidRPr="00100014">
                    <w:rPr>
                      <w:b/>
                      <w:color w:val="0071BC"/>
                    </w:rPr>
                    <w:t>České Budějovice</w:t>
                  </w:r>
                  <w:r>
                    <w:t xml:space="preserve"> | Žižkova 1, 370 77 České Budějovice | tel.: 386 718 440</w:t>
                  </w:r>
                </w:p>
                <w:p w:rsidR="004A6717" w:rsidRPr="00B27293" w:rsidRDefault="004A6717" w:rsidP="00BD366B">
                  <w:pPr>
                    <w:spacing w:line="240" w:lineRule="auto"/>
                  </w:pPr>
                  <w:r>
                    <w:t xml:space="preserve">e-mail: infoserviscb@czso.cz | </w:t>
                  </w:r>
                  <w:r w:rsidRPr="00100014">
                    <w:rPr>
                      <w:b/>
                    </w:rPr>
                    <w:t>www.cbudejovice.czso.cz</w:t>
                  </w:r>
                </w:p>
                <w:p w:rsidR="004A6717" w:rsidRDefault="004A6717" w:rsidP="00BD366B">
                  <w:pPr>
                    <w:spacing w:line="240" w:lineRule="auto"/>
                  </w:pPr>
                </w:p>
                <w:p w:rsidR="004A6717" w:rsidRPr="00B27293" w:rsidRDefault="004A6717" w:rsidP="00BD366B">
                  <w:pPr>
                    <w:spacing w:line="240" w:lineRule="auto"/>
                    <w:rPr>
                      <w:b/>
                      <w:color w:val="0071BC"/>
                    </w:rPr>
                  </w:pPr>
                  <w:r w:rsidRPr="0071229A">
                    <w:rPr>
                      <w:b/>
                      <w:color w:val="0071BC"/>
                    </w:rPr>
                    <w:t>Plzeň</w:t>
                  </w:r>
                  <w:r>
                    <w:t xml:space="preserve"> | Slovanská alej 36, 326 64 Plzeň | tel.: 377 612 108, 377 612 249</w:t>
                  </w:r>
                </w:p>
                <w:p w:rsidR="004A6717" w:rsidRPr="00B27293" w:rsidRDefault="004A6717" w:rsidP="00BD366B">
                  <w:pPr>
                    <w:spacing w:line="240" w:lineRule="auto"/>
                  </w:pPr>
                  <w:r>
                    <w:t xml:space="preserve">e-mail: infoservisplzen@czso.cz | </w:t>
                  </w:r>
                  <w:r w:rsidRPr="0071229A">
                    <w:rPr>
                      <w:b/>
                    </w:rPr>
                    <w:t>www.plzen.czso.cz</w:t>
                  </w:r>
                </w:p>
                <w:p w:rsidR="004A6717" w:rsidRDefault="004A6717" w:rsidP="00BD366B">
                  <w:pPr>
                    <w:spacing w:line="240" w:lineRule="auto"/>
                  </w:pPr>
                </w:p>
                <w:p w:rsidR="004A6717" w:rsidRPr="00B27293" w:rsidRDefault="004A6717" w:rsidP="00BD366B">
                  <w:pPr>
                    <w:spacing w:line="240" w:lineRule="auto"/>
                    <w:rPr>
                      <w:b/>
                      <w:color w:val="0071BC"/>
                    </w:rPr>
                  </w:pPr>
                  <w:r w:rsidRPr="0071229A">
                    <w:rPr>
                      <w:b/>
                      <w:color w:val="0071BC"/>
                    </w:rPr>
                    <w:t>Karlovy Vary</w:t>
                  </w:r>
                  <w:r>
                    <w:t xml:space="preserve"> | Závodní 360/94, 360 06 Karlovy Vary | tel.: 353 114 529, 353 114 525</w:t>
                  </w:r>
                </w:p>
                <w:p w:rsidR="004A6717" w:rsidRDefault="004A6717" w:rsidP="00BD366B">
                  <w:pPr>
                    <w:spacing w:line="240" w:lineRule="auto"/>
                    <w:rPr>
                      <w:b/>
                    </w:rPr>
                  </w:pPr>
                  <w:r>
                    <w:t xml:space="preserve">e-mail: infoserviskv@czso.cz | </w:t>
                  </w:r>
                  <w:r>
                    <w:rPr>
                      <w:b/>
                    </w:rPr>
                    <w:t>www.kvary.czso.cz</w:t>
                  </w:r>
                </w:p>
                <w:p w:rsidR="004A6717" w:rsidRDefault="004A6717" w:rsidP="00BD366B">
                  <w:pPr>
                    <w:spacing w:line="240" w:lineRule="auto"/>
                  </w:pPr>
                </w:p>
                <w:p w:rsidR="004A6717" w:rsidRPr="00B27293" w:rsidRDefault="004A6717"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4A6717" w:rsidRPr="00B27293" w:rsidRDefault="004A6717" w:rsidP="00BD366B">
                  <w:pPr>
                    <w:spacing w:line="240" w:lineRule="auto"/>
                    <w:rPr>
                      <w:bCs/>
                    </w:rPr>
                  </w:pPr>
                  <w:r w:rsidRPr="0071229A">
                    <w:rPr>
                      <w:bCs/>
                    </w:rPr>
                    <w:t>e-mail: infoservisul@czso.cz</w:t>
                  </w:r>
                  <w:r>
                    <w:t xml:space="preserve"> | </w:t>
                  </w:r>
                  <w:r w:rsidRPr="0071229A">
                    <w:rPr>
                      <w:b/>
                      <w:bCs/>
                    </w:rPr>
                    <w:t>www.ustinadlabem.czso.cz</w:t>
                  </w:r>
                </w:p>
                <w:p w:rsidR="004A6717" w:rsidRPr="0071229A" w:rsidRDefault="004A6717" w:rsidP="00BD366B">
                  <w:pPr>
                    <w:spacing w:line="240" w:lineRule="auto"/>
                    <w:rPr>
                      <w:bCs/>
                    </w:rPr>
                  </w:pPr>
                </w:p>
                <w:p w:rsidR="004A6717" w:rsidRPr="00B27293" w:rsidRDefault="004A6717" w:rsidP="00BD366B">
                  <w:pPr>
                    <w:spacing w:line="240" w:lineRule="auto"/>
                    <w:rPr>
                      <w:b/>
                      <w:bCs/>
                      <w:color w:val="0071BC"/>
                    </w:rPr>
                  </w:pPr>
                  <w:r w:rsidRPr="0071229A">
                    <w:rPr>
                      <w:b/>
                      <w:bCs/>
                      <w:color w:val="0071BC"/>
                    </w:rPr>
                    <w:t>Liberec</w:t>
                  </w:r>
                  <w:r>
                    <w:t xml:space="preserve"> | </w:t>
                  </w:r>
                  <w:r>
                    <w:rPr>
                      <w:bCs/>
                    </w:rPr>
                    <w:t>n</w:t>
                  </w:r>
                  <w:r w:rsidRPr="0071229A">
                    <w:rPr>
                      <w:bCs/>
                    </w:rPr>
                    <w:t>ám. Dr. Edvarda Beneše 585/26, 460 01 Liberec 1</w:t>
                  </w:r>
                  <w:r>
                    <w:t xml:space="preserve"> | </w:t>
                  </w:r>
                  <w:r w:rsidRPr="0071229A">
                    <w:rPr>
                      <w:bCs/>
                    </w:rPr>
                    <w:t>tel.: 485 238 811</w:t>
                  </w:r>
                </w:p>
                <w:p w:rsidR="004A6717" w:rsidRPr="00B27293" w:rsidRDefault="004A6717" w:rsidP="00BD366B">
                  <w:pPr>
                    <w:spacing w:line="240" w:lineRule="auto"/>
                    <w:rPr>
                      <w:bCs/>
                    </w:rPr>
                  </w:pPr>
                  <w:r w:rsidRPr="0071229A">
                    <w:rPr>
                      <w:bCs/>
                    </w:rPr>
                    <w:t>e-mail: infoservislbc@czso.cz</w:t>
                  </w:r>
                  <w:r>
                    <w:t xml:space="preserve"> | </w:t>
                  </w:r>
                  <w:r w:rsidRPr="0071229A">
                    <w:rPr>
                      <w:b/>
                      <w:bCs/>
                    </w:rPr>
                    <w:t>www.liberec.czso.cz</w:t>
                  </w:r>
                </w:p>
                <w:p w:rsidR="004A6717" w:rsidRPr="0071229A" w:rsidRDefault="004A6717" w:rsidP="00BD366B">
                  <w:pPr>
                    <w:spacing w:line="240" w:lineRule="auto"/>
                    <w:rPr>
                      <w:bCs/>
                    </w:rPr>
                  </w:pPr>
                </w:p>
                <w:p w:rsidR="004A6717" w:rsidRPr="00B27293" w:rsidRDefault="004A6717"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4A6717" w:rsidRPr="00B27293" w:rsidRDefault="004A6717" w:rsidP="00BD366B">
                  <w:pPr>
                    <w:spacing w:line="240" w:lineRule="auto"/>
                    <w:rPr>
                      <w:bCs/>
                    </w:rPr>
                  </w:pPr>
                  <w:r w:rsidRPr="0071229A">
                    <w:rPr>
                      <w:bCs/>
                    </w:rPr>
                    <w:t>e-mail: infoservishk@czso.cz</w:t>
                  </w:r>
                  <w:r>
                    <w:t xml:space="preserve"> | </w:t>
                  </w:r>
                  <w:r w:rsidRPr="0071229A">
                    <w:rPr>
                      <w:b/>
                      <w:bCs/>
                    </w:rPr>
                    <w:t>www.hradeckralove.czso.cz</w:t>
                  </w:r>
                </w:p>
                <w:p w:rsidR="004A6717" w:rsidRPr="0071229A" w:rsidRDefault="004A6717" w:rsidP="00BD366B">
                  <w:pPr>
                    <w:spacing w:line="240" w:lineRule="auto"/>
                    <w:rPr>
                      <w:bCs/>
                    </w:rPr>
                  </w:pPr>
                </w:p>
                <w:p w:rsidR="004A6717" w:rsidRPr="00B27293" w:rsidRDefault="004A6717"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4A6717" w:rsidRPr="00B27293" w:rsidRDefault="004A6717" w:rsidP="00BD366B">
                  <w:pPr>
                    <w:spacing w:line="240" w:lineRule="auto"/>
                    <w:rPr>
                      <w:bCs/>
                    </w:rPr>
                  </w:pPr>
                  <w:r w:rsidRPr="0071229A">
                    <w:rPr>
                      <w:bCs/>
                    </w:rPr>
                    <w:t>e-mail: infoservispa@czso.cz</w:t>
                  </w:r>
                  <w:r>
                    <w:t xml:space="preserve"> | </w:t>
                  </w:r>
                  <w:r w:rsidRPr="0071229A">
                    <w:rPr>
                      <w:b/>
                      <w:bCs/>
                    </w:rPr>
                    <w:t>www.pardubice.czso.cz</w:t>
                  </w:r>
                </w:p>
                <w:p w:rsidR="004A6717" w:rsidRPr="0071229A" w:rsidRDefault="004A6717" w:rsidP="00BD366B">
                  <w:pPr>
                    <w:spacing w:line="240" w:lineRule="auto"/>
                    <w:rPr>
                      <w:bCs/>
                    </w:rPr>
                  </w:pPr>
                </w:p>
                <w:p w:rsidR="004A6717" w:rsidRPr="00B27293" w:rsidRDefault="004A6717"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4A6717" w:rsidRPr="00B27293" w:rsidRDefault="004A6717" w:rsidP="00BD366B">
                  <w:pPr>
                    <w:spacing w:line="240" w:lineRule="auto"/>
                    <w:rPr>
                      <w:bCs/>
                    </w:rPr>
                  </w:pPr>
                  <w:r w:rsidRPr="0071229A">
                    <w:rPr>
                      <w:bCs/>
                    </w:rPr>
                    <w:t>e-mail: infoservisvys@czso.cz</w:t>
                  </w:r>
                  <w:r>
                    <w:t xml:space="preserve"> | </w:t>
                  </w:r>
                  <w:r w:rsidRPr="0071229A">
                    <w:rPr>
                      <w:b/>
                      <w:bCs/>
                    </w:rPr>
                    <w:t>www.jihlava.czso.cz</w:t>
                  </w:r>
                </w:p>
                <w:p w:rsidR="004A6717" w:rsidRPr="0071229A" w:rsidRDefault="004A6717" w:rsidP="00BD366B">
                  <w:pPr>
                    <w:spacing w:line="240" w:lineRule="auto"/>
                    <w:rPr>
                      <w:bCs/>
                    </w:rPr>
                  </w:pPr>
                </w:p>
                <w:p w:rsidR="004A6717" w:rsidRPr="00B27293" w:rsidRDefault="004A6717"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4A6717" w:rsidRPr="00B27293" w:rsidRDefault="004A6717" w:rsidP="00BD366B">
                  <w:pPr>
                    <w:spacing w:line="240" w:lineRule="auto"/>
                    <w:rPr>
                      <w:bCs/>
                    </w:rPr>
                  </w:pPr>
                  <w:r w:rsidRPr="0071229A">
                    <w:rPr>
                      <w:bCs/>
                    </w:rPr>
                    <w:t>e-mail: infoservisbrno@czso.cz</w:t>
                  </w:r>
                  <w:r>
                    <w:t xml:space="preserve"> | </w:t>
                  </w:r>
                  <w:r w:rsidRPr="0071229A">
                    <w:rPr>
                      <w:b/>
                      <w:bCs/>
                    </w:rPr>
                    <w:t>www.brno.czso.cz</w:t>
                  </w:r>
                </w:p>
                <w:p w:rsidR="004A6717" w:rsidRPr="0071229A" w:rsidRDefault="004A6717" w:rsidP="00BD366B">
                  <w:pPr>
                    <w:spacing w:line="240" w:lineRule="auto"/>
                    <w:rPr>
                      <w:bCs/>
                    </w:rPr>
                  </w:pPr>
                </w:p>
                <w:p w:rsidR="004A6717" w:rsidRPr="00B27293" w:rsidRDefault="004A6717"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4A6717" w:rsidRPr="00B27293" w:rsidRDefault="004A6717" w:rsidP="00BD366B">
                  <w:pPr>
                    <w:spacing w:line="240" w:lineRule="auto"/>
                    <w:rPr>
                      <w:bCs/>
                    </w:rPr>
                  </w:pPr>
                  <w:r w:rsidRPr="0071229A">
                    <w:rPr>
                      <w:bCs/>
                    </w:rPr>
                    <w:t>e-mail: infoservisolom@czso.cz</w:t>
                  </w:r>
                  <w:r>
                    <w:t xml:space="preserve"> | </w:t>
                  </w:r>
                  <w:r w:rsidRPr="0071229A">
                    <w:rPr>
                      <w:b/>
                      <w:bCs/>
                    </w:rPr>
                    <w:t>www.olomouc.czso.cz</w:t>
                  </w:r>
                </w:p>
                <w:p w:rsidR="004A6717" w:rsidRPr="0071229A" w:rsidRDefault="004A6717" w:rsidP="00BD366B">
                  <w:pPr>
                    <w:spacing w:line="240" w:lineRule="auto"/>
                    <w:rPr>
                      <w:bCs/>
                    </w:rPr>
                  </w:pPr>
                </w:p>
                <w:p w:rsidR="004A6717" w:rsidRPr="00B27293" w:rsidRDefault="004A6717"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4A6717" w:rsidRPr="00B27293" w:rsidRDefault="004A6717" w:rsidP="00BD366B">
                  <w:pPr>
                    <w:spacing w:line="240" w:lineRule="auto"/>
                    <w:rPr>
                      <w:bCs/>
                    </w:rPr>
                  </w:pPr>
                  <w:r w:rsidRPr="0071229A">
                    <w:rPr>
                      <w:bCs/>
                    </w:rPr>
                    <w:t>e-mail: infoservis_ov@czso.cz</w:t>
                  </w:r>
                  <w:r>
                    <w:t xml:space="preserve"> | </w:t>
                  </w:r>
                  <w:r w:rsidRPr="0071229A">
                    <w:rPr>
                      <w:b/>
                      <w:bCs/>
                    </w:rPr>
                    <w:t>www.ostrava.czso.cz</w:t>
                  </w:r>
                </w:p>
                <w:p w:rsidR="004A6717" w:rsidRPr="0071229A" w:rsidRDefault="004A6717" w:rsidP="00BD366B">
                  <w:pPr>
                    <w:spacing w:line="240" w:lineRule="auto"/>
                    <w:rPr>
                      <w:bCs/>
                    </w:rPr>
                  </w:pPr>
                </w:p>
                <w:p w:rsidR="004A6717" w:rsidRPr="0071229A" w:rsidRDefault="004A6717"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4A6717" w:rsidRPr="00B27293" w:rsidRDefault="004A6717" w:rsidP="00BD366B">
                  <w:pPr>
                    <w:spacing w:line="240" w:lineRule="auto"/>
                    <w:rPr>
                      <w:bCs/>
                    </w:rPr>
                  </w:pPr>
                  <w:r w:rsidRPr="0071229A">
                    <w:rPr>
                      <w:bCs/>
                    </w:rPr>
                    <w:t>e-mail: infoservis-zl@czso.cz</w:t>
                  </w:r>
                  <w:r>
                    <w:t xml:space="preserve"> | </w:t>
                  </w:r>
                  <w:r w:rsidRPr="0071229A">
                    <w:rPr>
                      <w:b/>
                      <w:bCs/>
                    </w:rPr>
                    <w:t>www.zlin.czso.cz</w:t>
                  </w:r>
                </w:p>
                <w:p w:rsidR="004A6717" w:rsidRPr="00B27293" w:rsidRDefault="004A6717" w:rsidP="00BD366B">
                  <w:pPr>
                    <w:spacing w:line="240" w:lineRule="auto"/>
                  </w:pPr>
                </w:p>
              </w:txbxContent>
            </v:textbox>
            <w10:wrap anchorx="page" anchory="page"/>
            <w10:anchorlock/>
          </v:shape>
        </w:pict>
      </w:r>
      <w:r w:rsidRPr="00B60748">
        <w:rPr>
          <w:noProof/>
          <w:lang w:eastAsia="cs-CZ"/>
        </w:rPr>
        <w:pict>
          <v:shape id="_x0000_s1026"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4A6717" w:rsidRPr="004F4353" w:rsidRDefault="004A6717" w:rsidP="0060487F">
                  <w:pPr>
                    <w:rPr>
                      <w:b/>
                      <w:bCs/>
                      <w:sz w:val="24"/>
                    </w:rPr>
                  </w:pPr>
                  <w:r w:rsidRPr="004F4353">
                    <w:rPr>
                      <w:b/>
                      <w:color w:val="0071BC"/>
                      <w:sz w:val="24"/>
                    </w:rPr>
                    <w:t xml:space="preserve">Zajímají </w:t>
                  </w:r>
                  <w:r>
                    <w:rPr>
                      <w:b/>
                      <w:color w:val="0071BC"/>
                      <w:sz w:val="24"/>
                    </w:rPr>
                    <w:t>v</w:t>
                  </w:r>
                  <w:r w:rsidRPr="004F4353">
                    <w:rPr>
                      <w:b/>
                      <w:color w:val="0071BC"/>
                      <w:sz w:val="24"/>
                    </w:rPr>
                    <w:t xml:space="preserve">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Pr>
                      <w:b/>
                      <w:bCs/>
                      <w:sz w:val="24"/>
                    </w:rPr>
                    <w:t>.</w:t>
                  </w:r>
                </w:p>
              </w:txbxContent>
            </v:textbox>
            <w10:wrap anchorx="page" anchory="page"/>
            <w10:anchorlock/>
          </v:shape>
        </w:pict>
      </w:r>
      <w:r w:rsidRPr="00B60748">
        <w:rPr>
          <w:noProof/>
          <w:lang w:eastAsia="cs-CZ"/>
        </w:rPr>
        <w:pict>
          <v:shape id="_x0000_s1027"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4A6717" w:rsidRPr="00841D9F" w:rsidRDefault="004A6717" w:rsidP="004F06F5"/>
                <w:p w:rsidR="004A6717" w:rsidRPr="00AF2852" w:rsidRDefault="004A6717" w:rsidP="004F06F5">
                  <w:r w:rsidRPr="00841D9F">
                    <w:t>© Český sta</w:t>
                  </w:r>
                  <w:r>
                    <w:t>tistický úřad, Praha, 2017</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pgSz w:w="11906" w:h="16838" w:code="9"/>
          <w:pgMar w:top="1134" w:right="1134" w:bottom="1418" w:left="1134" w:header="709" w:footer="709" w:gutter="0"/>
          <w:cols w:space="708"/>
          <w:titlePg/>
          <w:docGrid w:linePitch="360"/>
        </w:sectPr>
      </w:pPr>
    </w:p>
    <w:p w:rsidR="00576A3E" w:rsidRDefault="00576A3E" w:rsidP="00D94859">
      <w:pPr>
        <w:pStyle w:val="Nadpis1"/>
      </w:pPr>
      <w:bookmarkStart w:id="1" w:name="_Toc412459447"/>
      <w:bookmarkStart w:id="2" w:name="_Toc469299928"/>
      <w:bookmarkStart w:id="3" w:name="_Toc501441375"/>
      <w:r w:rsidRPr="00A74192">
        <w:lastRenderedPageBreak/>
        <w:t>Obsah</w:t>
      </w:r>
      <w:bookmarkEnd w:id="1"/>
      <w:bookmarkEnd w:id="2"/>
      <w:bookmarkEnd w:id="3"/>
    </w:p>
    <w:p w:rsidR="00E9159D" w:rsidRDefault="00B60748">
      <w:pPr>
        <w:pStyle w:val="Obsah1"/>
        <w:rPr>
          <w:rFonts w:asciiTheme="minorHAnsi" w:eastAsiaTheme="minorEastAsia" w:hAnsiTheme="minorHAnsi" w:cstheme="minorBidi"/>
          <w:b w:val="0"/>
          <w:sz w:val="22"/>
          <w:szCs w:val="22"/>
          <w:lang w:eastAsia="cs-CZ"/>
        </w:rPr>
      </w:pPr>
      <w:r w:rsidRPr="00B60748">
        <w:fldChar w:fldCharType="begin"/>
      </w:r>
      <w:r w:rsidR="00576A3E" w:rsidRPr="00A74192">
        <w:instrText xml:space="preserve"> TOC \o "1-3" \h \z \u </w:instrText>
      </w:r>
      <w:r w:rsidRPr="00B60748">
        <w:fldChar w:fldCharType="separate"/>
      </w:r>
      <w:hyperlink w:anchor="_Toc501441376" w:history="1">
        <w:r w:rsidR="00E9159D" w:rsidRPr="00D33E41">
          <w:rPr>
            <w:rStyle w:val="Hypertextovodkaz"/>
          </w:rPr>
          <w:t>1.</w:t>
        </w:r>
        <w:r w:rsidR="00E9159D">
          <w:rPr>
            <w:rFonts w:asciiTheme="minorHAnsi" w:eastAsiaTheme="minorEastAsia" w:hAnsiTheme="minorHAnsi" w:cstheme="minorBidi"/>
            <w:b w:val="0"/>
            <w:sz w:val="22"/>
            <w:szCs w:val="22"/>
            <w:lang w:eastAsia="cs-CZ"/>
          </w:rPr>
          <w:tab/>
        </w:r>
        <w:r w:rsidR="00E9159D" w:rsidRPr="00D33E41">
          <w:rPr>
            <w:rStyle w:val="Hypertextovodkaz"/>
          </w:rPr>
          <w:t>Shrnutí</w:t>
        </w:r>
        <w:r w:rsidR="00E9159D">
          <w:rPr>
            <w:webHidden/>
          </w:rPr>
          <w:tab/>
        </w:r>
        <w:r>
          <w:rPr>
            <w:webHidden/>
          </w:rPr>
          <w:fldChar w:fldCharType="begin"/>
        </w:r>
        <w:r w:rsidR="00E9159D">
          <w:rPr>
            <w:webHidden/>
          </w:rPr>
          <w:instrText xml:space="preserve"> PAGEREF _Toc501441376 \h </w:instrText>
        </w:r>
        <w:r>
          <w:rPr>
            <w:webHidden/>
          </w:rPr>
        </w:r>
        <w:r>
          <w:rPr>
            <w:webHidden/>
          </w:rPr>
          <w:fldChar w:fldCharType="separate"/>
        </w:r>
        <w:r w:rsidR="00E9159D">
          <w:rPr>
            <w:webHidden/>
          </w:rPr>
          <w:t>4</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77" w:history="1">
        <w:r w:rsidR="00E9159D" w:rsidRPr="00D33E41">
          <w:rPr>
            <w:rStyle w:val="Hypertextovodkaz"/>
          </w:rPr>
          <w:t>2.</w:t>
        </w:r>
        <w:r w:rsidR="00E9159D">
          <w:rPr>
            <w:rFonts w:asciiTheme="minorHAnsi" w:eastAsiaTheme="minorEastAsia" w:hAnsiTheme="minorHAnsi" w:cstheme="minorBidi"/>
            <w:b w:val="0"/>
            <w:sz w:val="22"/>
            <w:szCs w:val="22"/>
            <w:lang w:eastAsia="cs-CZ"/>
          </w:rPr>
          <w:tab/>
        </w:r>
        <w:r w:rsidR="00E9159D" w:rsidRPr="00D33E41">
          <w:rPr>
            <w:rStyle w:val="Hypertextovodkaz"/>
          </w:rPr>
          <w:t>Souhrnná výkonnost</w:t>
        </w:r>
        <w:r w:rsidR="00E9159D">
          <w:rPr>
            <w:webHidden/>
          </w:rPr>
          <w:tab/>
        </w:r>
        <w:r>
          <w:rPr>
            <w:webHidden/>
          </w:rPr>
          <w:fldChar w:fldCharType="begin"/>
        </w:r>
        <w:r w:rsidR="00E9159D">
          <w:rPr>
            <w:webHidden/>
          </w:rPr>
          <w:instrText xml:space="preserve"> PAGEREF _Toc501441377 \h </w:instrText>
        </w:r>
        <w:r>
          <w:rPr>
            <w:webHidden/>
          </w:rPr>
        </w:r>
        <w:r>
          <w:rPr>
            <w:webHidden/>
          </w:rPr>
          <w:fldChar w:fldCharType="separate"/>
        </w:r>
        <w:r w:rsidR="00E9159D">
          <w:rPr>
            <w:webHidden/>
          </w:rPr>
          <w:t>5</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78" w:history="1">
        <w:r w:rsidR="00E9159D" w:rsidRPr="00D33E41">
          <w:rPr>
            <w:rStyle w:val="Hypertextovodkaz"/>
          </w:rPr>
          <w:t>3.</w:t>
        </w:r>
        <w:r w:rsidR="00E9159D">
          <w:rPr>
            <w:rFonts w:asciiTheme="minorHAnsi" w:eastAsiaTheme="minorEastAsia" w:hAnsiTheme="minorHAnsi" w:cstheme="minorBidi"/>
            <w:b w:val="0"/>
            <w:sz w:val="22"/>
            <w:szCs w:val="22"/>
            <w:lang w:eastAsia="cs-CZ"/>
          </w:rPr>
          <w:tab/>
        </w:r>
        <w:r w:rsidR="00E9159D" w:rsidRPr="00D33E41">
          <w:rPr>
            <w:rStyle w:val="Hypertextovodkaz"/>
          </w:rPr>
          <w:t>Výkonnost odvětví</w:t>
        </w:r>
        <w:r w:rsidR="00E9159D">
          <w:rPr>
            <w:webHidden/>
          </w:rPr>
          <w:tab/>
        </w:r>
        <w:r>
          <w:rPr>
            <w:webHidden/>
          </w:rPr>
          <w:fldChar w:fldCharType="begin"/>
        </w:r>
        <w:r w:rsidR="00E9159D">
          <w:rPr>
            <w:webHidden/>
          </w:rPr>
          <w:instrText xml:space="preserve"> PAGEREF _Toc501441378 \h </w:instrText>
        </w:r>
        <w:r>
          <w:rPr>
            <w:webHidden/>
          </w:rPr>
        </w:r>
        <w:r>
          <w:rPr>
            <w:webHidden/>
          </w:rPr>
          <w:fldChar w:fldCharType="separate"/>
        </w:r>
        <w:r w:rsidR="00E9159D">
          <w:rPr>
            <w:webHidden/>
          </w:rPr>
          <w:t>9</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79" w:history="1">
        <w:r w:rsidR="00E9159D" w:rsidRPr="00D33E41">
          <w:rPr>
            <w:rStyle w:val="Hypertextovodkaz"/>
          </w:rPr>
          <w:t>4.</w:t>
        </w:r>
        <w:r w:rsidR="00E9159D">
          <w:rPr>
            <w:rFonts w:asciiTheme="minorHAnsi" w:eastAsiaTheme="minorEastAsia" w:hAnsiTheme="minorHAnsi" w:cstheme="minorBidi"/>
            <w:b w:val="0"/>
            <w:sz w:val="22"/>
            <w:szCs w:val="22"/>
            <w:lang w:eastAsia="cs-CZ"/>
          </w:rPr>
          <w:tab/>
        </w:r>
        <w:r w:rsidR="00E9159D" w:rsidRPr="00D33E41">
          <w:rPr>
            <w:rStyle w:val="Hypertextovodkaz"/>
          </w:rPr>
          <w:t>Vnější ekonomické vztahy</w:t>
        </w:r>
        <w:r w:rsidR="00E9159D">
          <w:rPr>
            <w:webHidden/>
          </w:rPr>
          <w:tab/>
        </w:r>
        <w:r>
          <w:rPr>
            <w:webHidden/>
          </w:rPr>
          <w:fldChar w:fldCharType="begin"/>
        </w:r>
        <w:r w:rsidR="00E9159D">
          <w:rPr>
            <w:webHidden/>
          </w:rPr>
          <w:instrText xml:space="preserve"> PAGEREF _Toc501441379 \h </w:instrText>
        </w:r>
        <w:r>
          <w:rPr>
            <w:webHidden/>
          </w:rPr>
        </w:r>
        <w:r>
          <w:rPr>
            <w:webHidden/>
          </w:rPr>
          <w:fldChar w:fldCharType="separate"/>
        </w:r>
        <w:r w:rsidR="00E9159D">
          <w:rPr>
            <w:webHidden/>
          </w:rPr>
          <w:t>14</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80" w:history="1">
        <w:r w:rsidR="00E9159D" w:rsidRPr="00D33E41">
          <w:rPr>
            <w:rStyle w:val="Hypertextovodkaz"/>
          </w:rPr>
          <w:t>5.</w:t>
        </w:r>
        <w:r w:rsidR="00E9159D">
          <w:rPr>
            <w:rFonts w:asciiTheme="minorHAnsi" w:eastAsiaTheme="minorEastAsia" w:hAnsiTheme="minorHAnsi" w:cstheme="minorBidi"/>
            <w:b w:val="0"/>
            <w:sz w:val="22"/>
            <w:szCs w:val="22"/>
            <w:lang w:eastAsia="cs-CZ"/>
          </w:rPr>
          <w:tab/>
        </w:r>
        <w:r w:rsidR="00E9159D" w:rsidRPr="00D33E41">
          <w:rPr>
            <w:rStyle w:val="Hypertextovodkaz"/>
          </w:rPr>
          <w:t>Ceny</w:t>
        </w:r>
        <w:r w:rsidR="00E9159D">
          <w:rPr>
            <w:webHidden/>
          </w:rPr>
          <w:tab/>
        </w:r>
        <w:r>
          <w:rPr>
            <w:webHidden/>
          </w:rPr>
          <w:fldChar w:fldCharType="begin"/>
        </w:r>
        <w:r w:rsidR="00E9159D">
          <w:rPr>
            <w:webHidden/>
          </w:rPr>
          <w:instrText xml:space="preserve"> PAGEREF _Toc501441380 \h </w:instrText>
        </w:r>
        <w:r>
          <w:rPr>
            <w:webHidden/>
          </w:rPr>
        </w:r>
        <w:r>
          <w:rPr>
            <w:webHidden/>
          </w:rPr>
          <w:fldChar w:fldCharType="separate"/>
        </w:r>
        <w:r w:rsidR="00E9159D">
          <w:rPr>
            <w:webHidden/>
          </w:rPr>
          <w:t>16</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81" w:history="1">
        <w:r w:rsidR="00E9159D" w:rsidRPr="00D33E41">
          <w:rPr>
            <w:rStyle w:val="Hypertextovodkaz"/>
          </w:rPr>
          <w:t>6.</w:t>
        </w:r>
        <w:r w:rsidR="00E9159D">
          <w:rPr>
            <w:rFonts w:asciiTheme="minorHAnsi" w:eastAsiaTheme="minorEastAsia" w:hAnsiTheme="minorHAnsi" w:cstheme="minorBidi"/>
            <w:b w:val="0"/>
            <w:sz w:val="22"/>
            <w:szCs w:val="22"/>
            <w:lang w:eastAsia="cs-CZ"/>
          </w:rPr>
          <w:tab/>
        </w:r>
        <w:r w:rsidR="00E9159D" w:rsidRPr="00D33E41">
          <w:rPr>
            <w:rStyle w:val="Hypertextovodkaz"/>
          </w:rPr>
          <w:t>Trh práce</w:t>
        </w:r>
        <w:r w:rsidR="00E9159D">
          <w:rPr>
            <w:webHidden/>
          </w:rPr>
          <w:tab/>
        </w:r>
        <w:r>
          <w:rPr>
            <w:webHidden/>
          </w:rPr>
          <w:fldChar w:fldCharType="begin"/>
        </w:r>
        <w:r w:rsidR="00E9159D">
          <w:rPr>
            <w:webHidden/>
          </w:rPr>
          <w:instrText xml:space="preserve"> PAGEREF _Toc501441381 \h </w:instrText>
        </w:r>
        <w:r>
          <w:rPr>
            <w:webHidden/>
          </w:rPr>
        </w:r>
        <w:r>
          <w:rPr>
            <w:webHidden/>
          </w:rPr>
          <w:fldChar w:fldCharType="separate"/>
        </w:r>
        <w:r w:rsidR="00E9159D">
          <w:rPr>
            <w:webHidden/>
          </w:rPr>
          <w:t>20</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82" w:history="1">
        <w:r w:rsidR="00E9159D" w:rsidRPr="00D33E41">
          <w:rPr>
            <w:rStyle w:val="Hypertextovodkaz"/>
          </w:rPr>
          <w:t>7.</w:t>
        </w:r>
        <w:r w:rsidR="00E9159D">
          <w:rPr>
            <w:rFonts w:asciiTheme="minorHAnsi" w:eastAsiaTheme="minorEastAsia" w:hAnsiTheme="minorHAnsi" w:cstheme="minorBidi"/>
            <w:b w:val="0"/>
            <w:sz w:val="22"/>
            <w:szCs w:val="22"/>
            <w:lang w:eastAsia="cs-CZ"/>
          </w:rPr>
          <w:tab/>
        </w:r>
        <w:r w:rsidR="00E9159D" w:rsidRPr="00D33E41">
          <w:rPr>
            <w:rStyle w:val="Hypertextovodkaz"/>
          </w:rPr>
          <w:t>Měnové podmínky</w:t>
        </w:r>
        <w:r w:rsidR="00E9159D">
          <w:rPr>
            <w:webHidden/>
          </w:rPr>
          <w:tab/>
        </w:r>
        <w:r>
          <w:rPr>
            <w:webHidden/>
          </w:rPr>
          <w:fldChar w:fldCharType="begin"/>
        </w:r>
        <w:r w:rsidR="00E9159D">
          <w:rPr>
            <w:webHidden/>
          </w:rPr>
          <w:instrText xml:space="preserve"> PAGEREF _Toc501441382 \h </w:instrText>
        </w:r>
        <w:r>
          <w:rPr>
            <w:webHidden/>
          </w:rPr>
        </w:r>
        <w:r>
          <w:rPr>
            <w:webHidden/>
          </w:rPr>
          <w:fldChar w:fldCharType="separate"/>
        </w:r>
        <w:r w:rsidR="00E9159D">
          <w:rPr>
            <w:webHidden/>
          </w:rPr>
          <w:t>23</w:t>
        </w:r>
        <w:r>
          <w:rPr>
            <w:webHidden/>
          </w:rPr>
          <w:fldChar w:fldCharType="end"/>
        </w:r>
      </w:hyperlink>
    </w:p>
    <w:p w:rsidR="00E9159D" w:rsidRDefault="00B60748">
      <w:pPr>
        <w:pStyle w:val="Obsah1"/>
        <w:rPr>
          <w:rFonts w:asciiTheme="minorHAnsi" w:eastAsiaTheme="minorEastAsia" w:hAnsiTheme="minorHAnsi" w:cstheme="minorBidi"/>
          <w:b w:val="0"/>
          <w:sz w:val="22"/>
          <w:szCs w:val="22"/>
          <w:lang w:eastAsia="cs-CZ"/>
        </w:rPr>
      </w:pPr>
      <w:hyperlink w:anchor="_Toc501441383" w:history="1">
        <w:r w:rsidR="00E9159D" w:rsidRPr="00D33E41">
          <w:rPr>
            <w:rStyle w:val="Hypertextovodkaz"/>
          </w:rPr>
          <w:t>8.</w:t>
        </w:r>
        <w:r w:rsidR="00E9159D">
          <w:rPr>
            <w:rFonts w:asciiTheme="minorHAnsi" w:eastAsiaTheme="minorEastAsia" w:hAnsiTheme="minorHAnsi" w:cstheme="minorBidi"/>
            <w:b w:val="0"/>
            <w:sz w:val="22"/>
            <w:szCs w:val="22"/>
            <w:lang w:eastAsia="cs-CZ"/>
          </w:rPr>
          <w:tab/>
        </w:r>
        <w:r w:rsidR="00E9159D" w:rsidRPr="00D33E41">
          <w:rPr>
            <w:rStyle w:val="Hypertextovodkaz"/>
          </w:rPr>
          <w:t>Státní rozpočet</w:t>
        </w:r>
        <w:r w:rsidR="00E9159D">
          <w:rPr>
            <w:webHidden/>
          </w:rPr>
          <w:tab/>
        </w:r>
        <w:r>
          <w:rPr>
            <w:webHidden/>
          </w:rPr>
          <w:fldChar w:fldCharType="begin"/>
        </w:r>
        <w:r w:rsidR="00E9159D">
          <w:rPr>
            <w:webHidden/>
          </w:rPr>
          <w:instrText xml:space="preserve"> PAGEREF _Toc501441383 \h </w:instrText>
        </w:r>
        <w:r>
          <w:rPr>
            <w:webHidden/>
          </w:rPr>
        </w:r>
        <w:r>
          <w:rPr>
            <w:webHidden/>
          </w:rPr>
          <w:fldChar w:fldCharType="separate"/>
        </w:r>
        <w:r w:rsidR="00E9159D">
          <w:rPr>
            <w:webHidden/>
          </w:rPr>
          <w:t>25</w:t>
        </w:r>
        <w:r>
          <w:rPr>
            <w:webHidden/>
          </w:rPr>
          <w:fldChar w:fldCharType="end"/>
        </w:r>
      </w:hyperlink>
    </w:p>
    <w:p w:rsidR="00576A3E" w:rsidRPr="00A74192" w:rsidRDefault="00B60748" w:rsidP="00D94859">
      <w:pPr>
        <w:pStyle w:val="Nadpis1"/>
        <w:spacing w:before="200"/>
        <w:rPr>
          <w:rFonts w:cs="Arial"/>
          <w:sz w:val="20"/>
          <w:szCs w:val="20"/>
        </w:rPr>
      </w:pPr>
      <w:r w:rsidRPr="00A74192">
        <w:fldChar w:fldCharType="end"/>
      </w:r>
    </w:p>
    <w:p w:rsidR="00576A3E" w:rsidRPr="00A74192" w:rsidRDefault="00576A3E" w:rsidP="00D94859">
      <w:pPr>
        <w:rPr>
          <w:rFonts w:cs="Arial"/>
          <w:b/>
        </w:rPr>
      </w:pPr>
      <w:r w:rsidRPr="00A74192">
        <w:rPr>
          <w:rFonts w:cs="Arial"/>
          <w:b/>
        </w:rPr>
        <w:t>Kapitoly zpracovali:</w:t>
      </w:r>
    </w:p>
    <w:p w:rsidR="00576A3E" w:rsidRPr="00A74192" w:rsidRDefault="00576A3E" w:rsidP="00D94859">
      <w:pPr>
        <w:rPr>
          <w:rFonts w:cs="Arial"/>
        </w:rPr>
      </w:pPr>
    </w:p>
    <w:p w:rsidR="00466AAE" w:rsidRPr="00A74192" w:rsidRDefault="00466AAE" w:rsidP="00D94859">
      <w:pPr>
        <w:spacing w:after="120" w:line="276" w:lineRule="auto"/>
        <w:rPr>
          <w:rFonts w:cs="Arial"/>
        </w:rPr>
      </w:pPr>
      <w:r w:rsidRPr="00A74192">
        <w:rPr>
          <w:rFonts w:cs="Arial"/>
        </w:rPr>
        <w:t>Jiří Kamenický</w:t>
      </w:r>
      <w:r w:rsidRPr="00A74192">
        <w:rPr>
          <w:rFonts w:cs="Arial"/>
        </w:rPr>
        <w:tab/>
      </w:r>
      <w:r w:rsidRPr="00A74192">
        <w:rPr>
          <w:rFonts w:cs="Arial"/>
        </w:rPr>
        <w:tab/>
        <w:t xml:space="preserve">Shrnutí (kap. 1), </w:t>
      </w:r>
      <w:r w:rsidRPr="00A74192">
        <w:rPr>
          <w:rFonts w:cs="Arial"/>
          <w:color w:val="000000"/>
        </w:rPr>
        <w:t>kap. 3,</w:t>
      </w:r>
      <w:r w:rsidRPr="00A74192">
        <w:rPr>
          <w:rFonts w:cs="Arial"/>
        </w:rPr>
        <w:t xml:space="preserve"> kap. 6, kap. 8</w:t>
      </w:r>
    </w:p>
    <w:p w:rsidR="00466AAE" w:rsidRPr="00A74192" w:rsidRDefault="004A7670" w:rsidP="00D94859">
      <w:pPr>
        <w:spacing w:after="120" w:line="276" w:lineRule="auto"/>
        <w:rPr>
          <w:rFonts w:cs="Arial"/>
        </w:rPr>
      </w:pPr>
      <w:r>
        <w:rPr>
          <w:rFonts w:cs="Arial"/>
        </w:rPr>
        <w:t xml:space="preserve">Karolína </w:t>
      </w:r>
      <w:proofErr w:type="spellStart"/>
      <w:r>
        <w:rPr>
          <w:rFonts w:cs="Arial"/>
        </w:rPr>
        <w:t>Súkupová</w:t>
      </w:r>
      <w:proofErr w:type="spellEnd"/>
      <w:r>
        <w:rPr>
          <w:rFonts w:cs="Arial"/>
        </w:rPr>
        <w:tab/>
      </w:r>
      <w:r w:rsidR="00466AAE" w:rsidRPr="00A74192">
        <w:rPr>
          <w:rFonts w:cs="Arial"/>
        </w:rPr>
        <w:t>Shrnutí (kap. 1), kap. 2</w:t>
      </w:r>
      <w:r>
        <w:rPr>
          <w:rFonts w:cs="Arial"/>
        </w:rPr>
        <w:t>, kap. 4, kap. 5, kap. 7</w:t>
      </w:r>
    </w:p>
    <w:p w:rsidR="00466AAE" w:rsidRDefault="00466AA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Pr="00A74192" w:rsidRDefault="008A03DE" w:rsidP="008A03DE">
      <w:pPr>
        <w:pStyle w:val="Textpoznpodarou"/>
        <w:jc w:val="both"/>
        <w:rPr>
          <w:rFonts w:cs="Arial"/>
          <w:color w:val="000000"/>
        </w:rPr>
      </w:pPr>
      <w:r w:rsidRPr="00A74192">
        <w:rPr>
          <w:rFonts w:cs="Arial"/>
          <w:color w:val="000000"/>
        </w:rPr>
        <w:t>Zdroj</w:t>
      </w:r>
      <w:r w:rsidR="00EA1CFB">
        <w:rPr>
          <w:rFonts w:cs="Arial"/>
          <w:color w:val="000000"/>
        </w:rPr>
        <w:t>e dat v celé analýze: ČSÚ, ČNB, MF,</w:t>
      </w:r>
      <w:r w:rsidRPr="00A74192">
        <w:rPr>
          <w:rFonts w:cs="Arial"/>
          <w:color w:val="000000"/>
        </w:rPr>
        <w:t xml:space="preserve"> MPSV, ČSSZ, </w:t>
      </w:r>
      <w:proofErr w:type="spellStart"/>
      <w:r w:rsidRPr="00A74192">
        <w:rPr>
          <w:rFonts w:cs="Arial"/>
          <w:color w:val="000000"/>
        </w:rPr>
        <w:t>Eurostat</w:t>
      </w:r>
      <w:proofErr w:type="spellEnd"/>
      <w:r w:rsidRPr="00A74192">
        <w:rPr>
          <w:rFonts w:cs="Arial"/>
          <w:color w:val="000000"/>
        </w:rPr>
        <w:t>, propočty ČSÚ.</w:t>
      </w:r>
    </w:p>
    <w:p w:rsidR="004A7670" w:rsidRPr="008A03DE" w:rsidRDefault="008A03DE" w:rsidP="008A03DE">
      <w:pPr>
        <w:pStyle w:val="Textpoznpodarou"/>
        <w:jc w:val="both"/>
        <w:rPr>
          <w:rFonts w:cs="Arial"/>
          <w:color w:val="000000"/>
        </w:rPr>
      </w:pPr>
      <w:r w:rsidRPr="00A74192">
        <w:rPr>
          <w:rFonts w:cs="Arial"/>
          <w:color w:val="000000"/>
        </w:rPr>
        <w:t>Poslední informace uváděné v té</w:t>
      </w:r>
      <w:r w:rsidR="00043C68">
        <w:rPr>
          <w:rFonts w:cs="Arial"/>
          <w:color w:val="000000"/>
        </w:rPr>
        <w:t>to zprávě pocházejí z</w:t>
      </w:r>
      <w:r w:rsidR="007813E4">
        <w:rPr>
          <w:rFonts w:cs="Arial"/>
          <w:color w:val="000000"/>
        </w:rPr>
        <w:t>e</w:t>
      </w:r>
      <w:r w:rsidR="00CE7158">
        <w:rPr>
          <w:rFonts w:cs="Arial"/>
          <w:color w:val="000000"/>
        </w:rPr>
        <w:t xml:space="preserve"> 1</w:t>
      </w:r>
      <w:r w:rsidR="006C3DC1">
        <w:rPr>
          <w:rFonts w:cs="Arial"/>
          <w:color w:val="000000"/>
        </w:rPr>
        <w:t>4</w:t>
      </w:r>
      <w:r w:rsidRPr="00A74192">
        <w:rPr>
          <w:rFonts w:cs="Arial"/>
          <w:color w:val="000000"/>
        </w:rPr>
        <w:t xml:space="preserve">. </w:t>
      </w:r>
      <w:r w:rsidR="006C3DC1">
        <w:rPr>
          <w:rFonts w:cs="Arial"/>
          <w:color w:val="000000"/>
        </w:rPr>
        <w:t>prosince</w:t>
      </w:r>
      <w:r>
        <w:rPr>
          <w:rFonts w:cs="Arial"/>
          <w:color w:val="000000"/>
        </w:rPr>
        <w:t xml:space="preserve"> 2017</w:t>
      </w:r>
      <w:r w:rsidRPr="00A74192">
        <w:rPr>
          <w:rFonts w:cs="Arial"/>
          <w:color w:val="000000"/>
        </w:rPr>
        <w:t>.</w:t>
      </w:r>
    </w:p>
    <w:p w:rsidR="00576A3E" w:rsidRPr="00A74192" w:rsidRDefault="00576A3E" w:rsidP="00D94859">
      <w:pPr>
        <w:sectPr w:rsidR="00576A3E" w:rsidRPr="00A74192" w:rsidSect="00E83DAB">
          <w:headerReference w:type="even" r:id="rId10"/>
          <w:headerReference w:type="default" r:id="rId11"/>
          <w:footerReference w:type="default" r:id="rId12"/>
          <w:pgSz w:w="11906" w:h="16838" w:code="9"/>
          <w:pgMar w:top="1134" w:right="1134" w:bottom="1418" w:left="1134" w:header="680" w:footer="680" w:gutter="0"/>
          <w:cols w:space="708"/>
          <w:docGrid w:linePitch="360"/>
        </w:sectPr>
      </w:pPr>
    </w:p>
    <w:p w:rsidR="00576A3E" w:rsidRPr="00A74192" w:rsidRDefault="00576A3E" w:rsidP="00D94859"/>
    <w:p w:rsidR="000C60D8" w:rsidRDefault="00960769" w:rsidP="000C60D8">
      <w:pPr>
        <w:pStyle w:val="Nadpis1"/>
        <w:numPr>
          <w:ilvl w:val="0"/>
          <w:numId w:val="12"/>
        </w:numPr>
        <w:ind w:left="709"/>
      </w:pPr>
      <w:bookmarkStart w:id="4" w:name="_Toc469299929"/>
      <w:bookmarkStart w:id="5" w:name="_Toc501441376"/>
      <w:r w:rsidRPr="00A74192">
        <w:lastRenderedPageBreak/>
        <w:t>Shrnutí</w:t>
      </w:r>
      <w:bookmarkEnd w:id="4"/>
      <w:bookmarkEnd w:id="5"/>
    </w:p>
    <w:p w:rsidR="00121961" w:rsidRPr="00EB29CA" w:rsidRDefault="00BB6F86" w:rsidP="00DD0726">
      <w:pPr>
        <w:pStyle w:val="Odstavecseseznamem"/>
        <w:numPr>
          <w:ilvl w:val="0"/>
          <w:numId w:val="18"/>
        </w:numPr>
        <w:spacing w:line="240" w:lineRule="auto"/>
        <w:ind w:left="426"/>
        <w:contextualSpacing/>
        <w:jc w:val="both"/>
        <w:rPr>
          <w:rFonts w:cs="Arial"/>
          <w:spacing w:val="-4"/>
          <w:szCs w:val="20"/>
        </w:rPr>
      </w:pPr>
      <w:r w:rsidRPr="00EB29CA">
        <w:rPr>
          <w:rFonts w:cs="Arial"/>
          <w:spacing w:val="-4"/>
          <w:szCs w:val="20"/>
        </w:rPr>
        <w:t>Růst hrubého domácího produktu (HDP) ve 3</w:t>
      </w:r>
      <w:r w:rsidR="005723B7">
        <w:rPr>
          <w:rFonts w:cs="Arial"/>
          <w:spacing w:val="-4"/>
          <w:szCs w:val="20"/>
        </w:rPr>
        <w:t>. čtvrtletí</w:t>
      </w:r>
      <w:r w:rsidRPr="00EB29CA">
        <w:rPr>
          <w:rFonts w:cs="Arial"/>
          <w:spacing w:val="-4"/>
          <w:szCs w:val="20"/>
        </w:rPr>
        <w:t xml:space="preserve"> 2017 opět zrychlil a dosáhl 5,0</w:t>
      </w:r>
      <w:r w:rsidR="005723B7">
        <w:rPr>
          <w:rFonts w:cs="Arial"/>
          <w:spacing w:val="-4"/>
          <w:szCs w:val="20"/>
        </w:rPr>
        <w:t> %</w:t>
      </w:r>
      <w:r w:rsidRPr="00EB29CA">
        <w:rPr>
          <w:rStyle w:val="Znakapoznpodarou"/>
          <w:spacing w:val="-4"/>
          <w:szCs w:val="20"/>
        </w:rPr>
        <w:footnoteReference w:id="1"/>
      </w:r>
      <w:r w:rsidRPr="00EB29CA">
        <w:rPr>
          <w:rFonts w:cs="Arial"/>
          <w:spacing w:val="-4"/>
          <w:szCs w:val="20"/>
        </w:rPr>
        <w:t xml:space="preserve">. Vysoká dynamika byla výsledkem společného působení jednotlivých složek HDP, které ve sledovaném období poměrně silně rostly. Na stabilní základnu domácí spotřeby tak navázalo meziroční zvýšení kapitálových výdajů, které vykompenzovalo i mírný útlum příspěvku bilance zahraničního obchodu. Na růstu investičních výdajů se podílely především domácnosti a nefinanční podniky. </w:t>
      </w:r>
      <w:r w:rsidR="00262EB9" w:rsidRPr="00EB29CA">
        <w:rPr>
          <w:rFonts w:cs="Arial"/>
          <w:spacing w:val="-4"/>
          <w:szCs w:val="20"/>
        </w:rPr>
        <w:t>Příznivý vývoj se odrážel</w:t>
      </w:r>
      <w:r w:rsidR="009777B3" w:rsidRPr="00EB29CA">
        <w:rPr>
          <w:rFonts w:cs="Arial"/>
          <w:spacing w:val="-4"/>
          <w:szCs w:val="20"/>
        </w:rPr>
        <w:t xml:space="preserve"> v další</w:t>
      </w:r>
      <w:r w:rsidR="00262EB9" w:rsidRPr="00EB29CA">
        <w:rPr>
          <w:rFonts w:cs="Arial"/>
          <w:spacing w:val="-4"/>
          <w:szCs w:val="20"/>
        </w:rPr>
        <w:t>m</w:t>
      </w:r>
      <w:r w:rsidR="009777B3" w:rsidRPr="00EB29CA">
        <w:rPr>
          <w:rFonts w:cs="Arial"/>
          <w:spacing w:val="-4"/>
          <w:szCs w:val="20"/>
        </w:rPr>
        <w:t xml:space="preserve"> růst</w:t>
      </w:r>
      <w:r w:rsidR="00262EB9" w:rsidRPr="00EB29CA">
        <w:rPr>
          <w:rFonts w:cs="Arial"/>
          <w:spacing w:val="-4"/>
          <w:szCs w:val="20"/>
        </w:rPr>
        <w:t>u</w:t>
      </w:r>
      <w:r w:rsidR="009777B3" w:rsidRPr="00EB29CA">
        <w:rPr>
          <w:rFonts w:cs="Arial"/>
          <w:spacing w:val="-4"/>
          <w:szCs w:val="20"/>
        </w:rPr>
        <w:t xml:space="preserve"> mezd i</w:t>
      </w:r>
      <w:r w:rsidR="00D81906">
        <w:rPr>
          <w:rFonts w:cs="Arial"/>
          <w:spacing w:val="-4"/>
          <w:szCs w:val="20"/>
        </w:rPr>
        <w:t> </w:t>
      </w:r>
      <w:r w:rsidR="009777B3" w:rsidRPr="00EB29CA">
        <w:rPr>
          <w:rFonts w:cs="Arial"/>
          <w:spacing w:val="-4"/>
          <w:szCs w:val="20"/>
        </w:rPr>
        <w:t xml:space="preserve">zaměstnanosti. </w:t>
      </w:r>
      <w:proofErr w:type="spellStart"/>
      <w:r w:rsidRPr="00EB29CA">
        <w:rPr>
          <w:rFonts w:cs="Arial"/>
          <w:spacing w:val="-4"/>
          <w:szCs w:val="20"/>
        </w:rPr>
        <w:t>Mezičtvrtletní</w:t>
      </w:r>
      <w:proofErr w:type="spellEnd"/>
      <w:r w:rsidRPr="00EB29CA">
        <w:rPr>
          <w:rFonts w:cs="Arial"/>
          <w:spacing w:val="-4"/>
          <w:szCs w:val="20"/>
        </w:rPr>
        <w:t xml:space="preserve"> dynamika </w:t>
      </w:r>
      <w:r w:rsidR="00262EB9" w:rsidRPr="00EB29CA">
        <w:rPr>
          <w:rFonts w:cs="Arial"/>
          <w:spacing w:val="-4"/>
          <w:szCs w:val="20"/>
        </w:rPr>
        <w:t xml:space="preserve">HDP </w:t>
      </w:r>
      <w:r w:rsidRPr="00EB29CA">
        <w:rPr>
          <w:rFonts w:cs="Arial"/>
          <w:spacing w:val="-4"/>
          <w:szCs w:val="20"/>
        </w:rPr>
        <w:t>v porovnání s předchozími kvartály oslabila a přírůstek dosáhl 0,5</w:t>
      </w:r>
      <w:r w:rsidR="005723B7">
        <w:rPr>
          <w:rFonts w:cs="Arial"/>
          <w:spacing w:val="-4"/>
          <w:szCs w:val="20"/>
        </w:rPr>
        <w:t> %</w:t>
      </w:r>
      <w:r w:rsidRPr="00EB29CA">
        <w:rPr>
          <w:rFonts w:cs="Arial"/>
          <w:spacing w:val="-4"/>
          <w:szCs w:val="20"/>
        </w:rPr>
        <w:t xml:space="preserve">. </w:t>
      </w:r>
      <w:r w:rsidR="009777B3" w:rsidRPr="00EB29CA">
        <w:rPr>
          <w:rFonts w:cs="Arial"/>
          <w:spacing w:val="-4"/>
          <w:szCs w:val="20"/>
        </w:rPr>
        <w:t>Pozitivní vývoj pokračoval i v Evropě. Růst HDP v </w:t>
      </w:r>
      <w:r w:rsidR="00D81906">
        <w:rPr>
          <w:rFonts w:cs="Arial"/>
          <w:spacing w:val="-4"/>
          <w:szCs w:val="20"/>
        </w:rPr>
        <w:t>E</w:t>
      </w:r>
      <w:r w:rsidR="009777B3" w:rsidRPr="00EB29CA">
        <w:rPr>
          <w:rFonts w:cs="Arial"/>
          <w:spacing w:val="-4"/>
          <w:szCs w:val="20"/>
        </w:rPr>
        <w:t>vropské unii zrych</w:t>
      </w:r>
      <w:r w:rsidR="00262EB9" w:rsidRPr="00EB29CA">
        <w:rPr>
          <w:rFonts w:cs="Arial"/>
          <w:spacing w:val="-4"/>
          <w:szCs w:val="20"/>
        </w:rPr>
        <w:t>lil na 2,6</w:t>
      </w:r>
      <w:r w:rsidR="005723B7">
        <w:rPr>
          <w:rFonts w:cs="Arial"/>
          <w:spacing w:val="-4"/>
          <w:szCs w:val="20"/>
        </w:rPr>
        <w:t> %</w:t>
      </w:r>
      <w:r w:rsidR="00262EB9" w:rsidRPr="00EB29CA">
        <w:rPr>
          <w:rFonts w:cs="Arial"/>
          <w:spacing w:val="-4"/>
          <w:szCs w:val="20"/>
        </w:rPr>
        <w:t xml:space="preserve"> a</w:t>
      </w:r>
      <w:r w:rsidR="00D81906">
        <w:rPr>
          <w:rFonts w:cs="Arial"/>
          <w:spacing w:val="-4"/>
          <w:szCs w:val="20"/>
        </w:rPr>
        <w:t> </w:t>
      </w:r>
      <w:r w:rsidR="00262EB9" w:rsidRPr="00EB29CA">
        <w:rPr>
          <w:rFonts w:cs="Arial"/>
          <w:spacing w:val="-4"/>
          <w:szCs w:val="20"/>
        </w:rPr>
        <w:t>dařilo se i</w:t>
      </w:r>
      <w:r w:rsidR="00D81906">
        <w:rPr>
          <w:rFonts w:cs="Arial"/>
          <w:spacing w:val="-4"/>
          <w:szCs w:val="20"/>
        </w:rPr>
        <w:t> </w:t>
      </w:r>
      <w:r w:rsidR="009777B3" w:rsidRPr="00EB29CA">
        <w:rPr>
          <w:rFonts w:cs="Arial"/>
          <w:spacing w:val="-4"/>
          <w:szCs w:val="20"/>
        </w:rPr>
        <w:t>nejbližším obchodním partnerům</w:t>
      </w:r>
      <w:r w:rsidR="00262EB9" w:rsidRPr="00EB29CA">
        <w:rPr>
          <w:rFonts w:cs="Arial"/>
          <w:spacing w:val="-4"/>
          <w:szCs w:val="20"/>
        </w:rPr>
        <w:t xml:space="preserve"> ČR</w:t>
      </w:r>
      <w:r w:rsidR="009777B3" w:rsidRPr="00EB29CA">
        <w:rPr>
          <w:rFonts w:cs="Arial"/>
          <w:spacing w:val="-4"/>
          <w:szCs w:val="20"/>
        </w:rPr>
        <w:t>.</w:t>
      </w:r>
    </w:p>
    <w:p w:rsidR="00134DFD" w:rsidRPr="00BF7F28" w:rsidRDefault="00134DFD" w:rsidP="00EB29CA">
      <w:pPr>
        <w:spacing w:line="240" w:lineRule="auto"/>
        <w:ind w:left="66"/>
        <w:contextualSpacing/>
        <w:jc w:val="both"/>
        <w:rPr>
          <w:rFonts w:cs="Arial"/>
          <w:spacing w:val="-4"/>
          <w:sz w:val="15"/>
          <w:szCs w:val="15"/>
          <w:highlight w:val="yellow"/>
        </w:rPr>
      </w:pPr>
    </w:p>
    <w:p w:rsidR="00262EB9" w:rsidRPr="00EB29CA" w:rsidRDefault="00262EB9" w:rsidP="0060091A">
      <w:pPr>
        <w:pStyle w:val="Odstavecseseznamem"/>
        <w:numPr>
          <w:ilvl w:val="0"/>
          <w:numId w:val="18"/>
        </w:numPr>
        <w:spacing w:line="240" w:lineRule="auto"/>
        <w:ind w:left="426"/>
        <w:contextualSpacing/>
        <w:jc w:val="both"/>
        <w:rPr>
          <w:rFonts w:cs="Arial"/>
          <w:spacing w:val="-4"/>
          <w:szCs w:val="20"/>
        </w:rPr>
      </w:pPr>
      <w:r w:rsidRPr="00EB29CA">
        <w:rPr>
          <w:spacing w:val="-4"/>
          <w:szCs w:val="20"/>
        </w:rPr>
        <w:t>Meziroční růst hrubé přidané hodnoty (HPH) v průběhu roku 2017 sílil, za tři čtvrtletí činil</w:t>
      </w:r>
      <w:r w:rsidR="0060091A" w:rsidRPr="00EB29CA">
        <w:rPr>
          <w:spacing w:val="-4"/>
          <w:szCs w:val="20"/>
        </w:rPr>
        <w:t xml:space="preserve"> 4,2</w:t>
      </w:r>
      <w:r w:rsidR="005723B7">
        <w:rPr>
          <w:spacing w:val="-4"/>
          <w:szCs w:val="20"/>
        </w:rPr>
        <w:t> %</w:t>
      </w:r>
      <w:r w:rsidR="0060091A" w:rsidRPr="00EB29CA">
        <w:rPr>
          <w:spacing w:val="-4"/>
          <w:szCs w:val="20"/>
        </w:rPr>
        <w:t>. K tomuto výsledku z poloviny přispěl</w:t>
      </w:r>
      <w:r w:rsidRPr="00EB29CA">
        <w:rPr>
          <w:spacing w:val="-4"/>
          <w:szCs w:val="20"/>
        </w:rPr>
        <w:t xml:space="preserve"> zpracovatelský průmysl</w:t>
      </w:r>
      <w:r w:rsidR="00BF7F28">
        <w:rPr>
          <w:spacing w:val="-4"/>
          <w:szCs w:val="20"/>
        </w:rPr>
        <w:t xml:space="preserve">, kde se </w:t>
      </w:r>
      <w:r w:rsidR="00BF7F28">
        <w:rPr>
          <w:rFonts w:cs="Arial"/>
          <w:spacing w:val="-4"/>
        </w:rPr>
        <w:t>dařilo</w:t>
      </w:r>
      <w:r w:rsidR="00BF7F28">
        <w:rPr>
          <w:spacing w:val="-4"/>
          <w:szCs w:val="20"/>
        </w:rPr>
        <w:t xml:space="preserve"> zejména </w:t>
      </w:r>
      <w:r w:rsidR="00BF7F28" w:rsidRPr="00EB29CA">
        <w:rPr>
          <w:rFonts w:cs="Arial"/>
          <w:spacing w:val="-4"/>
        </w:rPr>
        <w:t>výrobě motorových vozidel vč.</w:t>
      </w:r>
      <w:r w:rsidR="00D81906">
        <w:rPr>
          <w:rFonts w:cs="Arial"/>
          <w:spacing w:val="-4"/>
        </w:rPr>
        <w:t> </w:t>
      </w:r>
      <w:r w:rsidR="00BF7F28" w:rsidRPr="00EB29CA">
        <w:rPr>
          <w:rFonts w:cs="Arial"/>
          <w:spacing w:val="-4"/>
        </w:rPr>
        <w:t>subdodavatelských oborů</w:t>
      </w:r>
      <w:r w:rsidR="00BF7F28">
        <w:rPr>
          <w:rFonts w:cs="Arial"/>
          <w:spacing w:val="-4"/>
        </w:rPr>
        <w:t>.</w:t>
      </w:r>
      <w:r w:rsidR="00BF7F28">
        <w:rPr>
          <w:spacing w:val="-4"/>
          <w:szCs w:val="20"/>
        </w:rPr>
        <w:t xml:space="preserve"> </w:t>
      </w:r>
      <w:r w:rsidRPr="00EB29CA">
        <w:rPr>
          <w:spacing w:val="-4"/>
        </w:rPr>
        <w:t>Na rozdíl od předchozích dvou let pomohl i</w:t>
      </w:r>
      <w:r w:rsidR="00D81906">
        <w:rPr>
          <w:spacing w:val="-4"/>
        </w:rPr>
        <w:t> </w:t>
      </w:r>
      <w:r w:rsidRPr="00EB29CA">
        <w:rPr>
          <w:spacing w:val="-4"/>
        </w:rPr>
        <w:t xml:space="preserve">kladný výsledek nezpracovatelských průmyslových odvětví, ve kterých se </w:t>
      </w:r>
      <w:r w:rsidRPr="00CB5852">
        <w:rPr>
          <w:spacing w:val="-4"/>
        </w:rPr>
        <w:t>projevilo výraznější ožive</w:t>
      </w:r>
      <w:r w:rsidR="001073E5">
        <w:rPr>
          <w:spacing w:val="-4"/>
        </w:rPr>
        <w:t>ní v energetice. Ve službách</w:t>
      </w:r>
      <w:r w:rsidRPr="00CB5852">
        <w:rPr>
          <w:spacing w:val="-4"/>
        </w:rPr>
        <w:t xml:space="preserve"> se </w:t>
      </w:r>
      <w:r w:rsidR="001073E5">
        <w:rPr>
          <w:spacing w:val="-4"/>
        </w:rPr>
        <w:t xml:space="preserve">v úhrnu </w:t>
      </w:r>
      <w:r w:rsidRPr="00CB5852">
        <w:rPr>
          <w:spacing w:val="-4"/>
        </w:rPr>
        <w:t>HPH navýšila o</w:t>
      </w:r>
      <w:r w:rsidR="00D81906" w:rsidRPr="00CB5852">
        <w:rPr>
          <w:spacing w:val="-4"/>
        </w:rPr>
        <w:t> </w:t>
      </w:r>
      <w:r w:rsidRPr="00CB5852">
        <w:rPr>
          <w:spacing w:val="-4"/>
        </w:rPr>
        <w:t>3,0</w:t>
      </w:r>
      <w:r w:rsidR="005723B7" w:rsidRPr="00CB5852">
        <w:rPr>
          <w:spacing w:val="-4"/>
        </w:rPr>
        <w:t> %</w:t>
      </w:r>
      <w:r w:rsidR="00D81906" w:rsidRPr="00CB5852">
        <w:rPr>
          <w:spacing w:val="-4"/>
        </w:rPr>
        <w:t>,</w:t>
      </w:r>
      <w:r w:rsidRPr="00CB5852">
        <w:rPr>
          <w:spacing w:val="-4"/>
        </w:rPr>
        <w:t xml:space="preserve"> </w:t>
      </w:r>
      <w:r w:rsidR="00EF1ED5" w:rsidRPr="00CB5852">
        <w:rPr>
          <w:spacing w:val="-4"/>
        </w:rPr>
        <w:t>především vlivem</w:t>
      </w:r>
      <w:r w:rsidRPr="00CB5852">
        <w:rPr>
          <w:spacing w:val="-4"/>
        </w:rPr>
        <w:t xml:space="preserve"> odvětví obchod, doprav</w:t>
      </w:r>
      <w:r w:rsidR="00CB5852" w:rsidRPr="00CB5852">
        <w:rPr>
          <w:spacing w:val="-4"/>
        </w:rPr>
        <w:t>a</w:t>
      </w:r>
      <w:r w:rsidRPr="00CB5852">
        <w:rPr>
          <w:spacing w:val="-4"/>
        </w:rPr>
        <w:t>,</w:t>
      </w:r>
      <w:r w:rsidR="00EF1ED5" w:rsidRPr="00EB29CA">
        <w:rPr>
          <w:spacing w:val="-4"/>
        </w:rPr>
        <w:t xml:space="preserve"> ubytování a</w:t>
      </w:r>
      <w:r w:rsidR="00EF1ED5" w:rsidRPr="00EB29CA">
        <w:rPr>
          <w:rFonts w:cs="Arial"/>
          <w:spacing w:val="-4"/>
        </w:rPr>
        <w:t> </w:t>
      </w:r>
      <w:r w:rsidR="00EF1ED5" w:rsidRPr="00EB29CA">
        <w:rPr>
          <w:spacing w:val="-4"/>
        </w:rPr>
        <w:t>stravování. Podobně jako v roce 2016</w:t>
      </w:r>
      <w:r w:rsidRPr="00EB29CA">
        <w:rPr>
          <w:spacing w:val="-4"/>
        </w:rPr>
        <w:t xml:space="preserve"> </w:t>
      </w:r>
      <w:r w:rsidR="00EF1ED5" w:rsidRPr="00EB29CA">
        <w:rPr>
          <w:spacing w:val="-4"/>
        </w:rPr>
        <w:t xml:space="preserve">zůstávalo </w:t>
      </w:r>
      <w:r w:rsidR="00911E3B" w:rsidRPr="00EB29CA">
        <w:rPr>
          <w:spacing w:val="-4"/>
        </w:rPr>
        <w:t xml:space="preserve">letos </w:t>
      </w:r>
      <w:r w:rsidR="00EF1ED5" w:rsidRPr="00EB29CA">
        <w:rPr>
          <w:spacing w:val="-4"/>
        </w:rPr>
        <w:t xml:space="preserve">nejdynamičtějším odvětvím služeb </w:t>
      </w:r>
      <w:r w:rsidRPr="00EB29CA">
        <w:rPr>
          <w:spacing w:val="-4"/>
        </w:rPr>
        <w:t>peněžnictví a</w:t>
      </w:r>
      <w:r w:rsidR="00EF1ED5" w:rsidRPr="00EB29CA">
        <w:rPr>
          <w:rFonts w:cs="Arial"/>
          <w:spacing w:val="-4"/>
        </w:rPr>
        <w:t> </w:t>
      </w:r>
      <w:r w:rsidRPr="00EB29CA">
        <w:rPr>
          <w:spacing w:val="-4"/>
        </w:rPr>
        <w:t>pojišťovnictví</w:t>
      </w:r>
      <w:r w:rsidR="00EF1ED5" w:rsidRPr="00EB29CA">
        <w:rPr>
          <w:spacing w:val="-4"/>
        </w:rPr>
        <w:t xml:space="preserve">. </w:t>
      </w:r>
      <w:r w:rsidR="00434D5A" w:rsidRPr="00EB29CA">
        <w:rPr>
          <w:spacing w:val="-4"/>
        </w:rPr>
        <w:t xml:space="preserve">Růst disponibilních příjmů domácností se </w:t>
      </w:r>
      <w:r w:rsidR="00911E3B" w:rsidRPr="00EB29CA">
        <w:rPr>
          <w:spacing w:val="-4"/>
        </w:rPr>
        <w:t>v 1. až 3</w:t>
      </w:r>
      <w:r w:rsidR="005723B7">
        <w:rPr>
          <w:spacing w:val="-4"/>
        </w:rPr>
        <w:t>. čtvrtletí</w:t>
      </w:r>
      <w:r w:rsidR="00911E3B" w:rsidRPr="00EB29CA">
        <w:rPr>
          <w:spacing w:val="-4"/>
        </w:rPr>
        <w:t xml:space="preserve"> odrazil v téměř 9% navýšení maloobchodních tržeb za </w:t>
      </w:r>
      <w:proofErr w:type="spellStart"/>
      <w:r w:rsidR="00911E3B" w:rsidRPr="00EB29CA">
        <w:rPr>
          <w:spacing w:val="-4"/>
        </w:rPr>
        <w:t>nepotravinářské</w:t>
      </w:r>
      <w:proofErr w:type="spellEnd"/>
      <w:r w:rsidR="00911E3B" w:rsidRPr="00EB29CA">
        <w:rPr>
          <w:spacing w:val="-4"/>
        </w:rPr>
        <w:t xml:space="preserve"> zboží, vyšší tempa zaznamenaly jen čtyři státy</w:t>
      </w:r>
      <w:r w:rsidR="00D81906">
        <w:rPr>
          <w:spacing w:val="-4"/>
        </w:rPr>
        <w:t> </w:t>
      </w:r>
      <w:r w:rsidR="00911E3B" w:rsidRPr="00EB29CA">
        <w:rPr>
          <w:spacing w:val="-4"/>
        </w:rPr>
        <w:t>EU.</w:t>
      </w:r>
    </w:p>
    <w:p w:rsidR="00134DFD" w:rsidRPr="00BF7F28" w:rsidRDefault="00134DFD" w:rsidP="0037290D">
      <w:pPr>
        <w:spacing w:line="240" w:lineRule="auto"/>
        <w:jc w:val="both"/>
        <w:rPr>
          <w:rFonts w:cs="Arial"/>
          <w:spacing w:val="-4"/>
          <w:sz w:val="15"/>
          <w:szCs w:val="15"/>
          <w:highlight w:val="yellow"/>
        </w:rPr>
      </w:pPr>
    </w:p>
    <w:p w:rsidR="006C586D" w:rsidRPr="00EB29CA" w:rsidRDefault="006C586D" w:rsidP="006C586D">
      <w:pPr>
        <w:pStyle w:val="Odstavecseseznamem"/>
        <w:numPr>
          <w:ilvl w:val="0"/>
          <w:numId w:val="18"/>
        </w:numPr>
        <w:spacing w:line="240" w:lineRule="auto"/>
        <w:ind w:left="426"/>
        <w:contextualSpacing/>
        <w:jc w:val="both"/>
        <w:rPr>
          <w:rFonts w:cs="Arial"/>
          <w:spacing w:val="-4"/>
          <w:szCs w:val="20"/>
        </w:rPr>
      </w:pPr>
      <w:r w:rsidRPr="00EB29CA">
        <w:rPr>
          <w:rFonts w:cs="Arial"/>
          <w:spacing w:val="-4"/>
          <w:szCs w:val="20"/>
        </w:rPr>
        <w:t>Přebytek běžného účtu platební bilance se v 1. až 3</w:t>
      </w:r>
      <w:r w:rsidR="005723B7">
        <w:rPr>
          <w:rFonts w:cs="Arial"/>
          <w:spacing w:val="-4"/>
          <w:szCs w:val="20"/>
        </w:rPr>
        <w:t>. čtvrtletí</w:t>
      </w:r>
      <w:r w:rsidR="00262EB9" w:rsidRPr="00EB29CA">
        <w:rPr>
          <w:rFonts w:cs="Arial"/>
          <w:spacing w:val="-4"/>
          <w:szCs w:val="20"/>
        </w:rPr>
        <w:t xml:space="preserve"> udržel díky tradičně</w:t>
      </w:r>
      <w:r w:rsidRPr="00EB29CA">
        <w:rPr>
          <w:rFonts w:cs="Arial"/>
          <w:spacing w:val="-4"/>
          <w:szCs w:val="20"/>
        </w:rPr>
        <w:t xml:space="preserve"> kladnému saldu obchodu se zbožím a službami. Vývoz za uvedené období meziročně vzrostl o 6,0</w:t>
      </w:r>
      <w:r w:rsidR="005723B7">
        <w:rPr>
          <w:rFonts w:cs="Arial"/>
          <w:spacing w:val="-4"/>
          <w:szCs w:val="20"/>
        </w:rPr>
        <w:t> %</w:t>
      </w:r>
      <w:r w:rsidRPr="00EB29CA">
        <w:rPr>
          <w:rFonts w:cs="Arial"/>
          <w:spacing w:val="-4"/>
          <w:szCs w:val="20"/>
        </w:rPr>
        <w:t xml:space="preserve"> a d</w:t>
      </w:r>
      <w:r w:rsidR="00262EB9" w:rsidRPr="00EB29CA">
        <w:rPr>
          <w:rFonts w:cs="Arial"/>
          <w:spacing w:val="-4"/>
          <w:szCs w:val="20"/>
        </w:rPr>
        <w:t>osáhl 2610,8</w:t>
      </w:r>
      <w:r w:rsidR="006D164C">
        <w:rPr>
          <w:rFonts w:cs="Arial"/>
          <w:spacing w:val="-4"/>
          <w:szCs w:val="20"/>
        </w:rPr>
        <w:t> mld.</w:t>
      </w:r>
      <w:r w:rsidR="00262EB9" w:rsidRPr="00EB29CA">
        <w:rPr>
          <w:rFonts w:cs="Arial"/>
          <w:spacing w:val="-4"/>
          <w:szCs w:val="20"/>
        </w:rPr>
        <w:t xml:space="preserve"> korun. Zůstala</w:t>
      </w:r>
      <w:r w:rsidRPr="00EB29CA">
        <w:rPr>
          <w:rFonts w:cs="Arial"/>
          <w:spacing w:val="-4"/>
          <w:szCs w:val="20"/>
        </w:rPr>
        <w:t xml:space="preserve"> obvyklá zbožová i teritoriální struktura. Dařilo se exportu motorových vozidel i strojů a rostl vývoz do zemí</w:t>
      </w:r>
      <w:r w:rsidR="000C1F41">
        <w:rPr>
          <w:rFonts w:cs="Arial"/>
          <w:spacing w:val="-4"/>
          <w:szCs w:val="20"/>
        </w:rPr>
        <w:t> </w:t>
      </w:r>
      <w:r w:rsidRPr="00EB29CA">
        <w:rPr>
          <w:rFonts w:cs="Arial"/>
          <w:spacing w:val="-4"/>
          <w:szCs w:val="20"/>
        </w:rPr>
        <w:t>EU. Meziroční prohloubení deficitu obchodu s rop</w:t>
      </w:r>
      <w:r w:rsidR="00A5430D" w:rsidRPr="00EB29CA">
        <w:rPr>
          <w:rFonts w:cs="Arial"/>
          <w:spacing w:val="-4"/>
          <w:szCs w:val="20"/>
        </w:rPr>
        <w:t>ou</w:t>
      </w:r>
      <w:r w:rsidRPr="00EB29CA">
        <w:rPr>
          <w:rFonts w:cs="Arial"/>
          <w:spacing w:val="-4"/>
          <w:szCs w:val="20"/>
        </w:rPr>
        <w:t xml:space="preserve"> a zemním plynem i základními kovy se promítlo do zhoršení bilance</w:t>
      </w:r>
      <w:r w:rsidR="00262EB9" w:rsidRPr="00EB29CA">
        <w:rPr>
          <w:rFonts w:cs="Arial"/>
          <w:spacing w:val="-4"/>
          <w:szCs w:val="20"/>
        </w:rPr>
        <w:t xml:space="preserve"> obchodu</w:t>
      </w:r>
      <w:r w:rsidRPr="00EB29CA">
        <w:rPr>
          <w:rFonts w:cs="Arial"/>
          <w:spacing w:val="-4"/>
          <w:szCs w:val="20"/>
        </w:rPr>
        <w:t xml:space="preserve"> se zeměmi mimo</w:t>
      </w:r>
      <w:r w:rsidR="000C1F41">
        <w:rPr>
          <w:rFonts w:cs="Arial"/>
          <w:spacing w:val="-4"/>
          <w:szCs w:val="20"/>
        </w:rPr>
        <w:t> </w:t>
      </w:r>
      <w:r w:rsidRPr="00EB29CA">
        <w:rPr>
          <w:rFonts w:cs="Arial"/>
          <w:spacing w:val="-4"/>
          <w:szCs w:val="20"/>
        </w:rPr>
        <w:t xml:space="preserve">EU. </w:t>
      </w:r>
    </w:p>
    <w:p w:rsidR="006C586D" w:rsidRPr="00BF7F28" w:rsidRDefault="006C586D" w:rsidP="006C586D">
      <w:pPr>
        <w:spacing w:line="240" w:lineRule="auto"/>
        <w:contextualSpacing/>
        <w:jc w:val="both"/>
        <w:rPr>
          <w:rFonts w:cs="Arial"/>
          <w:spacing w:val="-4"/>
          <w:sz w:val="15"/>
          <w:szCs w:val="15"/>
          <w:highlight w:val="yellow"/>
        </w:rPr>
      </w:pPr>
    </w:p>
    <w:p w:rsidR="004C7065" w:rsidRPr="00EB29CA" w:rsidRDefault="009777B3" w:rsidP="00DD1DC1">
      <w:pPr>
        <w:pStyle w:val="Odstavecseseznamem"/>
        <w:numPr>
          <w:ilvl w:val="0"/>
          <w:numId w:val="18"/>
        </w:numPr>
        <w:spacing w:line="240" w:lineRule="auto"/>
        <w:ind w:left="426"/>
        <w:contextualSpacing/>
        <w:jc w:val="both"/>
        <w:rPr>
          <w:rFonts w:cs="Arial"/>
          <w:spacing w:val="-4"/>
          <w:szCs w:val="20"/>
        </w:rPr>
      </w:pPr>
      <w:r w:rsidRPr="00EB29CA">
        <w:rPr>
          <w:rFonts w:cs="Arial"/>
          <w:spacing w:val="-4"/>
          <w:szCs w:val="20"/>
        </w:rPr>
        <w:t>Spotřebitelské ceny ve 3</w:t>
      </w:r>
      <w:r w:rsidR="005723B7">
        <w:rPr>
          <w:rFonts w:cs="Arial"/>
          <w:spacing w:val="-4"/>
          <w:szCs w:val="20"/>
        </w:rPr>
        <w:t>. čtvrtletí</w:t>
      </w:r>
      <w:r w:rsidRPr="00EB29CA">
        <w:rPr>
          <w:rFonts w:cs="Arial"/>
          <w:spacing w:val="-4"/>
          <w:szCs w:val="20"/>
        </w:rPr>
        <w:t xml:space="preserve"> meziročně vzrostly o 2,5</w:t>
      </w:r>
      <w:r w:rsidR="005723B7">
        <w:rPr>
          <w:rFonts w:cs="Arial"/>
          <w:spacing w:val="-4"/>
          <w:szCs w:val="20"/>
        </w:rPr>
        <w:t> %</w:t>
      </w:r>
      <w:r w:rsidRPr="00EB29CA">
        <w:rPr>
          <w:rFonts w:cs="Arial"/>
          <w:spacing w:val="-4"/>
          <w:szCs w:val="20"/>
        </w:rPr>
        <w:t>, nejvíc od začátku roku. Projevil se hlavně zrychlující růst cen potravin a nealkoholických nápojů (5,7</w:t>
      </w:r>
      <w:r w:rsidR="005723B7">
        <w:rPr>
          <w:rFonts w:cs="Arial"/>
          <w:spacing w:val="-4"/>
          <w:szCs w:val="20"/>
        </w:rPr>
        <w:t> %</w:t>
      </w:r>
      <w:r w:rsidRPr="00EB29CA">
        <w:rPr>
          <w:rFonts w:cs="Arial"/>
          <w:spacing w:val="-4"/>
          <w:szCs w:val="20"/>
        </w:rPr>
        <w:t xml:space="preserve">) doprovázený vyšší dynamikou cen bydlení. Ceny dopravy, které v posledních letech patřily do trojice nejvýznamnějších </w:t>
      </w:r>
      <w:r w:rsidR="00814965" w:rsidRPr="00EB29CA">
        <w:rPr>
          <w:rFonts w:cs="Arial"/>
          <w:spacing w:val="-4"/>
          <w:szCs w:val="20"/>
        </w:rPr>
        <w:t>determinant dynamiky spotřebitelských cen, ustoupily mírně do pozadí a nahradily je ceny ubytování a</w:t>
      </w:r>
      <w:r w:rsidR="000C1F41">
        <w:rPr>
          <w:rFonts w:cs="Arial"/>
          <w:spacing w:val="-4"/>
          <w:szCs w:val="20"/>
        </w:rPr>
        <w:t> </w:t>
      </w:r>
      <w:r w:rsidR="00814965" w:rsidRPr="00EB29CA">
        <w:rPr>
          <w:rFonts w:cs="Arial"/>
          <w:spacing w:val="-4"/>
          <w:szCs w:val="20"/>
        </w:rPr>
        <w:t>stravování, které přispěly k celkovému růstu 0,4</w:t>
      </w:r>
      <w:r w:rsidR="000C1F41">
        <w:rPr>
          <w:rFonts w:cs="Arial"/>
          <w:spacing w:val="-4"/>
          <w:szCs w:val="20"/>
        </w:rPr>
        <w:t> </w:t>
      </w:r>
      <w:r w:rsidR="00814965" w:rsidRPr="00EB29CA">
        <w:rPr>
          <w:rFonts w:cs="Arial"/>
          <w:spacing w:val="-4"/>
          <w:szCs w:val="20"/>
        </w:rPr>
        <w:t>p.</w:t>
      </w:r>
      <w:r w:rsidR="000C1F41">
        <w:rPr>
          <w:rFonts w:cs="Arial"/>
          <w:spacing w:val="-4"/>
          <w:szCs w:val="20"/>
        </w:rPr>
        <w:t> </w:t>
      </w:r>
      <w:proofErr w:type="spellStart"/>
      <w:r w:rsidR="00814965" w:rsidRPr="00EB29CA">
        <w:rPr>
          <w:rFonts w:cs="Arial"/>
          <w:spacing w:val="-4"/>
          <w:szCs w:val="20"/>
        </w:rPr>
        <w:t>b</w:t>
      </w:r>
      <w:proofErr w:type="spellEnd"/>
      <w:r w:rsidR="00814965" w:rsidRPr="00EB29CA">
        <w:rPr>
          <w:rFonts w:cs="Arial"/>
          <w:spacing w:val="-4"/>
          <w:szCs w:val="20"/>
        </w:rPr>
        <w:t>. Naopak růst cen výrobců zpomalil na 1,4</w:t>
      </w:r>
      <w:r w:rsidR="005723B7">
        <w:rPr>
          <w:rFonts w:cs="Arial"/>
          <w:spacing w:val="-4"/>
          <w:szCs w:val="20"/>
        </w:rPr>
        <w:t> %</w:t>
      </w:r>
      <w:r w:rsidR="00814965" w:rsidRPr="00EB29CA">
        <w:rPr>
          <w:rFonts w:cs="Arial"/>
          <w:spacing w:val="-4"/>
          <w:szCs w:val="20"/>
        </w:rPr>
        <w:t>. Klesaly ceny zahraničního obchodu. Posílení kurzu koruny vůči euru se na ni</w:t>
      </w:r>
      <w:r w:rsidR="001073E5">
        <w:rPr>
          <w:rFonts w:cs="Arial"/>
          <w:spacing w:val="-4"/>
          <w:szCs w:val="20"/>
        </w:rPr>
        <w:t>ch negativně výrazněji projevoval</w:t>
      </w:r>
      <w:r w:rsidR="00814965" w:rsidRPr="00EB29CA">
        <w:rPr>
          <w:rFonts w:cs="Arial"/>
          <w:spacing w:val="-4"/>
          <w:szCs w:val="20"/>
        </w:rPr>
        <w:t xml:space="preserve"> již od května.</w:t>
      </w:r>
    </w:p>
    <w:p w:rsidR="004C7065" w:rsidRPr="00BF7F28" w:rsidRDefault="004C7065" w:rsidP="00EB29CA">
      <w:pPr>
        <w:spacing w:line="240" w:lineRule="auto"/>
        <w:ind w:left="66"/>
        <w:contextualSpacing/>
        <w:jc w:val="both"/>
        <w:rPr>
          <w:rFonts w:cs="Arial"/>
          <w:spacing w:val="-4"/>
          <w:sz w:val="15"/>
          <w:szCs w:val="15"/>
          <w:highlight w:val="yellow"/>
        </w:rPr>
      </w:pPr>
    </w:p>
    <w:p w:rsidR="004C7065" w:rsidRPr="00EB29CA" w:rsidRDefault="00814965" w:rsidP="00DD1DC1">
      <w:pPr>
        <w:pStyle w:val="Odstavecseseznamem"/>
        <w:numPr>
          <w:ilvl w:val="0"/>
          <w:numId w:val="18"/>
        </w:numPr>
        <w:spacing w:line="240" w:lineRule="auto"/>
        <w:ind w:left="426"/>
        <w:contextualSpacing/>
        <w:jc w:val="both"/>
        <w:rPr>
          <w:rFonts w:cs="Arial"/>
          <w:spacing w:val="-4"/>
          <w:szCs w:val="20"/>
        </w:rPr>
      </w:pPr>
      <w:r w:rsidRPr="00EB29CA">
        <w:rPr>
          <w:rFonts w:cs="Arial"/>
          <w:spacing w:val="-4"/>
          <w:szCs w:val="20"/>
        </w:rPr>
        <w:t xml:space="preserve">Pokračovaly změny v nastavení měnové politiky. Centrální banka se rozhodla k první změně </w:t>
      </w:r>
      <w:proofErr w:type="spellStart"/>
      <w:r w:rsidRPr="00EB29CA">
        <w:rPr>
          <w:rFonts w:cs="Arial"/>
          <w:spacing w:val="-4"/>
          <w:szCs w:val="20"/>
        </w:rPr>
        <w:t>měnověpolitických</w:t>
      </w:r>
      <w:proofErr w:type="spellEnd"/>
      <w:r w:rsidRPr="00EB29CA">
        <w:rPr>
          <w:rFonts w:cs="Arial"/>
          <w:spacing w:val="-4"/>
          <w:szCs w:val="20"/>
        </w:rPr>
        <w:t xml:space="preserve"> sazeb od roku 2012. Jednalo se o první navýšení od roku 2008. To se promítlo do tržních mezibankovních sazeb, úrokové míry na domácích bankovních účtech se zatím neměnily. S odstupem je patrné, že úvěrové sazby se mírně </w:t>
      </w:r>
      <w:r w:rsidR="00262EB9" w:rsidRPr="00EB29CA">
        <w:rPr>
          <w:rFonts w:cs="Arial"/>
          <w:spacing w:val="-4"/>
          <w:szCs w:val="20"/>
        </w:rPr>
        <w:t>zvýšily</w:t>
      </w:r>
      <w:r w:rsidRPr="00EB29CA">
        <w:rPr>
          <w:rFonts w:cs="Arial"/>
          <w:spacing w:val="-4"/>
          <w:szCs w:val="20"/>
        </w:rPr>
        <w:t xml:space="preserve"> od minima, kterého dosáhly v závěru roku 2016.</w:t>
      </w:r>
    </w:p>
    <w:p w:rsidR="00AB75A7" w:rsidRPr="00BF7F28" w:rsidRDefault="00AB75A7" w:rsidP="00AB75A7">
      <w:pPr>
        <w:rPr>
          <w:rFonts w:cs="Arial"/>
          <w:spacing w:val="-4"/>
          <w:sz w:val="15"/>
          <w:szCs w:val="15"/>
        </w:rPr>
      </w:pPr>
    </w:p>
    <w:p w:rsidR="00AB75A7" w:rsidRPr="00EB29CA" w:rsidRDefault="009B25CE" w:rsidP="00AB75A7">
      <w:pPr>
        <w:pStyle w:val="Odstavecseseznamem"/>
        <w:numPr>
          <w:ilvl w:val="0"/>
          <w:numId w:val="18"/>
        </w:numPr>
        <w:spacing w:line="240" w:lineRule="auto"/>
        <w:ind w:left="426"/>
        <w:contextualSpacing/>
        <w:jc w:val="both"/>
        <w:rPr>
          <w:rFonts w:cs="Arial"/>
          <w:spacing w:val="-4"/>
          <w:szCs w:val="20"/>
        </w:rPr>
      </w:pPr>
      <w:r w:rsidRPr="00EB29CA">
        <w:rPr>
          <w:rFonts w:cs="Arial"/>
          <w:spacing w:val="-4"/>
          <w:szCs w:val="20"/>
        </w:rPr>
        <w:t>N</w:t>
      </w:r>
      <w:r w:rsidR="00AB75A7" w:rsidRPr="00EB29CA">
        <w:rPr>
          <w:rFonts w:cs="Arial"/>
          <w:spacing w:val="-4"/>
          <w:szCs w:val="20"/>
        </w:rPr>
        <w:t>a</w:t>
      </w:r>
      <w:r w:rsidR="004A6717">
        <w:rPr>
          <w:rFonts w:cs="Arial"/>
          <w:spacing w:val="-4"/>
          <w:szCs w:val="20"/>
        </w:rPr>
        <w:t xml:space="preserve"> trhu práce převažo</w:t>
      </w:r>
      <w:r w:rsidRPr="00EB29CA">
        <w:rPr>
          <w:rFonts w:cs="Arial"/>
          <w:spacing w:val="-4"/>
          <w:szCs w:val="20"/>
        </w:rPr>
        <w:t>valy příznivé tendence.</w:t>
      </w:r>
      <w:r w:rsidR="00AB75A7" w:rsidRPr="00EB29CA">
        <w:rPr>
          <w:rFonts w:cs="Arial"/>
          <w:spacing w:val="-4"/>
          <w:szCs w:val="20"/>
        </w:rPr>
        <w:t xml:space="preserve"> </w:t>
      </w:r>
      <w:r w:rsidRPr="00EB29CA">
        <w:rPr>
          <w:rFonts w:cs="Arial"/>
          <w:color w:val="0D0D0D" w:themeColor="text1" w:themeTint="F2"/>
          <w:spacing w:val="-4"/>
        </w:rPr>
        <w:t>Růst celkové zaměstnanosti</w:t>
      </w:r>
      <w:r w:rsidRPr="00EB29CA">
        <w:rPr>
          <w:rStyle w:val="Znakapoznpodarou"/>
          <w:spacing w:val="-4"/>
          <w:szCs w:val="20"/>
        </w:rPr>
        <w:footnoteReference w:id="2"/>
      </w:r>
      <w:r w:rsidRPr="00EB29CA">
        <w:rPr>
          <w:rFonts w:cs="Arial"/>
          <w:color w:val="0D0D0D" w:themeColor="text1" w:themeTint="F2"/>
          <w:spacing w:val="-4"/>
        </w:rPr>
        <w:t xml:space="preserve"> během 3</w:t>
      </w:r>
      <w:r w:rsidR="005723B7">
        <w:rPr>
          <w:rFonts w:cs="Arial"/>
          <w:color w:val="0D0D0D" w:themeColor="text1" w:themeTint="F2"/>
          <w:spacing w:val="-4"/>
        </w:rPr>
        <w:t>. čtvrtletí</w:t>
      </w:r>
      <w:r w:rsidRPr="00EB29CA">
        <w:rPr>
          <w:rFonts w:cs="Arial"/>
          <w:color w:val="0D0D0D" w:themeColor="text1" w:themeTint="F2"/>
          <w:spacing w:val="-4"/>
        </w:rPr>
        <w:t xml:space="preserve"> akceleroval. Oproti předešlému kvartálu pracovalo o</w:t>
      </w:r>
      <w:r w:rsidR="000C1F41">
        <w:rPr>
          <w:rFonts w:cs="Arial"/>
          <w:color w:val="0D0D0D" w:themeColor="text1" w:themeTint="F2"/>
          <w:spacing w:val="-4"/>
        </w:rPr>
        <w:t> </w:t>
      </w:r>
      <w:r w:rsidRPr="00EB29CA">
        <w:rPr>
          <w:rFonts w:cs="Arial"/>
          <w:color w:val="0D0D0D" w:themeColor="text1" w:themeTint="F2"/>
          <w:spacing w:val="-4"/>
        </w:rPr>
        <w:t>0,8</w:t>
      </w:r>
      <w:r w:rsidR="005723B7">
        <w:rPr>
          <w:rFonts w:cs="Arial"/>
          <w:color w:val="0D0D0D" w:themeColor="text1" w:themeTint="F2"/>
          <w:spacing w:val="-4"/>
        </w:rPr>
        <w:t> %</w:t>
      </w:r>
      <w:r w:rsidRPr="00EB29CA">
        <w:rPr>
          <w:rFonts w:cs="Arial"/>
          <w:color w:val="0D0D0D" w:themeColor="text1" w:themeTint="F2"/>
          <w:spacing w:val="-4"/>
        </w:rPr>
        <w:t xml:space="preserve"> osob více, meziročně o rovná 2</w:t>
      </w:r>
      <w:r w:rsidR="005723B7">
        <w:rPr>
          <w:rFonts w:cs="Arial"/>
          <w:color w:val="0D0D0D" w:themeColor="text1" w:themeTint="F2"/>
          <w:spacing w:val="-4"/>
        </w:rPr>
        <w:t> %</w:t>
      </w:r>
      <w:r w:rsidRPr="00EB29CA">
        <w:rPr>
          <w:rFonts w:cs="Arial"/>
          <w:color w:val="0D0D0D" w:themeColor="text1" w:themeTint="F2"/>
          <w:spacing w:val="-4"/>
        </w:rPr>
        <w:t>. V obou případech šlo o</w:t>
      </w:r>
      <w:r w:rsidRPr="00EB29CA">
        <w:rPr>
          <w:rFonts w:cs="Arial"/>
          <w:spacing w:val="-4"/>
          <w:szCs w:val="20"/>
        </w:rPr>
        <w:t> </w:t>
      </w:r>
      <w:r w:rsidRPr="00EB29CA">
        <w:rPr>
          <w:rFonts w:cs="Arial"/>
          <w:color w:val="0D0D0D" w:themeColor="text1" w:themeTint="F2"/>
          <w:spacing w:val="-4"/>
        </w:rPr>
        <w:t xml:space="preserve">nejsilnější tempa od konce konjunktury minulé </w:t>
      </w:r>
      <w:r w:rsidRPr="00EB29CA">
        <w:rPr>
          <w:rFonts w:cs="Arial"/>
          <w:color w:val="0D0D0D" w:themeColor="text1" w:themeTint="F2"/>
          <w:spacing w:val="-4"/>
          <w:szCs w:val="20"/>
        </w:rPr>
        <w:t>dekády. K růstu zaměstnanosti významně přispěl i</w:t>
      </w:r>
      <w:r w:rsidR="000C1F41">
        <w:rPr>
          <w:rFonts w:cs="Arial"/>
          <w:color w:val="0D0D0D" w:themeColor="text1" w:themeTint="F2"/>
          <w:spacing w:val="-4"/>
          <w:szCs w:val="20"/>
        </w:rPr>
        <w:t> </w:t>
      </w:r>
      <w:r w:rsidRPr="00EB29CA">
        <w:rPr>
          <w:rFonts w:cs="Arial"/>
          <w:color w:val="0D0D0D" w:themeColor="text1" w:themeTint="F2"/>
          <w:spacing w:val="-4"/>
          <w:szCs w:val="20"/>
        </w:rPr>
        <w:t xml:space="preserve">vyšší počet podnikajících osob, z pohledu odvětví pak zejména obchod, doprava, ubytování a stravování. Nabídka </w:t>
      </w:r>
      <w:r w:rsidRPr="00EB29CA">
        <w:rPr>
          <w:rFonts w:cs="Arial"/>
          <w:color w:val="0D0D0D" w:themeColor="text1" w:themeTint="F2"/>
          <w:spacing w:val="-4"/>
        </w:rPr>
        <w:t>volných pracovních míst registrovaných na úřadech práce zrychlila a na konci září poprvé překonala 200tis</w:t>
      </w:r>
      <w:r w:rsidR="000C1F41">
        <w:rPr>
          <w:rFonts w:cs="Arial"/>
          <w:color w:val="0D0D0D" w:themeColor="text1" w:themeTint="F2"/>
          <w:spacing w:val="-4"/>
        </w:rPr>
        <w:t>ícovou</w:t>
      </w:r>
      <w:r w:rsidRPr="00EB29CA">
        <w:rPr>
          <w:rFonts w:cs="Arial"/>
          <w:color w:val="0D0D0D" w:themeColor="text1" w:themeTint="F2"/>
          <w:spacing w:val="-4"/>
        </w:rPr>
        <w:t xml:space="preserve"> hranici. Tři čtvrtiny z meziročního přírůstku míst však připadal</w:t>
      </w:r>
      <w:r w:rsidR="000C1F41">
        <w:rPr>
          <w:rFonts w:cs="Arial"/>
          <w:color w:val="0D0D0D" w:themeColor="text1" w:themeTint="F2"/>
          <w:spacing w:val="-4"/>
        </w:rPr>
        <w:t>y</w:t>
      </w:r>
      <w:r w:rsidRPr="00EB29CA">
        <w:rPr>
          <w:rFonts w:cs="Arial"/>
          <w:color w:val="0D0D0D" w:themeColor="text1" w:themeTint="F2"/>
          <w:spacing w:val="-4"/>
        </w:rPr>
        <w:t xml:space="preserve"> na pozice s minimální kvalifikací. Tem</w:t>
      </w:r>
      <w:r w:rsidRPr="00EB29CA">
        <w:rPr>
          <w:rFonts w:cs="Arial"/>
          <w:color w:val="0D0D0D" w:themeColor="text1" w:themeTint="F2"/>
          <w:spacing w:val="-4"/>
          <w:szCs w:val="20"/>
        </w:rPr>
        <w:t xml:space="preserve">po poklesu obecné míry nezaměstnanosti nepolevovalo, lépe se uplatňovali dlouhodobě nezaměstnaní a osoby </w:t>
      </w:r>
      <w:r w:rsidR="00EB29CA" w:rsidRPr="00EB29CA">
        <w:rPr>
          <w:rFonts w:cs="Arial"/>
          <w:color w:val="0D0D0D" w:themeColor="text1" w:themeTint="F2"/>
          <w:spacing w:val="-4"/>
          <w:szCs w:val="20"/>
        </w:rPr>
        <w:t xml:space="preserve">se základním vzděláním. </w:t>
      </w:r>
      <w:r w:rsidR="00EB29CA" w:rsidRPr="00EB29CA">
        <w:rPr>
          <w:rFonts w:cs="Arial"/>
          <w:bCs/>
          <w:iCs/>
          <w:color w:val="0D0D0D" w:themeColor="text1" w:themeTint="F2"/>
          <w:spacing w:val="-4"/>
          <w:szCs w:val="20"/>
        </w:rPr>
        <w:t xml:space="preserve">Sílící napětí na pracovním trhu se odráželo v dynamickém růstu mezd. </w:t>
      </w:r>
      <w:r w:rsidR="00254C4B">
        <w:rPr>
          <w:rFonts w:cs="Arial"/>
          <w:bCs/>
          <w:iCs/>
          <w:color w:val="0D0D0D" w:themeColor="text1" w:themeTint="F2"/>
          <w:spacing w:val="-4"/>
          <w:szCs w:val="20"/>
        </w:rPr>
        <w:t>Pokračoval</w:t>
      </w:r>
      <w:r w:rsidR="00BF7F28">
        <w:rPr>
          <w:rFonts w:cs="Arial"/>
          <w:bCs/>
          <w:iCs/>
          <w:color w:val="0D0D0D" w:themeColor="text1" w:themeTint="F2"/>
          <w:spacing w:val="-4"/>
          <w:szCs w:val="20"/>
        </w:rPr>
        <w:t xml:space="preserve"> mírný pokles mzdové diferenciace. M</w:t>
      </w:r>
      <w:r w:rsidR="00EB29CA" w:rsidRPr="00EB29CA">
        <w:rPr>
          <w:rFonts w:cs="Arial"/>
          <w:bCs/>
          <w:iCs/>
          <w:color w:val="0D0D0D" w:themeColor="text1" w:themeTint="F2"/>
          <w:spacing w:val="-4"/>
          <w:szCs w:val="20"/>
        </w:rPr>
        <w:t xml:space="preserve">eziroční tempo </w:t>
      </w:r>
      <w:r w:rsidR="00254C4B">
        <w:rPr>
          <w:rFonts w:cs="Arial"/>
          <w:bCs/>
          <w:iCs/>
          <w:color w:val="0D0D0D" w:themeColor="text1" w:themeTint="F2"/>
          <w:spacing w:val="-4"/>
          <w:szCs w:val="20"/>
        </w:rPr>
        <w:t>reálných mezd</w:t>
      </w:r>
      <w:r w:rsidR="00EB29CA" w:rsidRPr="00EB29CA">
        <w:rPr>
          <w:rFonts w:cs="Arial"/>
          <w:bCs/>
          <w:iCs/>
          <w:color w:val="0D0D0D" w:themeColor="text1" w:themeTint="F2"/>
          <w:spacing w:val="-4"/>
          <w:szCs w:val="20"/>
        </w:rPr>
        <w:t xml:space="preserve"> dosáhlo za 1. až 3</w:t>
      </w:r>
      <w:r w:rsidR="005723B7">
        <w:rPr>
          <w:rFonts w:cs="Arial"/>
          <w:bCs/>
          <w:iCs/>
          <w:color w:val="0D0D0D" w:themeColor="text1" w:themeTint="F2"/>
          <w:spacing w:val="-4"/>
          <w:szCs w:val="20"/>
        </w:rPr>
        <w:t>. čtvrtletí</w:t>
      </w:r>
      <w:r w:rsidR="00EB29CA" w:rsidRPr="00EB29CA">
        <w:rPr>
          <w:rFonts w:cs="Arial"/>
          <w:bCs/>
          <w:iCs/>
          <w:color w:val="0D0D0D" w:themeColor="text1" w:themeTint="F2"/>
          <w:spacing w:val="-4"/>
          <w:szCs w:val="20"/>
        </w:rPr>
        <w:t xml:space="preserve"> desetiletého maxima</w:t>
      </w:r>
      <w:r w:rsidR="00254C4B">
        <w:rPr>
          <w:rFonts w:cs="Arial"/>
          <w:bCs/>
          <w:iCs/>
          <w:color w:val="0D0D0D" w:themeColor="text1" w:themeTint="F2"/>
          <w:spacing w:val="-4"/>
          <w:szCs w:val="20"/>
        </w:rPr>
        <w:t xml:space="preserve"> </w:t>
      </w:r>
      <w:r w:rsidR="00254C4B" w:rsidRPr="00EB29CA">
        <w:rPr>
          <w:rFonts w:cs="Arial"/>
          <w:bCs/>
          <w:iCs/>
          <w:color w:val="0D0D0D" w:themeColor="text1" w:themeTint="F2"/>
          <w:spacing w:val="-4"/>
          <w:szCs w:val="20"/>
        </w:rPr>
        <w:t>(+4,1</w:t>
      </w:r>
      <w:r w:rsidR="005723B7">
        <w:rPr>
          <w:rFonts w:cs="Arial"/>
          <w:bCs/>
          <w:iCs/>
          <w:color w:val="0D0D0D" w:themeColor="text1" w:themeTint="F2"/>
          <w:spacing w:val="-4"/>
          <w:szCs w:val="20"/>
        </w:rPr>
        <w:t> %</w:t>
      </w:r>
      <w:r w:rsidR="00254C4B" w:rsidRPr="00EB29CA">
        <w:rPr>
          <w:rFonts w:cs="Arial"/>
          <w:bCs/>
          <w:iCs/>
          <w:color w:val="0D0D0D" w:themeColor="text1" w:themeTint="F2"/>
          <w:spacing w:val="-4"/>
          <w:szCs w:val="20"/>
        </w:rPr>
        <w:t>)</w:t>
      </w:r>
      <w:r w:rsidR="00EB29CA" w:rsidRPr="00EB29CA">
        <w:rPr>
          <w:rFonts w:cs="Arial"/>
          <w:bCs/>
          <w:iCs/>
          <w:color w:val="0D0D0D" w:themeColor="text1" w:themeTint="F2"/>
          <w:spacing w:val="-4"/>
          <w:szCs w:val="20"/>
        </w:rPr>
        <w:t>.</w:t>
      </w:r>
    </w:p>
    <w:p w:rsidR="00EB29CA" w:rsidRPr="00BF7F28" w:rsidRDefault="00EB29CA" w:rsidP="00EB29CA">
      <w:pPr>
        <w:spacing w:line="240" w:lineRule="auto"/>
        <w:contextualSpacing/>
        <w:jc w:val="both"/>
        <w:rPr>
          <w:rFonts w:cs="Arial"/>
          <w:spacing w:val="-4"/>
          <w:sz w:val="15"/>
          <w:szCs w:val="15"/>
        </w:rPr>
      </w:pPr>
    </w:p>
    <w:p w:rsidR="001264C1" w:rsidRPr="00EB29CA" w:rsidRDefault="001264C1" w:rsidP="001264C1">
      <w:pPr>
        <w:pStyle w:val="Bezmezer"/>
        <w:numPr>
          <w:ilvl w:val="0"/>
          <w:numId w:val="18"/>
        </w:numPr>
        <w:ind w:left="425" w:hanging="357"/>
        <w:rPr>
          <w:rFonts w:cs="Arial"/>
          <w:spacing w:val="-4"/>
          <w:szCs w:val="20"/>
        </w:rPr>
      </w:pPr>
      <w:r w:rsidRPr="00EB29CA">
        <w:rPr>
          <w:rFonts w:cs="Arial"/>
          <w:spacing w:val="-4"/>
          <w:szCs w:val="20"/>
        </w:rPr>
        <w:t xml:space="preserve">Hospodaření státního rozpočtu (SR) skončilo </w:t>
      </w:r>
      <w:r w:rsidR="004A6717">
        <w:rPr>
          <w:rFonts w:cs="Arial"/>
          <w:spacing w:val="-4"/>
          <w:szCs w:val="20"/>
        </w:rPr>
        <w:t xml:space="preserve">dle pokladního plnění </w:t>
      </w:r>
      <w:r w:rsidRPr="00EB29CA">
        <w:rPr>
          <w:rFonts w:cs="Arial"/>
          <w:spacing w:val="-4"/>
          <w:szCs w:val="20"/>
        </w:rPr>
        <w:t>v 1. až 3</w:t>
      </w:r>
      <w:r w:rsidR="005723B7">
        <w:rPr>
          <w:rFonts w:cs="Arial"/>
          <w:spacing w:val="-4"/>
          <w:szCs w:val="20"/>
        </w:rPr>
        <w:t>. čtvrtletí</w:t>
      </w:r>
      <w:r w:rsidRPr="00EB29CA">
        <w:rPr>
          <w:rFonts w:cs="Arial"/>
          <w:spacing w:val="-4"/>
          <w:szCs w:val="20"/>
        </w:rPr>
        <w:t xml:space="preserve"> mírným přebytkem ve výši </w:t>
      </w:r>
      <w:r w:rsidRPr="00EB29CA">
        <w:rPr>
          <w:rFonts w:cs="Arial"/>
          <w:color w:val="0D0D0D" w:themeColor="text1" w:themeTint="F2"/>
          <w:spacing w:val="-4"/>
        </w:rPr>
        <w:t>17,4</w:t>
      </w:r>
      <w:r w:rsidR="006D164C">
        <w:rPr>
          <w:rFonts w:cs="Arial"/>
          <w:color w:val="0D0D0D" w:themeColor="text1" w:themeTint="F2"/>
          <w:spacing w:val="-4"/>
        </w:rPr>
        <w:t> mld.</w:t>
      </w:r>
      <w:r w:rsidRPr="00EB29CA">
        <w:rPr>
          <w:rFonts w:cs="Arial"/>
          <w:color w:val="0D0D0D" w:themeColor="text1" w:themeTint="F2"/>
          <w:spacing w:val="-4"/>
        </w:rPr>
        <w:t xml:space="preserve"> korun. Přestože výše kladného salda byla </w:t>
      </w:r>
      <w:r w:rsidR="000C1F41">
        <w:rPr>
          <w:rFonts w:cs="Arial"/>
          <w:color w:val="0D0D0D" w:themeColor="text1" w:themeTint="F2"/>
          <w:spacing w:val="-4"/>
        </w:rPr>
        <w:t>o</w:t>
      </w:r>
      <w:r w:rsidRPr="00EB29CA">
        <w:rPr>
          <w:rFonts w:cs="Arial"/>
          <w:color w:val="0D0D0D" w:themeColor="text1" w:themeTint="F2"/>
          <w:spacing w:val="-4"/>
        </w:rPr>
        <w:t>proti stejnému období loňského roku jen</w:t>
      </w:r>
      <w:r w:rsidR="00D024A1" w:rsidRPr="00EB29CA">
        <w:rPr>
          <w:rFonts w:cs="Arial"/>
          <w:color w:val="0D0D0D" w:themeColor="text1" w:themeTint="F2"/>
          <w:spacing w:val="-4"/>
        </w:rPr>
        <w:t xml:space="preserve"> pětinová, šlo</w:t>
      </w:r>
      <w:r w:rsidRPr="00EB29CA">
        <w:rPr>
          <w:rFonts w:cs="Arial"/>
          <w:color w:val="0D0D0D" w:themeColor="text1" w:themeTint="F2"/>
          <w:spacing w:val="-4"/>
        </w:rPr>
        <w:t xml:space="preserve"> o</w:t>
      </w:r>
      <w:r w:rsidR="000C1F41">
        <w:rPr>
          <w:rFonts w:cs="Arial"/>
          <w:color w:val="0D0D0D" w:themeColor="text1" w:themeTint="F2"/>
          <w:spacing w:val="-4"/>
        </w:rPr>
        <w:t> </w:t>
      </w:r>
      <w:r w:rsidRPr="00EB29CA">
        <w:rPr>
          <w:rFonts w:cs="Arial"/>
          <w:color w:val="0D0D0D" w:themeColor="text1" w:themeTint="F2"/>
          <w:spacing w:val="-4"/>
        </w:rPr>
        <w:t xml:space="preserve">druhý nejpříznivější výsledek za posledních deset let. </w:t>
      </w:r>
      <w:r w:rsidR="00DC53D9" w:rsidRPr="00EB29CA">
        <w:rPr>
          <w:rFonts w:cs="Arial"/>
          <w:spacing w:val="-4"/>
          <w:szCs w:val="20"/>
        </w:rPr>
        <w:t xml:space="preserve">Příjmy i výdaje SR byly podobně jako </w:t>
      </w:r>
      <w:r w:rsidR="00EF63CC" w:rsidRPr="00EB29CA">
        <w:rPr>
          <w:rFonts w:cs="Arial"/>
          <w:spacing w:val="-4"/>
          <w:szCs w:val="20"/>
        </w:rPr>
        <w:t xml:space="preserve">v roce 2016 </w:t>
      </w:r>
      <w:r w:rsidR="00DC53D9" w:rsidRPr="00EB29CA">
        <w:rPr>
          <w:rFonts w:cs="Arial"/>
          <w:color w:val="0D0D0D"/>
          <w:spacing w:val="-4"/>
        </w:rPr>
        <w:t xml:space="preserve">výrazně </w:t>
      </w:r>
      <w:r w:rsidR="00DC53D9" w:rsidRPr="00EB29CA">
        <w:rPr>
          <w:rFonts w:cs="Arial"/>
          <w:spacing w:val="-4"/>
          <w:szCs w:val="20"/>
        </w:rPr>
        <w:t>ovlivněny nepravidelnostmi v čerpání prostředků z</w:t>
      </w:r>
      <w:r w:rsidR="000C1F41">
        <w:rPr>
          <w:rFonts w:cs="Arial"/>
          <w:spacing w:val="-4"/>
          <w:szCs w:val="20"/>
        </w:rPr>
        <w:t> </w:t>
      </w:r>
      <w:r w:rsidR="00DC53D9" w:rsidRPr="00EB29CA">
        <w:rPr>
          <w:rFonts w:cs="Arial"/>
          <w:spacing w:val="-4"/>
          <w:szCs w:val="20"/>
        </w:rPr>
        <w:t>rozpočtu</w:t>
      </w:r>
      <w:r w:rsidR="000C1F41">
        <w:rPr>
          <w:rFonts w:cs="Arial"/>
          <w:spacing w:val="-4"/>
          <w:szCs w:val="20"/>
        </w:rPr>
        <w:t> </w:t>
      </w:r>
      <w:r w:rsidR="00DC53D9" w:rsidRPr="00EB29CA">
        <w:rPr>
          <w:rFonts w:cs="Arial"/>
          <w:spacing w:val="-4"/>
          <w:szCs w:val="20"/>
        </w:rPr>
        <w:t xml:space="preserve">EU. </w:t>
      </w:r>
      <w:r w:rsidR="00D024A1" w:rsidRPr="00EB29CA">
        <w:rPr>
          <w:rFonts w:cs="Arial"/>
          <w:spacing w:val="-4"/>
          <w:szCs w:val="20"/>
        </w:rPr>
        <w:t xml:space="preserve">Navzdory mírnému zrychlení čerpání investic v letním období byl jejich objem meziročně o pětinu nižší. </w:t>
      </w:r>
      <w:r w:rsidR="00EF63CC" w:rsidRPr="00EB29CA">
        <w:rPr>
          <w:rFonts w:cs="Arial"/>
          <w:color w:val="0D0D0D" w:themeColor="text1" w:themeTint="F2"/>
          <w:spacing w:val="-4"/>
        </w:rPr>
        <w:t xml:space="preserve">Sílící hospodářský růst </w:t>
      </w:r>
      <w:r w:rsidR="0020340C">
        <w:rPr>
          <w:rFonts w:cs="Arial"/>
          <w:color w:val="0D0D0D" w:themeColor="text1" w:themeTint="F2"/>
          <w:spacing w:val="-4"/>
        </w:rPr>
        <w:t>se odrazil</w:t>
      </w:r>
      <w:r w:rsidR="00EF63CC" w:rsidRPr="00EB29CA">
        <w:rPr>
          <w:rFonts w:cs="Arial"/>
          <w:color w:val="0D0D0D" w:themeColor="text1" w:themeTint="F2"/>
          <w:spacing w:val="-4"/>
        </w:rPr>
        <w:t xml:space="preserve"> v </w:t>
      </w:r>
      <w:proofErr w:type="gramStart"/>
      <w:r w:rsidR="00EF63CC" w:rsidRPr="00EB29CA">
        <w:rPr>
          <w:rFonts w:cs="Arial"/>
          <w:color w:val="0D0D0D" w:themeColor="text1" w:themeTint="F2"/>
          <w:spacing w:val="-4"/>
        </w:rPr>
        <w:t>7%</w:t>
      </w:r>
      <w:proofErr w:type="gramEnd"/>
      <w:r w:rsidR="000C1F41">
        <w:rPr>
          <w:rFonts w:cs="Arial"/>
          <w:color w:val="0D0D0D" w:themeColor="text1" w:themeTint="F2"/>
          <w:spacing w:val="-4"/>
        </w:rPr>
        <w:t> </w:t>
      </w:r>
      <w:r w:rsidR="00EF63CC" w:rsidRPr="00EB29CA">
        <w:rPr>
          <w:rFonts w:cs="Arial"/>
          <w:color w:val="0D0D0D" w:themeColor="text1" w:themeTint="F2"/>
          <w:spacing w:val="-4"/>
        </w:rPr>
        <w:t xml:space="preserve">růstu daňových příjmů, ale i ve vyšším výběru pojistného. </w:t>
      </w:r>
      <w:r w:rsidR="00EF63CC" w:rsidRPr="00EB29CA">
        <w:rPr>
          <w:rFonts w:cs="Arial"/>
          <w:spacing w:val="-4"/>
          <w:szCs w:val="20"/>
        </w:rPr>
        <w:t>Deficit důchodového účtu se tak snížil pod 4</w:t>
      </w:r>
      <w:r w:rsidR="000C1F41">
        <w:rPr>
          <w:rFonts w:cs="Arial"/>
          <w:spacing w:val="-4"/>
          <w:szCs w:val="20"/>
        </w:rPr>
        <w:t> </w:t>
      </w:r>
      <w:r w:rsidR="00EF63CC" w:rsidRPr="00EB29CA">
        <w:rPr>
          <w:rFonts w:cs="Arial"/>
          <w:spacing w:val="-4"/>
          <w:szCs w:val="20"/>
        </w:rPr>
        <w:t>mld. korun a dosáhl nejlepšího výsledku po roce 2008.</w:t>
      </w:r>
      <w:r w:rsidR="006365E8" w:rsidRPr="00EB29CA">
        <w:rPr>
          <w:rFonts w:cs="Arial"/>
          <w:spacing w:val="-4"/>
          <w:szCs w:val="20"/>
        </w:rPr>
        <w:t xml:space="preserve"> </w:t>
      </w:r>
      <w:r w:rsidR="00595C7C" w:rsidRPr="00EB29CA">
        <w:rPr>
          <w:rFonts w:cs="Arial"/>
          <w:spacing w:val="-4"/>
          <w:szCs w:val="20"/>
        </w:rPr>
        <w:t>S</w:t>
      </w:r>
      <w:r w:rsidR="00595C7C" w:rsidRPr="00EB29CA">
        <w:rPr>
          <w:rFonts w:cs="Arial"/>
          <w:color w:val="0D0D0D" w:themeColor="text1" w:themeTint="F2"/>
          <w:spacing w:val="-4"/>
        </w:rPr>
        <w:t xml:space="preserve">tátní dluh v průběhu roku 2017 značně kolísal. Po krátkodobém navýšení klesl na konci září na </w:t>
      </w:r>
      <w:r w:rsidR="00595C7C" w:rsidRPr="00EB29CA">
        <w:rPr>
          <w:color w:val="000000" w:themeColor="text1"/>
          <w:spacing w:val="-4"/>
        </w:rPr>
        <w:t>1610</w:t>
      </w:r>
      <w:r w:rsidR="0052207A">
        <w:rPr>
          <w:color w:val="000000" w:themeColor="text1"/>
          <w:spacing w:val="-4"/>
        </w:rPr>
        <w:t> </w:t>
      </w:r>
      <w:r w:rsidR="00595C7C" w:rsidRPr="00EB29CA">
        <w:rPr>
          <w:color w:val="000000" w:themeColor="text1"/>
          <w:spacing w:val="-4"/>
        </w:rPr>
        <w:t>mld. korun – hodnotu blízkou konci roku 2016.</w:t>
      </w:r>
    </w:p>
    <w:p w:rsidR="00EF63CC" w:rsidRPr="00BF7F28" w:rsidRDefault="00EF63CC" w:rsidP="00EF63CC">
      <w:pPr>
        <w:pStyle w:val="Bezmezer"/>
        <w:rPr>
          <w:rFonts w:cs="Arial"/>
          <w:spacing w:val="-2"/>
          <w:sz w:val="12"/>
          <w:szCs w:val="12"/>
        </w:rPr>
      </w:pPr>
    </w:p>
    <w:p w:rsidR="00DD0726" w:rsidRPr="00A74192" w:rsidRDefault="00DD0726" w:rsidP="00DD0726">
      <w:pPr>
        <w:pStyle w:val="Nadpis1"/>
        <w:numPr>
          <w:ilvl w:val="0"/>
          <w:numId w:val="12"/>
        </w:numPr>
        <w:ind w:left="709"/>
        <w:jc w:val="both"/>
      </w:pPr>
      <w:bookmarkStart w:id="6" w:name="_Toc469299930"/>
      <w:bookmarkStart w:id="7" w:name="_Toc501441377"/>
      <w:bookmarkStart w:id="8" w:name="_Toc454185150"/>
      <w:r w:rsidRPr="00A74192">
        <w:lastRenderedPageBreak/>
        <w:t>Souhrnná výkonnost</w:t>
      </w:r>
      <w:bookmarkEnd w:id="6"/>
      <w:bookmarkEnd w:id="7"/>
    </w:p>
    <w:p w:rsidR="00DD0726" w:rsidRPr="00A74192" w:rsidRDefault="00DD0726" w:rsidP="00DD0726">
      <w:pPr>
        <w:pStyle w:val="Textpoznpodarou"/>
        <w:jc w:val="both"/>
        <w:rPr>
          <w:sz w:val="2"/>
          <w:szCs w:val="2"/>
        </w:rPr>
      </w:pPr>
    </w:p>
    <w:tbl>
      <w:tblPr>
        <w:tblW w:w="5000" w:type="pct"/>
        <w:tblInd w:w="108" w:type="dxa"/>
        <w:tblLayout w:type="fixed"/>
        <w:tblLook w:val="00A0"/>
      </w:tblPr>
      <w:tblGrid>
        <w:gridCol w:w="1985"/>
        <w:gridCol w:w="284"/>
        <w:gridCol w:w="1133"/>
        <w:gridCol w:w="5104"/>
        <w:gridCol w:w="1348"/>
      </w:tblGrid>
      <w:tr w:rsidR="00B428EA" w:rsidRPr="00A74192" w:rsidTr="006C3DC1">
        <w:tc>
          <w:tcPr>
            <w:tcW w:w="1007" w:type="pct"/>
          </w:tcPr>
          <w:p w:rsidR="00B428EA" w:rsidRPr="00F32CCD" w:rsidRDefault="00B428EA" w:rsidP="00333134">
            <w:pPr>
              <w:spacing w:line="240" w:lineRule="auto"/>
              <w:rPr>
                <w:rFonts w:cs="Arial"/>
                <w:sz w:val="16"/>
                <w:szCs w:val="16"/>
              </w:rPr>
            </w:pPr>
            <w:r>
              <w:rPr>
                <w:rFonts w:cs="Arial"/>
                <w:sz w:val="16"/>
                <w:szCs w:val="16"/>
              </w:rPr>
              <w:t xml:space="preserve">Meziroční růst HDP opět zrychlil. </w:t>
            </w:r>
            <w:proofErr w:type="spellStart"/>
            <w:r>
              <w:rPr>
                <w:rFonts w:cs="Arial"/>
                <w:sz w:val="16"/>
                <w:szCs w:val="16"/>
              </w:rPr>
              <w:t>Mezičtvrtletní</w:t>
            </w:r>
            <w:proofErr w:type="spellEnd"/>
            <w:r>
              <w:rPr>
                <w:rFonts w:cs="Arial"/>
                <w:sz w:val="16"/>
                <w:szCs w:val="16"/>
              </w:rPr>
              <w:t xml:space="preserve"> dynamika naopak zmírnila.</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Pr="00F32CCD" w:rsidRDefault="00B428EA" w:rsidP="00333134">
            <w:pPr>
              <w:pStyle w:val="Textpoznpodarou"/>
              <w:jc w:val="both"/>
              <w:rPr>
                <w:rFonts w:cs="Arial"/>
                <w:sz w:val="16"/>
                <w:szCs w:val="16"/>
              </w:rPr>
            </w:pPr>
            <w:r w:rsidRPr="00F32CCD">
              <w:rPr>
                <w:rFonts w:cs="Arial"/>
              </w:rPr>
              <w:t>Meziroční růst hrubého domácího produktu (HDP) ve 3</w:t>
            </w:r>
            <w:r w:rsidR="005723B7">
              <w:rPr>
                <w:rFonts w:cs="Arial"/>
              </w:rPr>
              <w:t>. čtvrtletí</w:t>
            </w:r>
            <w:r w:rsidRPr="00F32CCD">
              <w:rPr>
                <w:rFonts w:cs="Arial"/>
              </w:rPr>
              <w:t xml:space="preserve"> roku 2017 dosáhl 5,0</w:t>
            </w:r>
            <w:r w:rsidR="005723B7">
              <w:rPr>
                <w:rFonts w:cs="Arial"/>
              </w:rPr>
              <w:t> %</w:t>
            </w:r>
            <w:r w:rsidRPr="00F32CCD">
              <w:rPr>
                <w:rStyle w:val="Znakapoznpodarou"/>
                <w:rFonts w:cs="Arial"/>
              </w:rPr>
              <w:footnoteReference w:id="3"/>
            </w:r>
            <w:r w:rsidRPr="00F32CCD">
              <w:rPr>
                <w:rFonts w:cs="Arial"/>
              </w:rPr>
              <w:t>. Pokračovalo tak zrychlování meziroční dynamiky (3,0</w:t>
            </w:r>
            <w:r w:rsidR="005723B7">
              <w:rPr>
                <w:rFonts w:cs="Arial"/>
              </w:rPr>
              <w:t> %</w:t>
            </w:r>
            <w:r w:rsidRPr="00F32CCD">
              <w:rPr>
                <w:rFonts w:cs="Arial"/>
              </w:rPr>
              <w:t xml:space="preserve"> a</w:t>
            </w:r>
            <w:r w:rsidR="00F358E3">
              <w:rPr>
                <w:rFonts w:cs="Arial"/>
              </w:rPr>
              <w:t> </w:t>
            </w:r>
            <w:r w:rsidRPr="00F32CCD">
              <w:rPr>
                <w:rFonts w:cs="Arial"/>
              </w:rPr>
              <w:t>4,7</w:t>
            </w:r>
            <w:r w:rsidR="005723B7">
              <w:rPr>
                <w:rFonts w:cs="Arial"/>
              </w:rPr>
              <w:t> %</w:t>
            </w:r>
            <w:r w:rsidRPr="00F32CCD">
              <w:rPr>
                <w:rFonts w:cs="Arial"/>
              </w:rPr>
              <w:t xml:space="preserve"> v 1. a 2</w:t>
            </w:r>
            <w:r w:rsidR="005723B7">
              <w:rPr>
                <w:rFonts w:cs="Arial"/>
              </w:rPr>
              <w:t>. čtvrtletí</w:t>
            </w:r>
            <w:r w:rsidRPr="00F32CCD">
              <w:rPr>
                <w:rFonts w:cs="Arial"/>
              </w:rPr>
              <w:t>), které od začátku roku posunuje Česko mezi nejrychleji rostoucí ekonomiky</w:t>
            </w:r>
            <w:r w:rsidR="00F358E3">
              <w:rPr>
                <w:rFonts w:cs="Arial"/>
              </w:rPr>
              <w:t> </w:t>
            </w:r>
            <w:r w:rsidRPr="00F32CCD">
              <w:rPr>
                <w:rFonts w:cs="Arial"/>
              </w:rPr>
              <w:t>EU. Zrychlení a kontakt s 5% hranicí meziročního tempa růstu j</w:t>
            </w:r>
            <w:r w:rsidR="00F358E3">
              <w:rPr>
                <w:rFonts w:cs="Arial"/>
              </w:rPr>
              <w:t>sou</w:t>
            </w:r>
            <w:r w:rsidRPr="00F32CCD">
              <w:rPr>
                <w:rFonts w:cs="Arial"/>
              </w:rPr>
              <w:t xml:space="preserve"> výsledkem působení všech složek HDP. Kromě domácích výdajů na spotřebu </w:t>
            </w:r>
            <w:r w:rsidRPr="00F32CCD">
              <w:t>a</w:t>
            </w:r>
            <w:r>
              <w:t> </w:t>
            </w:r>
            <w:r w:rsidRPr="00F32CCD">
              <w:t>stále</w:t>
            </w:r>
            <w:r w:rsidRPr="00F32CCD">
              <w:rPr>
                <w:rFonts w:cs="Arial"/>
              </w:rPr>
              <w:t xml:space="preserve"> silného kladného vlivu bilance zahraničního obchodu se projevilo meziroční zrychlení růstu investičních výdajů. Meziroční růst hrubé přidané hodnoty (HPH)</w:t>
            </w:r>
            <w:r w:rsidR="00F358E3">
              <w:rPr>
                <w:rFonts w:cs="Arial"/>
              </w:rPr>
              <w:t>,</w:t>
            </w:r>
            <w:r w:rsidRPr="00F32CCD">
              <w:rPr>
                <w:rFonts w:cs="Arial"/>
              </w:rPr>
              <w:t xml:space="preserve"> reprezentující nabídkovou stranu ekonomiky</w:t>
            </w:r>
            <w:r w:rsidR="00F358E3">
              <w:rPr>
                <w:rFonts w:cs="Arial"/>
              </w:rPr>
              <w:t>,</w:t>
            </w:r>
            <w:r w:rsidRPr="00F32CCD">
              <w:rPr>
                <w:rFonts w:cs="Arial"/>
              </w:rPr>
              <w:t xml:space="preserve"> dosáhl ve 3</w:t>
            </w:r>
            <w:r w:rsidR="005723B7">
              <w:rPr>
                <w:rFonts w:cs="Arial"/>
              </w:rPr>
              <w:t>. čtvrtletí</w:t>
            </w:r>
            <w:r w:rsidRPr="00F32CCD">
              <w:rPr>
                <w:rFonts w:cs="Arial"/>
              </w:rPr>
              <w:t xml:space="preserve"> 5,1</w:t>
            </w:r>
            <w:r w:rsidR="005723B7">
              <w:rPr>
                <w:rFonts w:cs="Arial"/>
              </w:rPr>
              <w:t> %</w:t>
            </w:r>
            <w:r w:rsidRPr="00F32CCD">
              <w:rPr>
                <w:rFonts w:cs="Arial"/>
              </w:rPr>
              <w:t>.</w:t>
            </w:r>
            <w:r>
              <w:rPr>
                <w:rFonts w:cs="Arial"/>
              </w:rPr>
              <w:t xml:space="preserve"> </w:t>
            </w:r>
            <w:proofErr w:type="spellStart"/>
            <w:r w:rsidRPr="00F32CCD">
              <w:rPr>
                <w:rFonts w:cs="Arial"/>
              </w:rPr>
              <w:t>Mezičtvrtletní</w:t>
            </w:r>
            <w:proofErr w:type="spellEnd"/>
            <w:r w:rsidRPr="00F32CCD">
              <w:rPr>
                <w:rFonts w:cs="Arial"/>
              </w:rPr>
              <w:t xml:space="preserve"> dynamika se naopak zmírnila. Po výrazně nadprůměrných tempech 1.</w:t>
            </w:r>
            <w:r w:rsidR="00F358E3">
              <w:rPr>
                <w:rFonts w:cs="Arial"/>
              </w:rPr>
              <w:t> </w:t>
            </w:r>
            <w:r w:rsidRPr="00F32CCD">
              <w:rPr>
                <w:rFonts w:cs="Arial"/>
              </w:rPr>
              <w:t>poloviny roku (1,5</w:t>
            </w:r>
            <w:r w:rsidR="005723B7">
              <w:rPr>
                <w:rFonts w:cs="Arial"/>
              </w:rPr>
              <w:t> %</w:t>
            </w:r>
            <w:r w:rsidRPr="00F32CCD">
              <w:rPr>
                <w:rFonts w:cs="Arial"/>
              </w:rPr>
              <w:t xml:space="preserve"> a 2,5</w:t>
            </w:r>
            <w:r w:rsidR="005723B7">
              <w:rPr>
                <w:rFonts w:cs="Arial"/>
              </w:rPr>
              <w:t> %</w:t>
            </w:r>
            <w:r w:rsidRPr="00F32CCD">
              <w:rPr>
                <w:rFonts w:cs="Arial"/>
              </w:rPr>
              <w:t>) se HDP v porovnání s 2</w:t>
            </w:r>
            <w:r w:rsidR="005723B7">
              <w:rPr>
                <w:rFonts w:cs="Arial"/>
              </w:rPr>
              <w:t>. čtvrtletí</w:t>
            </w:r>
            <w:r w:rsidRPr="00F32CCD">
              <w:rPr>
                <w:rFonts w:cs="Arial"/>
              </w:rPr>
              <w:t>m zvýšil o 0,5</w:t>
            </w:r>
            <w:r w:rsidR="005723B7">
              <w:rPr>
                <w:rFonts w:cs="Arial"/>
              </w:rPr>
              <w:t> %</w:t>
            </w:r>
            <w:r w:rsidRPr="00F32CCD">
              <w:rPr>
                <w:rFonts w:cs="Arial"/>
              </w:rPr>
              <w:t xml:space="preserve">. </w:t>
            </w:r>
            <w:proofErr w:type="spellStart"/>
            <w:r w:rsidRPr="00F32CCD">
              <w:rPr>
                <w:rFonts w:cs="Arial"/>
              </w:rPr>
              <w:t>Mezičtvrtletní</w:t>
            </w:r>
            <w:proofErr w:type="spellEnd"/>
            <w:r w:rsidRPr="00F32CCD">
              <w:rPr>
                <w:rFonts w:cs="Arial"/>
              </w:rPr>
              <w:t xml:space="preserve"> růst podpořila spotřeba domácností a nárůst zásob, </w:t>
            </w:r>
            <w:proofErr w:type="spellStart"/>
            <w:r w:rsidRPr="00F32CCD">
              <w:rPr>
                <w:rFonts w:cs="Arial"/>
              </w:rPr>
              <w:t>mezičtvrtletní</w:t>
            </w:r>
            <w:proofErr w:type="spellEnd"/>
            <w:r w:rsidRPr="00F32CCD">
              <w:rPr>
                <w:rFonts w:cs="Arial"/>
              </w:rPr>
              <w:t xml:space="preserve"> snížení bilance zahraničního obchodu růst </w:t>
            </w:r>
            <w:r w:rsidR="00333134">
              <w:rPr>
                <w:rFonts w:cs="Arial"/>
              </w:rPr>
              <w:t xml:space="preserve">naopak </w:t>
            </w:r>
            <w:r w:rsidRPr="00F32CCD">
              <w:rPr>
                <w:rFonts w:cs="Arial"/>
              </w:rPr>
              <w:t xml:space="preserve">zpomalilo. </w:t>
            </w:r>
            <w:proofErr w:type="spellStart"/>
            <w:r w:rsidRPr="00F32CCD">
              <w:rPr>
                <w:rFonts w:cs="Arial"/>
              </w:rPr>
              <w:t>Mezičtvrtletní</w:t>
            </w:r>
            <w:proofErr w:type="spellEnd"/>
            <w:r w:rsidRPr="00F32CCD">
              <w:rPr>
                <w:rFonts w:cs="Arial"/>
              </w:rPr>
              <w:t xml:space="preserve"> růst HPH se rovněž výrazně zpomalil a dosáhl 0,6</w:t>
            </w:r>
            <w:r w:rsidR="005723B7">
              <w:rPr>
                <w:rFonts w:cs="Arial"/>
              </w:rPr>
              <w:t> %</w:t>
            </w:r>
            <w:r w:rsidRPr="00F32CCD">
              <w:rPr>
                <w:rFonts w:cs="Arial"/>
              </w:rPr>
              <w:t>.</w:t>
            </w:r>
          </w:p>
          <w:p w:rsidR="00B428EA" w:rsidRPr="00F32CCD" w:rsidRDefault="00B428EA" w:rsidP="00333134">
            <w:pPr>
              <w:pStyle w:val="Textpoznpodarou"/>
              <w:jc w:val="both"/>
              <w:rPr>
                <w:rFonts w:cs="Arial"/>
                <w:sz w:val="16"/>
                <w:szCs w:val="16"/>
              </w:rPr>
            </w:pP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575" w:type="pct"/>
          </w:tcPr>
          <w:p w:rsidR="00DD0726" w:rsidRDefault="00DD0726" w:rsidP="006C3DC1">
            <w:pPr>
              <w:pStyle w:val="Textpoznpodarou"/>
              <w:jc w:val="both"/>
              <w:rPr>
                <w:rFonts w:cs="Arial"/>
              </w:rPr>
            </w:pPr>
            <w:r>
              <w:rPr>
                <w:rFonts w:cs="Arial"/>
              </w:rPr>
              <w:t>Graf č. 1</w:t>
            </w:r>
          </w:p>
        </w:tc>
        <w:tc>
          <w:tcPr>
            <w:tcW w:w="3274" w:type="pct"/>
            <w:gridSpan w:val="2"/>
          </w:tcPr>
          <w:p w:rsidR="00DD0726" w:rsidRDefault="00DD0726" w:rsidP="006C3DC1">
            <w:pPr>
              <w:pStyle w:val="Textpoznpodarou"/>
              <w:spacing w:after="60"/>
              <w:jc w:val="both"/>
              <w:rPr>
                <w:rFonts w:cs="Arial"/>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očištěno o sezónní a kalendářní vlivy, v</w:t>
            </w:r>
            <w:r w:rsidR="005723B7">
              <w:rPr>
                <w:rFonts w:cs="Arial"/>
                <w:lang w:eastAsia="en-US"/>
              </w:rPr>
              <w:t> %</w:t>
            </w:r>
            <w:r w:rsidRPr="00A6766C">
              <w:rPr>
                <w:rFonts w:cs="Arial"/>
                <w:lang w:eastAsia="en-US"/>
              </w:rPr>
              <w:t>)</w:t>
            </w: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B428EA" w:rsidP="006C3DC1">
            <w:pPr>
              <w:pStyle w:val="Textpoznpodarou"/>
              <w:rPr>
                <w:rFonts w:cs="Arial"/>
                <w:sz w:val="14"/>
                <w:szCs w:val="14"/>
              </w:rPr>
            </w:pPr>
            <w:r w:rsidRPr="00B428EA">
              <w:rPr>
                <w:rFonts w:cs="Arial"/>
                <w:noProof/>
                <w:sz w:val="14"/>
                <w:szCs w:val="14"/>
              </w:rPr>
              <w:drawing>
                <wp:inline distT="0" distB="0" distL="0" distR="0">
                  <wp:extent cx="4737600" cy="35532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0726" w:rsidRDefault="00DD0726" w:rsidP="006C3DC1">
            <w:pPr>
              <w:pStyle w:val="Textpoznpodarou"/>
              <w:jc w:val="right"/>
              <w:rPr>
                <w:rFonts w:cs="Arial"/>
                <w:sz w:val="14"/>
                <w:szCs w:val="14"/>
              </w:rPr>
            </w:pPr>
            <w:r w:rsidRPr="002E4069">
              <w:rPr>
                <w:rFonts w:cs="Arial"/>
                <w:sz w:val="14"/>
                <w:szCs w:val="14"/>
              </w:rPr>
              <w:t xml:space="preserve">Zdroj: ČSÚ, </w:t>
            </w:r>
            <w:proofErr w:type="spellStart"/>
            <w:r w:rsidRPr="002E4069">
              <w:rPr>
                <w:rFonts w:cs="Arial"/>
                <w:sz w:val="14"/>
                <w:szCs w:val="14"/>
              </w:rPr>
              <w:t>Eurostat</w:t>
            </w:r>
            <w:proofErr w:type="spellEnd"/>
          </w:p>
          <w:p w:rsidR="00DD0726" w:rsidRPr="002E4069" w:rsidRDefault="00DD0726" w:rsidP="006C3DC1">
            <w:pPr>
              <w:pStyle w:val="Textpoznpodarou"/>
              <w:jc w:val="right"/>
              <w:rPr>
                <w:rFonts w:cs="Arial"/>
                <w:sz w:val="14"/>
                <w:szCs w:val="14"/>
              </w:rPr>
            </w:pPr>
          </w:p>
        </w:tc>
      </w:tr>
      <w:tr w:rsidR="00B428EA" w:rsidRPr="00A74192" w:rsidTr="006C3DC1">
        <w:tblPrEx>
          <w:tblCellMar>
            <w:left w:w="70" w:type="dxa"/>
            <w:right w:w="70" w:type="dxa"/>
          </w:tblCellMar>
        </w:tblPrEx>
        <w:tc>
          <w:tcPr>
            <w:tcW w:w="1007" w:type="pct"/>
          </w:tcPr>
          <w:p w:rsidR="00B428EA" w:rsidRPr="00F32CCD" w:rsidRDefault="00B428EA" w:rsidP="00333134">
            <w:pPr>
              <w:spacing w:line="240" w:lineRule="auto"/>
              <w:rPr>
                <w:rFonts w:cs="Arial"/>
                <w:sz w:val="16"/>
                <w:szCs w:val="16"/>
              </w:rPr>
            </w:pPr>
            <w:r>
              <w:rPr>
                <w:rFonts w:cs="Arial"/>
                <w:sz w:val="16"/>
                <w:szCs w:val="16"/>
              </w:rPr>
              <w:t>Evropské ekonomice se dař</w:t>
            </w:r>
            <w:r w:rsidR="00333134">
              <w:rPr>
                <w:rFonts w:cs="Arial"/>
                <w:sz w:val="16"/>
                <w:szCs w:val="16"/>
              </w:rPr>
              <w:t>ilo</w:t>
            </w:r>
            <w:r>
              <w:rPr>
                <w:rFonts w:cs="Arial"/>
                <w:sz w:val="16"/>
                <w:szCs w:val="16"/>
              </w:rPr>
              <w:t>. Meziroční růst zrychlil. Česko těži</w:t>
            </w:r>
            <w:r w:rsidR="00333134">
              <w:rPr>
                <w:rFonts w:cs="Arial"/>
                <w:sz w:val="16"/>
                <w:szCs w:val="16"/>
              </w:rPr>
              <w:t>lo</w:t>
            </w:r>
            <w:r>
              <w:rPr>
                <w:rFonts w:cs="Arial"/>
                <w:sz w:val="16"/>
                <w:szCs w:val="16"/>
              </w:rPr>
              <w:t xml:space="preserve"> i</w:t>
            </w:r>
            <w:r w:rsidR="00333134">
              <w:rPr>
                <w:rFonts w:cs="Arial"/>
                <w:sz w:val="16"/>
                <w:szCs w:val="16"/>
              </w:rPr>
              <w:t> </w:t>
            </w:r>
            <w:r>
              <w:rPr>
                <w:rFonts w:cs="Arial"/>
                <w:sz w:val="16"/>
                <w:szCs w:val="16"/>
              </w:rPr>
              <w:t xml:space="preserve">z úspěšného ekonomického vývoje nejbližších obchodních partnerů. </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Pr="00F66CA8" w:rsidRDefault="00B428EA" w:rsidP="00B428EA">
            <w:pPr>
              <w:pStyle w:val="Textpoznpodarou"/>
              <w:jc w:val="both"/>
              <w:rPr>
                <w:rFonts w:cs="Arial"/>
                <w:spacing w:val="-2"/>
                <w:sz w:val="16"/>
                <w:szCs w:val="16"/>
              </w:rPr>
            </w:pPr>
            <w:r w:rsidRPr="00F66CA8">
              <w:rPr>
                <w:rFonts w:cs="Arial"/>
                <w:spacing w:val="-2"/>
              </w:rPr>
              <w:t>Meziroční tempo růstu HDP v EU ve 3</w:t>
            </w:r>
            <w:r w:rsidR="005723B7">
              <w:rPr>
                <w:rFonts w:cs="Arial"/>
                <w:spacing w:val="-2"/>
              </w:rPr>
              <w:t>. čtvrtletí</w:t>
            </w:r>
            <w:r w:rsidRPr="00F66CA8">
              <w:rPr>
                <w:rFonts w:cs="Arial"/>
                <w:spacing w:val="-2"/>
              </w:rPr>
              <w:t xml:space="preserve"> drobně zrychlilo a dosáhlo 2,6</w:t>
            </w:r>
            <w:r w:rsidR="005723B7">
              <w:rPr>
                <w:rFonts w:cs="Arial"/>
                <w:spacing w:val="-2"/>
              </w:rPr>
              <w:t> %</w:t>
            </w:r>
            <w:r w:rsidRPr="00F66CA8">
              <w:rPr>
                <w:rStyle w:val="Znakapoznpodarou"/>
                <w:spacing w:val="-2"/>
              </w:rPr>
              <w:footnoteReference w:id="4"/>
            </w:r>
            <w:r w:rsidRPr="00F66CA8">
              <w:rPr>
                <w:rFonts w:cs="Arial"/>
                <w:spacing w:val="-2"/>
              </w:rPr>
              <w:t>. Zrychlování meziroční dynamiky probíhá již od konce roku 2016. Podobně jako v Česku se v EU projevovala rostoucí spotřeba domácností i zvýšené investiční výdaje. K růstu přispíval i zahraniční obchod. Čtvrtletní nárůst činil 0,6</w:t>
            </w:r>
            <w:r w:rsidR="005723B7">
              <w:rPr>
                <w:rFonts w:cs="Arial"/>
                <w:spacing w:val="-2"/>
              </w:rPr>
              <w:t> %</w:t>
            </w:r>
            <w:r w:rsidRPr="00F66CA8">
              <w:rPr>
                <w:rFonts w:cs="Arial"/>
                <w:spacing w:val="-2"/>
              </w:rPr>
              <w:t>. Podobně jako v předchozích dvou kvartálech meziročně rostly všechny ekonomiky v EU. Nejrychleji meziročně rostl</w:t>
            </w:r>
            <w:r w:rsidR="008444BE">
              <w:rPr>
                <w:rFonts w:cs="Arial"/>
                <w:spacing w:val="-2"/>
              </w:rPr>
              <w:t>y</w:t>
            </w:r>
            <w:r w:rsidRPr="00F66CA8">
              <w:rPr>
                <w:rFonts w:cs="Arial"/>
                <w:spacing w:val="-2"/>
              </w:rPr>
              <w:t xml:space="preserve"> Rumunsko (8,6</w:t>
            </w:r>
            <w:r w:rsidR="005723B7">
              <w:rPr>
                <w:rFonts w:cs="Arial"/>
                <w:spacing w:val="-2"/>
              </w:rPr>
              <w:t> %</w:t>
            </w:r>
            <w:r w:rsidRPr="00F66CA8">
              <w:rPr>
                <w:rFonts w:cs="Arial"/>
                <w:spacing w:val="-2"/>
              </w:rPr>
              <w:t xml:space="preserve">, dosáhlo rovněž nejvyššího </w:t>
            </w:r>
            <w:proofErr w:type="spellStart"/>
            <w:r w:rsidRPr="00F66CA8">
              <w:rPr>
                <w:rFonts w:cs="Arial"/>
                <w:spacing w:val="-2"/>
              </w:rPr>
              <w:t>mezičtvrtletního</w:t>
            </w:r>
            <w:proofErr w:type="spellEnd"/>
            <w:r w:rsidRPr="00F66CA8">
              <w:rPr>
                <w:rFonts w:cs="Arial"/>
                <w:spacing w:val="-2"/>
              </w:rPr>
              <w:t xml:space="preserve"> přírůstku – 2,6</w:t>
            </w:r>
            <w:r w:rsidR="005723B7">
              <w:rPr>
                <w:rFonts w:cs="Arial"/>
                <w:spacing w:val="-2"/>
              </w:rPr>
              <w:t> %</w:t>
            </w:r>
            <w:r w:rsidRPr="00F66CA8">
              <w:rPr>
                <w:rFonts w:cs="Arial"/>
                <w:spacing w:val="-2"/>
              </w:rPr>
              <w:t>), Malta (7,7</w:t>
            </w:r>
            <w:r w:rsidR="005723B7">
              <w:rPr>
                <w:rFonts w:cs="Arial"/>
                <w:spacing w:val="-2"/>
              </w:rPr>
              <w:t> %</w:t>
            </w:r>
            <w:r w:rsidRPr="00F66CA8">
              <w:rPr>
                <w:rFonts w:cs="Arial"/>
                <w:spacing w:val="-2"/>
              </w:rPr>
              <w:t>) a Lotyšsko (6,2</w:t>
            </w:r>
            <w:r w:rsidR="005723B7">
              <w:rPr>
                <w:spacing w:val="-2"/>
              </w:rPr>
              <w:t> %</w:t>
            </w:r>
            <w:r w:rsidRPr="00F66CA8">
              <w:rPr>
                <w:rFonts w:cs="Arial"/>
                <w:spacing w:val="-2"/>
              </w:rPr>
              <w:t>). Na opačném konci žebříčku skončil</w:t>
            </w:r>
            <w:r w:rsidR="008444BE">
              <w:rPr>
                <w:rFonts w:cs="Arial"/>
                <w:spacing w:val="-2"/>
              </w:rPr>
              <w:t>y</w:t>
            </w:r>
            <w:r w:rsidRPr="00F66CA8">
              <w:rPr>
                <w:rFonts w:cs="Arial"/>
                <w:spacing w:val="-2"/>
              </w:rPr>
              <w:t xml:space="preserve"> Dánsko (1,3</w:t>
            </w:r>
            <w:r w:rsidR="005723B7">
              <w:rPr>
                <w:rFonts w:cs="Arial"/>
                <w:spacing w:val="-2"/>
              </w:rPr>
              <w:t> %</w:t>
            </w:r>
            <w:r w:rsidRPr="00F66CA8">
              <w:rPr>
                <w:rFonts w:cs="Arial"/>
                <w:spacing w:val="-2"/>
              </w:rPr>
              <w:t xml:space="preserve">, výrazné zpomalení oproti předchozímu čtvrtletí a jediná země, kde HDP </w:t>
            </w:r>
            <w:proofErr w:type="spellStart"/>
            <w:r w:rsidRPr="00F66CA8">
              <w:rPr>
                <w:rFonts w:cs="Arial"/>
                <w:spacing w:val="-2"/>
              </w:rPr>
              <w:t>mezičtvrtletně</w:t>
            </w:r>
            <w:proofErr w:type="spellEnd"/>
            <w:r w:rsidRPr="00F66CA8">
              <w:rPr>
                <w:rFonts w:cs="Arial"/>
                <w:spacing w:val="-2"/>
              </w:rPr>
              <w:t xml:space="preserve"> klesl), Řecko (1,3</w:t>
            </w:r>
            <w:r w:rsidR="005723B7">
              <w:rPr>
                <w:rFonts w:cs="Arial"/>
                <w:spacing w:val="-2"/>
              </w:rPr>
              <w:t> %</w:t>
            </w:r>
            <w:r w:rsidRPr="00F66CA8">
              <w:rPr>
                <w:rFonts w:cs="Arial"/>
                <w:spacing w:val="-2"/>
              </w:rPr>
              <w:t>) a Velká Británie (1,5</w:t>
            </w:r>
            <w:r w:rsidR="005723B7">
              <w:rPr>
                <w:rFonts w:cs="Arial"/>
                <w:spacing w:val="-2"/>
              </w:rPr>
              <w:t> %</w:t>
            </w:r>
            <w:r w:rsidRPr="00F66CA8">
              <w:rPr>
                <w:rFonts w:cs="Arial"/>
                <w:spacing w:val="-2"/>
              </w:rPr>
              <w:t>, meziroční dynamika konstantně zpomaluje již od konce roku 2014). Výrazné zrychlení meziročního růstu zaznamenala německá ekonomika (2,8</w:t>
            </w:r>
            <w:r w:rsidR="005723B7">
              <w:rPr>
                <w:rFonts w:cs="Arial"/>
                <w:spacing w:val="-2"/>
              </w:rPr>
              <w:t> %</w:t>
            </w:r>
            <w:r w:rsidR="00333134" w:rsidRPr="00F66CA8">
              <w:rPr>
                <w:rFonts w:cs="Arial"/>
                <w:spacing w:val="-2"/>
              </w:rPr>
              <w:t xml:space="preserve"> – zrychlení </w:t>
            </w:r>
            <w:r w:rsidR="00F66CA8">
              <w:rPr>
                <w:rFonts w:cs="Arial"/>
                <w:spacing w:val="-2"/>
              </w:rPr>
              <w:t>o</w:t>
            </w:r>
            <w:r w:rsidR="00F66CA8" w:rsidRPr="00F66CA8">
              <w:rPr>
                <w:rFonts w:cs="Arial"/>
                <w:spacing w:val="-2"/>
              </w:rPr>
              <w:t> </w:t>
            </w:r>
            <w:r w:rsidRPr="00F66CA8">
              <w:rPr>
                <w:rFonts w:cs="Arial"/>
                <w:spacing w:val="-2"/>
              </w:rPr>
              <w:t>0,5</w:t>
            </w:r>
            <w:r w:rsidR="008444BE">
              <w:rPr>
                <w:rFonts w:cs="Arial"/>
                <w:spacing w:val="-2"/>
              </w:rPr>
              <w:t> </w:t>
            </w:r>
            <w:proofErr w:type="gramStart"/>
            <w:r w:rsidRPr="00F66CA8">
              <w:rPr>
                <w:rFonts w:cs="Arial"/>
                <w:spacing w:val="-2"/>
              </w:rPr>
              <w:t>p.</w:t>
            </w:r>
            <w:r w:rsidR="008444BE">
              <w:rPr>
                <w:rFonts w:cs="Arial"/>
                <w:spacing w:val="-2"/>
              </w:rPr>
              <w:t> </w:t>
            </w:r>
            <w:proofErr w:type="spellStart"/>
            <w:r w:rsidRPr="00F66CA8">
              <w:rPr>
                <w:rFonts w:cs="Arial"/>
                <w:spacing w:val="-2"/>
              </w:rPr>
              <w:t>b</w:t>
            </w:r>
            <w:proofErr w:type="spellEnd"/>
            <w:r w:rsidRPr="00F66CA8">
              <w:rPr>
                <w:rFonts w:cs="Arial"/>
                <w:spacing w:val="-2"/>
              </w:rPr>
              <w:t>. a nejvyšší</w:t>
            </w:r>
            <w:proofErr w:type="gramEnd"/>
            <w:r w:rsidRPr="00F66CA8">
              <w:rPr>
                <w:rFonts w:cs="Arial"/>
                <w:spacing w:val="-2"/>
              </w:rPr>
              <w:t xml:space="preserve"> hodnota od 3</w:t>
            </w:r>
            <w:r w:rsidR="005723B7">
              <w:rPr>
                <w:rFonts w:cs="Arial"/>
                <w:spacing w:val="-2"/>
              </w:rPr>
              <w:t>. čtvrtletí</w:t>
            </w:r>
            <w:r w:rsidRPr="00F66CA8">
              <w:rPr>
                <w:rFonts w:cs="Arial"/>
                <w:spacing w:val="-2"/>
              </w:rPr>
              <w:t xml:space="preserve"> 2011). Dařilo se i</w:t>
            </w:r>
            <w:r w:rsidR="008444BE">
              <w:rPr>
                <w:rFonts w:cs="Arial"/>
                <w:spacing w:val="-2"/>
              </w:rPr>
              <w:t> </w:t>
            </w:r>
            <w:r w:rsidRPr="00F66CA8">
              <w:rPr>
                <w:rFonts w:cs="Arial"/>
                <w:spacing w:val="-2"/>
              </w:rPr>
              <w:t>ostatním blízkým partnerům Česka. Polsko zrychlilo meziroční růst na 5,2</w:t>
            </w:r>
            <w:r w:rsidR="005723B7">
              <w:rPr>
                <w:rFonts w:cs="Arial"/>
                <w:spacing w:val="-2"/>
              </w:rPr>
              <w:t> %</w:t>
            </w:r>
            <w:r w:rsidRPr="00F66CA8">
              <w:rPr>
                <w:rFonts w:cs="Arial"/>
                <w:spacing w:val="-2"/>
              </w:rPr>
              <w:t>, Slovensko dosáhlo 3,5</w:t>
            </w:r>
            <w:r w:rsidR="005723B7">
              <w:rPr>
                <w:rFonts w:cs="Arial"/>
                <w:spacing w:val="-2"/>
              </w:rPr>
              <w:t> %</w:t>
            </w:r>
            <w:r w:rsidRPr="00F66CA8">
              <w:rPr>
                <w:rFonts w:cs="Arial"/>
                <w:spacing w:val="-2"/>
              </w:rPr>
              <w:t>. Nejvyšší meziroční růst od počátku roku 2011 mělo i Rakousko (3,5</w:t>
            </w:r>
            <w:r w:rsidR="005723B7">
              <w:rPr>
                <w:spacing w:val="-2"/>
              </w:rPr>
              <w:t> %</w:t>
            </w:r>
            <w:r w:rsidRPr="00F66CA8">
              <w:rPr>
                <w:rFonts w:cs="Arial"/>
                <w:spacing w:val="-2"/>
              </w:rPr>
              <w:t>).</w:t>
            </w:r>
          </w:p>
          <w:p w:rsidR="00B428EA" w:rsidRPr="00B428EA" w:rsidRDefault="00B428EA" w:rsidP="00B428EA">
            <w:pPr>
              <w:pStyle w:val="Textpoznpodarou"/>
              <w:jc w:val="both"/>
              <w:rPr>
                <w:rFonts w:cs="Arial"/>
                <w:sz w:val="16"/>
                <w:szCs w:val="16"/>
              </w:rPr>
            </w:pPr>
          </w:p>
        </w:tc>
      </w:tr>
      <w:tr w:rsidR="00DD0726" w:rsidRPr="00A6766C" w:rsidTr="006C3DC1">
        <w:tc>
          <w:tcPr>
            <w:tcW w:w="1007" w:type="pct"/>
          </w:tcPr>
          <w:p w:rsidR="00DD0726" w:rsidRPr="00A6766C" w:rsidRDefault="00DD0726" w:rsidP="006C3DC1">
            <w:pPr>
              <w:spacing w:line="240" w:lineRule="auto"/>
              <w:jc w:val="center"/>
              <w:rPr>
                <w:rFonts w:cs="Arial"/>
                <w:szCs w:val="20"/>
              </w:rPr>
            </w:pPr>
          </w:p>
        </w:tc>
        <w:tc>
          <w:tcPr>
            <w:tcW w:w="144" w:type="pct"/>
          </w:tcPr>
          <w:p w:rsidR="00DD0726" w:rsidRPr="00A6766C" w:rsidRDefault="00DD0726" w:rsidP="006C3DC1">
            <w:pPr>
              <w:pStyle w:val="Textpoznpodarou"/>
              <w:jc w:val="both"/>
              <w:rPr>
                <w:rFonts w:cs="Arial"/>
              </w:rPr>
            </w:pPr>
          </w:p>
        </w:tc>
        <w:tc>
          <w:tcPr>
            <w:tcW w:w="575" w:type="pct"/>
          </w:tcPr>
          <w:p w:rsidR="00DD0726" w:rsidRPr="00A6766C" w:rsidRDefault="00DD0726" w:rsidP="006C3DC1">
            <w:pPr>
              <w:pStyle w:val="Textpoznpodarou"/>
              <w:jc w:val="both"/>
              <w:rPr>
                <w:rFonts w:cs="Arial"/>
              </w:rPr>
            </w:pPr>
            <w:r w:rsidRPr="00A6766C">
              <w:rPr>
                <w:rFonts w:cs="Arial"/>
                <w:lang w:eastAsia="en-US"/>
              </w:rPr>
              <w:t>Graf č. 2</w:t>
            </w:r>
          </w:p>
        </w:tc>
        <w:tc>
          <w:tcPr>
            <w:tcW w:w="3274" w:type="pct"/>
            <w:gridSpan w:val="2"/>
          </w:tcPr>
          <w:p w:rsidR="00DD0726" w:rsidRPr="00A6766C" w:rsidRDefault="00DD0726" w:rsidP="006C3DC1">
            <w:pPr>
              <w:pStyle w:val="Textpoznpodarou"/>
              <w:rPr>
                <w:rFonts w:cs="Arial"/>
                <w:lang w:eastAsia="en-US"/>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xml:space="preserve">, očištěno o sezónní a kalendářní vlivy, </w:t>
            </w:r>
            <w:r>
              <w:rPr>
                <w:rFonts w:cs="Arial"/>
                <w:lang w:eastAsia="en-US"/>
              </w:rPr>
              <w:t>meziročně</w:t>
            </w:r>
            <w:r w:rsidRPr="00A6766C">
              <w:rPr>
                <w:rFonts w:cs="Arial"/>
                <w:lang w:eastAsia="en-US"/>
              </w:rPr>
              <w:t xml:space="preserve"> v</w:t>
            </w:r>
            <w:r w:rsidR="005723B7">
              <w:rPr>
                <w:rFonts w:cs="Arial"/>
                <w:lang w:eastAsia="en-US"/>
              </w:rPr>
              <w:t> %</w:t>
            </w:r>
            <w:r w:rsidRPr="00A6766C">
              <w:rPr>
                <w:rFonts w:cs="Arial"/>
                <w:lang w:eastAsia="en-US"/>
              </w:rPr>
              <w:t xml:space="preserve">, pravá osa) </w:t>
            </w:r>
            <w:r w:rsidRPr="00A6766C">
              <w:rPr>
                <w:rFonts w:cs="Arial"/>
                <w:b/>
                <w:lang w:eastAsia="en-US"/>
              </w:rPr>
              <w:t>a indikátory důvěry</w:t>
            </w:r>
            <w:r w:rsidRPr="00A6766C">
              <w:rPr>
                <w:rFonts w:cs="Arial"/>
                <w:lang w:eastAsia="en-US"/>
              </w:rPr>
              <w:t xml:space="preserve"> (2005</w:t>
            </w:r>
            <w:r w:rsidR="000A7F13">
              <w:rPr>
                <w:rFonts w:cs="Arial"/>
                <w:lang w:eastAsia="en-US"/>
              </w:rPr>
              <w:t> </w:t>
            </w:r>
            <w:r w:rsidRPr="00A6766C">
              <w:rPr>
                <w:rFonts w:cs="Arial"/>
                <w:lang w:eastAsia="en-US"/>
              </w:rPr>
              <w:t>=</w:t>
            </w:r>
            <w:r w:rsidR="000A7F13">
              <w:rPr>
                <w:rFonts w:cs="Arial"/>
                <w:lang w:eastAsia="en-US"/>
              </w:rPr>
              <w:t> </w:t>
            </w:r>
            <w:r w:rsidRPr="00A6766C">
              <w:rPr>
                <w:rFonts w:cs="Arial"/>
                <w:lang w:eastAsia="en-US"/>
              </w:rPr>
              <w:t>100, levá osa)</w:t>
            </w:r>
          </w:p>
        </w:tc>
      </w:tr>
      <w:tr w:rsidR="00DD0726" w:rsidRPr="00A74192" w:rsidTr="006C3DC1">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B428EA" w:rsidP="006C3DC1">
            <w:pPr>
              <w:pStyle w:val="Textpoznpodarou"/>
              <w:ind w:left="-94"/>
              <w:jc w:val="both"/>
              <w:rPr>
                <w:rFonts w:cs="Arial"/>
              </w:rPr>
            </w:pPr>
            <w:r w:rsidRPr="00B428EA">
              <w:rPr>
                <w:rFonts w:cs="Arial"/>
                <w:noProof/>
              </w:rPr>
              <w:drawing>
                <wp:inline distT="0" distB="0" distL="0" distR="0">
                  <wp:extent cx="4737600" cy="3553200"/>
                  <wp:effectExtent l="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726" w:rsidRPr="007841BB" w:rsidRDefault="00DD0726" w:rsidP="006C3DC1">
            <w:pPr>
              <w:pStyle w:val="Textpoznpodarou"/>
              <w:ind w:left="-94"/>
              <w:jc w:val="right"/>
              <w:rPr>
                <w:rFonts w:cs="Arial"/>
                <w:sz w:val="14"/>
                <w:szCs w:val="14"/>
              </w:rPr>
            </w:pPr>
            <w:r w:rsidRPr="007841BB">
              <w:rPr>
                <w:rFonts w:cs="Arial"/>
                <w:sz w:val="14"/>
                <w:szCs w:val="14"/>
              </w:rPr>
              <w:t>Zdroj: ČSÚ</w:t>
            </w:r>
          </w:p>
          <w:p w:rsidR="00DD0726" w:rsidRPr="000125F0" w:rsidRDefault="00DD0726" w:rsidP="006C3DC1">
            <w:pPr>
              <w:pStyle w:val="Textpoznpodarou"/>
              <w:ind w:left="-94"/>
              <w:jc w:val="right"/>
              <w:rPr>
                <w:rFonts w:cs="Arial"/>
              </w:rPr>
            </w:pPr>
          </w:p>
        </w:tc>
      </w:tr>
      <w:tr w:rsidR="00B428EA" w:rsidRPr="00A74192" w:rsidTr="006C3DC1">
        <w:tc>
          <w:tcPr>
            <w:tcW w:w="1007" w:type="pct"/>
          </w:tcPr>
          <w:p w:rsidR="00B428EA" w:rsidRPr="00F32CCD" w:rsidRDefault="00B428EA" w:rsidP="00333134">
            <w:pPr>
              <w:spacing w:line="240" w:lineRule="auto"/>
              <w:rPr>
                <w:rFonts w:cs="Arial"/>
                <w:sz w:val="16"/>
                <w:szCs w:val="16"/>
              </w:rPr>
            </w:pPr>
            <w:r>
              <w:rPr>
                <w:rFonts w:cs="Arial"/>
                <w:sz w:val="16"/>
                <w:szCs w:val="16"/>
              </w:rPr>
              <w:t>Na růstu se tentokrát podílely všechny složky HDP.</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Pr="00F32CCD" w:rsidRDefault="00B428EA" w:rsidP="00333134">
            <w:pPr>
              <w:pStyle w:val="Textpoznpodarou"/>
              <w:jc w:val="both"/>
              <w:rPr>
                <w:rFonts w:cs="Arial"/>
                <w:sz w:val="16"/>
                <w:szCs w:val="16"/>
              </w:rPr>
            </w:pPr>
            <w:r w:rsidRPr="00F32CCD">
              <w:rPr>
                <w:rFonts w:cs="Arial"/>
              </w:rPr>
              <w:t>Původ poměrně vysokého meziročního tempa r</w:t>
            </w:r>
            <w:r w:rsidR="001073E5">
              <w:rPr>
                <w:rFonts w:cs="Arial"/>
              </w:rPr>
              <w:t>ůstu HDP lze hledat v současném působení</w:t>
            </w:r>
            <w:r w:rsidRPr="00F32CCD">
              <w:rPr>
                <w:rFonts w:cs="Arial"/>
              </w:rPr>
              <w:t xml:space="preserve"> jeho jednotlivých složek. </w:t>
            </w:r>
            <w:r w:rsidR="00333134">
              <w:rPr>
                <w:rFonts w:cs="Arial"/>
              </w:rPr>
              <w:t xml:space="preserve">Z časových řad národních účtů vyplývá, že </w:t>
            </w:r>
            <w:r w:rsidRPr="00F32CCD">
              <w:rPr>
                <w:rFonts w:cs="Arial"/>
              </w:rPr>
              <w:t>v českých podmínkách lze zřídka dosáhnout více než 3% růstu</w:t>
            </w:r>
            <w:r w:rsidR="000A7F13">
              <w:rPr>
                <w:rFonts w:cs="Arial"/>
              </w:rPr>
              <w:t>,</w:t>
            </w:r>
            <w:r w:rsidRPr="00F32CCD">
              <w:rPr>
                <w:rFonts w:cs="Arial"/>
              </w:rPr>
              <w:t xml:space="preserve"> aniž by se na něm podílely všechny složky HDP. </w:t>
            </w:r>
            <w:r w:rsidR="00333134">
              <w:rPr>
                <w:rFonts w:cs="Arial"/>
              </w:rPr>
              <w:t>To je patrné i na grafu č.</w:t>
            </w:r>
            <w:r w:rsidR="000A7F13">
              <w:rPr>
                <w:rFonts w:cs="Arial"/>
              </w:rPr>
              <w:t> </w:t>
            </w:r>
            <w:r w:rsidR="00333134">
              <w:rPr>
                <w:rFonts w:cs="Arial"/>
              </w:rPr>
              <w:t xml:space="preserve">3. </w:t>
            </w:r>
            <w:r w:rsidRPr="00F32CCD">
              <w:rPr>
                <w:rFonts w:cs="Arial"/>
              </w:rPr>
              <w:t>Ve 3</w:t>
            </w:r>
            <w:r w:rsidR="005723B7">
              <w:rPr>
                <w:rFonts w:cs="Arial"/>
              </w:rPr>
              <w:t>. čtvrtletí</w:t>
            </w:r>
            <w:r w:rsidRPr="00F32CCD">
              <w:rPr>
                <w:rFonts w:cs="Arial"/>
              </w:rPr>
              <w:t xml:space="preserve"> se na celkem stabilní bázi, kterou již třetím rokem tvoří výdaje na konečnou spotřebu (1,7</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w:t>
            </w:r>
            <w:r w:rsidRPr="00F32CCD">
              <w:rPr>
                <w:rStyle w:val="Znakapoznpodarou"/>
              </w:rPr>
              <w:footnoteReference w:id="5"/>
            </w:r>
            <w:r w:rsidRPr="00F32CCD">
              <w:rPr>
                <w:rFonts w:cs="Arial"/>
              </w:rPr>
              <w:t>, z toho 1,5</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 xml:space="preserve">. </w:t>
            </w:r>
            <w:proofErr w:type="gramStart"/>
            <w:r w:rsidRPr="00F32CCD">
              <w:rPr>
                <w:rFonts w:cs="Arial"/>
              </w:rPr>
              <w:t>tvořily</w:t>
            </w:r>
            <w:proofErr w:type="gramEnd"/>
            <w:r w:rsidRPr="00F32CCD">
              <w:rPr>
                <w:rFonts w:cs="Arial"/>
              </w:rPr>
              <w:t xml:space="preserve"> domácnosti), postavil příspěvek posílených kapitálových výdajů (1,8</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 tvorba hrubého fixního kapitálu přispěla 1,6</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 i</w:t>
            </w:r>
            <w:r w:rsidR="000A7F13">
              <w:rPr>
                <w:rFonts w:cs="Arial"/>
              </w:rPr>
              <w:t> </w:t>
            </w:r>
            <w:r w:rsidRPr="00F32CCD">
              <w:rPr>
                <w:rFonts w:cs="Arial"/>
              </w:rPr>
              <w:t>meziročně rostoucí bilance zahraničního obchodu (1,5</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 oslabení o</w:t>
            </w:r>
            <w:r w:rsidR="000A7F13">
              <w:rPr>
                <w:rFonts w:cs="Arial"/>
              </w:rPr>
              <w:t> </w:t>
            </w:r>
            <w:r w:rsidRPr="00F32CCD">
              <w:rPr>
                <w:rFonts w:cs="Arial"/>
              </w:rPr>
              <w:t>0,7</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 v porovnání s 1. a 2</w:t>
            </w:r>
            <w:r w:rsidR="005723B7">
              <w:rPr>
                <w:rFonts w:cs="Arial"/>
              </w:rPr>
              <w:t>. čtvrtletí</w:t>
            </w:r>
            <w:r w:rsidRPr="00F32CCD">
              <w:rPr>
                <w:rFonts w:cs="Arial"/>
              </w:rPr>
              <w:t>m).</w:t>
            </w:r>
          </w:p>
          <w:p w:rsidR="00B428EA" w:rsidRPr="00F32CCD" w:rsidRDefault="00B428EA" w:rsidP="00333134">
            <w:pPr>
              <w:pStyle w:val="Textpoznpodarou"/>
              <w:jc w:val="both"/>
              <w:rPr>
                <w:rFonts w:cs="Arial"/>
                <w:sz w:val="16"/>
                <w:szCs w:val="16"/>
                <w:highlight w:val="yellow"/>
              </w:rPr>
            </w:pPr>
          </w:p>
        </w:tc>
      </w:tr>
      <w:tr w:rsidR="00B428EA" w:rsidRPr="00A6766C" w:rsidTr="006C3DC1">
        <w:tc>
          <w:tcPr>
            <w:tcW w:w="1007" w:type="pct"/>
          </w:tcPr>
          <w:p w:rsidR="00B428EA" w:rsidRPr="00F32CCD" w:rsidRDefault="00B428EA" w:rsidP="00333134">
            <w:pPr>
              <w:spacing w:line="240" w:lineRule="auto"/>
              <w:rPr>
                <w:rFonts w:cs="Arial"/>
                <w:sz w:val="16"/>
                <w:szCs w:val="16"/>
              </w:rPr>
            </w:pPr>
            <w:r>
              <w:rPr>
                <w:rFonts w:cs="Arial"/>
                <w:sz w:val="16"/>
                <w:szCs w:val="16"/>
              </w:rPr>
              <w:t>Pokračoval silný růst spotřeby domácností…</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Pr="00F32CCD" w:rsidRDefault="00B428EA" w:rsidP="00333134">
            <w:pPr>
              <w:pStyle w:val="Textpoznpodarou"/>
              <w:jc w:val="both"/>
              <w:rPr>
                <w:rFonts w:cs="Arial"/>
                <w:sz w:val="16"/>
                <w:szCs w:val="16"/>
              </w:rPr>
            </w:pPr>
            <w:r w:rsidRPr="00F32CCD">
              <w:rPr>
                <w:rFonts w:cs="Arial"/>
              </w:rPr>
              <w:t>Celkové výdaje na konečnou spotřebu ve 3</w:t>
            </w:r>
            <w:r w:rsidR="005723B7">
              <w:rPr>
                <w:rFonts w:cs="Arial"/>
              </w:rPr>
              <w:t>. čtvrtletí</w:t>
            </w:r>
            <w:r w:rsidRPr="00F32CCD">
              <w:rPr>
                <w:rFonts w:cs="Arial"/>
              </w:rPr>
              <w:t xml:space="preserve"> meziročně vzrostly o</w:t>
            </w:r>
            <w:r w:rsidR="000A7F13">
              <w:rPr>
                <w:rFonts w:cs="Arial"/>
              </w:rPr>
              <w:t> </w:t>
            </w:r>
            <w:r w:rsidRPr="00F32CCD">
              <w:rPr>
                <w:rFonts w:cs="Arial"/>
              </w:rPr>
              <w:t>3,4</w:t>
            </w:r>
            <w:r w:rsidR="005723B7">
              <w:rPr>
                <w:rFonts w:cs="Arial"/>
              </w:rPr>
              <w:t> %</w:t>
            </w:r>
            <w:r w:rsidRPr="00F32CCD">
              <w:rPr>
                <w:rFonts w:cs="Arial"/>
              </w:rPr>
              <w:t>. Důvodem byl především pokračující silný růst spotřeby domácností (4,4</w:t>
            </w:r>
            <w:r w:rsidR="005723B7">
              <w:rPr>
                <w:rFonts w:cs="Arial"/>
              </w:rPr>
              <w:t> %</w:t>
            </w:r>
            <w:r w:rsidRPr="00F32CCD">
              <w:rPr>
                <w:rFonts w:cs="Arial"/>
              </w:rPr>
              <w:t>, stejně jako ve 2</w:t>
            </w:r>
            <w:r w:rsidR="005723B7">
              <w:rPr>
                <w:rFonts w:cs="Arial"/>
              </w:rPr>
              <w:t>. čtvrtletí</w:t>
            </w:r>
            <w:r w:rsidRPr="00F32CCD">
              <w:rPr>
                <w:rFonts w:cs="Arial"/>
              </w:rPr>
              <w:t xml:space="preserve">). </w:t>
            </w:r>
            <w:r w:rsidR="00333134">
              <w:rPr>
                <w:rFonts w:cs="Arial"/>
              </w:rPr>
              <w:t xml:space="preserve">Tu </w:t>
            </w:r>
            <w:r w:rsidRPr="00F32CCD">
              <w:rPr>
                <w:rFonts w:cs="Arial"/>
              </w:rPr>
              <w:t>stimul</w:t>
            </w:r>
            <w:r w:rsidR="00333134">
              <w:rPr>
                <w:rFonts w:cs="Arial"/>
              </w:rPr>
              <w:t>oval</w:t>
            </w:r>
            <w:r w:rsidRPr="00F32CCD">
              <w:rPr>
                <w:rFonts w:cs="Arial"/>
              </w:rPr>
              <w:t xml:space="preserve"> především silný růst reálných mezd. Ten se společně s klesající nezaměstnaností odráž</w:t>
            </w:r>
            <w:r w:rsidR="00333134">
              <w:rPr>
                <w:rFonts w:cs="Arial"/>
              </w:rPr>
              <w:t>el</w:t>
            </w:r>
            <w:r w:rsidRPr="00F32CCD">
              <w:rPr>
                <w:rFonts w:cs="Arial"/>
              </w:rPr>
              <w:t xml:space="preserve"> v rekordních hodnotách indikátoru důvěry spotřebitelů. Čtvrtletní tempo růstu výdajů na spotřebu dosáhlo 0,7</w:t>
            </w:r>
            <w:r w:rsidR="005723B7">
              <w:rPr>
                <w:rFonts w:cs="Arial"/>
              </w:rPr>
              <w:t> %</w:t>
            </w:r>
            <w:r w:rsidRPr="00F32CCD">
              <w:rPr>
                <w:rFonts w:cs="Arial"/>
              </w:rPr>
              <w:t xml:space="preserve"> (stejně jako v 1</w:t>
            </w:r>
            <w:r w:rsidR="005723B7">
              <w:rPr>
                <w:rFonts w:cs="Arial"/>
              </w:rPr>
              <w:t>. čtvrtletí</w:t>
            </w:r>
            <w:r w:rsidRPr="00F32CCD">
              <w:rPr>
                <w:rFonts w:cs="Arial"/>
              </w:rPr>
              <w:t>, o</w:t>
            </w:r>
            <w:r w:rsidR="000A7F13">
              <w:rPr>
                <w:rFonts w:cs="Arial"/>
              </w:rPr>
              <w:t> </w:t>
            </w:r>
            <w:r w:rsidRPr="00F32CCD">
              <w:rPr>
                <w:rFonts w:cs="Arial"/>
              </w:rPr>
              <w:t>0,6</w:t>
            </w:r>
            <w:r w:rsidR="000A7F13">
              <w:rPr>
                <w:rFonts w:cs="Arial"/>
              </w:rPr>
              <w:t> </w:t>
            </w:r>
            <w:r w:rsidRPr="00F32CCD">
              <w:rPr>
                <w:rFonts w:cs="Arial"/>
              </w:rPr>
              <w:t>p.</w:t>
            </w:r>
            <w:r w:rsidR="000A7F13">
              <w:rPr>
                <w:rFonts w:cs="Arial"/>
              </w:rPr>
              <w:t> </w:t>
            </w:r>
            <w:proofErr w:type="spellStart"/>
            <w:r w:rsidRPr="00F32CCD">
              <w:rPr>
                <w:rFonts w:cs="Arial"/>
              </w:rPr>
              <w:t>b</w:t>
            </w:r>
            <w:proofErr w:type="spellEnd"/>
            <w:r w:rsidRPr="00F32CCD">
              <w:rPr>
                <w:rFonts w:cs="Arial"/>
              </w:rPr>
              <w:t xml:space="preserve">. </w:t>
            </w:r>
            <w:proofErr w:type="gramStart"/>
            <w:r w:rsidRPr="00F32CCD">
              <w:rPr>
                <w:rFonts w:cs="Arial"/>
              </w:rPr>
              <w:t>m</w:t>
            </w:r>
            <w:r w:rsidR="005723B7">
              <w:rPr>
                <w:rFonts w:cs="Arial"/>
              </w:rPr>
              <w:t>é</w:t>
            </w:r>
            <w:r w:rsidRPr="00F32CCD">
              <w:rPr>
                <w:rFonts w:cs="Arial"/>
              </w:rPr>
              <w:t>ně</w:t>
            </w:r>
            <w:proofErr w:type="gramEnd"/>
            <w:r w:rsidRPr="00F32CCD">
              <w:rPr>
                <w:rFonts w:cs="Arial"/>
              </w:rPr>
              <w:t xml:space="preserve"> než ve 2</w:t>
            </w:r>
            <w:r w:rsidR="005723B7">
              <w:rPr>
                <w:rFonts w:cs="Arial"/>
              </w:rPr>
              <w:t>. čtvrtletí</w:t>
            </w:r>
            <w:r w:rsidRPr="00F32CCD">
              <w:rPr>
                <w:rFonts w:cs="Arial"/>
              </w:rPr>
              <w:t>). Růst výdajů domácnost</w:t>
            </w:r>
            <w:r w:rsidR="005723B7">
              <w:rPr>
                <w:rFonts w:cs="Arial"/>
              </w:rPr>
              <w:t>í</w:t>
            </w:r>
            <w:r w:rsidRPr="00F32CCD">
              <w:rPr>
                <w:rFonts w:cs="Arial"/>
              </w:rPr>
              <w:t xml:space="preserve"> se odrazil na všech typech spotřeby. Obvykle mírně rostoucí výdaje na netrvanlivé statky tak nyní kopírují růst celkových výdajů (meziroční růst 3,7</w:t>
            </w:r>
            <w:r w:rsidR="005723B7">
              <w:rPr>
                <w:rFonts w:cs="Arial"/>
              </w:rPr>
              <w:t> %</w:t>
            </w:r>
            <w:r w:rsidRPr="00F32CCD">
              <w:rPr>
                <w:rStyle w:val="Znakapoznpodarou"/>
              </w:rPr>
              <w:footnoteReference w:id="6"/>
            </w:r>
            <w:r w:rsidRPr="00F32CCD">
              <w:rPr>
                <w:rFonts w:cs="Arial"/>
              </w:rPr>
              <w:t>) a pokračuje silný růst spotřeby trvanlivých statků (9,6</w:t>
            </w:r>
            <w:r w:rsidR="005723B7">
              <w:rPr>
                <w:rFonts w:cs="Arial"/>
              </w:rPr>
              <w:t> %</w:t>
            </w:r>
            <w:r w:rsidRPr="00F32CCD">
              <w:rPr>
                <w:rFonts w:cs="Arial"/>
              </w:rPr>
              <w:t xml:space="preserve"> u</w:t>
            </w:r>
            <w:r w:rsidR="005723B7">
              <w:rPr>
                <w:rFonts w:cs="Arial"/>
              </w:rPr>
              <w:t> </w:t>
            </w:r>
            <w:r w:rsidRPr="00F32CCD">
              <w:rPr>
                <w:rFonts w:cs="Arial"/>
              </w:rPr>
              <w:t>střednědobé spotřeby, 6,0</w:t>
            </w:r>
            <w:r w:rsidR="005723B7">
              <w:rPr>
                <w:rFonts w:cs="Arial"/>
              </w:rPr>
              <w:t> %</w:t>
            </w:r>
            <w:r w:rsidRPr="00F32CCD">
              <w:rPr>
                <w:rFonts w:cs="Arial"/>
              </w:rPr>
              <w:t xml:space="preserve"> u</w:t>
            </w:r>
            <w:r w:rsidR="005723B7">
              <w:rPr>
                <w:rFonts w:cs="Arial"/>
              </w:rPr>
              <w:t> </w:t>
            </w:r>
            <w:r w:rsidRPr="00F32CCD">
              <w:rPr>
                <w:rFonts w:cs="Arial"/>
              </w:rPr>
              <w:t xml:space="preserve">dlouhodobé spotřeby). Růst výdajů na spotřebu služeb mírně zpomalil </w:t>
            </w:r>
            <w:r w:rsidRPr="00F32CCD">
              <w:t>a</w:t>
            </w:r>
            <w:r>
              <w:t> </w:t>
            </w:r>
            <w:r w:rsidRPr="00F32CCD">
              <w:t>dosáhl</w:t>
            </w:r>
            <w:r w:rsidRPr="00F32CCD">
              <w:rPr>
                <w:rFonts w:cs="Arial"/>
              </w:rPr>
              <w:t xml:space="preserve"> 2,5</w:t>
            </w:r>
            <w:r w:rsidR="005723B7">
              <w:rPr>
                <w:rFonts w:cs="Arial"/>
              </w:rPr>
              <w:t> %</w:t>
            </w:r>
            <w:r w:rsidRPr="00F32CCD">
              <w:rPr>
                <w:rFonts w:cs="Arial"/>
              </w:rPr>
              <w:t>. Spotřeba vládních institucí meziročně rostla o 1,1</w:t>
            </w:r>
            <w:r w:rsidR="005723B7">
              <w:rPr>
                <w:rFonts w:cs="Arial"/>
              </w:rPr>
              <w:t> %</w:t>
            </w:r>
            <w:r w:rsidRPr="00F32CCD">
              <w:rPr>
                <w:rFonts w:cs="Arial"/>
              </w:rPr>
              <w:t xml:space="preserve">, ale od začátku roku se její tempo zpomaluje. To je patrné i na </w:t>
            </w:r>
            <w:proofErr w:type="spellStart"/>
            <w:r w:rsidRPr="00F32CCD">
              <w:rPr>
                <w:rFonts w:cs="Arial"/>
              </w:rPr>
              <w:t>mezičtvrtletních</w:t>
            </w:r>
            <w:proofErr w:type="spellEnd"/>
            <w:r w:rsidRPr="00F32CCD">
              <w:rPr>
                <w:rFonts w:cs="Arial"/>
              </w:rPr>
              <w:t xml:space="preserve"> nárůstech – během 1</w:t>
            </w:r>
            <w:r w:rsidR="005723B7">
              <w:rPr>
                <w:rFonts w:cs="Arial"/>
              </w:rPr>
              <w:t>. čtvrtletí</w:t>
            </w:r>
            <w:r w:rsidRPr="00F32CCD">
              <w:rPr>
                <w:rFonts w:cs="Arial"/>
              </w:rPr>
              <w:t xml:space="preserve"> vzrostly výdaje vládních institucí o 0,3</w:t>
            </w:r>
            <w:r w:rsidR="005723B7">
              <w:rPr>
                <w:rFonts w:cs="Arial"/>
              </w:rPr>
              <w:t> %</w:t>
            </w:r>
            <w:r w:rsidRPr="00F32CCD">
              <w:rPr>
                <w:rFonts w:cs="Arial"/>
              </w:rPr>
              <w:t>, ve 2</w:t>
            </w:r>
            <w:r w:rsidR="005723B7">
              <w:rPr>
                <w:rFonts w:cs="Arial"/>
              </w:rPr>
              <w:t>. čtvrtletí</w:t>
            </w:r>
            <w:r w:rsidRPr="00F32CCD">
              <w:rPr>
                <w:rFonts w:cs="Arial"/>
              </w:rPr>
              <w:t xml:space="preserve"> ještě </w:t>
            </w:r>
            <w:r w:rsidRPr="00F32CCD">
              <w:t>o</w:t>
            </w:r>
            <w:r>
              <w:t> </w:t>
            </w:r>
            <w:r w:rsidRPr="00F32CCD">
              <w:t>0</w:t>
            </w:r>
            <w:r w:rsidRPr="00F32CCD">
              <w:rPr>
                <w:rFonts w:cs="Arial"/>
              </w:rPr>
              <w:t>,1</w:t>
            </w:r>
            <w:r w:rsidR="005723B7">
              <w:rPr>
                <w:rFonts w:cs="Arial"/>
              </w:rPr>
              <w:t> %</w:t>
            </w:r>
            <w:r w:rsidRPr="00F32CCD">
              <w:rPr>
                <w:rFonts w:cs="Arial"/>
              </w:rPr>
              <w:t>, ve 3.</w:t>
            </w:r>
            <w:r w:rsidR="005723B7">
              <w:rPr>
                <w:rFonts w:cs="Arial"/>
              </w:rPr>
              <w:t> </w:t>
            </w:r>
            <w:r w:rsidRPr="00F32CCD">
              <w:rPr>
                <w:rFonts w:cs="Arial"/>
              </w:rPr>
              <w:t xml:space="preserve">kvartálu bylo </w:t>
            </w:r>
            <w:proofErr w:type="spellStart"/>
            <w:r w:rsidRPr="00F32CCD">
              <w:rPr>
                <w:rFonts w:cs="Arial"/>
              </w:rPr>
              <w:t>mezičtvrtletní</w:t>
            </w:r>
            <w:proofErr w:type="spellEnd"/>
            <w:r w:rsidRPr="00F32CCD">
              <w:rPr>
                <w:rFonts w:cs="Arial"/>
              </w:rPr>
              <w:t xml:space="preserve"> navýšení nulové.</w:t>
            </w:r>
          </w:p>
          <w:p w:rsidR="00B428EA" w:rsidRPr="00F32CCD" w:rsidRDefault="00B428EA" w:rsidP="00333134">
            <w:pPr>
              <w:pStyle w:val="Textpoznpodarou"/>
              <w:jc w:val="both"/>
              <w:rPr>
                <w:rFonts w:cs="Arial"/>
                <w:sz w:val="16"/>
                <w:szCs w:val="16"/>
              </w:rPr>
            </w:pPr>
          </w:p>
        </w:tc>
      </w:tr>
      <w:tr w:rsidR="00B428EA" w:rsidRPr="00A74192" w:rsidTr="006C3DC1">
        <w:tc>
          <w:tcPr>
            <w:tcW w:w="1007" w:type="pct"/>
          </w:tcPr>
          <w:p w:rsidR="00B428EA" w:rsidRPr="00F32CCD" w:rsidRDefault="00B428EA" w:rsidP="00333134">
            <w:pPr>
              <w:spacing w:line="240" w:lineRule="auto"/>
              <w:rPr>
                <w:rFonts w:cs="Arial"/>
                <w:sz w:val="16"/>
                <w:szCs w:val="16"/>
              </w:rPr>
            </w:pPr>
            <w:r>
              <w:rPr>
                <w:rFonts w:cs="Arial"/>
                <w:sz w:val="16"/>
                <w:szCs w:val="16"/>
              </w:rPr>
              <w:t>…</w:t>
            </w:r>
            <w:r w:rsidR="005723B7">
              <w:rPr>
                <w:rFonts w:cs="Arial"/>
                <w:sz w:val="16"/>
                <w:szCs w:val="16"/>
              </w:rPr>
              <w:t> </w:t>
            </w:r>
            <w:r>
              <w:rPr>
                <w:rFonts w:cs="Arial"/>
                <w:sz w:val="16"/>
                <w:szCs w:val="16"/>
              </w:rPr>
              <w:t>stále podporované růstem mezd a platů.</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Pr="00F66CA8" w:rsidRDefault="00B428EA" w:rsidP="00333134">
            <w:pPr>
              <w:pStyle w:val="Textpoznpodarou"/>
              <w:jc w:val="both"/>
              <w:rPr>
                <w:rFonts w:cs="Arial"/>
                <w:spacing w:val="-2"/>
                <w:sz w:val="16"/>
                <w:szCs w:val="16"/>
              </w:rPr>
            </w:pPr>
            <w:r w:rsidRPr="00F66CA8">
              <w:rPr>
                <w:rFonts w:cs="Arial"/>
                <w:spacing w:val="-2"/>
              </w:rPr>
              <w:t>Meziroční růst objemu vyplácených mezd a platů stejně jako ve 2</w:t>
            </w:r>
            <w:r w:rsidR="005723B7">
              <w:rPr>
                <w:rFonts w:cs="Arial"/>
                <w:spacing w:val="-2"/>
              </w:rPr>
              <w:t>. čtvrtletí</w:t>
            </w:r>
            <w:r w:rsidRPr="00F66CA8">
              <w:rPr>
                <w:rFonts w:cs="Arial"/>
                <w:spacing w:val="-2"/>
              </w:rPr>
              <w:t xml:space="preserve"> překročil 8,0</w:t>
            </w:r>
            <w:r w:rsidR="005723B7">
              <w:rPr>
                <w:rFonts w:cs="Arial"/>
                <w:spacing w:val="-2"/>
              </w:rPr>
              <w:t> %</w:t>
            </w:r>
            <w:r w:rsidRPr="00F66CA8">
              <w:rPr>
                <w:rFonts w:cs="Arial"/>
                <w:spacing w:val="-2"/>
              </w:rPr>
              <w:t xml:space="preserve"> a dosáhl 8,2</w:t>
            </w:r>
            <w:r w:rsidR="005723B7">
              <w:rPr>
                <w:rFonts w:cs="Arial"/>
                <w:spacing w:val="-2"/>
              </w:rPr>
              <w:t> %</w:t>
            </w:r>
            <w:r w:rsidRPr="00F66CA8">
              <w:rPr>
                <w:rFonts w:cs="Arial"/>
                <w:spacing w:val="-2"/>
              </w:rPr>
              <w:t>. Přes zrychlení růstu cen statků spotřebovávaných domácnostmi je i reálné navýšení poměrně výrazné (5,7</w:t>
            </w:r>
            <w:r w:rsidR="005723B7">
              <w:rPr>
                <w:rFonts w:cs="Arial"/>
                <w:spacing w:val="-2"/>
              </w:rPr>
              <w:t> %</w:t>
            </w:r>
            <w:r w:rsidRPr="00F66CA8">
              <w:rPr>
                <w:rStyle w:val="Znakapoznpodarou"/>
                <w:spacing w:val="-2"/>
              </w:rPr>
              <w:footnoteReference w:id="7"/>
            </w:r>
            <w:r w:rsidRPr="00F66CA8">
              <w:rPr>
                <w:rFonts w:cs="Arial"/>
                <w:spacing w:val="-2"/>
              </w:rPr>
              <w:t>). Růst objemu vyplácených mezd byl doprovázen růstem celkové zaměstnanosti o 2,0</w:t>
            </w:r>
            <w:r w:rsidR="005723B7">
              <w:rPr>
                <w:rFonts w:cs="Arial"/>
                <w:spacing w:val="-2"/>
              </w:rPr>
              <w:t> %</w:t>
            </w:r>
            <w:r w:rsidRPr="00F66CA8">
              <w:rPr>
                <w:rStyle w:val="Znakapoznpodarou"/>
                <w:spacing w:val="-2"/>
              </w:rPr>
              <w:footnoteReference w:id="8"/>
            </w:r>
            <w:r w:rsidRPr="00F66CA8">
              <w:rPr>
                <w:rFonts w:cs="Arial"/>
                <w:spacing w:val="-2"/>
              </w:rPr>
              <w:t xml:space="preserve">. To je </w:t>
            </w:r>
            <w:r w:rsidRPr="00F66CA8">
              <w:rPr>
                <w:rFonts w:cs="Arial"/>
                <w:spacing w:val="-2"/>
              </w:rPr>
              <w:lastRenderedPageBreak/>
              <w:t>nejvyšší hodnota od konce roku 2008</w:t>
            </w:r>
            <w:r w:rsidR="000673F8" w:rsidRPr="00F66CA8">
              <w:rPr>
                <w:rFonts w:cs="Arial"/>
                <w:spacing w:val="-2"/>
              </w:rPr>
              <w:t>.</w:t>
            </w:r>
            <w:r w:rsidRPr="00F66CA8">
              <w:rPr>
                <w:rFonts w:cs="Arial"/>
                <w:spacing w:val="-2"/>
              </w:rPr>
              <w:t xml:space="preserve"> Růst zaměstnanosti ve 3</w:t>
            </w:r>
            <w:r w:rsidR="005723B7">
              <w:rPr>
                <w:rFonts w:cs="Arial"/>
                <w:spacing w:val="-2"/>
              </w:rPr>
              <w:t>. čtvrtletí</w:t>
            </w:r>
            <w:r w:rsidRPr="00F66CA8">
              <w:rPr>
                <w:rFonts w:cs="Arial"/>
                <w:spacing w:val="-2"/>
              </w:rPr>
              <w:t xml:space="preserve"> podpořil především meziroční nárůst osob zaměstnaných v obchodě, dopravě, ubytování a pohostinství (3,3</w:t>
            </w:r>
            <w:r w:rsidR="005723B7">
              <w:rPr>
                <w:rFonts w:cs="Arial"/>
                <w:spacing w:val="-2"/>
              </w:rPr>
              <w:t> %</w:t>
            </w:r>
            <w:r w:rsidRPr="00F66CA8">
              <w:rPr>
                <w:rFonts w:cs="Arial"/>
                <w:spacing w:val="-2"/>
              </w:rPr>
              <w:t>, 41,0</w:t>
            </w:r>
            <w:r w:rsidR="00CE0849">
              <w:rPr>
                <w:rFonts w:cs="Arial"/>
                <w:spacing w:val="-2"/>
              </w:rPr>
              <w:t> </w:t>
            </w:r>
            <w:r w:rsidRPr="00F66CA8">
              <w:rPr>
                <w:rFonts w:cs="Arial"/>
                <w:spacing w:val="-2"/>
              </w:rPr>
              <w:t>tis. osob). Nárůst zaměstnanosti byl jedním z důvodů silného růstu objemu mezd vyplacených v tomto odvětví (9,0</w:t>
            </w:r>
            <w:r w:rsidR="005723B7">
              <w:rPr>
                <w:rFonts w:cs="Arial"/>
                <w:spacing w:val="-2"/>
              </w:rPr>
              <w:t> %</w:t>
            </w:r>
            <w:r w:rsidRPr="00F66CA8">
              <w:rPr>
                <w:rFonts w:cs="Arial"/>
                <w:spacing w:val="-2"/>
              </w:rPr>
              <w:t>). Nejsilněji však k meziročnímu růstu výdělků přispěl zpracovatelský průmysl (8,9</w:t>
            </w:r>
            <w:r w:rsidR="005723B7">
              <w:rPr>
                <w:rFonts w:cs="Arial"/>
                <w:spacing w:val="-2"/>
              </w:rPr>
              <w:t> %</w:t>
            </w:r>
            <w:r w:rsidRPr="00F66CA8">
              <w:rPr>
                <w:rFonts w:cs="Arial"/>
                <w:spacing w:val="-2"/>
              </w:rPr>
              <w:t xml:space="preserve">), kde také došlo ke zrychlení meziročního tempa růstu zaměstnanosti </w:t>
            </w:r>
            <w:r w:rsidR="00F66CA8">
              <w:rPr>
                <w:rFonts w:cs="Arial"/>
                <w:spacing w:val="-2"/>
              </w:rPr>
              <w:t>(z</w:t>
            </w:r>
            <w:r w:rsidR="00CE0849">
              <w:rPr>
                <w:rFonts w:cs="Arial"/>
                <w:spacing w:val="-2"/>
              </w:rPr>
              <w:t> </w:t>
            </w:r>
            <w:r w:rsidR="00F66CA8">
              <w:rPr>
                <w:rFonts w:cs="Arial"/>
                <w:spacing w:val="-2"/>
              </w:rPr>
              <w:t>0,4</w:t>
            </w:r>
            <w:r w:rsidR="005723B7">
              <w:rPr>
                <w:rFonts w:cs="Arial"/>
                <w:spacing w:val="-2"/>
              </w:rPr>
              <w:t> %</w:t>
            </w:r>
            <w:r w:rsidR="00F66CA8">
              <w:rPr>
                <w:rFonts w:cs="Arial"/>
                <w:spacing w:val="-2"/>
              </w:rPr>
              <w:t xml:space="preserve"> ve 2</w:t>
            </w:r>
            <w:r w:rsidR="005723B7">
              <w:rPr>
                <w:rFonts w:cs="Arial"/>
                <w:spacing w:val="-2"/>
              </w:rPr>
              <w:t>. čtvrtletí</w:t>
            </w:r>
            <w:r w:rsidR="00F66CA8">
              <w:rPr>
                <w:rFonts w:cs="Arial"/>
                <w:spacing w:val="-2"/>
              </w:rPr>
              <w:t xml:space="preserve"> na 1,0</w:t>
            </w:r>
            <w:r w:rsidR="005723B7">
              <w:rPr>
                <w:rFonts w:cs="Arial"/>
                <w:spacing w:val="-2"/>
              </w:rPr>
              <w:t> %</w:t>
            </w:r>
            <w:r w:rsidRPr="00F66CA8">
              <w:rPr>
                <w:rFonts w:cs="Arial"/>
                <w:spacing w:val="-2"/>
              </w:rPr>
              <w:t xml:space="preserve">). </w:t>
            </w:r>
            <w:r w:rsidR="000673F8" w:rsidRPr="00F66CA8">
              <w:rPr>
                <w:rFonts w:cs="Arial"/>
                <w:spacing w:val="-2"/>
              </w:rPr>
              <w:t>Významně</w:t>
            </w:r>
            <w:r w:rsidRPr="00F66CA8">
              <w:rPr>
                <w:rFonts w:cs="Arial"/>
                <w:spacing w:val="-2"/>
              </w:rPr>
              <w:t xml:space="preserve"> působil i 9,3% růst objemu vyplácených mezd a platů v odvětví veřejn</w:t>
            </w:r>
            <w:r w:rsidR="00C774F6">
              <w:rPr>
                <w:rFonts w:cs="Arial"/>
                <w:spacing w:val="-2"/>
              </w:rPr>
              <w:t>á</w:t>
            </w:r>
            <w:r w:rsidRPr="00F66CA8">
              <w:rPr>
                <w:rFonts w:cs="Arial"/>
                <w:spacing w:val="-2"/>
              </w:rPr>
              <w:t xml:space="preserve"> správ</w:t>
            </w:r>
            <w:r w:rsidR="00C774F6">
              <w:rPr>
                <w:rFonts w:cs="Arial"/>
                <w:spacing w:val="-2"/>
              </w:rPr>
              <w:t>a</w:t>
            </w:r>
            <w:r w:rsidRPr="00F66CA8">
              <w:rPr>
                <w:rFonts w:cs="Arial"/>
                <w:spacing w:val="-2"/>
              </w:rPr>
              <w:t xml:space="preserve"> a obran</w:t>
            </w:r>
            <w:r w:rsidR="00C774F6">
              <w:rPr>
                <w:rFonts w:cs="Arial"/>
                <w:spacing w:val="-2"/>
              </w:rPr>
              <w:t>a</w:t>
            </w:r>
            <w:r w:rsidRPr="00F66CA8">
              <w:rPr>
                <w:rFonts w:cs="Arial"/>
                <w:spacing w:val="-2"/>
              </w:rPr>
              <w:t>, vzdělávání, zdravotní a sociální péče (za současného nárůstu zaměstnanosti o</w:t>
            </w:r>
            <w:r w:rsidR="00CE0849">
              <w:rPr>
                <w:rFonts w:cs="Arial"/>
                <w:spacing w:val="-2"/>
              </w:rPr>
              <w:t> </w:t>
            </w:r>
            <w:r w:rsidRPr="00F66CA8">
              <w:rPr>
                <w:rFonts w:cs="Arial"/>
                <w:spacing w:val="-2"/>
              </w:rPr>
              <w:t>1,5</w:t>
            </w:r>
            <w:r w:rsidR="005723B7">
              <w:rPr>
                <w:rFonts w:cs="Arial"/>
                <w:spacing w:val="-2"/>
              </w:rPr>
              <w:t> %</w:t>
            </w:r>
            <w:r w:rsidRPr="00F66CA8">
              <w:rPr>
                <w:rFonts w:cs="Arial"/>
                <w:spacing w:val="-2"/>
              </w:rPr>
              <w:t>). Objem vyplacených mezd silně rostl i u činností v oblasti nemovitostí (8,9</w:t>
            </w:r>
            <w:r w:rsidR="005723B7">
              <w:rPr>
                <w:rFonts w:cs="Arial"/>
                <w:spacing w:val="-2"/>
              </w:rPr>
              <w:t> %</w:t>
            </w:r>
            <w:r w:rsidRPr="00F66CA8">
              <w:rPr>
                <w:rFonts w:cs="Arial"/>
                <w:spacing w:val="-2"/>
              </w:rPr>
              <w:t>, růst zaměstn</w:t>
            </w:r>
            <w:r w:rsidR="00F66CA8" w:rsidRPr="00F66CA8">
              <w:rPr>
                <w:rFonts w:cs="Arial"/>
                <w:spacing w:val="-2"/>
              </w:rPr>
              <w:t>anosti 3,1</w:t>
            </w:r>
            <w:r w:rsidR="005723B7">
              <w:rPr>
                <w:rFonts w:cs="Arial"/>
                <w:spacing w:val="-2"/>
              </w:rPr>
              <w:t> %</w:t>
            </w:r>
            <w:r w:rsidR="00F66CA8" w:rsidRPr="00F66CA8">
              <w:rPr>
                <w:rFonts w:cs="Arial"/>
                <w:spacing w:val="-2"/>
              </w:rPr>
              <w:t>). Ve srovnání s 1. </w:t>
            </w:r>
            <w:r w:rsidRPr="00F66CA8">
              <w:rPr>
                <w:rFonts w:cs="Arial"/>
                <w:spacing w:val="-2"/>
              </w:rPr>
              <w:t>pololetím oslabil růst u informačních a komunikačních činností (7,8</w:t>
            </w:r>
            <w:r w:rsidR="005723B7">
              <w:rPr>
                <w:rFonts w:cs="Arial"/>
                <w:spacing w:val="-2"/>
              </w:rPr>
              <w:t> %</w:t>
            </w:r>
            <w:r w:rsidRPr="00F66CA8">
              <w:rPr>
                <w:rFonts w:cs="Arial"/>
                <w:spacing w:val="-2"/>
              </w:rPr>
              <w:t>), přitom však uvedené odvětví zaznamenalo nejvyšší nárůst zaměstnanosti (4,1</w:t>
            </w:r>
            <w:r w:rsidR="005723B7">
              <w:rPr>
                <w:rFonts w:cs="Arial"/>
                <w:spacing w:val="-2"/>
              </w:rPr>
              <w:t> %</w:t>
            </w:r>
            <w:r w:rsidRPr="00F66CA8">
              <w:rPr>
                <w:rFonts w:cs="Arial"/>
                <w:spacing w:val="-2"/>
              </w:rPr>
              <w:t xml:space="preserve">). Potvrdil se tak trend nižší mzdové dynamiky u odvětví s nejvyššími příjmy – platí to i pro peněžnictví </w:t>
            </w:r>
            <w:r w:rsidRPr="00F66CA8">
              <w:rPr>
                <w:spacing w:val="-2"/>
              </w:rPr>
              <w:t>a pojišťovnictví</w:t>
            </w:r>
            <w:r w:rsidRPr="00F66CA8">
              <w:rPr>
                <w:rFonts w:cs="Arial"/>
                <w:spacing w:val="-2"/>
              </w:rPr>
              <w:t xml:space="preserve"> (meziroční růst mzdových prostředků ve 3</w:t>
            </w:r>
            <w:r w:rsidR="005723B7">
              <w:rPr>
                <w:rFonts w:cs="Arial"/>
                <w:spacing w:val="-2"/>
              </w:rPr>
              <w:t>. čtvrtletí</w:t>
            </w:r>
            <w:r w:rsidRPr="00F66CA8">
              <w:rPr>
                <w:rFonts w:cs="Arial"/>
                <w:spacing w:val="-2"/>
              </w:rPr>
              <w:t xml:space="preserve"> dosáhl 3,9</w:t>
            </w:r>
            <w:r w:rsidR="005723B7">
              <w:rPr>
                <w:rFonts w:cs="Arial"/>
                <w:spacing w:val="-2"/>
              </w:rPr>
              <w:t> %</w:t>
            </w:r>
            <w:r w:rsidRPr="00F66CA8">
              <w:rPr>
                <w:rFonts w:cs="Arial"/>
                <w:spacing w:val="-2"/>
              </w:rPr>
              <w:t>). Slaběji než v předchozích dvou kvart</w:t>
            </w:r>
            <w:r w:rsidR="00F66CA8" w:rsidRPr="00F66CA8">
              <w:rPr>
                <w:rFonts w:cs="Arial"/>
                <w:spacing w:val="-2"/>
              </w:rPr>
              <w:t>álech rostl objem mezd u </w:t>
            </w:r>
            <w:r w:rsidRPr="00F66CA8">
              <w:rPr>
                <w:rFonts w:cs="Arial"/>
                <w:spacing w:val="-2"/>
              </w:rPr>
              <w:t>profesních, vědeckých technických č</w:t>
            </w:r>
            <w:r w:rsidR="00F66CA8" w:rsidRPr="00F66CA8">
              <w:rPr>
                <w:rFonts w:cs="Arial"/>
                <w:spacing w:val="-2"/>
              </w:rPr>
              <w:t>inností (7,7</w:t>
            </w:r>
            <w:r w:rsidR="005723B7">
              <w:rPr>
                <w:rFonts w:cs="Arial"/>
                <w:spacing w:val="-2"/>
              </w:rPr>
              <w:t> %</w:t>
            </w:r>
            <w:r w:rsidR="00F66CA8" w:rsidRPr="00F66CA8">
              <w:rPr>
                <w:rFonts w:cs="Arial"/>
                <w:spacing w:val="-2"/>
              </w:rPr>
              <w:t>). Podobně jako u </w:t>
            </w:r>
            <w:r w:rsidRPr="00F66CA8">
              <w:rPr>
                <w:rFonts w:cs="Arial"/>
                <w:spacing w:val="-2"/>
              </w:rPr>
              <w:t>informačních činností byl zde růst celkové za</w:t>
            </w:r>
            <w:r w:rsidR="00F66CA8" w:rsidRPr="00F66CA8">
              <w:rPr>
                <w:rFonts w:cs="Arial"/>
                <w:spacing w:val="-2"/>
              </w:rPr>
              <w:t>městnanosti poměrně vysoký (3,6</w:t>
            </w:r>
            <w:r w:rsidR="005723B7">
              <w:rPr>
                <w:rFonts w:cs="Arial"/>
                <w:spacing w:val="-2"/>
              </w:rPr>
              <w:t> %</w:t>
            </w:r>
            <w:r w:rsidRPr="00F66CA8">
              <w:rPr>
                <w:rFonts w:cs="Arial"/>
                <w:spacing w:val="-2"/>
              </w:rPr>
              <w:t>). Nejslabší růst mezd zaznamenalo stavebnictví (2,8</w:t>
            </w:r>
            <w:r w:rsidR="005723B7">
              <w:rPr>
                <w:rFonts w:cs="Arial"/>
                <w:spacing w:val="-2"/>
              </w:rPr>
              <w:t> %</w:t>
            </w:r>
            <w:r w:rsidRPr="00F66CA8">
              <w:rPr>
                <w:rFonts w:cs="Arial"/>
                <w:spacing w:val="-2"/>
              </w:rPr>
              <w:t>).</w:t>
            </w:r>
          </w:p>
          <w:p w:rsidR="00B428EA" w:rsidRPr="00337239" w:rsidRDefault="00B428EA" w:rsidP="00333134">
            <w:pPr>
              <w:pStyle w:val="Textpoznpodarou"/>
              <w:jc w:val="both"/>
              <w:rPr>
                <w:rFonts w:cs="Arial"/>
                <w:sz w:val="16"/>
                <w:szCs w:val="16"/>
                <w:highlight w:val="yellow"/>
              </w:rPr>
            </w:pPr>
          </w:p>
        </w:tc>
      </w:tr>
      <w:tr w:rsidR="00DD0726" w:rsidRPr="00A74192" w:rsidTr="006C3DC1">
        <w:tc>
          <w:tcPr>
            <w:tcW w:w="1007" w:type="pct"/>
          </w:tcPr>
          <w:p w:rsidR="00DD0726" w:rsidRPr="005E2AB2" w:rsidRDefault="00DD0726" w:rsidP="006C3DC1">
            <w:pPr>
              <w:spacing w:line="240" w:lineRule="auto"/>
              <w:jc w:val="center"/>
              <w:rPr>
                <w:rFonts w:cs="Arial"/>
                <w:sz w:val="16"/>
                <w:szCs w:val="16"/>
              </w:rPr>
            </w:pPr>
          </w:p>
        </w:tc>
        <w:tc>
          <w:tcPr>
            <w:tcW w:w="144" w:type="pct"/>
          </w:tcPr>
          <w:p w:rsidR="00DD0726" w:rsidRPr="005E2AB2" w:rsidRDefault="00DD0726" w:rsidP="006C3DC1">
            <w:pPr>
              <w:pStyle w:val="Textpoznpodarou"/>
              <w:jc w:val="both"/>
              <w:rPr>
                <w:rFonts w:cs="Arial"/>
              </w:rPr>
            </w:pPr>
          </w:p>
        </w:tc>
        <w:tc>
          <w:tcPr>
            <w:tcW w:w="575" w:type="pct"/>
          </w:tcPr>
          <w:p w:rsidR="00DD0726" w:rsidRPr="005E2AB2" w:rsidRDefault="00DD0726" w:rsidP="006C3DC1">
            <w:pPr>
              <w:pStyle w:val="Textpoznpodarou"/>
              <w:rPr>
                <w:rFonts w:cs="Arial"/>
                <w:lang w:eastAsia="en-US"/>
              </w:rPr>
            </w:pPr>
            <w:r w:rsidRPr="005E2AB2">
              <w:rPr>
                <w:rFonts w:cs="Arial"/>
                <w:lang w:eastAsia="en-US"/>
              </w:rPr>
              <w:t>Graf č. 3</w:t>
            </w:r>
          </w:p>
        </w:tc>
        <w:tc>
          <w:tcPr>
            <w:tcW w:w="3274" w:type="pct"/>
            <w:gridSpan w:val="2"/>
          </w:tcPr>
          <w:p w:rsidR="00DD0726" w:rsidRPr="005E2AB2" w:rsidRDefault="00DD0726" w:rsidP="006C3DC1">
            <w:pPr>
              <w:pStyle w:val="Textpoznpodarou"/>
              <w:rPr>
                <w:rFonts w:cs="Arial"/>
                <w:lang w:eastAsia="en-US"/>
              </w:rPr>
            </w:pPr>
            <w:r w:rsidRPr="005E2AB2">
              <w:rPr>
                <w:rFonts w:cs="Arial"/>
                <w:b/>
                <w:lang w:eastAsia="en-US"/>
              </w:rPr>
              <w:t>Příspěvky výdajových složek k</w:t>
            </w:r>
            <w:r>
              <w:rPr>
                <w:rFonts w:cs="Arial"/>
                <w:b/>
                <w:lang w:eastAsia="en-US"/>
              </w:rPr>
              <w:t xml:space="preserve"> reálné</w:t>
            </w:r>
            <w:r w:rsidRPr="005E2AB2">
              <w:rPr>
                <w:rFonts w:cs="Arial"/>
                <w:b/>
                <w:lang w:eastAsia="en-US"/>
              </w:rPr>
              <w:t> změně HDP*</w:t>
            </w:r>
            <w:r w:rsidRPr="005E2AB2">
              <w:rPr>
                <w:rFonts w:cs="Arial"/>
                <w:lang w:eastAsia="en-US"/>
              </w:rPr>
              <w:t xml:space="preserve"> (</w:t>
            </w:r>
            <w:r>
              <w:rPr>
                <w:rFonts w:cs="Arial"/>
                <w:lang w:eastAsia="en-US"/>
              </w:rPr>
              <w:t>objemové indexy</w:t>
            </w:r>
            <w:r w:rsidRPr="005E2AB2">
              <w:rPr>
                <w:rFonts w:cs="Arial"/>
                <w:lang w:eastAsia="en-US"/>
              </w:rPr>
              <w:t xml:space="preserve">, </w:t>
            </w:r>
            <w:r>
              <w:rPr>
                <w:rFonts w:cs="Arial"/>
                <w:lang w:eastAsia="en-US"/>
              </w:rPr>
              <w:t xml:space="preserve">meziroční růst, </w:t>
            </w:r>
            <w:r w:rsidRPr="005E2AB2">
              <w:rPr>
                <w:rFonts w:cs="Arial"/>
                <w:lang w:eastAsia="en-US"/>
              </w:rPr>
              <w:t>příspěvky v</w:t>
            </w:r>
            <w:r w:rsidR="00CE0849">
              <w:rPr>
                <w:rFonts w:cs="Arial"/>
                <w:lang w:eastAsia="en-US"/>
              </w:rPr>
              <w:t> p. </w:t>
            </w:r>
            <w:proofErr w:type="spellStart"/>
            <w:r w:rsidR="00CE0849">
              <w:rPr>
                <w:rFonts w:cs="Arial"/>
                <w:lang w:eastAsia="en-US"/>
              </w:rPr>
              <w:t>b</w:t>
            </w:r>
            <w:proofErr w:type="spellEnd"/>
            <w:r w:rsidR="00CE0849">
              <w:rPr>
                <w:rFonts w:cs="Arial"/>
                <w:lang w:eastAsia="en-US"/>
              </w:rPr>
              <w:t>.</w:t>
            </w:r>
            <w:r w:rsidRPr="005E2AB2">
              <w:rPr>
                <w:rFonts w:cs="Arial"/>
                <w:lang w:eastAsia="en-US"/>
              </w:rPr>
              <w:t>, HDP v</w:t>
            </w:r>
            <w:r w:rsidR="005723B7">
              <w:rPr>
                <w:rFonts w:cs="Arial"/>
                <w:lang w:eastAsia="en-US"/>
              </w:rPr>
              <w:t> %</w:t>
            </w:r>
            <w:r w:rsidRPr="005E2AB2">
              <w:rPr>
                <w:rFonts w:cs="Arial"/>
                <w:lang w:eastAsia="en-US"/>
              </w:rPr>
              <w:t>)</w:t>
            </w:r>
          </w:p>
        </w:tc>
      </w:tr>
      <w:tr w:rsidR="00DD0726" w:rsidRPr="00A74192" w:rsidTr="006C3DC1">
        <w:tc>
          <w:tcPr>
            <w:tcW w:w="1007" w:type="pct"/>
          </w:tcPr>
          <w:p w:rsidR="00DD0726" w:rsidRPr="005E2AB2" w:rsidRDefault="00DD0726" w:rsidP="006C3DC1">
            <w:pPr>
              <w:spacing w:line="240" w:lineRule="auto"/>
              <w:rPr>
                <w:rFonts w:cs="Arial"/>
                <w:sz w:val="16"/>
                <w:szCs w:val="16"/>
              </w:rPr>
            </w:pPr>
          </w:p>
        </w:tc>
        <w:tc>
          <w:tcPr>
            <w:tcW w:w="144" w:type="pct"/>
          </w:tcPr>
          <w:p w:rsidR="00DD0726" w:rsidRPr="00A74192" w:rsidRDefault="00DD0726" w:rsidP="006C3DC1">
            <w:pPr>
              <w:pStyle w:val="Textpoznpodarou"/>
              <w:jc w:val="both"/>
              <w:rPr>
                <w:rFonts w:cs="Arial"/>
              </w:rPr>
            </w:pPr>
          </w:p>
        </w:tc>
        <w:tc>
          <w:tcPr>
            <w:tcW w:w="3849" w:type="pct"/>
            <w:gridSpan w:val="3"/>
          </w:tcPr>
          <w:p w:rsidR="00DD0726" w:rsidRPr="00E60FCE" w:rsidRDefault="00B428EA" w:rsidP="006C3DC1">
            <w:pPr>
              <w:pStyle w:val="Textpoznpodarou"/>
              <w:ind w:left="-95"/>
              <w:jc w:val="both"/>
              <w:rPr>
                <w:rFonts w:cs="Arial"/>
                <w:sz w:val="14"/>
                <w:szCs w:val="14"/>
                <w:highlight w:val="yellow"/>
              </w:rPr>
            </w:pPr>
            <w:r w:rsidRPr="00B428EA">
              <w:rPr>
                <w:rFonts w:cs="Arial"/>
                <w:noProof/>
                <w:sz w:val="14"/>
                <w:szCs w:val="14"/>
              </w:rPr>
              <w:drawing>
                <wp:inline distT="0" distB="0" distL="0" distR="0">
                  <wp:extent cx="4737600" cy="3553200"/>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D0726" w:rsidRPr="00A74192" w:rsidTr="006C3DC1">
        <w:tc>
          <w:tcPr>
            <w:tcW w:w="1007" w:type="pct"/>
          </w:tcPr>
          <w:p w:rsidR="00DD0726" w:rsidRPr="005E2AB2" w:rsidRDefault="00DD0726" w:rsidP="006C3DC1">
            <w:pPr>
              <w:spacing w:line="240" w:lineRule="auto"/>
              <w:rPr>
                <w:rFonts w:cs="Arial"/>
                <w:sz w:val="16"/>
                <w:szCs w:val="16"/>
              </w:rPr>
            </w:pPr>
          </w:p>
        </w:tc>
        <w:tc>
          <w:tcPr>
            <w:tcW w:w="144" w:type="pct"/>
          </w:tcPr>
          <w:p w:rsidR="00DD0726" w:rsidRPr="00A74192" w:rsidRDefault="00DD0726" w:rsidP="006C3DC1">
            <w:pPr>
              <w:pStyle w:val="Textpoznpodarou"/>
              <w:jc w:val="both"/>
              <w:rPr>
                <w:rFonts w:cs="Arial"/>
              </w:rPr>
            </w:pPr>
          </w:p>
        </w:tc>
        <w:tc>
          <w:tcPr>
            <w:tcW w:w="3165" w:type="pct"/>
            <w:gridSpan w:val="2"/>
          </w:tcPr>
          <w:p w:rsidR="00DD0726" w:rsidRPr="007841BB" w:rsidRDefault="00DD0726" w:rsidP="006C3DC1">
            <w:pPr>
              <w:pStyle w:val="Textpoznpodarou"/>
              <w:jc w:val="both"/>
              <w:rPr>
                <w:rFonts w:cs="Arial"/>
                <w:sz w:val="14"/>
                <w:szCs w:val="14"/>
              </w:rPr>
            </w:pPr>
            <w:r>
              <w:rPr>
                <w:rFonts w:cs="Arial"/>
                <w:sz w:val="14"/>
                <w:szCs w:val="14"/>
                <w:lang w:eastAsia="en-US"/>
              </w:rPr>
              <w:t>*P</w:t>
            </w:r>
            <w:r w:rsidRPr="007841BB">
              <w:rPr>
                <w:rFonts w:cs="Arial"/>
                <w:sz w:val="14"/>
                <w:szCs w:val="14"/>
                <w:lang w:eastAsia="en-US"/>
              </w:rPr>
              <w:t>říspěvky ke změně HDP po vyloučení dovozu pro konečné užití</w:t>
            </w:r>
          </w:p>
        </w:tc>
        <w:tc>
          <w:tcPr>
            <w:tcW w:w="684" w:type="pct"/>
          </w:tcPr>
          <w:p w:rsidR="00DD0726" w:rsidRPr="007841BB" w:rsidRDefault="00DD0726" w:rsidP="006C3DC1">
            <w:pPr>
              <w:pStyle w:val="Textpoznpodarou"/>
              <w:jc w:val="right"/>
              <w:rPr>
                <w:rFonts w:cs="Arial"/>
                <w:sz w:val="14"/>
                <w:szCs w:val="14"/>
              </w:rPr>
            </w:pPr>
            <w:r w:rsidRPr="007841BB">
              <w:rPr>
                <w:rFonts w:cs="Arial"/>
                <w:sz w:val="14"/>
                <w:szCs w:val="14"/>
              </w:rPr>
              <w:t>Zdroj: ČSÚ</w:t>
            </w:r>
          </w:p>
          <w:p w:rsidR="00DD0726" w:rsidRPr="007841BB" w:rsidRDefault="00DD0726" w:rsidP="006C3DC1">
            <w:pPr>
              <w:pStyle w:val="Textpoznpodarou"/>
              <w:jc w:val="right"/>
              <w:rPr>
                <w:rFonts w:cs="Arial"/>
                <w:sz w:val="14"/>
                <w:szCs w:val="14"/>
              </w:rPr>
            </w:pPr>
          </w:p>
        </w:tc>
      </w:tr>
      <w:tr w:rsidR="00B428EA" w:rsidRPr="00A74192" w:rsidTr="006C3DC1">
        <w:tc>
          <w:tcPr>
            <w:tcW w:w="1007" w:type="pct"/>
          </w:tcPr>
          <w:p w:rsidR="00B428EA" w:rsidRPr="00F32CCD" w:rsidRDefault="00B428EA" w:rsidP="00333134">
            <w:pPr>
              <w:spacing w:line="240" w:lineRule="auto"/>
              <w:rPr>
                <w:rFonts w:cs="Arial"/>
                <w:sz w:val="16"/>
                <w:szCs w:val="16"/>
              </w:rPr>
            </w:pPr>
            <w:r>
              <w:rPr>
                <w:rFonts w:cs="Arial"/>
                <w:sz w:val="16"/>
                <w:szCs w:val="16"/>
              </w:rPr>
              <w:t xml:space="preserve">Investiční aktivita meziročně rostla, </w:t>
            </w:r>
            <w:proofErr w:type="spellStart"/>
            <w:r>
              <w:rPr>
                <w:rFonts w:cs="Arial"/>
                <w:sz w:val="16"/>
                <w:szCs w:val="16"/>
              </w:rPr>
              <w:t>mezičtvrtletní</w:t>
            </w:r>
            <w:proofErr w:type="spellEnd"/>
            <w:r>
              <w:rPr>
                <w:rFonts w:cs="Arial"/>
                <w:sz w:val="16"/>
                <w:szCs w:val="16"/>
              </w:rPr>
              <w:t xml:space="preserve"> dynamika však byla nulová.</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Default="00B428EA" w:rsidP="00333134">
            <w:pPr>
              <w:pStyle w:val="Textpoznpodarou"/>
              <w:jc w:val="both"/>
              <w:rPr>
                <w:rFonts w:cs="Arial"/>
                <w:sz w:val="16"/>
                <w:szCs w:val="16"/>
              </w:rPr>
            </w:pPr>
            <w:r>
              <w:rPr>
                <w:rFonts w:cs="Arial"/>
              </w:rPr>
              <w:t>Meziroční tempo růstu výdajů na tvorbu hrubého fixního kapitálu ve 3</w:t>
            </w:r>
            <w:r w:rsidR="005723B7">
              <w:rPr>
                <w:rFonts w:cs="Arial"/>
              </w:rPr>
              <w:t>. čtvrtletí</w:t>
            </w:r>
            <w:r>
              <w:rPr>
                <w:rFonts w:cs="Arial"/>
              </w:rPr>
              <w:t xml:space="preserve"> mírně zrychlilo a dosáhlo 7,5</w:t>
            </w:r>
            <w:r w:rsidR="005723B7">
              <w:rPr>
                <w:rFonts w:cs="Arial"/>
              </w:rPr>
              <w:t> %</w:t>
            </w:r>
            <w:r>
              <w:rPr>
                <w:rFonts w:cs="Arial"/>
              </w:rPr>
              <w:t>. V </w:t>
            </w:r>
            <w:proofErr w:type="spellStart"/>
            <w:r>
              <w:rPr>
                <w:rFonts w:cs="Arial"/>
              </w:rPr>
              <w:t>mezičtvrtletním</w:t>
            </w:r>
            <w:proofErr w:type="spellEnd"/>
            <w:r>
              <w:rPr>
                <w:rFonts w:cs="Arial"/>
              </w:rPr>
              <w:t xml:space="preserve"> pohledu se však ukázalo, že značný nárůst, který investiční aktivita zaznamenala ve 2</w:t>
            </w:r>
            <w:r w:rsidR="005723B7">
              <w:rPr>
                <w:rFonts w:cs="Arial"/>
              </w:rPr>
              <w:t>. čtvrtletí</w:t>
            </w:r>
            <w:r>
              <w:rPr>
                <w:rFonts w:cs="Arial"/>
              </w:rPr>
              <w:t xml:space="preserve"> (5,7</w:t>
            </w:r>
            <w:r w:rsidR="005723B7">
              <w:rPr>
                <w:rFonts w:cs="Arial"/>
              </w:rPr>
              <w:t> %</w:t>
            </w:r>
            <w:r>
              <w:rPr>
                <w:rFonts w:cs="Arial"/>
              </w:rPr>
              <w:t xml:space="preserve">), se neudržel a objem výdajů </w:t>
            </w:r>
            <w:r w:rsidR="000673F8">
              <w:rPr>
                <w:rFonts w:cs="Arial"/>
              </w:rPr>
              <w:t>setrval</w:t>
            </w:r>
            <w:r>
              <w:rPr>
                <w:rFonts w:cs="Arial"/>
              </w:rPr>
              <w:t xml:space="preserve"> na úrovni 2. kvartálu. Věcné členění výdajů na tvorbu hrubého fixního kapitálu</w:t>
            </w:r>
            <w:r>
              <w:rPr>
                <w:rStyle w:val="Znakapoznpodarou"/>
              </w:rPr>
              <w:footnoteReference w:id="9"/>
            </w:r>
            <w:r>
              <w:rPr>
                <w:rFonts w:cs="Arial"/>
              </w:rPr>
              <w:t xml:space="preserve"> potvrdilo, že investiční aktivita je v současnosti v rukou domácností a podniků. Potvrzuje to nejen výrazné meziroční oživení investic do obydlí (10,9</w:t>
            </w:r>
            <w:r w:rsidR="005723B7">
              <w:rPr>
                <w:rFonts w:cs="Arial"/>
              </w:rPr>
              <w:t>%</w:t>
            </w:r>
            <w:r>
              <w:rPr>
                <w:rFonts w:cs="Arial"/>
              </w:rPr>
              <w:t xml:space="preserve"> meziroční nárůst ve 3</w:t>
            </w:r>
            <w:r w:rsidR="005723B7">
              <w:rPr>
                <w:rFonts w:cs="Arial"/>
              </w:rPr>
              <w:t>. čtvrtletí</w:t>
            </w:r>
            <w:r>
              <w:rPr>
                <w:rFonts w:cs="Arial"/>
              </w:rPr>
              <w:t xml:space="preserve">), které jsou doménou domácností, ale především vývoj investic do ICT a ostatních strojů a zařízení, které jsou největší investiční </w:t>
            </w:r>
            <w:proofErr w:type="gramStart"/>
            <w:r>
              <w:rPr>
                <w:rFonts w:cs="Arial"/>
              </w:rPr>
              <w:t>položkou a jejich</w:t>
            </w:r>
            <w:proofErr w:type="gramEnd"/>
            <w:r>
              <w:rPr>
                <w:rFonts w:cs="Arial"/>
              </w:rPr>
              <w:t xml:space="preserve"> meziroční růst zrychlil na 7,5</w:t>
            </w:r>
            <w:r w:rsidR="005723B7">
              <w:rPr>
                <w:rFonts w:cs="Arial"/>
              </w:rPr>
              <w:t> %</w:t>
            </w:r>
            <w:r>
              <w:rPr>
                <w:rFonts w:cs="Arial"/>
              </w:rPr>
              <w:t xml:space="preserve">. </w:t>
            </w:r>
            <w:r w:rsidR="000673F8">
              <w:rPr>
                <w:rFonts w:cs="Arial"/>
              </w:rPr>
              <w:t>Zde vystupuje jako</w:t>
            </w:r>
            <w:r>
              <w:rPr>
                <w:rFonts w:cs="Arial"/>
              </w:rPr>
              <w:t xml:space="preserve"> hlavní investor sektor nefinančních podniků, který investicemi do výrobních zařízení částečně řeší nedostatek pracovní síl</w:t>
            </w:r>
            <w:r w:rsidR="00F66CA8">
              <w:rPr>
                <w:rFonts w:cs="Arial"/>
              </w:rPr>
              <w:t>y. Poměrně silná zůstala i</w:t>
            </w:r>
            <w:r w:rsidR="00F66CA8" w:rsidRPr="00F66CA8">
              <w:rPr>
                <w:rFonts w:cs="Arial"/>
                <w:spacing w:val="-2"/>
              </w:rPr>
              <w:t> </w:t>
            </w:r>
            <w:r>
              <w:rPr>
                <w:rFonts w:cs="Arial"/>
              </w:rPr>
              <w:t>meziroční dynamika investic do dopravních prostředků a zařízení (7,2</w:t>
            </w:r>
            <w:r w:rsidR="005723B7">
              <w:rPr>
                <w:rFonts w:cs="Arial"/>
              </w:rPr>
              <w:t> %</w:t>
            </w:r>
            <w:r>
              <w:rPr>
                <w:rFonts w:cs="Arial"/>
              </w:rPr>
              <w:t xml:space="preserve">). Přesto, že již nedosahuje dvouciferných temp let 2015 a 2016, jde o stabilního tahouna </w:t>
            </w:r>
            <w:r>
              <w:rPr>
                <w:rFonts w:cs="Arial"/>
              </w:rPr>
              <w:lastRenderedPageBreak/>
              <w:t>investic v Česku. Potíže tak přetrvávají jen u ostatních budov a staveb, které zahrnují infrastrukturní projekty a jsou hlavní investiční položkou vládních institucí. Meziročně se ve 3</w:t>
            </w:r>
            <w:r w:rsidR="005723B7">
              <w:rPr>
                <w:rFonts w:cs="Arial"/>
              </w:rPr>
              <w:t>. čtvrtletí</w:t>
            </w:r>
            <w:r>
              <w:rPr>
                <w:rFonts w:cs="Arial"/>
              </w:rPr>
              <w:t xml:space="preserve"> výdaje na tento účel zvýšily o 1,3</w:t>
            </w:r>
            <w:r w:rsidR="005723B7">
              <w:rPr>
                <w:rFonts w:cs="Arial"/>
              </w:rPr>
              <w:t> %</w:t>
            </w:r>
            <w:r>
              <w:rPr>
                <w:rFonts w:cs="Arial"/>
              </w:rPr>
              <w:t>, ve srovnání s extrémně nízkou základnou roku 2016 jde však o kosmetický nárůst. Úroveň výdajů</w:t>
            </w:r>
            <w:r>
              <w:rPr>
                <w:rStyle w:val="Znakapoznpodarou"/>
              </w:rPr>
              <w:footnoteReference w:id="10"/>
            </w:r>
            <w:r>
              <w:rPr>
                <w:rFonts w:cs="Arial"/>
              </w:rPr>
              <w:t xml:space="preserve"> v prvních třech čtvrtletích roku 2017 zdaleka nepřekračuje rok 2015 ani roky předcházející.</w:t>
            </w:r>
          </w:p>
          <w:p w:rsidR="00B428EA" w:rsidRPr="00622A7C" w:rsidRDefault="00B428EA" w:rsidP="00333134">
            <w:pPr>
              <w:pStyle w:val="Textpoznpodarou"/>
              <w:jc w:val="both"/>
              <w:rPr>
                <w:rFonts w:cs="Arial"/>
                <w:sz w:val="16"/>
                <w:szCs w:val="16"/>
              </w:rPr>
            </w:pPr>
          </w:p>
        </w:tc>
      </w:tr>
      <w:tr w:rsidR="00B428EA" w:rsidRPr="00A74192" w:rsidTr="006C3DC1">
        <w:tc>
          <w:tcPr>
            <w:tcW w:w="1007" w:type="pct"/>
          </w:tcPr>
          <w:p w:rsidR="00B428EA" w:rsidRPr="00F32CCD" w:rsidRDefault="00B428EA" w:rsidP="00333134">
            <w:pPr>
              <w:spacing w:line="240" w:lineRule="auto"/>
              <w:rPr>
                <w:rFonts w:cs="Arial"/>
                <w:sz w:val="16"/>
                <w:szCs w:val="16"/>
              </w:rPr>
            </w:pPr>
            <w:r>
              <w:rPr>
                <w:rFonts w:cs="Arial"/>
                <w:sz w:val="16"/>
                <w:szCs w:val="16"/>
              </w:rPr>
              <w:lastRenderedPageBreak/>
              <w:t>Zahraniční obchod opět dosáhl přebytku.</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Default="00B428EA" w:rsidP="00333134">
            <w:pPr>
              <w:pStyle w:val="Textpoznpodarou"/>
              <w:jc w:val="both"/>
              <w:rPr>
                <w:rFonts w:cs="Arial"/>
                <w:sz w:val="16"/>
                <w:szCs w:val="16"/>
              </w:rPr>
            </w:pPr>
            <w:r w:rsidRPr="0040762B">
              <w:rPr>
                <w:rFonts w:cs="Arial"/>
              </w:rPr>
              <w:t>Přebytek</w:t>
            </w:r>
            <w:r w:rsidR="000673F8">
              <w:rPr>
                <w:rFonts w:cs="Arial"/>
              </w:rPr>
              <w:t xml:space="preserve"> obchodní</w:t>
            </w:r>
            <w:r w:rsidRPr="0040762B">
              <w:rPr>
                <w:rFonts w:cs="Arial"/>
              </w:rPr>
              <w:t xml:space="preserve"> bilance (v běžných cenách) dosáhl ve 3</w:t>
            </w:r>
            <w:r w:rsidR="005723B7">
              <w:rPr>
                <w:rFonts w:cs="Arial"/>
              </w:rPr>
              <w:t>. čtvrtletí</w:t>
            </w:r>
            <w:r w:rsidRPr="0040762B">
              <w:rPr>
                <w:rFonts w:cs="Arial"/>
              </w:rPr>
              <w:t xml:space="preserve"> 87,2</w:t>
            </w:r>
            <w:r w:rsidR="006D164C">
              <w:rPr>
                <w:rFonts w:cs="Arial"/>
              </w:rPr>
              <w:t> mld.</w:t>
            </w:r>
            <w:r w:rsidRPr="0040762B">
              <w:rPr>
                <w:rFonts w:cs="Arial"/>
              </w:rPr>
              <w:t xml:space="preserve"> korun</w:t>
            </w:r>
            <w:r>
              <w:rPr>
                <w:rStyle w:val="Znakapoznpodarou"/>
              </w:rPr>
              <w:footnoteReference w:id="11"/>
            </w:r>
            <w:r w:rsidRPr="0040762B">
              <w:rPr>
                <w:rFonts w:cs="Arial"/>
              </w:rPr>
              <w:t xml:space="preserve"> </w:t>
            </w:r>
            <w:r w:rsidRPr="0040762B">
              <w:t>a</w:t>
            </w:r>
            <w:r>
              <w:t> </w:t>
            </w:r>
            <w:r w:rsidRPr="0040762B">
              <w:t>meziročně</w:t>
            </w:r>
            <w:r w:rsidRPr="0040762B">
              <w:rPr>
                <w:rFonts w:cs="Arial"/>
              </w:rPr>
              <w:t xml:space="preserve"> se snížil o 1,1</w:t>
            </w:r>
            <w:r w:rsidR="006D164C">
              <w:rPr>
                <w:rFonts w:cs="Arial"/>
              </w:rPr>
              <w:t> mld.</w:t>
            </w:r>
            <w:r w:rsidRPr="0040762B">
              <w:rPr>
                <w:rFonts w:cs="Arial"/>
              </w:rPr>
              <w:t xml:space="preserve"> Na snížení přebytku se prakticky stejnou měrou podílel obchod se zbožím i službami. Přebytek obchodu se zbožím dosáhl 58,5</w:t>
            </w:r>
            <w:r>
              <w:rPr>
                <w:rFonts w:cs="Arial"/>
              </w:rPr>
              <w:t> </w:t>
            </w:r>
            <w:r w:rsidRPr="0040762B">
              <w:rPr>
                <w:rFonts w:cs="Arial"/>
              </w:rPr>
              <w:t>mld. korun, obchod se službami měl kladné saldo ve výši 28,8</w:t>
            </w:r>
            <w:r w:rsidR="006D164C">
              <w:rPr>
                <w:rFonts w:cs="Arial"/>
              </w:rPr>
              <w:t> mld.</w:t>
            </w:r>
            <w:r w:rsidRPr="0040762B">
              <w:rPr>
                <w:rFonts w:cs="Arial"/>
              </w:rPr>
              <w:t xml:space="preserve"> </w:t>
            </w:r>
            <w:r>
              <w:rPr>
                <w:rFonts w:cs="Arial"/>
              </w:rPr>
              <w:t>Směnné relace ve 3</w:t>
            </w:r>
            <w:r w:rsidR="005723B7">
              <w:rPr>
                <w:rFonts w:cs="Arial"/>
              </w:rPr>
              <w:t>. čtvrtletí</w:t>
            </w:r>
            <w:r>
              <w:rPr>
                <w:rFonts w:cs="Arial"/>
              </w:rPr>
              <w:t xml:space="preserve"> byly záporné, v porovnání s předchozími dvěma kvartály se však zmírnily a dosáhly 99,3</w:t>
            </w:r>
            <w:r w:rsidR="005723B7">
              <w:rPr>
                <w:rFonts w:cs="Arial"/>
              </w:rPr>
              <w:t> %</w:t>
            </w:r>
            <w:r>
              <w:rPr>
                <w:rFonts w:cs="Arial"/>
              </w:rPr>
              <w:t>. Záporné směnné relace lze přičíst na vrub zahraničnímu obchodu se zbožím (99,0</w:t>
            </w:r>
            <w:r w:rsidR="005723B7">
              <w:rPr>
                <w:rFonts w:cs="Arial"/>
              </w:rPr>
              <w:t> %</w:t>
            </w:r>
            <w:r>
              <w:rPr>
                <w:rFonts w:cs="Arial"/>
              </w:rPr>
              <w:t>). Směnné relace obchodu se službami byly kladné a činily 100,8</w:t>
            </w:r>
            <w:r w:rsidR="005723B7">
              <w:rPr>
                <w:rFonts w:cs="Arial"/>
              </w:rPr>
              <w:t> %</w:t>
            </w:r>
            <w:r>
              <w:rPr>
                <w:rFonts w:cs="Arial"/>
              </w:rPr>
              <w:t>. Záporné směnné relace se promítly i do hodnoty reálného hrubého domácího obchodu. Z něj vyplývá, že ztráta ze směnných relací ve 3</w:t>
            </w:r>
            <w:r w:rsidR="005723B7">
              <w:rPr>
                <w:rFonts w:cs="Arial"/>
              </w:rPr>
              <w:t>. čtvrtletí</w:t>
            </w:r>
            <w:r>
              <w:rPr>
                <w:rFonts w:cs="Arial"/>
              </w:rPr>
              <w:t xml:space="preserve"> činila 6,1</w:t>
            </w:r>
            <w:r w:rsidR="006D164C">
              <w:rPr>
                <w:rFonts w:cs="Arial"/>
              </w:rPr>
              <w:t> mld.</w:t>
            </w:r>
            <w:r>
              <w:rPr>
                <w:rFonts w:cs="Arial"/>
              </w:rPr>
              <w:t xml:space="preserve"> korun.</w:t>
            </w:r>
          </w:p>
          <w:p w:rsidR="00B428EA" w:rsidRPr="0040762B" w:rsidRDefault="00B428EA" w:rsidP="00333134">
            <w:pPr>
              <w:pStyle w:val="Textpoznpodarou"/>
              <w:jc w:val="both"/>
              <w:rPr>
                <w:rFonts w:cs="Arial"/>
                <w:sz w:val="16"/>
                <w:szCs w:val="16"/>
                <w:highlight w:val="yellow"/>
              </w:rPr>
            </w:pPr>
          </w:p>
        </w:tc>
      </w:tr>
      <w:tr w:rsidR="00B428EA" w:rsidRPr="00A74192" w:rsidTr="006C3DC1">
        <w:tc>
          <w:tcPr>
            <w:tcW w:w="1007" w:type="pct"/>
          </w:tcPr>
          <w:p w:rsidR="00B428EA" w:rsidRPr="00F32CCD" w:rsidRDefault="00B428EA" w:rsidP="00333134">
            <w:pPr>
              <w:spacing w:line="240" w:lineRule="auto"/>
              <w:rPr>
                <w:rFonts w:cs="Arial"/>
                <w:sz w:val="16"/>
                <w:szCs w:val="16"/>
              </w:rPr>
            </w:pPr>
            <w:r>
              <w:rPr>
                <w:rFonts w:cs="Arial"/>
                <w:sz w:val="16"/>
                <w:szCs w:val="16"/>
              </w:rPr>
              <w:t>Nabídková strana ekonomiky odrážela rostoucí spotřebu. Patrné to bylo především u odvětví služeb.</w:t>
            </w:r>
          </w:p>
        </w:tc>
        <w:tc>
          <w:tcPr>
            <w:tcW w:w="144" w:type="pct"/>
          </w:tcPr>
          <w:p w:rsidR="00B428EA" w:rsidRPr="00F32CCD" w:rsidRDefault="00B428EA" w:rsidP="00333134">
            <w:pPr>
              <w:pStyle w:val="Textpoznpodarou"/>
              <w:jc w:val="both"/>
              <w:rPr>
                <w:rFonts w:cs="Arial"/>
              </w:rPr>
            </w:pPr>
          </w:p>
        </w:tc>
        <w:tc>
          <w:tcPr>
            <w:tcW w:w="3849" w:type="pct"/>
            <w:gridSpan w:val="3"/>
          </w:tcPr>
          <w:p w:rsidR="00B428EA" w:rsidRDefault="00B428EA" w:rsidP="00333134">
            <w:pPr>
              <w:pStyle w:val="Textpoznpodarou"/>
              <w:jc w:val="both"/>
              <w:rPr>
                <w:rFonts w:cs="Arial"/>
                <w:sz w:val="16"/>
                <w:szCs w:val="16"/>
              </w:rPr>
            </w:pPr>
            <w:r>
              <w:rPr>
                <w:rFonts w:cs="Arial"/>
              </w:rPr>
              <w:t xml:space="preserve">Růst hrubé přidané hodnoty nadále </w:t>
            </w:r>
            <w:r w:rsidR="00C20027">
              <w:rPr>
                <w:rFonts w:cs="Arial"/>
              </w:rPr>
              <w:t>závisí</w:t>
            </w:r>
            <w:r>
              <w:rPr>
                <w:rFonts w:cs="Arial"/>
              </w:rPr>
              <w:t xml:space="preserve"> na zpracovatelském průmyslu, který díky meziročnímu nárůstu ve výši 7,9</w:t>
            </w:r>
            <w:r w:rsidR="005723B7">
              <w:rPr>
                <w:rFonts w:cs="Arial"/>
              </w:rPr>
              <w:t> %</w:t>
            </w:r>
            <w:r>
              <w:rPr>
                <w:rFonts w:cs="Arial"/>
              </w:rPr>
              <w:t xml:space="preserve"> ve 3</w:t>
            </w:r>
            <w:r w:rsidR="005723B7">
              <w:rPr>
                <w:rFonts w:cs="Arial"/>
              </w:rPr>
              <w:t>. čtvrtletí</w:t>
            </w:r>
            <w:r>
              <w:rPr>
                <w:rFonts w:cs="Arial"/>
              </w:rPr>
              <w:t xml:space="preserve"> přispěl k dynamice HPH 2,1</w:t>
            </w:r>
            <w:r w:rsidR="00CE0849">
              <w:rPr>
                <w:rFonts w:cs="Arial"/>
              </w:rPr>
              <w:t> p. </w:t>
            </w:r>
            <w:proofErr w:type="spellStart"/>
            <w:r w:rsidR="00CE0849">
              <w:rPr>
                <w:rFonts w:cs="Arial"/>
              </w:rPr>
              <w:t>b</w:t>
            </w:r>
            <w:proofErr w:type="spellEnd"/>
            <w:r w:rsidR="00CE0849">
              <w:rPr>
                <w:rFonts w:cs="Arial"/>
              </w:rPr>
              <w:t>.</w:t>
            </w:r>
            <w:r>
              <w:rPr>
                <w:rFonts w:cs="Arial"/>
              </w:rPr>
              <w:t xml:space="preserve"> I</w:t>
            </w:r>
            <w:r w:rsidR="00C20027">
              <w:rPr>
                <w:rFonts w:cs="Arial"/>
              </w:rPr>
              <w:t> </w:t>
            </w:r>
            <w:r>
              <w:rPr>
                <w:rFonts w:cs="Arial"/>
              </w:rPr>
              <w:t>ostatním průmyslovým odvětvím se v uvedeném období dařilo, protože jejich příspěvek k růstu dosáhl 0,3</w:t>
            </w:r>
            <w:r w:rsidR="00CE0849">
              <w:rPr>
                <w:rFonts w:cs="Arial"/>
              </w:rPr>
              <w:t> p. </w:t>
            </w:r>
            <w:proofErr w:type="spellStart"/>
            <w:r w:rsidR="00CE0849">
              <w:rPr>
                <w:rFonts w:cs="Arial"/>
              </w:rPr>
              <w:t>b</w:t>
            </w:r>
            <w:proofErr w:type="spellEnd"/>
            <w:r w:rsidR="00CE0849">
              <w:rPr>
                <w:rFonts w:cs="Arial"/>
              </w:rPr>
              <w:t>.</w:t>
            </w:r>
            <w:r>
              <w:rPr>
                <w:rFonts w:cs="Arial"/>
              </w:rPr>
              <w:t>, což je nejvíce od počátku roku 2014. Díky zrychlení meziroční dynamiky přispěla odvětví služeb k celkovému růstu 2,4</w:t>
            </w:r>
            <w:r w:rsidR="00CE0849">
              <w:rPr>
                <w:rFonts w:cs="Arial"/>
              </w:rPr>
              <w:t> p. </w:t>
            </w:r>
            <w:proofErr w:type="spellStart"/>
            <w:r w:rsidR="00CE0849">
              <w:rPr>
                <w:rFonts w:cs="Arial"/>
              </w:rPr>
              <w:t>b</w:t>
            </w:r>
            <w:proofErr w:type="spellEnd"/>
            <w:r w:rsidR="00CE0849">
              <w:rPr>
                <w:rFonts w:cs="Arial"/>
              </w:rPr>
              <w:t>.</w:t>
            </w:r>
            <w:r>
              <w:rPr>
                <w:rFonts w:cs="Arial"/>
              </w:rPr>
              <w:t xml:space="preserve"> Z toho 0,9</w:t>
            </w:r>
            <w:r w:rsidR="00CE0849">
              <w:rPr>
                <w:rFonts w:cs="Arial"/>
              </w:rPr>
              <w:t> p. </w:t>
            </w:r>
            <w:proofErr w:type="spellStart"/>
            <w:r w:rsidR="00CE0849">
              <w:rPr>
                <w:rFonts w:cs="Arial"/>
              </w:rPr>
              <w:t>b</w:t>
            </w:r>
            <w:proofErr w:type="spellEnd"/>
            <w:r w:rsidR="00CE0849">
              <w:rPr>
                <w:rFonts w:cs="Arial"/>
              </w:rPr>
              <w:t>.</w:t>
            </w:r>
            <w:r>
              <w:rPr>
                <w:rFonts w:cs="Arial"/>
              </w:rPr>
              <w:t xml:space="preserve"> </w:t>
            </w:r>
            <w:proofErr w:type="gramStart"/>
            <w:r>
              <w:rPr>
                <w:rFonts w:cs="Arial"/>
              </w:rPr>
              <w:t>přispěl</w:t>
            </w:r>
            <w:r w:rsidR="00BB62F2">
              <w:rPr>
                <w:rFonts w:cs="Arial"/>
              </w:rPr>
              <w:t>o</w:t>
            </w:r>
            <w:proofErr w:type="gramEnd"/>
            <w:r w:rsidR="00BB62F2">
              <w:rPr>
                <w:rFonts w:cs="Arial"/>
              </w:rPr>
              <w:t xml:space="preserve"> odvětví</w:t>
            </w:r>
            <w:r>
              <w:rPr>
                <w:rFonts w:cs="Arial"/>
              </w:rPr>
              <w:t xml:space="preserve"> obchod, doprava, ubytování a pohostinství</w:t>
            </w:r>
            <w:r w:rsidR="00C20027">
              <w:rPr>
                <w:rFonts w:cs="Arial"/>
              </w:rPr>
              <w:t>.</w:t>
            </w:r>
            <w:r>
              <w:rPr>
                <w:rFonts w:cs="Arial"/>
              </w:rPr>
              <w:t xml:space="preserve"> </w:t>
            </w:r>
            <w:r w:rsidR="00C20027">
              <w:rPr>
                <w:rFonts w:cs="Arial"/>
              </w:rPr>
              <w:t>N</w:t>
            </w:r>
            <w:r>
              <w:rPr>
                <w:rFonts w:cs="Arial"/>
              </w:rPr>
              <w:t>a 0,5</w:t>
            </w:r>
            <w:r w:rsidR="00CE0849">
              <w:rPr>
                <w:rFonts w:cs="Arial"/>
              </w:rPr>
              <w:t> p. </w:t>
            </w:r>
            <w:proofErr w:type="spellStart"/>
            <w:r w:rsidR="00CE0849">
              <w:rPr>
                <w:rFonts w:cs="Arial"/>
              </w:rPr>
              <w:t>b</w:t>
            </w:r>
            <w:proofErr w:type="spellEnd"/>
            <w:r w:rsidR="00CE0849">
              <w:rPr>
                <w:rFonts w:cs="Arial"/>
              </w:rPr>
              <w:t>.</w:t>
            </w:r>
            <w:r>
              <w:rPr>
                <w:rFonts w:cs="Arial"/>
              </w:rPr>
              <w:t xml:space="preserve"> </w:t>
            </w:r>
            <w:proofErr w:type="gramStart"/>
            <w:r>
              <w:rPr>
                <w:rFonts w:cs="Arial"/>
              </w:rPr>
              <w:t>posílil</w:t>
            </w:r>
            <w:proofErr w:type="gramEnd"/>
            <w:r>
              <w:rPr>
                <w:rFonts w:cs="Arial"/>
              </w:rPr>
              <w:t xml:space="preserve"> i příspěvek profesních, vědeckých a technických činností. Dařilo se </w:t>
            </w:r>
            <w:r w:rsidRPr="006402F6">
              <w:t>i</w:t>
            </w:r>
            <w:r>
              <w:t> </w:t>
            </w:r>
            <w:r w:rsidRPr="006402F6">
              <w:t>informačním</w:t>
            </w:r>
            <w:r>
              <w:rPr>
                <w:rFonts w:cs="Arial"/>
              </w:rPr>
              <w:t xml:space="preserve"> a komunikačním činnostem (meziroční růst ve 3</w:t>
            </w:r>
            <w:r w:rsidR="005723B7">
              <w:rPr>
                <w:rFonts w:cs="Arial"/>
              </w:rPr>
              <w:t>. čtvrtletí</w:t>
            </w:r>
            <w:r>
              <w:rPr>
                <w:rFonts w:cs="Arial"/>
              </w:rPr>
              <w:t xml:space="preserve"> 5,7</w:t>
            </w:r>
            <w:r w:rsidR="005723B7">
              <w:rPr>
                <w:rFonts w:cs="Arial"/>
              </w:rPr>
              <w:t> %</w:t>
            </w:r>
            <w:r>
              <w:rPr>
                <w:rFonts w:cs="Arial"/>
              </w:rPr>
              <w:t>, příspěvek k růstu HPH 0,3</w:t>
            </w:r>
            <w:r w:rsidR="00CE0849">
              <w:rPr>
                <w:rFonts w:cs="Arial"/>
              </w:rPr>
              <w:t> p. </w:t>
            </w:r>
            <w:proofErr w:type="spellStart"/>
            <w:r w:rsidR="00CE0849">
              <w:rPr>
                <w:rFonts w:cs="Arial"/>
              </w:rPr>
              <w:t>b</w:t>
            </w:r>
            <w:proofErr w:type="spellEnd"/>
            <w:r w:rsidR="00CE0849">
              <w:rPr>
                <w:rFonts w:cs="Arial"/>
              </w:rPr>
              <w:t>.</w:t>
            </w:r>
            <w:r>
              <w:rPr>
                <w:rFonts w:cs="Arial"/>
              </w:rPr>
              <w:t>), peněžnictví a pojišťovnictví (9,0</w:t>
            </w:r>
            <w:r w:rsidR="005723B7">
              <w:rPr>
                <w:rFonts w:cs="Arial"/>
              </w:rPr>
              <w:t> %</w:t>
            </w:r>
            <w:r>
              <w:rPr>
                <w:rFonts w:cs="Arial"/>
              </w:rPr>
              <w:t>, 0,4</w:t>
            </w:r>
            <w:r w:rsidR="00CE0849">
              <w:rPr>
                <w:rFonts w:cs="Arial"/>
              </w:rPr>
              <w:t> p. </w:t>
            </w:r>
            <w:proofErr w:type="spellStart"/>
            <w:r w:rsidR="00CE0849">
              <w:rPr>
                <w:rFonts w:cs="Arial"/>
              </w:rPr>
              <w:t>b</w:t>
            </w:r>
            <w:proofErr w:type="spellEnd"/>
            <w:r w:rsidR="00CE0849">
              <w:rPr>
                <w:rFonts w:cs="Arial"/>
              </w:rPr>
              <w:t>.</w:t>
            </w:r>
            <w:r>
              <w:rPr>
                <w:rFonts w:cs="Arial"/>
              </w:rPr>
              <w:t>) i činnostem v oblasti nemovitostí (3,3</w:t>
            </w:r>
            <w:r w:rsidR="005723B7">
              <w:rPr>
                <w:rFonts w:cs="Arial"/>
              </w:rPr>
              <w:t> %</w:t>
            </w:r>
            <w:r>
              <w:rPr>
                <w:rFonts w:cs="Arial"/>
              </w:rPr>
              <w:t>, 0,3</w:t>
            </w:r>
            <w:r w:rsidR="00CE0849">
              <w:rPr>
                <w:rFonts w:cs="Arial"/>
              </w:rPr>
              <w:t> p. </w:t>
            </w:r>
            <w:proofErr w:type="spellStart"/>
            <w:r w:rsidR="00CE0849">
              <w:rPr>
                <w:rFonts w:cs="Arial"/>
              </w:rPr>
              <w:t>b</w:t>
            </w:r>
            <w:proofErr w:type="spellEnd"/>
            <w:r w:rsidR="00CE0849">
              <w:rPr>
                <w:rFonts w:cs="Arial"/>
              </w:rPr>
              <w:t>.</w:t>
            </w:r>
            <w:r>
              <w:rPr>
                <w:rFonts w:cs="Arial"/>
              </w:rPr>
              <w:t>). Růst HPH ve stavebnictví i</w:t>
            </w:r>
            <w:r w:rsidR="00C20027">
              <w:rPr>
                <w:rFonts w:cs="Arial"/>
              </w:rPr>
              <w:t> </w:t>
            </w:r>
            <w:r>
              <w:rPr>
                <w:rFonts w:cs="Arial"/>
              </w:rPr>
              <w:t>zemědělství zpomalil a obě odvětví k celkovému růstu přispěla jen 0,1</w:t>
            </w:r>
            <w:r w:rsidR="00CE0849">
              <w:rPr>
                <w:rFonts w:cs="Arial"/>
              </w:rPr>
              <w:t> p. </w:t>
            </w:r>
            <w:proofErr w:type="spellStart"/>
            <w:r w:rsidR="00CE0849">
              <w:rPr>
                <w:rFonts w:cs="Arial"/>
              </w:rPr>
              <w:t>b</w:t>
            </w:r>
            <w:proofErr w:type="spellEnd"/>
            <w:r w:rsidR="00CE0849">
              <w:rPr>
                <w:rFonts w:cs="Arial"/>
              </w:rPr>
              <w:t>.</w:t>
            </w:r>
          </w:p>
          <w:p w:rsidR="00B428EA" w:rsidRPr="006402F6" w:rsidRDefault="00B428EA" w:rsidP="00333134">
            <w:pPr>
              <w:pStyle w:val="Textpoznpodarou"/>
              <w:jc w:val="both"/>
              <w:rPr>
                <w:rFonts w:cs="Arial"/>
                <w:sz w:val="16"/>
                <w:szCs w:val="16"/>
              </w:rPr>
            </w:pPr>
          </w:p>
        </w:tc>
      </w:tr>
      <w:tr w:rsidR="00DD0726" w:rsidRPr="00A74192" w:rsidTr="006C3DC1">
        <w:tc>
          <w:tcPr>
            <w:tcW w:w="1007" w:type="pct"/>
          </w:tcPr>
          <w:p w:rsidR="00DD0726" w:rsidRDefault="00DD0726" w:rsidP="006C3DC1">
            <w:pPr>
              <w:spacing w:line="240" w:lineRule="auto"/>
              <w:jc w:val="center"/>
              <w:rPr>
                <w:rFonts w:cs="Arial"/>
                <w:sz w:val="16"/>
                <w:szCs w:val="16"/>
              </w:rPr>
            </w:pPr>
          </w:p>
        </w:tc>
        <w:tc>
          <w:tcPr>
            <w:tcW w:w="144" w:type="pct"/>
          </w:tcPr>
          <w:p w:rsidR="00DD0726" w:rsidRPr="005E2AB2" w:rsidRDefault="00DD0726" w:rsidP="006C3DC1">
            <w:pPr>
              <w:pStyle w:val="Textpoznpodarou"/>
              <w:jc w:val="both"/>
              <w:rPr>
                <w:rFonts w:cs="Arial"/>
              </w:rPr>
            </w:pPr>
          </w:p>
        </w:tc>
        <w:tc>
          <w:tcPr>
            <w:tcW w:w="575" w:type="pct"/>
          </w:tcPr>
          <w:p w:rsidR="00DD0726" w:rsidRDefault="00DD0726" w:rsidP="006C3DC1">
            <w:pPr>
              <w:pStyle w:val="Textpoznpodarou"/>
              <w:jc w:val="both"/>
              <w:rPr>
                <w:rFonts w:cs="Arial"/>
              </w:rPr>
            </w:pPr>
            <w:r w:rsidRPr="005E2AB2">
              <w:rPr>
                <w:rFonts w:cs="Arial"/>
                <w:lang w:eastAsia="en-US"/>
              </w:rPr>
              <w:t>Graf č. 4</w:t>
            </w:r>
          </w:p>
        </w:tc>
        <w:tc>
          <w:tcPr>
            <w:tcW w:w="3274" w:type="pct"/>
            <w:gridSpan w:val="2"/>
          </w:tcPr>
          <w:p w:rsidR="00DD0726" w:rsidRDefault="00DD0726" w:rsidP="006C3DC1">
            <w:pPr>
              <w:pStyle w:val="Textpoznpodarou"/>
              <w:rPr>
                <w:rFonts w:cs="Arial"/>
              </w:rPr>
            </w:pPr>
            <w:r>
              <w:rPr>
                <w:rFonts w:cs="Arial"/>
                <w:b/>
                <w:lang w:eastAsia="en-US"/>
              </w:rPr>
              <w:t>Příspěvky odvětví k reálné</w:t>
            </w:r>
            <w:r w:rsidRPr="005E2AB2">
              <w:rPr>
                <w:rFonts w:cs="Arial"/>
                <w:b/>
                <w:lang w:eastAsia="en-US"/>
              </w:rPr>
              <w:t> změně HPH</w:t>
            </w:r>
            <w:r w:rsidRPr="005E2AB2">
              <w:rPr>
                <w:rFonts w:cs="Arial"/>
                <w:lang w:eastAsia="en-US"/>
              </w:rPr>
              <w:t xml:space="preserve"> (</w:t>
            </w:r>
            <w:r>
              <w:rPr>
                <w:rFonts w:cs="Arial"/>
                <w:lang w:eastAsia="en-US"/>
              </w:rPr>
              <w:t>objemové indexy</w:t>
            </w:r>
            <w:r w:rsidRPr="005E2AB2">
              <w:rPr>
                <w:rFonts w:cs="Arial"/>
                <w:lang w:eastAsia="en-US"/>
              </w:rPr>
              <w:t>,</w:t>
            </w:r>
            <w:r>
              <w:rPr>
                <w:rFonts w:cs="Arial"/>
                <w:lang w:eastAsia="en-US"/>
              </w:rPr>
              <w:t xml:space="preserve"> meziroční</w:t>
            </w:r>
            <w:r w:rsidRPr="005E2AB2">
              <w:rPr>
                <w:rFonts w:cs="Arial"/>
                <w:lang w:eastAsia="en-US"/>
              </w:rPr>
              <w:t xml:space="preserve"> příspěvky v</w:t>
            </w:r>
            <w:r w:rsidR="00CE0849">
              <w:rPr>
                <w:rFonts w:cs="Arial"/>
                <w:lang w:eastAsia="en-US"/>
              </w:rPr>
              <w:t> p. </w:t>
            </w:r>
            <w:proofErr w:type="spellStart"/>
            <w:r w:rsidR="00CE0849">
              <w:rPr>
                <w:rFonts w:cs="Arial"/>
                <w:lang w:eastAsia="en-US"/>
              </w:rPr>
              <w:t>b</w:t>
            </w:r>
            <w:proofErr w:type="spellEnd"/>
            <w:r w:rsidR="00CE0849">
              <w:rPr>
                <w:rFonts w:cs="Arial"/>
                <w:lang w:eastAsia="en-US"/>
              </w:rPr>
              <w:t>.</w:t>
            </w:r>
            <w:r w:rsidRPr="005E2AB2">
              <w:rPr>
                <w:rFonts w:cs="Arial"/>
                <w:lang w:eastAsia="en-US"/>
              </w:rPr>
              <w:t>, HPH v</w:t>
            </w:r>
            <w:r w:rsidR="005723B7">
              <w:rPr>
                <w:rFonts w:cs="Arial"/>
                <w:lang w:eastAsia="en-US"/>
              </w:rPr>
              <w:t> %</w:t>
            </w:r>
            <w:r w:rsidRPr="005E2AB2">
              <w:rPr>
                <w:rFonts w:cs="Arial"/>
                <w:lang w:eastAsia="en-US"/>
              </w:rPr>
              <w:t>)</w:t>
            </w:r>
          </w:p>
        </w:tc>
      </w:tr>
      <w:tr w:rsidR="00DD0726" w:rsidRPr="00A74192" w:rsidTr="006C3DC1">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B428EA" w:rsidP="006C3DC1">
            <w:pPr>
              <w:pStyle w:val="Textpoznpodarou"/>
              <w:ind w:left="-95"/>
              <w:jc w:val="both"/>
              <w:rPr>
                <w:rFonts w:cs="Arial"/>
              </w:rPr>
            </w:pPr>
            <w:r w:rsidRPr="00B428EA">
              <w:rPr>
                <w:rFonts w:cs="Arial"/>
                <w:noProof/>
              </w:rPr>
              <w:drawing>
                <wp:inline distT="0" distB="0" distL="0" distR="0">
                  <wp:extent cx="4737600" cy="355320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0726" w:rsidRDefault="00DD0726" w:rsidP="006C3DC1">
            <w:pPr>
              <w:pStyle w:val="Textpoznpodarou"/>
              <w:ind w:left="-95"/>
              <w:jc w:val="right"/>
              <w:rPr>
                <w:rFonts w:cs="Arial"/>
                <w:sz w:val="14"/>
                <w:szCs w:val="14"/>
                <w:lang w:eastAsia="en-US"/>
              </w:rPr>
            </w:pPr>
            <w:r w:rsidRPr="007841BB">
              <w:rPr>
                <w:rFonts w:cs="Arial"/>
                <w:sz w:val="14"/>
                <w:szCs w:val="14"/>
                <w:lang w:eastAsia="en-US"/>
              </w:rPr>
              <w:t>Zdroj: ČSÚ</w:t>
            </w:r>
          </w:p>
          <w:p w:rsidR="00DD0726" w:rsidRPr="007841BB" w:rsidRDefault="00DD0726" w:rsidP="006C3DC1">
            <w:pPr>
              <w:pStyle w:val="Textpoznpodarou"/>
              <w:ind w:left="-95"/>
              <w:jc w:val="right"/>
              <w:rPr>
                <w:rFonts w:cs="Arial"/>
                <w:sz w:val="14"/>
                <w:szCs w:val="14"/>
                <w:lang w:eastAsia="en-US"/>
              </w:rPr>
            </w:pPr>
          </w:p>
        </w:tc>
      </w:tr>
    </w:tbl>
    <w:p w:rsidR="005E4483" w:rsidRDefault="005E4483" w:rsidP="00DD0726">
      <w:pPr>
        <w:pStyle w:val="Nadpis1"/>
        <w:numPr>
          <w:ilvl w:val="0"/>
          <w:numId w:val="12"/>
        </w:numPr>
        <w:ind w:left="709"/>
        <w:jc w:val="both"/>
      </w:pPr>
      <w:bookmarkStart w:id="9" w:name="_Toc501441378"/>
      <w:r>
        <w:lastRenderedPageBreak/>
        <w:t>Výkonnost odvětví</w:t>
      </w:r>
      <w:bookmarkEnd w:id="8"/>
      <w:bookmarkEnd w:id="9"/>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Pr="005A427F" w:rsidRDefault="005C419C" w:rsidP="00F66CA8">
            <w:pPr>
              <w:spacing w:line="240" w:lineRule="auto"/>
              <w:rPr>
                <w:spacing w:val="-3"/>
                <w:sz w:val="16"/>
                <w:szCs w:val="16"/>
              </w:rPr>
            </w:pPr>
            <w:r w:rsidRPr="005A427F">
              <w:rPr>
                <w:spacing w:val="-3"/>
                <w:sz w:val="16"/>
                <w:szCs w:val="16"/>
              </w:rPr>
              <w:t>Meziroční tempo</w:t>
            </w:r>
            <w:r w:rsidR="00262EB9">
              <w:rPr>
                <w:spacing w:val="-3"/>
                <w:sz w:val="16"/>
                <w:szCs w:val="16"/>
              </w:rPr>
              <w:t xml:space="preserve"> růstu HPH se v průběhu roku zvyšovalo</w:t>
            </w:r>
            <w:r w:rsidRPr="005A427F">
              <w:rPr>
                <w:spacing w:val="-3"/>
                <w:sz w:val="16"/>
                <w:szCs w:val="16"/>
              </w:rPr>
              <w:t>, za tři čtvrtletí činilo 4,2</w:t>
            </w:r>
            <w:r w:rsidR="005723B7">
              <w:rPr>
                <w:spacing w:val="-3"/>
                <w:sz w:val="16"/>
                <w:szCs w:val="16"/>
              </w:rPr>
              <w:t> %</w:t>
            </w:r>
            <w:r w:rsidRPr="005A427F">
              <w:rPr>
                <w:spacing w:val="-3"/>
                <w:sz w:val="16"/>
                <w:szCs w:val="16"/>
              </w:rPr>
              <w:t>. Na růstu se z poloviny podílel zpracovatelský průmysl, přispěla však i všechna ostatní významná odvětví.</w:t>
            </w:r>
          </w:p>
        </w:tc>
        <w:tc>
          <w:tcPr>
            <w:tcW w:w="144" w:type="pct"/>
          </w:tcPr>
          <w:p w:rsidR="005C419C" w:rsidRDefault="005C419C" w:rsidP="00F66CA8">
            <w:pPr>
              <w:pStyle w:val="Textpoznpodarou"/>
              <w:jc w:val="both"/>
            </w:pPr>
          </w:p>
        </w:tc>
        <w:tc>
          <w:tcPr>
            <w:tcW w:w="3840" w:type="pct"/>
          </w:tcPr>
          <w:p w:rsidR="005C419C" w:rsidRPr="00136EA2" w:rsidRDefault="005C419C" w:rsidP="00F66CA8">
            <w:pPr>
              <w:pStyle w:val="Textpoznpodarou"/>
              <w:jc w:val="both"/>
              <w:rPr>
                <w:spacing w:val="-4"/>
              </w:rPr>
            </w:pPr>
            <w:r>
              <w:rPr>
                <w:spacing w:val="-4"/>
              </w:rPr>
              <w:t>Výkon vš</w:t>
            </w:r>
            <w:r w:rsidR="00063AF0">
              <w:rPr>
                <w:spacing w:val="-4"/>
              </w:rPr>
              <w:t>ech odvětví ekonomiky měřený ukazatelem</w:t>
            </w:r>
            <w:r>
              <w:rPr>
                <w:spacing w:val="-4"/>
              </w:rPr>
              <w:t xml:space="preserve"> hrubé přidané hodnoty (HPH)</w:t>
            </w:r>
            <w:r>
              <w:rPr>
                <w:rStyle w:val="Znakapoznpodarou"/>
                <w:spacing w:val="-4"/>
              </w:rPr>
              <w:footnoteReference w:id="12"/>
            </w:r>
            <w:r>
              <w:rPr>
                <w:spacing w:val="-4"/>
              </w:rPr>
              <w:t xml:space="preserve"> ve 3</w:t>
            </w:r>
            <w:r w:rsidR="005723B7">
              <w:rPr>
                <w:spacing w:val="-4"/>
              </w:rPr>
              <w:t>. čtvrtletí</w:t>
            </w:r>
            <w:r>
              <w:rPr>
                <w:spacing w:val="-4"/>
              </w:rPr>
              <w:t xml:space="preserve"> meziročně vzrostl </w:t>
            </w:r>
            <w:r w:rsidR="00CB5852">
              <w:rPr>
                <w:spacing w:val="-4"/>
              </w:rPr>
              <w:t xml:space="preserve">o </w:t>
            </w:r>
            <w:r>
              <w:rPr>
                <w:spacing w:val="-4"/>
              </w:rPr>
              <w:t>5,1</w:t>
            </w:r>
            <w:r w:rsidR="005723B7">
              <w:rPr>
                <w:spacing w:val="-4"/>
              </w:rPr>
              <w:t> %</w:t>
            </w:r>
            <w:r>
              <w:rPr>
                <w:spacing w:val="-4"/>
              </w:rPr>
              <w:t xml:space="preserve"> a sílil již čtvrtý kvartál v řadě. V úhrnu za 1. až 3</w:t>
            </w:r>
            <w:r w:rsidR="005723B7">
              <w:rPr>
                <w:spacing w:val="-4"/>
              </w:rPr>
              <w:t>. čtvrtletí</w:t>
            </w:r>
            <w:r>
              <w:rPr>
                <w:spacing w:val="-4"/>
              </w:rPr>
              <w:t xml:space="preserve"> byl výkon vyšší o 4,2</w:t>
            </w:r>
            <w:r w:rsidR="005723B7">
              <w:rPr>
                <w:spacing w:val="-4"/>
              </w:rPr>
              <w:t> %</w:t>
            </w:r>
            <w:r>
              <w:rPr>
                <w:spacing w:val="-4"/>
              </w:rPr>
              <w:t>. Přispělo k tomu všech deset hlavních odvětvových uskupení, celou polovinou se přitom na lepším výsledku podílel zpracovatelský průmysl (příspěvek +2,1</w:t>
            </w:r>
            <w:r w:rsidR="00CE0849">
              <w:rPr>
                <w:spacing w:val="-4"/>
              </w:rPr>
              <w:t> p. </w:t>
            </w:r>
            <w:proofErr w:type="spellStart"/>
            <w:r w:rsidR="00CE0849">
              <w:rPr>
                <w:spacing w:val="-4"/>
              </w:rPr>
              <w:t>b</w:t>
            </w:r>
            <w:proofErr w:type="spellEnd"/>
            <w:r w:rsidR="00CE0849">
              <w:rPr>
                <w:spacing w:val="-4"/>
              </w:rPr>
              <w:t>.</w:t>
            </w:r>
            <w:r>
              <w:rPr>
                <w:spacing w:val="-4"/>
              </w:rPr>
              <w:t>). Na rozdíl od předchozích dvou let pomohl i kladný výsledek nezpracovatelských průmyslových odvětví, ve kterých se projevilo výraznější oživení v energetice. V celém sektoru služeb se HPH navýšila o 3,0</w:t>
            </w:r>
            <w:r w:rsidR="005723B7">
              <w:rPr>
                <w:spacing w:val="-4"/>
              </w:rPr>
              <w:t> %</w:t>
            </w:r>
            <w:r>
              <w:rPr>
                <w:spacing w:val="-4"/>
              </w:rPr>
              <w:t xml:space="preserve"> (v prvních třech čtvrtletích loňského roku o rovná 2</w:t>
            </w:r>
            <w:r w:rsidR="005723B7">
              <w:rPr>
                <w:spacing w:val="-4"/>
              </w:rPr>
              <w:t> %</w:t>
            </w:r>
            <w:r>
              <w:rPr>
                <w:spacing w:val="-4"/>
              </w:rPr>
              <w:t xml:space="preserve">). </w:t>
            </w:r>
            <w:r w:rsidRPr="00CB5852">
              <w:rPr>
                <w:spacing w:val="-4"/>
              </w:rPr>
              <w:t>Tento sektor tradičně táhlo odvětví obchod, doprav</w:t>
            </w:r>
            <w:r w:rsidR="00CB5852" w:rsidRPr="00CB5852">
              <w:rPr>
                <w:spacing w:val="-4"/>
              </w:rPr>
              <w:t>a</w:t>
            </w:r>
            <w:r w:rsidRPr="00CB5852">
              <w:rPr>
                <w:spacing w:val="-4"/>
              </w:rPr>
              <w:t>, ubytování a stravování (+2,4</w:t>
            </w:r>
            <w:r w:rsidR="005723B7" w:rsidRPr="00CB5852">
              <w:rPr>
                <w:spacing w:val="-4"/>
              </w:rPr>
              <w:t> %</w:t>
            </w:r>
            <w:r w:rsidRPr="00CB5852">
              <w:rPr>
                <w:spacing w:val="-4"/>
              </w:rPr>
              <w:t>), nejvyšší tempa však již druhý rok v řadě vykázalo peněžnictví a pojišťovnictví (+</w:t>
            </w:r>
            <w:r>
              <w:rPr>
                <w:spacing w:val="-4"/>
              </w:rPr>
              <w:t>8,7</w:t>
            </w:r>
            <w:r w:rsidR="005723B7">
              <w:rPr>
                <w:spacing w:val="-4"/>
              </w:rPr>
              <w:t> %</w:t>
            </w:r>
            <w:r>
              <w:rPr>
                <w:spacing w:val="-4"/>
              </w:rPr>
              <w:t>, loni +6,4</w:t>
            </w:r>
            <w:r w:rsidR="005723B7">
              <w:rPr>
                <w:spacing w:val="-4"/>
              </w:rPr>
              <w:t> %</w:t>
            </w:r>
            <w:r>
              <w:rPr>
                <w:spacing w:val="-4"/>
              </w:rPr>
              <w:t>). Přes dílčí zpomalení se nadále dařilo i odvětví zemědělství a lesnictví (vč.</w:t>
            </w:r>
            <w:r w:rsidR="000151A7">
              <w:rPr>
                <w:spacing w:val="-4"/>
              </w:rPr>
              <w:t> </w:t>
            </w:r>
            <w:r>
              <w:rPr>
                <w:spacing w:val="-4"/>
              </w:rPr>
              <w:t>rybářství</w:t>
            </w:r>
            <w:r w:rsidR="00063AF0">
              <w:rPr>
                <w:spacing w:val="-4"/>
              </w:rPr>
              <w:t>). Po loňské velmi dobré</w:t>
            </w:r>
            <w:r>
              <w:rPr>
                <w:spacing w:val="-4"/>
              </w:rPr>
              <w:t xml:space="preserve"> úrodě s</w:t>
            </w:r>
            <w:r w:rsidR="00063AF0">
              <w:rPr>
                <w:spacing w:val="-4"/>
              </w:rPr>
              <w:t>e ta letošní vrátila k průměru,</w:t>
            </w:r>
            <w:r>
              <w:rPr>
                <w:spacing w:val="-4"/>
              </w:rPr>
              <w:t xml:space="preserve"> což se projevilo na HPH celého odvětví především ve 3</w:t>
            </w:r>
            <w:r w:rsidR="005723B7">
              <w:rPr>
                <w:spacing w:val="-4"/>
              </w:rPr>
              <w:t>. čtvrtletí</w:t>
            </w:r>
            <w:r>
              <w:rPr>
                <w:spacing w:val="-4"/>
              </w:rPr>
              <w:t xml:space="preserve"> (+2,9</w:t>
            </w:r>
            <w:r w:rsidR="005723B7">
              <w:rPr>
                <w:spacing w:val="-4"/>
              </w:rPr>
              <w:t> %</w:t>
            </w:r>
            <w:r>
              <w:rPr>
                <w:spacing w:val="-4"/>
              </w:rPr>
              <w:t>, o rok dříve +10,3</w:t>
            </w:r>
            <w:r w:rsidR="005723B7">
              <w:rPr>
                <w:spacing w:val="-4"/>
              </w:rPr>
              <w:t> %</w:t>
            </w:r>
            <w:r>
              <w:rPr>
                <w:spacing w:val="-4"/>
              </w:rPr>
              <w:t>).</w:t>
            </w:r>
          </w:p>
          <w:p w:rsidR="005C419C" w:rsidRPr="00BF7175"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Pr="003E5346" w:rsidRDefault="005C419C" w:rsidP="00F66CA8">
            <w:pPr>
              <w:spacing w:line="240" w:lineRule="auto"/>
              <w:rPr>
                <w:spacing w:val="-2"/>
                <w:sz w:val="16"/>
                <w:szCs w:val="16"/>
              </w:rPr>
            </w:pPr>
            <w:r>
              <w:rPr>
                <w:spacing w:val="-2"/>
                <w:sz w:val="16"/>
                <w:szCs w:val="16"/>
              </w:rPr>
              <w:t>Dynamický růst průmyslu tažený primárně příznivou ekonomickou situací v hlavních exportních teritoriích přetrvával.</w:t>
            </w:r>
          </w:p>
        </w:tc>
        <w:tc>
          <w:tcPr>
            <w:tcW w:w="144" w:type="pct"/>
          </w:tcPr>
          <w:p w:rsidR="005C419C" w:rsidRDefault="005C419C" w:rsidP="00F66CA8">
            <w:pPr>
              <w:pStyle w:val="Textpoznpodarou"/>
              <w:jc w:val="both"/>
            </w:pPr>
          </w:p>
        </w:tc>
        <w:tc>
          <w:tcPr>
            <w:tcW w:w="3840" w:type="pct"/>
          </w:tcPr>
          <w:p w:rsidR="005C419C" w:rsidRPr="005A427F" w:rsidRDefault="005C419C" w:rsidP="00F66CA8">
            <w:pPr>
              <w:pStyle w:val="Textpoznpodarou"/>
              <w:jc w:val="both"/>
              <w:rPr>
                <w:spacing w:val="-4"/>
              </w:rPr>
            </w:pPr>
            <w:r>
              <w:rPr>
                <w:spacing w:val="-4"/>
              </w:rPr>
              <w:t>Průmyslu se i v průběhu roku 201</w:t>
            </w:r>
            <w:r w:rsidR="00063AF0">
              <w:rPr>
                <w:spacing w:val="-4"/>
              </w:rPr>
              <w:t>7 nadále dařilo, což dokládají</w:t>
            </w:r>
            <w:r>
              <w:rPr>
                <w:spacing w:val="-4"/>
              </w:rPr>
              <w:t xml:space="preserve"> údaje z podnikových statistik. Jeho </w:t>
            </w:r>
            <w:r>
              <w:rPr>
                <w:color w:val="000000" w:themeColor="text1"/>
                <w:spacing w:val="-4"/>
              </w:rPr>
              <w:t>výkon (dle indexu průmyslové</w:t>
            </w:r>
            <w:r w:rsidRPr="008D59A9">
              <w:rPr>
                <w:color w:val="000000" w:themeColor="text1"/>
                <w:spacing w:val="-4"/>
              </w:rPr>
              <w:t xml:space="preserve"> produkce)</w:t>
            </w:r>
            <w:r w:rsidRPr="008D59A9">
              <w:rPr>
                <w:color w:val="000000" w:themeColor="text1"/>
                <w:spacing w:val="-4"/>
                <w:vertAlign w:val="superscript"/>
              </w:rPr>
              <w:footnoteReference w:id="13"/>
            </w:r>
            <w:r>
              <w:rPr>
                <w:color w:val="000000" w:themeColor="text1"/>
                <w:spacing w:val="-4"/>
              </w:rPr>
              <w:t xml:space="preserve"> vzrostl v 1. až 3</w:t>
            </w:r>
            <w:r w:rsidR="005723B7">
              <w:rPr>
                <w:color w:val="000000" w:themeColor="text1"/>
                <w:spacing w:val="-4"/>
              </w:rPr>
              <w:t>. čtvrtletí</w:t>
            </w:r>
            <w:r>
              <w:rPr>
                <w:color w:val="000000" w:themeColor="text1"/>
                <w:spacing w:val="-4"/>
              </w:rPr>
              <w:t xml:space="preserve"> o</w:t>
            </w:r>
            <w:r>
              <w:rPr>
                <w:spacing w:val="-4"/>
              </w:rPr>
              <w:t> </w:t>
            </w:r>
            <w:r>
              <w:rPr>
                <w:color w:val="000000" w:themeColor="text1"/>
                <w:spacing w:val="-4"/>
              </w:rPr>
              <w:t>5,9</w:t>
            </w:r>
            <w:r w:rsidR="005723B7">
              <w:rPr>
                <w:spacing w:val="-4"/>
              </w:rPr>
              <w:t> %</w:t>
            </w:r>
            <w:r>
              <w:rPr>
                <w:color w:val="000000" w:themeColor="text1"/>
                <w:spacing w:val="-4"/>
              </w:rPr>
              <w:t xml:space="preserve"> a dosáhl v tomto období roku nejsilnějšího tempa od roku 2011, kdy se „vzpamatovával“ z důsledků hluboké recese. Růst </w:t>
            </w:r>
            <w:r w:rsidR="00063AF0">
              <w:rPr>
                <w:color w:val="000000" w:themeColor="text1"/>
                <w:spacing w:val="-4"/>
              </w:rPr>
              <w:t>v průběhu roku 2017 osciloval mezi 4,9</w:t>
            </w:r>
            <w:r w:rsidR="005723B7">
              <w:rPr>
                <w:color w:val="000000" w:themeColor="text1"/>
                <w:spacing w:val="-4"/>
              </w:rPr>
              <w:t> %</w:t>
            </w:r>
            <w:r w:rsidR="00063AF0">
              <w:rPr>
                <w:color w:val="000000" w:themeColor="text1"/>
                <w:spacing w:val="-4"/>
              </w:rPr>
              <w:t xml:space="preserve"> (v 1</w:t>
            </w:r>
            <w:r w:rsidR="005723B7">
              <w:rPr>
                <w:color w:val="000000" w:themeColor="text1"/>
                <w:spacing w:val="-4"/>
              </w:rPr>
              <w:t>. čtvrtletí</w:t>
            </w:r>
            <w:r w:rsidR="00063AF0">
              <w:rPr>
                <w:color w:val="000000" w:themeColor="text1"/>
                <w:spacing w:val="-4"/>
              </w:rPr>
              <w:t>) a</w:t>
            </w:r>
            <w:r>
              <w:rPr>
                <w:color w:val="000000" w:themeColor="text1"/>
                <w:spacing w:val="-4"/>
              </w:rPr>
              <w:t xml:space="preserve"> 6,8</w:t>
            </w:r>
            <w:r w:rsidR="005723B7">
              <w:rPr>
                <w:color w:val="000000" w:themeColor="text1"/>
                <w:spacing w:val="-4"/>
              </w:rPr>
              <w:t> %</w:t>
            </w:r>
            <w:r>
              <w:rPr>
                <w:color w:val="000000" w:themeColor="text1"/>
                <w:spacing w:val="-4"/>
              </w:rPr>
              <w:t xml:space="preserve"> (ve 2</w:t>
            </w:r>
            <w:r w:rsidR="005723B7">
              <w:rPr>
                <w:color w:val="000000" w:themeColor="text1"/>
                <w:spacing w:val="-4"/>
              </w:rPr>
              <w:t>. čtvrtletí</w:t>
            </w:r>
            <w:r>
              <w:rPr>
                <w:color w:val="000000" w:themeColor="text1"/>
                <w:spacing w:val="-4"/>
              </w:rPr>
              <w:t>)</w:t>
            </w:r>
            <w:r>
              <w:rPr>
                <w:rStyle w:val="Znakapoznpodarou"/>
                <w:color w:val="000000" w:themeColor="text1"/>
                <w:spacing w:val="-4"/>
              </w:rPr>
              <w:footnoteReference w:id="14"/>
            </w:r>
            <w:r>
              <w:rPr>
                <w:color w:val="000000" w:themeColor="text1"/>
                <w:spacing w:val="-4"/>
              </w:rPr>
              <w:t>. Za těmito výsledky stála nejen dobrá ekonomická situace v hlavních exportních teritoriích, ale i sílící tuzemská poptávka.</w:t>
            </w:r>
          </w:p>
          <w:p w:rsidR="005C419C" w:rsidRPr="001D1E02"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Default="005C419C" w:rsidP="00F66CA8">
            <w:pPr>
              <w:spacing w:line="240" w:lineRule="auto"/>
              <w:rPr>
                <w:spacing w:val="-2"/>
                <w:sz w:val="16"/>
                <w:szCs w:val="16"/>
              </w:rPr>
            </w:pPr>
            <w:r>
              <w:rPr>
                <w:spacing w:val="-2"/>
                <w:sz w:val="16"/>
                <w:szCs w:val="16"/>
              </w:rPr>
              <w:t>K navýšení</w:t>
            </w:r>
            <w:r w:rsidRPr="00AA00F9">
              <w:rPr>
                <w:spacing w:val="-2"/>
                <w:sz w:val="16"/>
                <w:szCs w:val="16"/>
              </w:rPr>
              <w:t xml:space="preserve"> průmyslové produkce přispěl letos z více než třetiny automobilový průmysl, pětinu přidaly také nejbližší subdodavatelské obory.</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Pr="00AA00F9" w:rsidRDefault="005C419C" w:rsidP="00F66CA8">
            <w:pPr>
              <w:spacing w:line="240" w:lineRule="auto"/>
              <w:rPr>
                <w:spacing w:val="-2"/>
                <w:sz w:val="16"/>
                <w:szCs w:val="16"/>
              </w:rPr>
            </w:pPr>
            <w:r>
              <w:rPr>
                <w:spacing w:val="-2"/>
                <w:sz w:val="16"/>
                <w:szCs w:val="16"/>
              </w:rPr>
              <w:t xml:space="preserve">Výrazně zrychlil růst produkce i v dalších významných odvětvích – strojírenství, kovovýrobě. Obnovení výrobních kapacit se odrazilo ve výkonech chemického průmyslu i energetiky. </w:t>
            </w:r>
          </w:p>
        </w:tc>
        <w:tc>
          <w:tcPr>
            <w:tcW w:w="144" w:type="pct"/>
          </w:tcPr>
          <w:p w:rsidR="005C419C" w:rsidRPr="009E7B1B" w:rsidRDefault="005C419C" w:rsidP="00F66CA8">
            <w:pPr>
              <w:pStyle w:val="Textpoznpodarou"/>
              <w:jc w:val="both"/>
              <w:rPr>
                <w:spacing w:val="-2"/>
              </w:rPr>
            </w:pPr>
          </w:p>
        </w:tc>
        <w:tc>
          <w:tcPr>
            <w:tcW w:w="3840" w:type="pct"/>
          </w:tcPr>
          <w:p w:rsidR="005C419C" w:rsidRDefault="005C419C" w:rsidP="00F66CA8">
            <w:pPr>
              <w:pStyle w:val="Textpoznpodarou"/>
              <w:jc w:val="both"/>
              <w:rPr>
                <w:spacing w:val="-4"/>
              </w:rPr>
            </w:pPr>
            <w:r>
              <w:rPr>
                <w:spacing w:val="-4"/>
              </w:rPr>
              <w:t>Dominantní postavení si nadále udržovala výroba motorových vozidel vytvářející více než čtvrtinu produkce celého průmyslu. Toto odvětví sice mírně slevilo z vysoké dynamiky z minulých let, i tak však jeho meziroční růst produkce od počátku roku (podobně jako ve 3</w:t>
            </w:r>
            <w:r w:rsidR="005723B7">
              <w:rPr>
                <w:spacing w:val="-4"/>
              </w:rPr>
              <w:t>. čtvrtletí</w:t>
            </w:r>
            <w:r>
              <w:rPr>
                <w:spacing w:val="-4"/>
              </w:rPr>
              <w:t>) těsně atakoval 10% hranici. Silná poptávka na evropských a asijských trzích, ale i v tuzemsku se odrazila v rekordním množství vyrobených vozů</w:t>
            </w:r>
            <w:r w:rsidRPr="00C00806">
              <w:rPr>
                <w:rStyle w:val="Znakapoznpodarou"/>
                <w:spacing w:val="-4"/>
              </w:rPr>
              <w:footnoteReference w:id="15"/>
            </w:r>
            <w:r>
              <w:rPr>
                <w:spacing w:val="-4"/>
              </w:rPr>
              <w:t>. Automobilový průmysl přispěl letos k meziročnímu navýšení průmyslové produkce více než třetinou, pětinu přidaly nejbližší návazné obory – dařilo se jak gumárenství a </w:t>
            </w:r>
            <w:proofErr w:type="spellStart"/>
            <w:r>
              <w:rPr>
                <w:spacing w:val="-4"/>
              </w:rPr>
              <w:t>plastikářství</w:t>
            </w:r>
            <w:proofErr w:type="spellEnd"/>
            <w:r>
              <w:rPr>
                <w:spacing w:val="-4"/>
              </w:rPr>
              <w:t xml:space="preserve"> (+7,7</w:t>
            </w:r>
            <w:r w:rsidR="005723B7">
              <w:rPr>
                <w:spacing w:val="-4"/>
              </w:rPr>
              <w:t> %</w:t>
            </w:r>
            <w:r>
              <w:rPr>
                <w:spacing w:val="-4"/>
              </w:rPr>
              <w:t>), tak výrobě elektrických zařízení (+8,1</w:t>
            </w:r>
            <w:r w:rsidR="005723B7">
              <w:rPr>
                <w:spacing w:val="-4"/>
              </w:rPr>
              <w:t> %</w:t>
            </w:r>
            <w:r>
              <w:rPr>
                <w:spacing w:val="-4"/>
              </w:rPr>
              <w:t>). Tempo produkce citelně zrychlilo také ve výrobě počítačů, elektronických a optických přístrojů (+11,9</w:t>
            </w:r>
            <w:r w:rsidR="005723B7">
              <w:rPr>
                <w:spacing w:val="-4"/>
              </w:rPr>
              <w:t> %</w:t>
            </w:r>
            <w:r>
              <w:rPr>
                <w:spacing w:val="-4"/>
              </w:rPr>
              <w:t>, o rok dříve +2,2</w:t>
            </w:r>
            <w:r w:rsidR="005723B7">
              <w:rPr>
                <w:spacing w:val="-4"/>
              </w:rPr>
              <w:t> %</w:t>
            </w:r>
            <w:r>
              <w:rPr>
                <w:spacing w:val="-4"/>
              </w:rPr>
              <w:t>). Strojírenská produkce vzrostla nejvyšším tempem (8,0</w:t>
            </w:r>
            <w:r w:rsidR="005723B7">
              <w:rPr>
                <w:spacing w:val="-4"/>
              </w:rPr>
              <w:t> %</w:t>
            </w:r>
            <w:r>
              <w:rPr>
                <w:spacing w:val="-4"/>
              </w:rPr>
              <w:t>) za posledních šest let, k čemuž pomohla i svižnější domácí poptávka. Toto odvětví tak přispělo k vyššímu výkonu celého průmyslu desetinou. V podobném rozsahu přispěl také váhově významný obor kovovýroby, jehož výkon byl meziročně o osminu vyšší. Plné obnovení výrobních kapacit se pozitivně promítlo na výkonu chemického průmyslu (+20,6</w:t>
            </w:r>
            <w:r w:rsidR="005723B7">
              <w:rPr>
                <w:spacing w:val="-4"/>
              </w:rPr>
              <w:t> %</w:t>
            </w:r>
            <w:r>
              <w:rPr>
                <w:spacing w:val="-4"/>
              </w:rPr>
              <w:t>)</w:t>
            </w:r>
            <w:r>
              <w:rPr>
                <w:rStyle w:val="Znakapoznpodarou"/>
                <w:spacing w:val="-4"/>
              </w:rPr>
              <w:footnoteReference w:id="16"/>
            </w:r>
            <w:r w:rsidR="007A18F5">
              <w:rPr>
                <w:spacing w:val="-4"/>
              </w:rPr>
              <w:t xml:space="preserve"> i energetiky (+5,4</w:t>
            </w:r>
            <w:r w:rsidR="005723B7">
              <w:rPr>
                <w:spacing w:val="-4"/>
              </w:rPr>
              <w:t> %</w:t>
            </w:r>
            <w:r>
              <w:rPr>
                <w:spacing w:val="-4"/>
              </w:rPr>
              <w:t>, v samotném 3</w:t>
            </w:r>
            <w:r w:rsidR="005723B7">
              <w:rPr>
                <w:spacing w:val="-4"/>
              </w:rPr>
              <w:t>. čtvrtletí</w:t>
            </w:r>
            <w:r>
              <w:rPr>
                <w:spacing w:val="-4"/>
              </w:rPr>
              <w:t xml:space="preserve"> +12,8</w:t>
            </w:r>
            <w:r w:rsidR="005723B7">
              <w:rPr>
                <w:spacing w:val="-4"/>
              </w:rPr>
              <w:t> %</w:t>
            </w:r>
            <w:r>
              <w:rPr>
                <w:rStyle w:val="Znakapoznpodarou"/>
                <w:spacing w:val="-4"/>
              </w:rPr>
              <w:footnoteReference w:id="17"/>
            </w:r>
            <w:r>
              <w:rPr>
                <w:spacing w:val="-4"/>
              </w:rPr>
              <w:t xml:space="preserve">). Pozvolné oživení poptávky ve stavebnictví podpořilo výkony ve výrobě </w:t>
            </w:r>
            <w:r w:rsidRPr="00E077B6">
              <w:rPr>
                <w:spacing w:val="-4"/>
              </w:rPr>
              <w:t>ostatních nekovových minerálních výrobků</w:t>
            </w:r>
            <w:r w:rsidR="007A18F5">
              <w:rPr>
                <w:spacing w:val="-4"/>
              </w:rPr>
              <w:t xml:space="preserve"> (+4,9</w:t>
            </w:r>
            <w:r w:rsidR="005723B7">
              <w:rPr>
                <w:spacing w:val="-4"/>
              </w:rPr>
              <w:t> %</w:t>
            </w:r>
            <w:r>
              <w:rPr>
                <w:spacing w:val="-4"/>
              </w:rPr>
              <w:t xml:space="preserve">, o rok </w:t>
            </w:r>
            <w:proofErr w:type="gramStart"/>
            <w:r>
              <w:rPr>
                <w:spacing w:val="-4"/>
              </w:rPr>
              <w:t xml:space="preserve">dříve </w:t>
            </w:r>
            <w:r w:rsidR="00C408BB">
              <w:rPr>
                <w:spacing w:val="-4"/>
              </w:rPr>
              <w:t>–</w:t>
            </w:r>
            <w:r>
              <w:rPr>
                <w:spacing w:val="-4"/>
              </w:rPr>
              <w:t>1,5</w:t>
            </w:r>
            <w:proofErr w:type="gramEnd"/>
            <w:r w:rsidR="005723B7">
              <w:rPr>
                <w:spacing w:val="-4"/>
              </w:rPr>
              <w:t> %</w:t>
            </w:r>
            <w:r>
              <w:rPr>
                <w:spacing w:val="-4"/>
              </w:rPr>
              <w:t>). Z menších oborů se dařilo zejména exportně zaměřenému farmaceutickému průmyslu, jehož produkce stoupla meziročně o 11,2</w:t>
            </w:r>
            <w:r w:rsidR="005723B7">
              <w:rPr>
                <w:spacing w:val="-4"/>
              </w:rPr>
              <w:t> %</w:t>
            </w:r>
            <w:r>
              <w:rPr>
                <w:spacing w:val="-4"/>
              </w:rPr>
              <w:t xml:space="preserve"> (za čtyři roky o více než čtvrtinu). Pokračoval mírný růst v textilním, dřevozpracujícím, papírenském i nábytkářském průmyslu. </w:t>
            </w:r>
          </w:p>
          <w:p w:rsidR="005C419C" w:rsidRPr="0023791B"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Pr="003C0D68" w:rsidRDefault="005C419C" w:rsidP="00F66CA8">
            <w:pPr>
              <w:spacing w:line="240" w:lineRule="auto"/>
              <w:rPr>
                <w:spacing w:val="-2"/>
                <w:sz w:val="16"/>
                <w:szCs w:val="16"/>
              </w:rPr>
            </w:pPr>
            <w:r>
              <w:rPr>
                <w:spacing w:val="-2"/>
                <w:sz w:val="16"/>
                <w:szCs w:val="16"/>
              </w:rPr>
              <w:t xml:space="preserve">Hlubší redukce zaměstnanosti i produkce v těžebním průmyslu pokračovala. </w:t>
            </w:r>
          </w:p>
        </w:tc>
        <w:tc>
          <w:tcPr>
            <w:tcW w:w="144" w:type="pct"/>
          </w:tcPr>
          <w:p w:rsidR="005C419C" w:rsidRPr="005A16AE" w:rsidRDefault="005C419C" w:rsidP="00F66CA8">
            <w:pPr>
              <w:rPr>
                <w:color w:val="000000" w:themeColor="text1"/>
                <w:szCs w:val="16"/>
              </w:rPr>
            </w:pPr>
          </w:p>
        </w:tc>
        <w:tc>
          <w:tcPr>
            <w:tcW w:w="3840" w:type="pct"/>
          </w:tcPr>
          <w:p w:rsidR="005C419C" w:rsidRPr="003D7B07" w:rsidRDefault="005C419C" w:rsidP="00F66CA8">
            <w:pPr>
              <w:pStyle w:val="Textpoznpodarou"/>
              <w:jc w:val="both"/>
              <w:rPr>
                <w:color w:val="000000" w:themeColor="text1"/>
                <w:spacing w:val="-4"/>
              </w:rPr>
            </w:pPr>
            <w:r>
              <w:rPr>
                <w:color w:val="000000" w:themeColor="text1"/>
                <w:spacing w:val="-4"/>
              </w:rPr>
              <w:t>S problémy se naopak nadále potýkalo hutnictví a slévárenství, kde produkce fakticky pouze stagnovala (po 3% redukci v 1. až 3</w:t>
            </w:r>
            <w:r w:rsidR="005723B7">
              <w:rPr>
                <w:color w:val="000000" w:themeColor="text1"/>
                <w:spacing w:val="-4"/>
              </w:rPr>
              <w:t>. čtvrtletí</w:t>
            </w:r>
            <w:r>
              <w:rPr>
                <w:color w:val="000000" w:themeColor="text1"/>
                <w:spacing w:val="-4"/>
              </w:rPr>
              <w:t xml:space="preserve"> 2016). Pozitivní</w:t>
            </w:r>
            <w:r w:rsidR="00063AF0">
              <w:rPr>
                <w:color w:val="000000" w:themeColor="text1"/>
                <w:spacing w:val="-4"/>
              </w:rPr>
              <w:t>m</w:t>
            </w:r>
            <w:r>
              <w:rPr>
                <w:color w:val="000000" w:themeColor="text1"/>
                <w:spacing w:val="-4"/>
              </w:rPr>
              <w:t xml:space="preserve"> signálem může být oživení zakázek (ve 3</w:t>
            </w:r>
            <w:r w:rsidR="005723B7">
              <w:rPr>
                <w:color w:val="000000" w:themeColor="text1"/>
                <w:spacing w:val="-4"/>
              </w:rPr>
              <w:t>. čtvrtletí</w:t>
            </w:r>
            <w:r>
              <w:rPr>
                <w:color w:val="000000" w:themeColor="text1"/>
                <w:spacing w:val="-4"/>
              </w:rPr>
              <w:t xml:space="preserve"> meziročně o 16</w:t>
            </w:r>
            <w:r w:rsidR="005723B7">
              <w:rPr>
                <w:color w:val="000000" w:themeColor="text1"/>
                <w:spacing w:val="-4"/>
              </w:rPr>
              <w:t> %</w:t>
            </w:r>
            <w:r>
              <w:rPr>
                <w:color w:val="000000" w:themeColor="text1"/>
                <w:spacing w:val="-4"/>
              </w:rPr>
              <w:t>) i dynamický růst dovozu základních kovů. Jen slabý růst vykázal letos po loňské stagnaci potravinářský a ná</w:t>
            </w:r>
            <w:r w:rsidR="004C5111">
              <w:rPr>
                <w:color w:val="000000" w:themeColor="text1"/>
                <w:spacing w:val="-4"/>
              </w:rPr>
              <w:t>pojový průmysl (+2,4</w:t>
            </w:r>
            <w:r w:rsidR="005723B7">
              <w:rPr>
                <w:color w:val="000000" w:themeColor="text1"/>
                <w:spacing w:val="-4"/>
              </w:rPr>
              <w:t> %</w:t>
            </w:r>
            <w:r>
              <w:rPr>
                <w:color w:val="000000" w:themeColor="text1"/>
                <w:spacing w:val="-4"/>
              </w:rPr>
              <w:t xml:space="preserve">). Po krátkém oživení v letech 2015 a 2016 se opět snížila produkce v oděvním průmyslu, a to navzdory rostoucí domácí poptávce. Výrobci ostatních (hlavně kolejových) dopravních prostředků letos čelili nejhlubšímu poklesu produkce ze všech průmyslových </w:t>
            </w:r>
            <w:proofErr w:type="gramStart"/>
            <w:r>
              <w:rPr>
                <w:color w:val="000000" w:themeColor="text1"/>
                <w:spacing w:val="-4"/>
              </w:rPr>
              <w:t>odvětví (</w:t>
            </w:r>
            <w:r w:rsidR="00C408BB">
              <w:rPr>
                <w:color w:val="000000" w:themeColor="text1"/>
                <w:spacing w:val="-4"/>
              </w:rPr>
              <w:t>–</w:t>
            </w:r>
            <w:r>
              <w:rPr>
                <w:color w:val="000000" w:themeColor="text1"/>
                <w:spacing w:val="-4"/>
              </w:rPr>
              <w:t>12,0</w:t>
            </w:r>
            <w:proofErr w:type="gramEnd"/>
            <w:r w:rsidR="005723B7">
              <w:rPr>
                <w:color w:val="000000" w:themeColor="text1"/>
                <w:spacing w:val="-4"/>
              </w:rPr>
              <w:t> %</w:t>
            </w:r>
            <w:r>
              <w:rPr>
                <w:color w:val="000000" w:themeColor="text1"/>
                <w:spacing w:val="-4"/>
              </w:rPr>
              <w:t xml:space="preserve">). Vývoj v tomto odvětví je však </w:t>
            </w:r>
            <w:r>
              <w:rPr>
                <w:color w:val="000000" w:themeColor="text1"/>
                <w:spacing w:val="-4"/>
              </w:rPr>
              <w:lastRenderedPageBreak/>
              <w:t xml:space="preserve">tradičně vzhledem k charakteru zakázek značně </w:t>
            </w:r>
            <w:proofErr w:type="spellStart"/>
            <w:r>
              <w:rPr>
                <w:color w:val="000000" w:themeColor="text1"/>
                <w:spacing w:val="-4"/>
              </w:rPr>
              <w:t>volatilní</w:t>
            </w:r>
            <w:proofErr w:type="spellEnd"/>
            <w:r>
              <w:rPr>
                <w:rStyle w:val="Znakapoznpodarou"/>
                <w:color w:val="000000" w:themeColor="text1"/>
                <w:spacing w:val="-4"/>
              </w:rPr>
              <w:footnoteReference w:id="18"/>
            </w:r>
            <w:r>
              <w:rPr>
                <w:color w:val="000000" w:themeColor="text1"/>
                <w:spacing w:val="-4"/>
              </w:rPr>
              <w:t xml:space="preserve">. S velkými problémy se nadále potýkal těžební průmysl. Především vlivem řízeného útlumu těžby černého uhlí klesla za poslední dva roky produkce tohoto odvětví téměř </w:t>
            </w:r>
            <w:r w:rsidR="00C408BB">
              <w:rPr>
                <w:color w:val="000000" w:themeColor="text1"/>
                <w:spacing w:val="-4"/>
              </w:rPr>
              <w:t>o </w:t>
            </w:r>
            <w:r>
              <w:rPr>
                <w:color w:val="000000" w:themeColor="text1"/>
                <w:spacing w:val="-4"/>
              </w:rPr>
              <w:t>15</w:t>
            </w:r>
            <w:r w:rsidR="005723B7">
              <w:rPr>
                <w:color w:val="000000" w:themeColor="text1"/>
                <w:spacing w:val="-4"/>
              </w:rPr>
              <w:t> %</w:t>
            </w:r>
            <w:r>
              <w:rPr>
                <w:color w:val="000000" w:themeColor="text1"/>
                <w:spacing w:val="-4"/>
              </w:rPr>
              <w:t>, podobnou intenzitou docházelo také k úbytku pracovních míst</w:t>
            </w:r>
            <w:r>
              <w:rPr>
                <w:rStyle w:val="Znakapoznpodarou"/>
                <w:color w:val="000000" w:themeColor="text1"/>
                <w:spacing w:val="-4"/>
              </w:rPr>
              <w:footnoteReference w:id="19"/>
            </w:r>
            <w:r>
              <w:rPr>
                <w:color w:val="000000" w:themeColor="text1"/>
                <w:spacing w:val="-4"/>
              </w:rPr>
              <w:t xml:space="preserve">. </w:t>
            </w:r>
          </w:p>
        </w:tc>
      </w:tr>
    </w:tbl>
    <w:p w:rsidR="005C419C" w:rsidRPr="00C25BC2" w:rsidRDefault="005C419C" w:rsidP="005C419C">
      <w:pPr>
        <w:pStyle w:val="Textpoznpodarou"/>
        <w:jc w:val="both"/>
        <w:rPr>
          <w:sz w:val="14"/>
          <w:szCs w:val="14"/>
        </w:rPr>
      </w:pPr>
    </w:p>
    <w:tbl>
      <w:tblPr>
        <w:tblW w:w="4963" w:type="pct"/>
        <w:tblInd w:w="108" w:type="dxa"/>
        <w:tblLayout w:type="fixed"/>
        <w:tblLook w:val="00A0"/>
      </w:tblPr>
      <w:tblGrid>
        <w:gridCol w:w="1997"/>
        <w:gridCol w:w="284"/>
        <w:gridCol w:w="1121"/>
        <w:gridCol w:w="6379"/>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3" w:type="pct"/>
          </w:tcPr>
          <w:p w:rsidR="005C419C" w:rsidRPr="00540CB3" w:rsidRDefault="005C419C" w:rsidP="00F66CA8">
            <w:pPr>
              <w:pStyle w:val="Textpoznpodarou"/>
              <w:jc w:val="both"/>
              <w:rPr>
                <w:highlight w:val="yellow"/>
              </w:rPr>
            </w:pPr>
            <w:r w:rsidRPr="00540CB3">
              <w:rPr>
                <w:color w:val="000000"/>
              </w:rPr>
              <w:t>Graf č. 5</w:t>
            </w:r>
          </w:p>
        </w:tc>
        <w:tc>
          <w:tcPr>
            <w:tcW w:w="3261" w:type="pct"/>
          </w:tcPr>
          <w:p w:rsidR="005C419C" w:rsidRPr="003C6DB9" w:rsidRDefault="005C419C" w:rsidP="00F66CA8">
            <w:pPr>
              <w:pStyle w:val="Textpoznpodarou"/>
              <w:rPr>
                <w:b/>
              </w:rPr>
            </w:pPr>
            <w:r w:rsidRPr="001D04BA">
              <w:rPr>
                <w:b/>
              </w:rPr>
              <w:t>Produkce v průmyslu a</w:t>
            </w:r>
            <w:r>
              <w:rPr>
                <w:b/>
              </w:rPr>
              <w:t xml:space="preserve"> ve</w:t>
            </w:r>
            <w:r w:rsidRPr="001D04BA">
              <w:rPr>
                <w:b/>
              </w:rPr>
              <w:t xml:space="preserve"> vyb</w:t>
            </w:r>
            <w:r>
              <w:rPr>
                <w:b/>
              </w:rPr>
              <w:t xml:space="preserve">raných zpracovatelských odvětvích </w:t>
            </w:r>
            <w:r>
              <w:t>(reálně, očištěno o kalendářní vlivy,</w:t>
            </w:r>
            <w:r w:rsidRPr="001D04BA">
              <w:t xml:space="preserve"> </w:t>
            </w:r>
            <w:r>
              <w:t>meziročně</w:t>
            </w:r>
            <w:r w:rsidRPr="001D04BA">
              <w:t xml:space="preserve"> v</w:t>
            </w:r>
            <w:r w:rsidR="005723B7">
              <w:t> %</w:t>
            </w:r>
            <w:r w:rsidRPr="001D04BA">
              <w:t>)</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Pr="00A82C52" w:rsidRDefault="005C419C" w:rsidP="00F66CA8">
            <w:pPr>
              <w:pStyle w:val="Textpoznpodarou"/>
              <w:ind w:left="-124"/>
              <w:jc w:val="right"/>
              <w:rPr>
                <w:sz w:val="16"/>
                <w:szCs w:val="16"/>
              </w:rPr>
            </w:pPr>
            <w:r w:rsidRPr="00600714">
              <w:rPr>
                <w:noProof/>
                <w:sz w:val="14"/>
                <w:szCs w:val="14"/>
              </w:rPr>
              <w:drawing>
                <wp:inline distT="0" distB="0" distL="0" distR="0">
                  <wp:extent cx="4769902"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40CB3">
              <w:rPr>
                <w:sz w:val="14"/>
                <w:szCs w:val="14"/>
              </w:rPr>
              <w:t>Zdroj: ČSÚ</w:t>
            </w:r>
          </w:p>
        </w:tc>
      </w:tr>
    </w:tbl>
    <w:p w:rsidR="005C419C" w:rsidRPr="00C25BC2" w:rsidRDefault="005C419C" w:rsidP="005C419C">
      <w:pPr>
        <w:pStyle w:val="Textpoznpodarou"/>
        <w:jc w:val="both"/>
        <w:rPr>
          <w:sz w:val="14"/>
          <w:szCs w:val="14"/>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Pr="00754C03" w:rsidRDefault="005C419C" w:rsidP="00F66CA8">
            <w:pPr>
              <w:spacing w:line="240" w:lineRule="auto"/>
              <w:rPr>
                <w:color w:val="0D0D0D" w:themeColor="text1" w:themeTint="F2"/>
                <w:spacing w:val="-2"/>
                <w:sz w:val="16"/>
                <w:szCs w:val="16"/>
              </w:rPr>
            </w:pPr>
            <w:r w:rsidRPr="00754C03">
              <w:rPr>
                <w:color w:val="0D0D0D" w:themeColor="text1" w:themeTint="F2"/>
                <w:spacing w:val="-2"/>
                <w:sz w:val="16"/>
                <w:szCs w:val="16"/>
              </w:rPr>
              <w:t xml:space="preserve">Již druhé čtvrtletí v řadě rostly průmyslovým podnikům domácí tržby vyšším tempem než tržby z přímého vývozu. </w:t>
            </w:r>
          </w:p>
          <w:p w:rsidR="005C419C" w:rsidRPr="00754C03" w:rsidRDefault="005C419C" w:rsidP="00F66CA8">
            <w:pPr>
              <w:spacing w:line="240" w:lineRule="auto"/>
              <w:rPr>
                <w:color w:val="0D0D0D" w:themeColor="text1" w:themeTint="F2"/>
                <w:spacing w:val="-2"/>
                <w:sz w:val="16"/>
                <w:szCs w:val="16"/>
              </w:rPr>
            </w:pPr>
          </w:p>
          <w:p w:rsidR="005C419C"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r w:rsidRPr="00754C03">
              <w:rPr>
                <w:color w:val="0D0D0D" w:themeColor="text1" w:themeTint="F2"/>
                <w:spacing w:val="-2"/>
                <w:sz w:val="16"/>
                <w:szCs w:val="16"/>
              </w:rPr>
              <w:t xml:space="preserve">Růst objemu nových zakázek ve většině sledovaných průmyslových odvětví pokračoval. </w:t>
            </w:r>
          </w:p>
          <w:p w:rsidR="005C419C" w:rsidRDefault="005C419C" w:rsidP="00F66CA8">
            <w:pPr>
              <w:spacing w:line="240" w:lineRule="auto"/>
              <w:rPr>
                <w:color w:val="0D0D0D" w:themeColor="text1" w:themeTint="F2"/>
                <w:spacing w:val="-2"/>
                <w:sz w:val="16"/>
                <w:szCs w:val="16"/>
              </w:rPr>
            </w:pPr>
          </w:p>
          <w:p w:rsidR="005C419C" w:rsidRDefault="005C419C" w:rsidP="00F66CA8">
            <w:pPr>
              <w:spacing w:line="240" w:lineRule="auto"/>
              <w:rPr>
                <w:color w:val="0D0D0D" w:themeColor="text1" w:themeTint="F2"/>
                <w:spacing w:val="-2"/>
                <w:sz w:val="16"/>
                <w:szCs w:val="16"/>
              </w:rPr>
            </w:pPr>
          </w:p>
          <w:p w:rsidR="005C419C"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p>
          <w:p w:rsidR="005C419C" w:rsidRPr="00754C03" w:rsidRDefault="005C419C" w:rsidP="00F66CA8">
            <w:pPr>
              <w:spacing w:line="240" w:lineRule="auto"/>
              <w:rPr>
                <w:color w:val="0D0D0D" w:themeColor="text1" w:themeTint="F2"/>
                <w:spacing w:val="-2"/>
                <w:sz w:val="16"/>
                <w:szCs w:val="16"/>
              </w:rPr>
            </w:pPr>
            <w:r w:rsidRPr="00754C03">
              <w:rPr>
                <w:color w:val="0D0D0D" w:themeColor="text1" w:themeTint="F2"/>
                <w:sz w:val="16"/>
                <w:szCs w:val="16"/>
              </w:rPr>
              <w:t xml:space="preserve">Přetrvávala mírně pozitivní nálada podnikatelů v průmyslu. Hlavní bariérou růstu zůstává </w:t>
            </w:r>
            <w:r>
              <w:rPr>
                <w:color w:val="0D0D0D" w:themeColor="text1" w:themeTint="F2"/>
                <w:sz w:val="16"/>
                <w:szCs w:val="16"/>
              </w:rPr>
              <w:t xml:space="preserve">od </w:t>
            </w:r>
            <w:r w:rsidRPr="00754C03">
              <w:rPr>
                <w:color w:val="0D0D0D" w:themeColor="text1" w:themeTint="F2"/>
                <w:sz w:val="16"/>
                <w:szCs w:val="16"/>
              </w:rPr>
              <w:t>poloviny roku</w:t>
            </w:r>
            <w:r>
              <w:rPr>
                <w:color w:val="0D0D0D" w:themeColor="text1" w:themeTint="F2"/>
                <w:sz w:val="16"/>
                <w:szCs w:val="16"/>
              </w:rPr>
              <w:t xml:space="preserve"> 2017</w:t>
            </w:r>
            <w:r w:rsidRPr="00754C03">
              <w:rPr>
                <w:color w:val="0D0D0D" w:themeColor="text1" w:themeTint="F2"/>
                <w:sz w:val="16"/>
                <w:szCs w:val="16"/>
              </w:rPr>
              <w:t xml:space="preserve"> nedostatek pracovní síly.</w:t>
            </w:r>
          </w:p>
          <w:p w:rsidR="005C419C" w:rsidRPr="003E5346" w:rsidRDefault="005C419C" w:rsidP="00F66CA8">
            <w:pPr>
              <w:spacing w:line="240" w:lineRule="auto"/>
              <w:rPr>
                <w:spacing w:val="-2"/>
                <w:sz w:val="16"/>
                <w:szCs w:val="16"/>
              </w:rPr>
            </w:pPr>
          </w:p>
        </w:tc>
        <w:tc>
          <w:tcPr>
            <w:tcW w:w="144" w:type="pct"/>
          </w:tcPr>
          <w:p w:rsidR="005C419C" w:rsidRDefault="005C419C" w:rsidP="00F66CA8">
            <w:pPr>
              <w:pStyle w:val="Textpoznpodarou"/>
              <w:jc w:val="both"/>
            </w:pPr>
          </w:p>
        </w:tc>
        <w:tc>
          <w:tcPr>
            <w:tcW w:w="3840" w:type="pct"/>
          </w:tcPr>
          <w:p w:rsidR="005C419C" w:rsidRPr="00C25BC2" w:rsidRDefault="005C419C" w:rsidP="00F66CA8">
            <w:pPr>
              <w:pStyle w:val="Textpoznpodarou"/>
              <w:jc w:val="both"/>
              <w:rPr>
                <w:color w:val="000000" w:themeColor="text1"/>
                <w:spacing w:val="-4"/>
              </w:rPr>
            </w:pPr>
            <w:r>
              <w:rPr>
                <w:color w:val="000000" w:themeColor="text1"/>
                <w:spacing w:val="-4"/>
              </w:rPr>
              <w:t>Nominální tržby podniků z průmyslové činnosti vzrostly v 1. až 3</w:t>
            </w:r>
            <w:r w:rsidR="005723B7">
              <w:rPr>
                <w:color w:val="000000" w:themeColor="text1"/>
                <w:spacing w:val="-4"/>
              </w:rPr>
              <w:t>. čtvrtletí</w:t>
            </w:r>
            <w:r w:rsidR="007A18F5">
              <w:rPr>
                <w:color w:val="000000" w:themeColor="text1"/>
                <w:spacing w:val="-4"/>
              </w:rPr>
              <w:t xml:space="preserve"> meziročně o 7,6</w:t>
            </w:r>
            <w:r w:rsidR="005723B7">
              <w:rPr>
                <w:color w:val="000000" w:themeColor="text1"/>
                <w:spacing w:val="-4"/>
              </w:rPr>
              <w:t> %</w:t>
            </w:r>
            <w:r>
              <w:rPr>
                <w:color w:val="000000" w:themeColor="text1"/>
                <w:spacing w:val="-4"/>
              </w:rPr>
              <w:t>. Zvyšovaly se ve všech významnějších průmyslových odvětvích. Domácí tržby rostly ve 2. i 3</w:t>
            </w:r>
            <w:r w:rsidR="005723B7">
              <w:rPr>
                <w:color w:val="000000" w:themeColor="text1"/>
                <w:spacing w:val="-4"/>
              </w:rPr>
              <w:t>. čtvrtletí</w:t>
            </w:r>
            <w:r>
              <w:rPr>
                <w:color w:val="000000" w:themeColor="text1"/>
                <w:spacing w:val="-4"/>
              </w:rPr>
              <w:t xml:space="preserve"> vyšším tempem než tržby z přímého vývozu</w:t>
            </w:r>
            <w:r>
              <w:rPr>
                <w:rStyle w:val="Znakapoznpodarou"/>
                <w:color w:val="000000" w:themeColor="text1"/>
                <w:spacing w:val="-4"/>
              </w:rPr>
              <w:footnoteReference w:id="20"/>
            </w:r>
            <w:r>
              <w:rPr>
                <w:color w:val="000000" w:themeColor="text1"/>
                <w:spacing w:val="-4"/>
              </w:rPr>
              <w:t>. Souviselo to s oživením chemického průmyslu i energetiky, jejichž aktivity jsou více orientovány na tuzemský trh. Tempo růstu zaměstnanosti v průmyslu letos zvolnilo. Stavy pracovníků relativ</w:t>
            </w:r>
            <w:r w:rsidR="00F66CA8">
              <w:rPr>
                <w:color w:val="000000" w:themeColor="text1"/>
                <w:spacing w:val="-4"/>
              </w:rPr>
              <w:t xml:space="preserve">ně nejvíce navyšovaly podniky v </w:t>
            </w:r>
            <w:r>
              <w:rPr>
                <w:color w:val="000000" w:themeColor="text1"/>
                <w:spacing w:val="-4"/>
              </w:rPr>
              <w:t xml:space="preserve">automobilovém průmyslu a jeho </w:t>
            </w:r>
            <w:r w:rsidR="00F66CA8">
              <w:rPr>
                <w:color w:val="000000" w:themeColor="text1"/>
                <w:spacing w:val="-4"/>
              </w:rPr>
              <w:t xml:space="preserve">hlavních </w:t>
            </w:r>
            <w:r>
              <w:rPr>
                <w:color w:val="000000" w:themeColor="text1"/>
                <w:spacing w:val="-4"/>
              </w:rPr>
              <w:t xml:space="preserve">subdodavatelských odvětvích. Nové zakázky letos </w:t>
            </w:r>
            <w:r w:rsidR="005E0DBC">
              <w:rPr>
                <w:color w:val="000000" w:themeColor="text1"/>
                <w:spacing w:val="-4"/>
              </w:rPr>
              <w:t>(vyjma dubna)</w:t>
            </w:r>
            <w:r w:rsidR="004F1D62">
              <w:rPr>
                <w:color w:val="000000" w:themeColor="text1"/>
                <w:spacing w:val="-4"/>
              </w:rPr>
              <w:t xml:space="preserve"> </w:t>
            </w:r>
            <w:r>
              <w:rPr>
                <w:color w:val="000000" w:themeColor="text1"/>
                <w:spacing w:val="-4"/>
              </w:rPr>
              <w:t xml:space="preserve">rostly v </w:t>
            </w:r>
            <w:proofErr w:type="gramStart"/>
            <w:r>
              <w:rPr>
                <w:color w:val="000000" w:themeColor="text1"/>
                <w:spacing w:val="-4"/>
              </w:rPr>
              <w:t>průmyslu  nepřetržitě</w:t>
            </w:r>
            <w:proofErr w:type="gramEnd"/>
            <w:r>
              <w:rPr>
                <w:color w:val="000000" w:themeColor="text1"/>
                <w:spacing w:val="-4"/>
              </w:rPr>
              <w:t>, ve 3</w:t>
            </w:r>
            <w:r w:rsidR="005723B7">
              <w:rPr>
                <w:color w:val="000000" w:themeColor="text1"/>
                <w:spacing w:val="-4"/>
              </w:rPr>
              <w:t>. čtvrtletí</w:t>
            </w:r>
            <w:r>
              <w:rPr>
                <w:color w:val="000000" w:themeColor="text1"/>
                <w:spacing w:val="-4"/>
              </w:rPr>
              <w:t xml:space="preserve"> meziročně o 6,1</w:t>
            </w:r>
            <w:r w:rsidR="005723B7">
              <w:rPr>
                <w:color w:val="000000" w:themeColor="text1"/>
                <w:spacing w:val="-4"/>
              </w:rPr>
              <w:t> %</w:t>
            </w:r>
            <w:r>
              <w:rPr>
                <w:color w:val="000000" w:themeColor="text1"/>
                <w:spacing w:val="-4"/>
              </w:rPr>
              <w:t>. Zásoba práce se navyšovala ve všech dvanácti sledovaných odvětvích</w:t>
            </w:r>
            <w:r>
              <w:rPr>
                <w:rStyle w:val="Znakapoznpodarou"/>
                <w:spacing w:val="-4"/>
              </w:rPr>
              <w:footnoteReference w:id="21"/>
            </w:r>
            <w:r>
              <w:rPr>
                <w:color w:val="000000" w:themeColor="text1"/>
                <w:spacing w:val="-4"/>
              </w:rPr>
              <w:t xml:space="preserve"> kromě oděvnictví a výroby kolejových dopravních prostředků. </w:t>
            </w:r>
            <w:r w:rsidRPr="007419E7">
              <w:rPr>
                <w:color w:val="0D0D0D" w:themeColor="text1" w:themeTint="F2"/>
                <w:spacing w:val="-4"/>
              </w:rPr>
              <w:t>Nálada podnikatelů v</w:t>
            </w:r>
            <w:r w:rsidRPr="000B2BE9">
              <w:rPr>
                <w:color w:val="000000" w:themeColor="text1"/>
                <w:spacing w:val="-4"/>
              </w:rPr>
              <w:t> průmyslu (dle sezónně očištěného salda indikátoru důvěry)</w:t>
            </w:r>
            <w:r>
              <w:rPr>
                <w:color w:val="000000" w:themeColor="text1"/>
                <w:spacing w:val="-4"/>
              </w:rPr>
              <w:t xml:space="preserve"> v průběhu roku 2017 mírně kolísala,</w:t>
            </w:r>
            <w:r w:rsidRPr="000B2BE9">
              <w:rPr>
                <w:color w:val="000000" w:themeColor="text1"/>
                <w:spacing w:val="-4"/>
              </w:rPr>
              <w:t xml:space="preserve"> zůstávala </w:t>
            </w:r>
            <w:r>
              <w:rPr>
                <w:color w:val="000000" w:themeColor="text1"/>
                <w:spacing w:val="-4"/>
              </w:rPr>
              <w:t xml:space="preserve">však </w:t>
            </w:r>
            <w:r w:rsidRPr="000B2BE9">
              <w:rPr>
                <w:color w:val="000000" w:themeColor="text1"/>
                <w:spacing w:val="-4"/>
              </w:rPr>
              <w:t>nadále mírně pozitivní.</w:t>
            </w:r>
            <w:r>
              <w:rPr>
                <w:color w:val="000000" w:themeColor="text1"/>
                <w:spacing w:val="-4"/>
              </w:rPr>
              <w:t xml:space="preserve"> </w:t>
            </w:r>
            <w:r w:rsidRPr="000B2BE9">
              <w:rPr>
                <w:color w:val="000000" w:themeColor="text1"/>
                <w:spacing w:val="-4"/>
              </w:rPr>
              <w:t>Růst výrobní činnosti v příštích třech měsících oč</w:t>
            </w:r>
            <w:r>
              <w:rPr>
                <w:color w:val="000000" w:themeColor="text1"/>
                <w:spacing w:val="-4"/>
              </w:rPr>
              <w:t>ekávalo v průběhu října 27</w:t>
            </w:r>
            <w:r w:rsidR="005723B7">
              <w:rPr>
                <w:color w:val="000000" w:themeColor="text1"/>
                <w:spacing w:val="-4"/>
              </w:rPr>
              <w:t> %</w:t>
            </w:r>
            <w:r>
              <w:rPr>
                <w:color w:val="000000" w:themeColor="text1"/>
                <w:spacing w:val="-4"/>
              </w:rPr>
              <w:t xml:space="preserve"> průmyslových podniků (o rok dříve necelá pětina). Pozitivní posun zaznamenaly hlavně podniky v energetice a zpracovatelském průmyslu.</w:t>
            </w:r>
            <w:r w:rsidRPr="000B2BE9">
              <w:rPr>
                <w:color w:val="000000" w:themeColor="text1"/>
                <w:spacing w:val="-4"/>
              </w:rPr>
              <w:t xml:space="preserve"> </w:t>
            </w:r>
            <w:r>
              <w:rPr>
                <w:color w:val="000000" w:themeColor="text1"/>
                <w:spacing w:val="-4"/>
              </w:rPr>
              <w:t>Pětina podniků uvažovala</w:t>
            </w:r>
            <w:r w:rsidRPr="000B2BE9">
              <w:rPr>
                <w:color w:val="000000" w:themeColor="text1"/>
                <w:spacing w:val="-4"/>
              </w:rPr>
              <w:t xml:space="preserve"> ve stejném horizontu o navýšení zaměstnanosti</w:t>
            </w:r>
            <w:r>
              <w:rPr>
                <w:color w:val="000000" w:themeColor="text1"/>
                <w:spacing w:val="-4"/>
              </w:rPr>
              <w:t>. Výhledy signalizují stabilizaci v těžebním průmyslu – redukovat zaměstnanost zvažovalo 17</w:t>
            </w:r>
            <w:r w:rsidR="005723B7">
              <w:rPr>
                <w:color w:val="000000" w:themeColor="text1"/>
                <w:spacing w:val="-4"/>
              </w:rPr>
              <w:t> %</w:t>
            </w:r>
            <w:r>
              <w:rPr>
                <w:color w:val="000000" w:themeColor="text1"/>
                <w:spacing w:val="-4"/>
              </w:rPr>
              <w:t xml:space="preserve"> podniků, před rokem čtyři pětiny. Ve 3</w:t>
            </w:r>
            <w:r w:rsidR="005723B7">
              <w:rPr>
                <w:color w:val="000000" w:themeColor="text1"/>
                <w:spacing w:val="-4"/>
              </w:rPr>
              <w:t>. čtvrtletí</w:t>
            </w:r>
            <w:r>
              <w:rPr>
                <w:color w:val="000000" w:themeColor="text1"/>
                <w:spacing w:val="-4"/>
              </w:rPr>
              <w:t xml:space="preserve"> považovalo</w:t>
            </w:r>
            <w:r w:rsidRPr="000B2BE9">
              <w:rPr>
                <w:color w:val="000000" w:themeColor="text1"/>
                <w:spacing w:val="-4"/>
              </w:rPr>
              <w:t xml:space="preserve"> nedostatek p</w:t>
            </w:r>
            <w:r>
              <w:rPr>
                <w:color w:val="000000" w:themeColor="text1"/>
                <w:spacing w:val="-4"/>
              </w:rPr>
              <w:t>racovní síly za bariéru růstu</w:t>
            </w:r>
            <w:r w:rsidRPr="000B2BE9">
              <w:rPr>
                <w:color w:val="000000" w:themeColor="text1"/>
                <w:spacing w:val="-4"/>
              </w:rPr>
              <w:t xml:space="preserve"> rekordních 41</w:t>
            </w:r>
            <w:r w:rsidR="005723B7">
              <w:rPr>
                <w:color w:val="000000" w:themeColor="text1"/>
                <w:spacing w:val="-4"/>
              </w:rPr>
              <w:t> %</w:t>
            </w:r>
            <w:r>
              <w:rPr>
                <w:color w:val="000000" w:themeColor="text1"/>
                <w:spacing w:val="-4"/>
              </w:rPr>
              <w:t xml:space="preserve"> průmyslových podniků. </w:t>
            </w:r>
            <w:r w:rsidRPr="000B2BE9">
              <w:rPr>
                <w:color w:val="000000" w:themeColor="text1"/>
                <w:spacing w:val="-4"/>
              </w:rPr>
              <w:t>Pop</w:t>
            </w:r>
            <w:r>
              <w:rPr>
                <w:color w:val="000000" w:themeColor="text1"/>
                <w:spacing w:val="-4"/>
              </w:rPr>
              <w:t>rvé od 1</w:t>
            </w:r>
            <w:r w:rsidR="005723B7">
              <w:rPr>
                <w:color w:val="000000" w:themeColor="text1"/>
                <w:spacing w:val="-4"/>
              </w:rPr>
              <w:t>. čtvrtletí</w:t>
            </w:r>
            <w:r>
              <w:rPr>
                <w:color w:val="000000" w:themeColor="text1"/>
                <w:spacing w:val="-4"/>
              </w:rPr>
              <w:t xml:space="preserve"> 2008 byl tento faktor silnější než</w:t>
            </w:r>
            <w:r w:rsidRPr="000B2BE9">
              <w:rPr>
                <w:color w:val="000000" w:themeColor="text1"/>
                <w:spacing w:val="-4"/>
              </w:rPr>
              <w:t xml:space="preserve"> vliv nedostatečné poptávky</w:t>
            </w:r>
            <w:r>
              <w:rPr>
                <w:color w:val="000000" w:themeColor="text1"/>
                <w:spacing w:val="-4"/>
              </w:rPr>
              <w:t xml:space="preserve"> (40</w:t>
            </w:r>
            <w:r w:rsidR="005723B7">
              <w:rPr>
                <w:color w:val="000000" w:themeColor="text1"/>
                <w:spacing w:val="-4"/>
              </w:rPr>
              <w:t> %</w:t>
            </w:r>
            <w:r>
              <w:rPr>
                <w:color w:val="000000" w:themeColor="text1"/>
                <w:spacing w:val="-4"/>
              </w:rPr>
              <w:t>). To platilo i na počátku posledního čtvrtletí roku 2017. Vliv faktoru chybějící pracovní síly se však (dle sezónně očištěných údajů) o 3</w:t>
            </w:r>
            <w:r w:rsidR="00CE0849">
              <w:rPr>
                <w:color w:val="000000" w:themeColor="text1"/>
                <w:spacing w:val="-4"/>
              </w:rPr>
              <w:t> p. </w:t>
            </w:r>
            <w:proofErr w:type="spellStart"/>
            <w:r w:rsidR="00CE0849">
              <w:rPr>
                <w:color w:val="000000" w:themeColor="text1"/>
                <w:spacing w:val="-4"/>
              </w:rPr>
              <w:t>b</w:t>
            </w:r>
            <w:proofErr w:type="spellEnd"/>
            <w:r w:rsidR="00CE0849">
              <w:rPr>
                <w:color w:val="000000" w:themeColor="text1"/>
                <w:spacing w:val="-4"/>
              </w:rPr>
              <w:t>.</w:t>
            </w:r>
            <w:r>
              <w:rPr>
                <w:color w:val="000000" w:themeColor="text1"/>
                <w:spacing w:val="-4"/>
              </w:rPr>
              <w:t xml:space="preserve"> </w:t>
            </w:r>
            <w:proofErr w:type="gramStart"/>
            <w:r>
              <w:rPr>
                <w:color w:val="000000" w:themeColor="text1"/>
                <w:spacing w:val="-4"/>
              </w:rPr>
              <w:t>snížil</w:t>
            </w:r>
            <w:proofErr w:type="gramEnd"/>
            <w:r>
              <w:rPr>
                <w:color w:val="000000" w:themeColor="text1"/>
                <w:spacing w:val="-4"/>
              </w:rPr>
              <w:t>. Stalo se tak poprvé od konce roku 2014.</w:t>
            </w:r>
          </w:p>
        </w:tc>
      </w:tr>
    </w:tbl>
    <w:p w:rsidR="005C419C" w:rsidRPr="00C25BC2" w:rsidRDefault="005C419C" w:rsidP="005C419C">
      <w:pPr>
        <w:pStyle w:val="Textpoznpodarou"/>
        <w:jc w:val="both"/>
        <w:rPr>
          <w:sz w:val="4"/>
          <w:szCs w:val="4"/>
        </w:rPr>
      </w:pPr>
    </w:p>
    <w:tbl>
      <w:tblPr>
        <w:tblW w:w="4963" w:type="pct"/>
        <w:tblInd w:w="108" w:type="dxa"/>
        <w:tblLayout w:type="fixed"/>
        <w:tblLook w:val="00A0"/>
      </w:tblPr>
      <w:tblGrid>
        <w:gridCol w:w="1997"/>
        <w:gridCol w:w="284"/>
        <w:gridCol w:w="980"/>
        <w:gridCol w:w="6520"/>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01" w:type="pct"/>
          </w:tcPr>
          <w:p w:rsidR="005C419C" w:rsidRPr="00540CB3" w:rsidRDefault="005C419C" w:rsidP="00F66CA8">
            <w:pPr>
              <w:pStyle w:val="Textpoznpodarou"/>
              <w:jc w:val="both"/>
              <w:rPr>
                <w:spacing w:val="-4"/>
                <w:highlight w:val="yellow"/>
              </w:rPr>
            </w:pPr>
            <w:r w:rsidRPr="00540CB3">
              <w:rPr>
                <w:color w:val="000000"/>
                <w:spacing w:val="-4"/>
              </w:rPr>
              <w:t>Graf č. 6</w:t>
            </w:r>
          </w:p>
        </w:tc>
        <w:tc>
          <w:tcPr>
            <w:tcW w:w="3333" w:type="pct"/>
          </w:tcPr>
          <w:p w:rsidR="005C419C" w:rsidRPr="00540CB3" w:rsidRDefault="005C419C" w:rsidP="00F66CA8">
            <w:pPr>
              <w:pStyle w:val="Textpoznpodarou"/>
              <w:rPr>
                <w:b/>
                <w:spacing w:val="-2"/>
              </w:rPr>
            </w:pPr>
            <w:r w:rsidRPr="00540CB3">
              <w:rPr>
                <w:b/>
                <w:spacing w:val="-2"/>
              </w:rPr>
              <w:t xml:space="preserve">Nové zakázky v automobilovém průmyslu, v průmyslu celkem </w:t>
            </w:r>
          </w:p>
          <w:p w:rsidR="005C419C" w:rsidRPr="002B6B7A" w:rsidRDefault="005C419C" w:rsidP="00F66CA8">
            <w:pPr>
              <w:pStyle w:val="Textpoznpodarou"/>
              <w:rPr>
                <w:bCs/>
              </w:rPr>
            </w:pPr>
            <w:r>
              <w:rPr>
                <w:bCs/>
                <w:spacing w:val="-2"/>
              </w:rPr>
              <w:t>(v běž.</w:t>
            </w:r>
            <w:r w:rsidRPr="00540CB3">
              <w:rPr>
                <w:bCs/>
                <w:spacing w:val="-2"/>
              </w:rPr>
              <w:t xml:space="preserve"> </w:t>
            </w:r>
            <w:proofErr w:type="gramStart"/>
            <w:r w:rsidRPr="00540CB3">
              <w:rPr>
                <w:bCs/>
                <w:spacing w:val="-2"/>
              </w:rPr>
              <w:t>cenách</w:t>
            </w:r>
            <w:proofErr w:type="gramEnd"/>
            <w:r w:rsidRPr="00540CB3">
              <w:rPr>
                <w:bCs/>
                <w:spacing w:val="-2"/>
              </w:rPr>
              <w:t xml:space="preserve">, </w:t>
            </w:r>
            <w:r w:rsidRPr="00540CB3">
              <w:rPr>
                <w:spacing w:val="-2"/>
              </w:rPr>
              <w:t>meziročně</w:t>
            </w:r>
            <w:r w:rsidRPr="00540CB3">
              <w:rPr>
                <w:bCs/>
                <w:spacing w:val="-2"/>
              </w:rPr>
              <w:t xml:space="preserve"> v</w:t>
            </w:r>
            <w:r w:rsidR="005723B7">
              <w:rPr>
                <w:bCs/>
                <w:spacing w:val="-2"/>
              </w:rPr>
              <w:t> %</w:t>
            </w:r>
            <w:r w:rsidRPr="00540CB3">
              <w:rPr>
                <w:bCs/>
                <w:spacing w:val="-2"/>
              </w:rPr>
              <w:t xml:space="preserve">) </w:t>
            </w:r>
            <w:r w:rsidRPr="00540CB3">
              <w:rPr>
                <w:b/>
                <w:spacing w:val="-2"/>
              </w:rPr>
              <w:t>a saldo indikátoru důvěry v</w:t>
            </w:r>
            <w:r>
              <w:rPr>
                <w:b/>
                <w:spacing w:val="-2"/>
              </w:rPr>
              <w:t> </w:t>
            </w:r>
            <w:r w:rsidRPr="00540CB3">
              <w:rPr>
                <w:b/>
                <w:spacing w:val="-2"/>
              </w:rPr>
              <w:t>průmyslu</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Pr="00540CB3" w:rsidRDefault="005C419C" w:rsidP="00F66CA8">
            <w:pPr>
              <w:pStyle w:val="Textpoznpodarou"/>
              <w:ind w:left="-124"/>
              <w:jc w:val="right"/>
              <w:rPr>
                <w:sz w:val="16"/>
                <w:szCs w:val="16"/>
              </w:rPr>
            </w:pPr>
            <w:r w:rsidRPr="0042232F">
              <w:rPr>
                <w:noProof/>
                <w:sz w:val="14"/>
                <w:szCs w:val="14"/>
              </w:rPr>
              <w:drawing>
                <wp:inline distT="0" distB="0" distL="0" distR="0">
                  <wp:extent cx="4772801" cy="3553200"/>
                  <wp:effectExtent l="1905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2490D">
              <w:rPr>
                <w:sz w:val="14"/>
                <w:szCs w:val="14"/>
              </w:rPr>
              <w:t xml:space="preserve"> </w:t>
            </w:r>
            <w:r w:rsidRPr="00540CB3">
              <w:rPr>
                <w:sz w:val="14"/>
                <w:szCs w:val="14"/>
              </w:rPr>
              <w:t>Zdroj: ČSÚ</w:t>
            </w:r>
          </w:p>
        </w:tc>
      </w:tr>
    </w:tbl>
    <w:p w:rsidR="005C419C" w:rsidRDefault="005C419C" w:rsidP="005C419C">
      <w:pPr>
        <w:pStyle w:val="Textpoznpodarou"/>
        <w:jc w:val="both"/>
        <w:rPr>
          <w:sz w:val="14"/>
          <w:szCs w:val="14"/>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Default="005C419C" w:rsidP="00F66CA8">
            <w:pPr>
              <w:spacing w:line="240" w:lineRule="auto"/>
              <w:rPr>
                <w:spacing w:val="-2"/>
                <w:sz w:val="16"/>
                <w:szCs w:val="16"/>
              </w:rPr>
            </w:pPr>
            <w:r>
              <w:rPr>
                <w:spacing w:val="-2"/>
                <w:sz w:val="16"/>
                <w:szCs w:val="16"/>
              </w:rPr>
              <w:t>Oživení stavebnictví po výpadku mimořádných růstových faktorů pokračovalo v roce 2017 jen velmi pozvolna.</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r>
              <w:rPr>
                <w:spacing w:val="-2"/>
                <w:sz w:val="16"/>
                <w:szCs w:val="16"/>
              </w:rPr>
              <w:t xml:space="preserve">Počet zahájených bytů vzrostl meziročně o pětinu a dosáhl nejvyšší hodnoty za posledních osm let. </w:t>
            </w:r>
          </w:p>
          <w:p w:rsidR="005C419C" w:rsidRPr="00484B46" w:rsidRDefault="005C419C" w:rsidP="00F66CA8">
            <w:pPr>
              <w:spacing w:line="240" w:lineRule="auto"/>
              <w:rPr>
                <w:color w:val="0D0D0D" w:themeColor="text1" w:themeTint="F2"/>
                <w:spacing w:val="-2"/>
                <w:sz w:val="16"/>
                <w:szCs w:val="16"/>
              </w:rPr>
            </w:pPr>
          </w:p>
        </w:tc>
        <w:tc>
          <w:tcPr>
            <w:tcW w:w="144" w:type="pct"/>
          </w:tcPr>
          <w:p w:rsidR="005C419C" w:rsidRDefault="005C419C" w:rsidP="00F66CA8">
            <w:pPr>
              <w:pStyle w:val="Textpoznpodarou"/>
              <w:jc w:val="both"/>
            </w:pPr>
          </w:p>
        </w:tc>
        <w:tc>
          <w:tcPr>
            <w:tcW w:w="3840" w:type="pct"/>
          </w:tcPr>
          <w:p w:rsidR="005C419C" w:rsidRPr="00991173" w:rsidRDefault="005C419C" w:rsidP="00F66CA8">
            <w:pPr>
              <w:pStyle w:val="Textpoznpodarou"/>
              <w:jc w:val="both"/>
              <w:rPr>
                <w:color w:val="0D0D0D" w:themeColor="text1" w:themeTint="F2"/>
                <w:spacing w:val="-4"/>
              </w:rPr>
            </w:pPr>
            <w:r>
              <w:rPr>
                <w:color w:val="0D0D0D" w:themeColor="text1" w:themeTint="F2"/>
                <w:spacing w:val="-4"/>
              </w:rPr>
              <w:t>S</w:t>
            </w:r>
            <w:r w:rsidRPr="005E3339">
              <w:rPr>
                <w:color w:val="0D0D0D" w:themeColor="text1" w:themeTint="F2"/>
                <w:spacing w:val="-4"/>
              </w:rPr>
              <w:t>tavebnictví</w:t>
            </w:r>
            <w:r>
              <w:rPr>
                <w:color w:val="0D0D0D" w:themeColor="text1" w:themeTint="F2"/>
                <w:spacing w:val="-4"/>
              </w:rPr>
              <w:t xml:space="preserve"> se po loňském propadu</w:t>
            </w:r>
            <w:r w:rsidRPr="005E3339">
              <w:rPr>
                <w:color w:val="0D0D0D" w:themeColor="text1" w:themeTint="F2"/>
                <w:spacing w:val="-4"/>
              </w:rPr>
              <w:t xml:space="preserve"> způsobeném výpadkem mimořádných růstových faktorů</w:t>
            </w:r>
            <w:r>
              <w:rPr>
                <w:color w:val="0D0D0D" w:themeColor="text1" w:themeTint="F2"/>
                <w:spacing w:val="-4"/>
              </w:rPr>
              <w:t xml:space="preserve"> prozatím zotavuje jen pomalu. </w:t>
            </w:r>
            <w:proofErr w:type="spellStart"/>
            <w:r>
              <w:rPr>
                <w:color w:val="0D0D0D" w:themeColor="text1" w:themeTint="F2"/>
                <w:spacing w:val="-4"/>
              </w:rPr>
              <w:t>Mezikvartální</w:t>
            </w:r>
            <w:proofErr w:type="spellEnd"/>
            <w:r>
              <w:rPr>
                <w:color w:val="0D0D0D" w:themeColor="text1" w:themeTint="F2"/>
                <w:spacing w:val="-4"/>
              </w:rPr>
              <w:t xml:space="preserve"> růst </w:t>
            </w:r>
            <w:r>
              <w:rPr>
                <w:spacing w:val="-4"/>
              </w:rPr>
              <w:t>stavební produkce započatý ve druhé polovině roku 2016 byl ve 3</w:t>
            </w:r>
            <w:r w:rsidR="005723B7">
              <w:rPr>
                <w:spacing w:val="-4"/>
              </w:rPr>
              <w:t>. čtvrtletí</w:t>
            </w:r>
            <w:r>
              <w:rPr>
                <w:spacing w:val="-4"/>
              </w:rPr>
              <w:t xml:space="preserve"> 2017 </w:t>
            </w:r>
            <w:proofErr w:type="gramStart"/>
            <w:r>
              <w:rPr>
                <w:spacing w:val="-4"/>
              </w:rPr>
              <w:t>zastaven (</w:t>
            </w:r>
            <w:r w:rsidR="009829F1">
              <w:rPr>
                <w:spacing w:val="-4"/>
              </w:rPr>
              <w:t>–</w:t>
            </w:r>
            <w:r>
              <w:rPr>
                <w:spacing w:val="-4"/>
              </w:rPr>
              <w:t>3,2</w:t>
            </w:r>
            <w:proofErr w:type="gramEnd"/>
            <w:r w:rsidR="005723B7">
              <w:rPr>
                <w:spacing w:val="-4"/>
              </w:rPr>
              <w:t> %</w:t>
            </w:r>
            <w:r>
              <w:rPr>
                <w:spacing w:val="-4"/>
              </w:rPr>
              <w:t>). To se odrazilo i ve slabším meziročním tempu</w:t>
            </w:r>
            <w:r>
              <w:rPr>
                <w:rStyle w:val="Znakapoznpodarou"/>
                <w:spacing w:val="-4"/>
              </w:rPr>
              <w:footnoteReference w:id="22"/>
            </w:r>
            <w:r w:rsidR="00063AF0">
              <w:rPr>
                <w:spacing w:val="-4"/>
              </w:rPr>
              <w:t xml:space="preserve">, které </w:t>
            </w:r>
            <w:r>
              <w:rPr>
                <w:spacing w:val="-4"/>
              </w:rPr>
              <w:t>za tři letošní čtvrtletí činilo 2,3</w:t>
            </w:r>
            <w:r w:rsidR="005723B7">
              <w:rPr>
                <w:spacing w:val="-4"/>
              </w:rPr>
              <w:t> %</w:t>
            </w:r>
            <w:r>
              <w:rPr>
                <w:spacing w:val="-4"/>
              </w:rPr>
              <w:t>. Kladný výsledek letos dosáhlo stavebnictví jen vlivem váhově významnějšího pozemního stavitelství (+6,3</w:t>
            </w:r>
            <w:r w:rsidR="005723B7">
              <w:rPr>
                <w:spacing w:val="-4"/>
              </w:rPr>
              <w:t> %</w:t>
            </w:r>
            <w:r>
              <w:rPr>
                <w:spacing w:val="-4"/>
              </w:rPr>
              <w:t xml:space="preserve">), neboť nepříznivý vývoj inženýrského stavitelství vinou nízkého objemu veřejných investic stále </w:t>
            </w:r>
            <w:proofErr w:type="gramStart"/>
            <w:r>
              <w:rPr>
                <w:spacing w:val="-4"/>
              </w:rPr>
              <w:t>přetrvával (</w:t>
            </w:r>
            <w:r w:rsidR="009829F1">
              <w:rPr>
                <w:spacing w:val="-4"/>
              </w:rPr>
              <w:t>–</w:t>
            </w:r>
            <w:r>
              <w:rPr>
                <w:spacing w:val="-4"/>
              </w:rPr>
              <w:t>7,1</w:t>
            </w:r>
            <w:proofErr w:type="gramEnd"/>
            <w:r w:rsidR="005723B7">
              <w:rPr>
                <w:spacing w:val="-4"/>
              </w:rPr>
              <w:t> %</w:t>
            </w:r>
            <w:r>
              <w:rPr>
                <w:spacing w:val="-4"/>
              </w:rPr>
              <w:t xml:space="preserve">). </w:t>
            </w:r>
            <w:r w:rsidRPr="00720868">
              <w:rPr>
                <w:color w:val="0D0D0D" w:themeColor="text1" w:themeTint="F2"/>
                <w:spacing w:val="-4"/>
              </w:rPr>
              <w:t>Do výkonu pozemního stavite</w:t>
            </w:r>
            <w:r>
              <w:rPr>
                <w:color w:val="0D0D0D" w:themeColor="text1" w:themeTint="F2"/>
                <w:spacing w:val="-4"/>
              </w:rPr>
              <w:t>lství se od počátku roku promítá</w:t>
            </w:r>
            <w:r w:rsidRPr="00720868">
              <w:rPr>
                <w:color w:val="0D0D0D" w:themeColor="text1" w:themeTint="F2"/>
                <w:spacing w:val="-4"/>
              </w:rPr>
              <w:t xml:space="preserve"> oživení bytové výstavby</w:t>
            </w:r>
            <w:r>
              <w:rPr>
                <w:color w:val="0D0D0D" w:themeColor="text1" w:themeTint="F2"/>
                <w:spacing w:val="-4"/>
              </w:rPr>
              <w:t xml:space="preserve">. </w:t>
            </w:r>
            <w:r>
              <w:rPr>
                <w:spacing w:val="-4"/>
              </w:rPr>
              <w:t xml:space="preserve">Počet zahájených </w:t>
            </w:r>
            <w:r w:rsidR="000340BD">
              <w:rPr>
                <w:spacing w:val="-4"/>
              </w:rPr>
              <w:t>bytů (23,3</w:t>
            </w:r>
            <w:r>
              <w:rPr>
                <w:spacing w:val="-4"/>
              </w:rPr>
              <w:t xml:space="preserve"> tis.) stoupl meziročně o pětinu, a to především zásluhou intenzivnější výstavby rodinných domů. Více se stavělo i ve většině ostatních </w:t>
            </w:r>
            <w:r w:rsidRPr="006A7450">
              <w:rPr>
                <w:spacing w:val="-4"/>
              </w:rPr>
              <w:t>forem výstavby</w:t>
            </w:r>
            <w:r>
              <w:rPr>
                <w:spacing w:val="-4"/>
              </w:rPr>
              <w:t>,</w:t>
            </w:r>
            <w:r w:rsidRPr="006A7450">
              <w:rPr>
                <w:spacing w:val="-4"/>
              </w:rPr>
              <w:t xml:space="preserve"> vyjma bytů v nebytových budovách a také v domovech pro seniory</w:t>
            </w:r>
            <w:r w:rsidRPr="006A7450">
              <w:rPr>
                <w:rStyle w:val="Znakapoznpodarou"/>
                <w:spacing w:val="-4"/>
              </w:rPr>
              <w:footnoteReference w:id="23"/>
            </w:r>
            <w:r w:rsidRPr="006A7450">
              <w:rPr>
                <w:spacing w:val="-4"/>
              </w:rPr>
              <w:t>.</w:t>
            </w:r>
            <w:r>
              <w:rPr>
                <w:spacing w:val="-4"/>
              </w:rPr>
              <w:t xml:space="preserve"> </w:t>
            </w:r>
            <w:r w:rsidRPr="006A7450">
              <w:rPr>
                <w:color w:val="0D0D0D" w:themeColor="text1" w:themeTint="F2"/>
                <w:spacing w:val="-4"/>
              </w:rPr>
              <w:t>Přestože</w:t>
            </w:r>
            <w:r>
              <w:rPr>
                <w:color w:val="0D0D0D" w:themeColor="text1" w:themeTint="F2"/>
                <w:spacing w:val="-4"/>
              </w:rPr>
              <w:t xml:space="preserve"> </w:t>
            </w:r>
            <w:r>
              <w:rPr>
                <w:spacing w:val="-4"/>
              </w:rPr>
              <w:t>bytů v bytových domech bylo v 1. až 3</w:t>
            </w:r>
            <w:r w:rsidR="005723B7">
              <w:rPr>
                <w:spacing w:val="-4"/>
              </w:rPr>
              <w:t>. čtvrtletí</w:t>
            </w:r>
            <w:r>
              <w:rPr>
                <w:spacing w:val="-4"/>
              </w:rPr>
              <w:t xml:space="preserve"> zahájeno nejvíce za posledních osm let (5,2 tis.), nešlo stále ani o polovinu objemu ze stejného období dosud rekordního roku 2008. Na meziročně vyšším počtu všech zahájených bytů se nejvíce podílela Praha (+1,3 tis.). Alespoň mírné navýšení výstavby ale zaznamenala drtivá většina krajů. Přestože počet zahájených bytů byl v Praze v rámci prvních tří čtvrtletí roku třetí nejvyšší za posledních osm let, silné napětí na rezidenčním trhu</w:t>
            </w:r>
            <w:r w:rsidR="009829F1">
              <w:rPr>
                <w:spacing w:val="-4"/>
              </w:rPr>
              <w:t>,</w:t>
            </w:r>
            <w:r>
              <w:rPr>
                <w:spacing w:val="-4"/>
              </w:rPr>
              <w:t xml:space="preserve"> projevující se dynamickým růstem nabídkových i realizovaných cen nemovitostí</w:t>
            </w:r>
            <w:r w:rsidR="009829F1">
              <w:rPr>
                <w:spacing w:val="-4"/>
              </w:rPr>
              <w:t>,</w:t>
            </w:r>
            <w:r>
              <w:rPr>
                <w:spacing w:val="-4"/>
              </w:rPr>
              <w:t xml:space="preserve"> zatím příliš neovlivnil.</w:t>
            </w:r>
          </w:p>
          <w:p w:rsidR="005C419C" w:rsidRPr="005E3339" w:rsidRDefault="005C419C" w:rsidP="00F66CA8">
            <w:pPr>
              <w:pStyle w:val="Textpoznpodarou"/>
              <w:jc w:val="both"/>
              <w:rPr>
                <w:color w:val="0D0D0D" w:themeColor="text1" w:themeTint="F2"/>
                <w:spacing w:val="-4"/>
                <w:sz w:val="15"/>
                <w:szCs w:val="15"/>
              </w:rPr>
            </w:pPr>
          </w:p>
        </w:tc>
      </w:tr>
      <w:tr w:rsidR="005C419C" w:rsidRPr="00A74192" w:rsidTr="00F66CA8">
        <w:trPr>
          <w:trHeight w:val="145"/>
        </w:trPr>
        <w:tc>
          <w:tcPr>
            <w:tcW w:w="1016" w:type="pct"/>
            <w:shd w:val="clear" w:color="auto" w:fill="auto"/>
          </w:tcPr>
          <w:p w:rsidR="005C419C" w:rsidRDefault="005C419C" w:rsidP="00F66CA8">
            <w:pPr>
              <w:spacing w:line="240" w:lineRule="auto"/>
              <w:rPr>
                <w:spacing w:val="-2"/>
                <w:sz w:val="16"/>
                <w:szCs w:val="16"/>
              </w:rPr>
            </w:pPr>
            <w:r>
              <w:rPr>
                <w:spacing w:val="-2"/>
                <w:sz w:val="16"/>
                <w:szCs w:val="16"/>
              </w:rPr>
              <w:t>Nové stavební zakázky zatím nepředstavovaly pro celé stavebnictví výrazný růstový impul</w:t>
            </w:r>
            <w:r w:rsidR="009829F1">
              <w:rPr>
                <w:spacing w:val="-2"/>
                <w:sz w:val="16"/>
                <w:szCs w:val="16"/>
              </w:rPr>
              <w:t>z</w:t>
            </w:r>
            <w:r>
              <w:rPr>
                <w:spacing w:val="-2"/>
                <w:sz w:val="16"/>
                <w:szCs w:val="16"/>
              </w:rPr>
              <w:t>. Prosazují se především menší či střední projekty.</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color w:val="0D0D0D" w:themeColor="text1" w:themeTint="F2"/>
                <w:spacing w:val="-4"/>
                <w:sz w:val="16"/>
                <w:szCs w:val="16"/>
              </w:rPr>
            </w:pPr>
            <w:r>
              <w:rPr>
                <w:color w:val="0D0D0D" w:themeColor="text1" w:themeTint="F2"/>
                <w:spacing w:val="-4"/>
                <w:sz w:val="16"/>
                <w:szCs w:val="16"/>
              </w:rPr>
              <w:lastRenderedPageBreak/>
              <w:t>Důvěra podnikatelů ve stavebnictví se od konce roku 2016 mírně zvyšovala, stále však setrvávala v negativním pásmu.</w:t>
            </w: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p>
          <w:p w:rsidR="005C419C" w:rsidRDefault="005C419C" w:rsidP="00F66CA8">
            <w:pPr>
              <w:spacing w:line="240" w:lineRule="auto"/>
              <w:rPr>
                <w:color w:val="0D0D0D" w:themeColor="text1" w:themeTint="F2"/>
                <w:spacing w:val="-4"/>
                <w:sz w:val="16"/>
                <w:szCs w:val="16"/>
              </w:rPr>
            </w:pPr>
            <w:r>
              <w:rPr>
                <w:color w:val="0D0D0D" w:themeColor="text1" w:themeTint="F2"/>
                <w:spacing w:val="-4"/>
                <w:sz w:val="16"/>
                <w:szCs w:val="16"/>
              </w:rPr>
              <w:t>Nejvýznamnější bariérou růstu stavebních podniků nadále i přes dílčí zlepšení zůstává nedostatečná poptávka.</w:t>
            </w:r>
          </w:p>
          <w:p w:rsidR="005C419C" w:rsidRPr="003E5346" w:rsidRDefault="005C419C" w:rsidP="00F66CA8">
            <w:pPr>
              <w:spacing w:line="240" w:lineRule="auto"/>
              <w:rPr>
                <w:spacing w:val="-2"/>
                <w:sz w:val="16"/>
                <w:szCs w:val="16"/>
              </w:rPr>
            </w:pPr>
          </w:p>
        </w:tc>
        <w:tc>
          <w:tcPr>
            <w:tcW w:w="144" w:type="pct"/>
          </w:tcPr>
          <w:p w:rsidR="005C419C" w:rsidRDefault="005C419C" w:rsidP="00F66CA8">
            <w:pPr>
              <w:pStyle w:val="Textpoznpodarou"/>
              <w:jc w:val="both"/>
            </w:pPr>
          </w:p>
        </w:tc>
        <w:tc>
          <w:tcPr>
            <w:tcW w:w="3840" w:type="pct"/>
          </w:tcPr>
          <w:p w:rsidR="005C419C" w:rsidRPr="00DB5F6D" w:rsidRDefault="005C419C" w:rsidP="00F66CA8">
            <w:pPr>
              <w:pStyle w:val="Textpoznpodarou"/>
              <w:jc w:val="both"/>
              <w:rPr>
                <w:spacing w:val="-4"/>
              </w:rPr>
            </w:pPr>
            <w:r>
              <w:rPr>
                <w:spacing w:val="-4"/>
              </w:rPr>
              <w:t>Přestože růst celkové hodnoty nových stavebních zakázek v tuzemsku</w:t>
            </w:r>
            <w:r>
              <w:rPr>
                <w:rStyle w:val="Znakapoznpodarou"/>
                <w:spacing w:val="-4"/>
              </w:rPr>
              <w:footnoteReference w:id="24"/>
            </w:r>
            <w:r>
              <w:rPr>
                <w:spacing w:val="-4"/>
              </w:rPr>
              <w:t xml:space="preserve"> se navyšoval již čtvrté čtvrtletí v řadě, nejednalo se dosud o zásadní impul</w:t>
            </w:r>
            <w:r w:rsidR="009829F1">
              <w:rPr>
                <w:spacing w:val="-4"/>
              </w:rPr>
              <w:t>z</w:t>
            </w:r>
            <w:r>
              <w:rPr>
                <w:spacing w:val="-4"/>
              </w:rPr>
              <w:t xml:space="preserve"> pro celé odvětví. Za první tři čtvrtletí stouply nové objednávky o 8</w:t>
            </w:r>
            <w:r w:rsidR="005723B7">
              <w:rPr>
                <w:spacing w:val="-4"/>
              </w:rPr>
              <w:t> %</w:t>
            </w:r>
            <w:r>
              <w:rPr>
                <w:spacing w:val="-4"/>
              </w:rPr>
              <w:t>, v samotném 3</w:t>
            </w:r>
            <w:r w:rsidR="005723B7">
              <w:rPr>
                <w:spacing w:val="-4"/>
              </w:rPr>
              <w:t>. čtvrtletí</w:t>
            </w:r>
            <w:r>
              <w:rPr>
                <w:spacing w:val="-4"/>
              </w:rPr>
              <w:t xml:space="preserve"> se však meziroční přírůstek „uskromnil“ na 1,1</w:t>
            </w:r>
            <w:r w:rsidR="005723B7">
              <w:rPr>
                <w:spacing w:val="-4"/>
              </w:rPr>
              <w:t> %</w:t>
            </w:r>
            <w:r>
              <w:rPr>
                <w:spacing w:val="-4"/>
              </w:rPr>
              <w:t xml:space="preserve"> (v</w:t>
            </w:r>
            <w:r w:rsidR="009829F1">
              <w:rPr>
                <w:spacing w:val="-4"/>
              </w:rPr>
              <w:t> </w:t>
            </w:r>
            <w:r>
              <w:rPr>
                <w:spacing w:val="-4"/>
              </w:rPr>
              <w:t>inženýrském stavitelství i proti nízké základně předchozího roku dokonce o 5</w:t>
            </w:r>
            <w:r w:rsidR="005723B7">
              <w:rPr>
                <w:spacing w:val="-4"/>
              </w:rPr>
              <w:t> %</w:t>
            </w:r>
            <w:r>
              <w:rPr>
                <w:spacing w:val="-4"/>
              </w:rPr>
              <w:t xml:space="preserve"> poklesl). Průměrná hodnota nové zakázky se v posledních dvou letech významně nemění (ve 3</w:t>
            </w:r>
            <w:r w:rsidR="005723B7">
              <w:rPr>
                <w:spacing w:val="-4"/>
              </w:rPr>
              <w:t>. čtvrtletí</w:t>
            </w:r>
            <w:r>
              <w:rPr>
                <w:spacing w:val="-4"/>
              </w:rPr>
              <w:t xml:space="preserve"> 2017 dosahovala 3,2 mil. korun). Ve stavebnictví se tak ve větší míře prosazují menší projekty vyžadující méně náročnou přípravu vč. schvalovacího procesu. Celková zásoba práce (zahrnující všechny dosud nerealizované zakázky) čítala na konci 3</w:t>
            </w:r>
            <w:r w:rsidR="005723B7">
              <w:rPr>
                <w:spacing w:val="-4"/>
              </w:rPr>
              <w:t>. čtvrtletí</w:t>
            </w:r>
            <w:r>
              <w:rPr>
                <w:spacing w:val="-4"/>
              </w:rPr>
              <w:t xml:space="preserve"> 138</w:t>
            </w:r>
            <w:r w:rsidR="006D164C">
              <w:rPr>
                <w:spacing w:val="-4"/>
              </w:rPr>
              <w:t> mld.</w:t>
            </w:r>
            <w:r>
              <w:rPr>
                <w:spacing w:val="-4"/>
              </w:rPr>
              <w:t xml:space="preserve"> korun. Polovinu z toho tvořily veřejné zakázky v</w:t>
            </w:r>
            <w:r w:rsidR="009829F1">
              <w:rPr>
                <w:spacing w:val="-4"/>
              </w:rPr>
              <w:t> </w:t>
            </w:r>
            <w:r>
              <w:rPr>
                <w:spacing w:val="-4"/>
              </w:rPr>
              <w:t>ČR, necelých 36</w:t>
            </w:r>
            <w:r w:rsidR="005723B7">
              <w:rPr>
                <w:spacing w:val="-4"/>
              </w:rPr>
              <w:t> %</w:t>
            </w:r>
            <w:r>
              <w:rPr>
                <w:spacing w:val="-4"/>
              </w:rPr>
              <w:t xml:space="preserve"> soukromé tuzemské zakázky a zbytek práce v zahraničí. V meziročním srovnání nedošlo k významnějším pohybům, pouze zakázek mimo ČR o desetinu ubylo (stavební </w:t>
            </w:r>
            <w:r>
              <w:rPr>
                <w:spacing w:val="-4"/>
              </w:rPr>
              <w:lastRenderedPageBreak/>
              <w:t xml:space="preserve">podniky jich měly v zásobě nejméně za posledních pět let). O lepších perspektivách stavebnictví v ČR vypovídá </w:t>
            </w:r>
            <w:r w:rsidRPr="009770BA">
              <w:rPr>
                <w:color w:val="0D0D0D" w:themeColor="text1" w:themeTint="F2"/>
                <w:spacing w:val="-4"/>
              </w:rPr>
              <w:t>orientační hodnota vydaných</w:t>
            </w:r>
            <w:r w:rsidRPr="00143F22">
              <w:rPr>
                <w:spacing w:val="-4"/>
              </w:rPr>
              <w:t xml:space="preserve"> stavebních povolení</w:t>
            </w:r>
            <w:r>
              <w:rPr>
                <w:spacing w:val="-4"/>
              </w:rPr>
              <w:t>. Ta vzrostla ve 3</w:t>
            </w:r>
            <w:r w:rsidR="005723B7">
              <w:rPr>
                <w:spacing w:val="-4"/>
              </w:rPr>
              <w:t>. čtvrtletí</w:t>
            </w:r>
            <w:r>
              <w:rPr>
                <w:spacing w:val="-4"/>
              </w:rPr>
              <w:t xml:space="preserve"> meziročně o 41</w:t>
            </w:r>
            <w:r w:rsidR="005723B7">
              <w:rPr>
                <w:spacing w:val="-4"/>
              </w:rPr>
              <w:t> %</w:t>
            </w:r>
            <w:r>
              <w:rPr>
                <w:spacing w:val="-4"/>
              </w:rPr>
              <w:t xml:space="preserve">, a to především zásluhou kategorie </w:t>
            </w:r>
            <w:r w:rsidRPr="00894F0C">
              <w:rPr>
                <w:spacing w:val="-4"/>
              </w:rPr>
              <w:t>změny dokončených staveb</w:t>
            </w:r>
            <w:r>
              <w:rPr>
                <w:spacing w:val="-4"/>
              </w:rPr>
              <w:t xml:space="preserve">. </w:t>
            </w:r>
            <w:r w:rsidRPr="00D163CC">
              <w:rPr>
                <w:color w:val="000000" w:themeColor="text1"/>
                <w:spacing w:val="-4"/>
              </w:rPr>
              <w:t xml:space="preserve">Sezónně očištěné </w:t>
            </w:r>
            <w:r w:rsidRPr="004315D0">
              <w:rPr>
                <w:color w:val="0D0D0D" w:themeColor="text1" w:themeTint="F2"/>
                <w:spacing w:val="-4"/>
              </w:rPr>
              <w:t>saldo důvěry podnikatelů ve</w:t>
            </w:r>
            <w:r w:rsidRPr="00CD12E2">
              <w:rPr>
                <w:color w:val="000000" w:themeColor="text1"/>
                <w:spacing w:val="-4"/>
              </w:rPr>
              <w:t xml:space="preserve"> stavebnictví</w:t>
            </w:r>
            <w:r>
              <w:rPr>
                <w:color w:val="000000" w:themeColor="text1"/>
                <w:spacing w:val="-4"/>
              </w:rPr>
              <w:t xml:space="preserve"> se od počátku roku mírně zlepšovalo a v září dosáhlo nejlepšího výsledku od února 2016, kdy ještě dozníval mimořádný vliv dočerpávání evropských fondů na infrastrukturní projekty. I nadále však saldo zůstávalo v negativním pásmu. Podíl stavebních podniků očekávajících v příštích třech měsících zvýšení stavební činnosti, resp</w:t>
            </w:r>
            <w:r w:rsidR="00500ADA">
              <w:rPr>
                <w:color w:val="000000" w:themeColor="text1"/>
                <w:spacing w:val="-4"/>
              </w:rPr>
              <w:t>ektive</w:t>
            </w:r>
            <w:r>
              <w:rPr>
                <w:color w:val="000000" w:themeColor="text1"/>
                <w:spacing w:val="-4"/>
              </w:rPr>
              <w:t xml:space="preserve"> růst zaměstnanosti se dle říjnových údajů meziročně snížil. Na druhou stranu posílila váha podniků, které očekávaly v těchto oblastech stabilizaci (na 71</w:t>
            </w:r>
            <w:r w:rsidR="005723B7">
              <w:rPr>
                <w:color w:val="000000" w:themeColor="text1"/>
                <w:spacing w:val="-4"/>
              </w:rPr>
              <w:t> %</w:t>
            </w:r>
            <w:r>
              <w:rPr>
                <w:color w:val="000000" w:themeColor="text1"/>
                <w:spacing w:val="-4"/>
              </w:rPr>
              <w:t>, resp. 77</w:t>
            </w:r>
            <w:r w:rsidR="005723B7">
              <w:rPr>
                <w:color w:val="000000" w:themeColor="text1"/>
                <w:spacing w:val="-4"/>
              </w:rPr>
              <w:t> %</w:t>
            </w:r>
            <w:r>
              <w:rPr>
                <w:color w:val="000000" w:themeColor="text1"/>
                <w:spacing w:val="-4"/>
              </w:rPr>
              <w:t>). V očekávání zaměstnanosti signalizovaly mírně příznivější výhledy malé a střední podniky. Žádné bariéry růstu indikoval v říjnu (dle sezónně očištěných údajů) jen každý osmý stavební podnik. Polovinu podniků naopak sužovala nedostatečná poptávka (o rok dříve 60</w:t>
            </w:r>
            <w:r w:rsidR="005723B7">
              <w:rPr>
                <w:color w:val="000000" w:themeColor="text1"/>
                <w:spacing w:val="-4"/>
              </w:rPr>
              <w:t> %</w:t>
            </w:r>
            <w:r>
              <w:rPr>
                <w:color w:val="000000" w:themeColor="text1"/>
                <w:spacing w:val="-4"/>
              </w:rPr>
              <w:t>). Faktor nedostatku zaměstnanců byl zmiňován ve 22</w:t>
            </w:r>
            <w:r w:rsidR="005723B7">
              <w:rPr>
                <w:color w:val="000000" w:themeColor="text1"/>
                <w:spacing w:val="-4"/>
              </w:rPr>
              <w:t> %</w:t>
            </w:r>
            <w:r>
              <w:rPr>
                <w:color w:val="000000" w:themeColor="text1"/>
                <w:spacing w:val="-4"/>
              </w:rPr>
              <w:t>, třikrát častěji než před rokem, od srpna 2017 však jeho váha již nenarůstala.</w:t>
            </w:r>
          </w:p>
        </w:tc>
      </w:tr>
    </w:tbl>
    <w:p w:rsidR="005C419C" w:rsidRPr="00A61C04" w:rsidRDefault="005C419C" w:rsidP="005C419C">
      <w:pPr>
        <w:pStyle w:val="Textpoznpodarou"/>
        <w:jc w:val="both"/>
        <w:rPr>
          <w:sz w:val="15"/>
          <w:szCs w:val="15"/>
        </w:rPr>
      </w:pPr>
    </w:p>
    <w:tbl>
      <w:tblPr>
        <w:tblW w:w="4963" w:type="pct"/>
        <w:tblInd w:w="108" w:type="dxa"/>
        <w:tblLayout w:type="fixed"/>
        <w:tblLook w:val="00A0"/>
      </w:tblPr>
      <w:tblGrid>
        <w:gridCol w:w="1997"/>
        <w:gridCol w:w="284"/>
        <w:gridCol w:w="1119"/>
        <w:gridCol w:w="6381"/>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2" w:type="pct"/>
          </w:tcPr>
          <w:p w:rsidR="005C419C" w:rsidRPr="00AA4A76" w:rsidRDefault="005C419C" w:rsidP="00F66CA8">
            <w:pPr>
              <w:pStyle w:val="Textpoznpodarou"/>
              <w:jc w:val="both"/>
              <w:rPr>
                <w:highlight w:val="yellow"/>
              </w:rPr>
            </w:pPr>
            <w:r>
              <w:rPr>
                <w:color w:val="000000"/>
              </w:rPr>
              <w:t>Graf č. 7</w:t>
            </w:r>
          </w:p>
        </w:tc>
        <w:tc>
          <w:tcPr>
            <w:tcW w:w="3262" w:type="pct"/>
          </w:tcPr>
          <w:p w:rsidR="005C419C" w:rsidRDefault="005C419C" w:rsidP="00F66CA8">
            <w:pPr>
              <w:pStyle w:val="Textpoznpodarou"/>
              <w:rPr>
                <w:bCs/>
              </w:rPr>
            </w:pPr>
            <w:r>
              <w:rPr>
                <w:b/>
              </w:rPr>
              <w:t xml:space="preserve">Stavební produkce*, hodnota nových zakázek </w:t>
            </w:r>
            <w:r>
              <w:rPr>
                <w:bCs/>
              </w:rPr>
              <w:t>(</w:t>
            </w:r>
            <w:r w:rsidRPr="00540CB3">
              <w:rPr>
                <w:spacing w:val="-2"/>
              </w:rPr>
              <w:t>meziročně</w:t>
            </w:r>
            <w:r w:rsidRPr="00540CB3">
              <w:rPr>
                <w:bCs/>
                <w:spacing w:val="-2"/>
              </w:rPr>
              <w:t xml:space="preserve"> v</w:t>
            </w:r>
            <w:r w:rsidR="005723B7">
              <w:rPr>
                <w:bCs/>
                <w:spacing w:val="-2"/>
              </w:rPr>
              <w:t> %</w:t>
            </w:r>
            <w:r w:rsidRPr="00540CB3">
              <w:rPr>
                <w:bCs/>
                <w:spacing w:val="-2"/>
              </w:rPr>
              <w:t>)</w:t>
            </w:r>
            <w:r>
              <w:rPr>
                <w:bCs/>
              </w:rPr>
              <w:t xml:space="preserve"> </w:t>
            </w:r>
          </w:p>
          <w:p w:rsidR="005C419C" w:rsidRPr="00886A8F" w:rsidRDefault="005C419C" w:rsidP="00F66CA8">
            <w:pPr>
              <w:pStyle w:val="Textpoznpodarou"/>
              <w:rPr>
                <w:spacing w:val="-2"/>
                <w:lang w:eastAsia="en-US"/>
              </w:rPr>
            </w:pPr>
            <w:r w:rsidRPr="006B4FFB">
              <w:rPr>
                <w:b/>
              </w:rPr>
              <w:t>a</w:t>
            </w:r>
            <w:r>
              <w:rPr>
                <w:b/>
              </w:rPr>
              <w:t xml:space="preserve"> saldo indikátoru důvěry ve stavebnictví</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3" w:type="pct"/>
            <w:gridSpan w:val="2"/>
          </w:tcPr>
          <w:p w:rsidR="005C419C" w:rsidRPr="00AA4A76" w:rsidRDefault="005C419C" w:rsidP="00F66CA8">
            <w:pPr>
              <w:pStyle w:val="Textpoznpodarou"/>
              <w:ind w:left="-124"/>
              <w:rPr>
                <w:sz w:val="18"/>
                <w:szCs w:val="18"/>
              </w:rPr>
            </w:pPr>
            <w:r w:rsidRPr="00C5034D">
              <w:rPr>
                <w:rFonts w:cs="Arial"/>
                <w:noProof/>
                <w:sz w:val="14"/>
                <w:szCs w:val="14"/>
              </w:rPr>
              <w:drawing>
                <wp:inline distT="0" distB="0" distL="0" distR="0">
                  <wp:extent cx="4748893" cy="3408218"/>
                  <wp:effectExtent l="1905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6493D">
              <w:rPr>
                <w:rFonts w:cs="Arial"/>
                <w:sz w:val="14"/>
                <w:szCs w:val="14"/>
              </w:rPr>
              <w:t xml:space="preserve"> </w:t>
            </w:r>
            <w:r>
              <w:rPr>
                <w:rFonts w:cs="Arial"/>
                <w:sz w:val="14"/>
                <w:szCs w:val="14"/>
              </w:rPr>
              <w:t>*O</w:t>
            </w:r>
            <w:r w:rsidRPr="00540CB3">
              <w:rPr>
                <w:rFonts w:cs="Arial"/>
                <w:sz w:val="14"/>
                <w:szCs w:val="14"/>
              </w:rPr>
              <w:t xml:space="preserve">čištěno od vlivu počtu pracovních </w:t>
            </w:r>
            <w:r>
              <w:rPr>
                <w:rFonts w:cs="Arial"/>
                <w:sz w:val="14"/>
                <w:szCs w:val="14"/>
              </w:rPr>
              <w:t>dnů.</w:t>
            </w:r>
            <w:r w:rsidRPr="00540CB3">
              <w:rPr>
                <w:rFonts w:cs="Arial"/>
                <w:sz w:val="14"/>
                <w:szCs w:val="14"/>
              </w:rPr>
              <w:t xml:space="preserve">                                                           </w:t>
            </w:r>
            <w:r>
              <w:rPr>
                <w:rFonts w:cs="Arial"/>
                <w:sz w:val="14"/>
                <w:szCs w:val="14"/>
              </w:rPr>
              <w:t xml:space="preserve">                                         </w:t>
            </w:r>
            <w:r w:rsidRPr="00540CB3">
              <w:rPr>
                <w:rFonts w:cs="Arial"/>
                <w:sz w:val="14"/>
                <w:szCs w:val="14"/>
              </w:rPr>
              <w:t xml:space="preserve">      </w:t>
            </w:r>
            <w:r w:rsidRPr="00540CB3">
              <w:rPr>
                <w:sz w:val="14"/>
                <w:szCs w:val="14"/>
              </w:rPr>
              <w:t>Zdroj: ČSÚ</w:t>
            </w:r>
          </w:p>
        </w:tc>
      </w:tr>
    </w:tbl>
    <w:p w:rsidR="005C419C" w:rsidRDefault="005C419C" w:rsidP="005C419C">
      <w:pPr>
        <w:pStyle w:val="Textpoznpodarou"/>
        <w:jc w:val="both"/>
        <w:rPr>
          <w:sz w:val="14"/>
          <w:szCs w:val="14"/>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Pr="003E5346" w:rsidRDefault="005C419C" w:rsidP="00F66CA8">
            <w:pPr>
              <w:spacing w:line="240" w:lineRule="auto"/>
              <w:rPr>
                <w:spacing w:val="-2"/>
                <w:sz w:val="16"/>
                <w:szCs w:val="16"/>
              </w:rPr>
            </w:pPr>
            <w:r>
              <w:rPr>
                <w:spacing w:val="-2"/>
                <w:sz w:val="16"/>
                <w:szCs w:val="16"/>
              </w:rPr>
              <w:t>Tržby ve vybraných službách v první polovině roku 2017 akcelerovaly, ve 3</w:t>
            </w:r>
            <w:r w:rsidR="005723B7">
              <w:rPr>
                <w:spacing w:val="-2"/>
                <w:sz w:val="16"/>
                <w:szCs w:val="16"/>
              </w:rPr>
              <w:t>. čtvrtletí</w:t>
            </w:r>
            <w:r>
              <w:rPr>
                <w:spacing w:val="-2"/>
                <w:sz w:val="16"/>
                <w:szCs w:val="16"/>
              </w:rPr>
              <w:t xml:space="preserve"> ale jejich meziroční tempo zvolnilo. </w:t>
            </w:r>
          </w:p>
        </w:tc>
        <w:tc>
          <w:tcPr>
            <w:tcW w:w="144" w:type="pct"/>
          </w:tcPr>
          <w:p w:rsidR="005C419C" w:rsidRDefault="005C419C" w:rsidP="00F66CA8">
            <w:pPr>
              <w:pStyle w:val="Textpoznpodarou"/>
              <w:jc w:val="both"/>
            </w:pPr>
          </w:p>
        </w:tc>
        <w:tc>
          <w:tcPr>
            <w:tcW w:w="3840" w:type="pct"/>
          </w:tcPr>
          <w:p w:rsidR="005C419C" w:rsidRPr="00D12089" w:rsidRDefault="005C419C" w:rsidP="00F66CA8">
            <w:pPr>
              <w:pStyle w:val="Textpoznpodarou"/>
              <w:jc w:val="both"/>
              <w:rPr>
                <w:color w:val="000000" w:themeColor="text1"/>
                <w:spacing w:val="-4"/>
              </w:rPr>
            </w:pPr>
            <w:r w:rsidRPr="009E766E">
              <w:rPr>
                <w:spacing w:val="-4"/>
              </w:rPr>
              <w:t xml:space="preserve">Významný </w:t>
            </w:r>
            <w:proofErr w:type="spellStart"/>
            <w:r w:rsidRPr="009E766E">
              <w:rPr>
                <w:spacing w:val="-4"/>
              </w:rPr>
              <w:t>mezičtvrtletní</w:t>
            </w:r>
            <w:proofErr w:type="spellEnd"/>
            <w:r w:rsidRPr="009E766E">
              <w:rPr>
                <w:spacing w:val="-4"/>
              </w:rPr>
              <w:t xml:space="preserve"> růst tržeb </w:t>
            </w:r>
            <w:r w:rsidRPr="009E766E">
              <w:rPr>
                <w:color w:val="0D0D0D" w:themeColor="text1" w:themeTint="F2"/>
                <w:spacing w:val="-4"/>
              </w:rPr>
              <w:t>ve vybraných službách</w:t>
            </w:r>
            <w:r w:rsidRPr="009E766E">
              <w:rPr>
                <w:color w:val="0D0D0D" w:themeColor="text1" w:themeTint="F2"/>
                <w:spacing w:val="-4"/>
                <w:vertAlign w:val="superscript"/>
              </w:rPr>
              <w:footnoteReference w:id="25"/>
            </w:r>
            <w:r>
              <w:rPr>
                <w:color w:val="0D0D0D" w:themeColor="text1" w:themeTint="F2"/>
                <w:spacing w:val="-4"/>
              </w:rPr>
              <w:t>, jenž započal v druhé polovině loňského roku, se ve 3</w:t>
            </w:r>
            <w:r w:rsidR="005723B7">
              <w:rPr>
                <w:color w:val="0D0D0D" w:themeColor="text1" w:themeTint="F2"/>
                <w:spacing w:val="-4"/>
              </w:rPr>
              <w:t>. čtvrtletí</w:t>
            </w:r>
            <w:r>
              <w:rPr>
                <w:color w:val="0D0D0D" w:themeColor="text1" w:themeTint="F2"/>
                <w:spacing w:val="-4"/>
              </w:rPr>
              <w:t xml:space="preserve"> 2017 </w:t>
            </w:r>
            <w:proofErr w:type="gramStart"/>
            <w:r>
              <w:rPr>
                <w:color w:val="0D0D0D" w:themeColor="text1" w:themeTint="F2"/>
                <w:spacing w:val="-4"/>
              </w:rPr>
              <w:t>zastavil (</w:t>
            </w:r>
            <w:r w:rsidR="00500ADA">
              <w:rPr>
                <w:color w:val="0D0D0D" w:themeColor="text1" w:themeTint="F2"/>
                <w:spacing w:val="-4"/>
              </w:rPr>
              <w:t>–</w:t>
            </w:r>
            <w:r>
              <w:rPr>
                <w:color w:val="0D0D0D" w:themeColor="text1" w:themeTint="F2"/>
                <w:spacing w:val="-4"/>
              </w:rPr>
              <w:t>0,3</w:t>
            </w:r>
            <w:proofErr w:type="gramEnd"/>
            <w:r w:rsidR="005723B7">
              <w:rPr>
                <w:color w:val="0D0D0D" w:themeColor="text1" w:themeTint="F2"/>
                <w:spacing w:val="-4"/>
              </w:rPr>
              <w:t> %</w:t>
            </w:r>
            <w:r w:rsidR="000340BD">
              <w:rPr>
                <w:color w:val="0D0D0D" w:themeColor="text1" w:themeTint="F2"/>
                <w:spacing w:val="-4"/>
              </w:rPr>
              <w:t>), n</w:t>
            </w:r>
            <w:r>
              <w:rPr>
                <w:color w:val="0D0D0D" w:themeColor="text1" w:themeTint="F2"/>
                <w:spacing w:val="-4"/>
              </w:rPr>
              <w:t xml:space="preserve">epřetržitý </w:t>
            </w:r>
            <w:proofErr w:type="spellStart"/>
            <w:r>
              <w:rPr>
                <w:color w:val="0D0D0D" w:themeColor="text1" w:themeTint="F2"/>
                <w:spacing w:val="-4"/>
              </w:rPr>
              <w:t>mezikvartální</w:t>
            </w:r>
            <w:proofErr w:type="spellEnd"/>
            <w:r>
              <w:rPr>
                <w:color w:val="0D0D0D" w:themeColor="text1" w:themeTint="F2"/>
                <w:spacing w:val="-4"/>
              </w:rPr>
              <w:t xml:space="preserve"> růst si uchovaly jen informační a komunikační činnosti. Tento vývoj se promítl i do meziročních temp. Zatímco v 1. a 2</w:t>
            </w:r>
            <w:r w:rsidR="005723B7">
              <w:rPr>
                <w:color w:val="0D0D0D" w:themeColor="text1" w:themeTint="F2"/>
                <w:spacing w:val="-4"/>
              </w:rPr>
              <w:t>. čtvrtletí</w:t>
            </w:r>
            <w:r>
              <w:rPr>
                <w:color w:val="0D0D0D" w:themeColor="text1" w:themeTint="F2"/>
                <w:spacing w:val="-4"/>
              </w:rPr>
              <w:t xml:space="preserve"> (+5,3</w:t>
            </w:r>
            <w:r w:rsidR="005723B7">
              <w:rPr>
                <w:color w:val="0D0D0D" w:themeColor="text1" w:themeTint="F2"/>
                <w:spacing w:val="-4"/>
              </w:rPr>
              <w:t> %</w:t>
            </w:r>
            <w:r>
              <w:rPr>
                <w:color w:val="0D0D0D" w:themeColor="text1" w:themeTint="F2"/>
                <w:spacing w:val="-4"/>
              </w:rPr>
              <w:t>, resp. +5,7</w:t>
            </w:r>
            <w:r w:rsidR="005723B7">
              <w:rPr>
                <w:color w:val="0D0D0D" w:themeColor="text1" w:themeTint="F2"/>
                <w:spacing w:val="-4"/>
              </w:rPr>
              <w:t> %</w:t>
            </w:r>
            <w:r>
              <w:rPr>
                <w:color w:val="0D0D0D" w:themeColor="text1" w:themeTint="F2"/>
                <w:spacing w:val="-4"/>
              </w:rPr>
              <w:t>) vystoupala tempa nejvýše od konce roku 2007, v následujícím čtvrtletí se růst zmírnil na 3,3</w:t>
            </w:r>
            <w:r w:rsidR="005723B7">
              <w:rPr>
                <w:color w:val="0D0D0D" w:themeColor="text1" w:themeTint="F2"/>
                <w:spacing w:val="-4"/>
              </w:rPr>
              <w:t> %</w:t>
            </w:r>
            <w:r>
              <w:rPr>
                <w:color w:val="0D0D0D" w:themeColor="text1" w:themeTint="F2"/>
                <w:spacing w:val="-4"/>
              </w:rPr>
              <w:t>. V 1. a také ve 3</w:t>
            </w:r>
            <w:r w:rsidR="005723B7">
              <w:rPr>
                <w:color w:val="0D0D0D" w:themeColor="text1" w:themeTint="F2"/>
                <w:spacing w:val="-4"/>
              </w:rPr>
              <w:t>. čtvrtletí</w:t>
            </w:r>
            <w:r>
              <w:rPr>
                <w:color w:val="0D0D0D" w:themeColor="text1" w:themeTint="F2"/>
                <w:spacing w:val="-4"/>
              </w:rPr>
              <w:t xml:space="preserve"> byly </w:t>
            </w:r>
            <w:r>
              <w:rPr>
                <w:color w:val="000000" w:themeColor="text1"/>
                <w:spacing w:val="-4"/>
              </w:rPr>
              <w:t>služby taženy</w:t>
            </w:r>
            <w:r w:rsidRPr="00B6493D">
              <w:rPr>
                <w:color w:val="000000" w:themeColor="text1"/>
                <w:spacing w:val="-4"/>
              </w:rPr>
              <w:t xml:space="preserve"> hlavně váhově nejsilnějším odvětvím</w:t>
            </w:r>
            <w:r>
              <w:rPr>
                <w:color w:val="000000" w:themeColor="text1"/>
                <w:spacing w:val="-4"/>
              </w:rPr>
              <w:t xml:space="preserve"> – dopravou a skladováním (v obou čtvrtletích s</w:t>
            </w:r>
            <w:r w:rsidRPr="00B6493D">
              <w:rPr>
                <w:color w:val="000000" w:themeColor="text1"/>
                <w:spacing w:val="-4"/>
              </w:rPr>
              <w:t xml:space="preserve"> téměř třetinový</w:t>
            </w:r>
            <w:r>
              <w:rPr>
                <w:color w:val="000000" w:themeColor="text1"/>
                <w:spacing w:val="-4"/>
              </w:rPr>
              <w:t>m příspěvkem k celkovému růstu).</w:t>
            </w:r>
            <w:r w:rsidRPr="00B6493D">
              <w:rPr>
                <w:color w:val="000000" w:themeColor="text1"/>
                <w:spacing w:val="-4"/>
              </w:rPr>
              <w:t xml:space="preserve"> </w:t>
            </w:r>
            <w:r>
              <w:rPr>
                <w:color w:val="000000" w:themeColor="text1"/>
                <w:spacing w:val="-4"/>
              </w:rPr>
              <w:t>Ve</w:t>
            </w:r>
            <w:r w:rsidRPr="00B6493D">
              <w:rPr>
                <w:color w:val="000000" w:themeColor="text1"/>
                <w:spacing w:val="-4"/>
              </w:rPr>
              <w:t xml:space="preserve"> 2</w:t>
            </w:r>
            <w:r w:rsidR="005723B7">
              <w:rPr>
                <w:color w:val="000000" w:themeColor="text1"/>
                <w:spacing w:val="-4"/>
              </w:rPr>
              <w:t>. čtvrtletí</w:t>
            </w:r>
            <w:r w:rsidRPr="00B6493D">
              <w:rPr>
                <w:color w:val="000000" w:themeColor="text1"/>
                <w:spacing w:val="-4"/>
              </w:rPr>
              <w:t xml:space="preserve"> role tohoto odvětví </w:t>
            </w:r>
            <w:r>
              <w:rPr>
                <w:color w:val="000000" w:themeColor="text1"/>
                <w:spacing w:val="-4"/>
              </w:rPr>
              <w:t xml:space="preserve">dočasně </w:t>
            </w:r>
            <w:r w:rsidRPr="00B6493D">
              <w:rPr>
                <w:color w:val="000000" w:themeColor="text1"/>
                <w:spacing w:val="-4"/>
              </w:rPr>
              <w:t xml:space="preserve">oslabila ve prospěch informačních a komunikačních činností a též ubytování, stravování a pohostinství. </w:t>
            </w:r>
          </w:p>
          <w:p w:rsidR="005C419C" w:rsidRPr="00BF7175" w:rsidRDefault="005C419C" w:rsidP="00F66CA8">
            <w:pPr>
              <w:pStyle w:val="Textpoznpodarou"/>
              <w:jc w:val="both"/>
              <w:rPr>
                <w:spacing w:val="-4"/>
                <w:sz w:val="15"/>
                <w:szCs w:val="15"/>
              </w:rPr>
            </w:pPr>
          </w:p>
        </w:tc>
      </w:tr>
      <w:tr w:rsidR="005C419C" w:rsidRPr="00A74192" w:rsidTr="00F66CA8">
        <w:trPr>
          <w:trHeight w:val="145"/>
        </w:trPr>
        <w:tc>
          <w:tcPr>
            <w:tcW w:w="1016" w:type="pct"/>
            <w:shd w:val="clear" w:color="auto" w:fill="auto"/>
          </w:tcPr>
          <w:p w:rsidR="005C419C" w:rsidRDefault="005C419C" w:rsidP="00F66CA8">
            <w:pPr>
              <w:spacing w:line="240" w:lineRule="auto"/>
              <w:rPr>
                <w:spacing w:val="-2"/>
                <w:sz w:val="16"/>
                <w:szCs w:val="16"/>
              </w:rPr>
            </w:pPr>
            <w:r>
              <w:rPr>
                <w:spacing w:val="-2"/>
                <w:sz w:val="16"/>
                <w:szCs w:val="16"/>
              </w:rPr>
              <w:t>Od počátku roku rostly tržby meziročně nejvíce v ubytování, stravování a poho</w:t>
            </w:r>
            <w:r w:rsidR="00063AF0">
              <w:rPr>
                <w:spacing w:val="-2"/>
                <w:sz w:val="16"/>
                <w:szCs w:val="16"/>
              </w:rPr>
              <w:t>stinství, alespoň mírné navýšení</w:t>
            </w:r>
            <w:r>
              <w:rPr>
                <w:spacing w:val="-2"/>
                <w:sz w:val="16"/>
                <w:szCs w:val="16"/>
              </w:rPr>
              <w:t xml:space="preserve"> ale zaznamenaly všechny odvětvové sekce služeb.</w:t>
            </w:r>
          </w:p>
          <w:p w:rsidR="005C419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r w:rsidRPr="003D0B8C">
              <w:rPr>
                <w:spacing w:val="-4"/>
                <w:sz w:val="16"/>
                <w:szCs w:val="16"/>
              </w:rPr>
              <w:lastRenderedPageBreak/>
              <w:t xml:space="preserve">Dlouhodobě silná poptávka </w:t>
            </w:r>
            <w:r>
              <w:rPr>
                <w:spacing w:val="-4"/>
                <w:sz w:val="16"/>
                <w:szCs w:val="16"/>
              </w:rPr>
              <w:t xml:space="preserve">po </w:t>
            </w:r>
            <w:r w:rsidRPr="003D0B8C">
              <w:rPr>
                <w:spacing w:val="-4"/>
                <w:sz w:val="16"/>
                <w:szCs w:val="16"/>
              </w:rPr>
              <w:t>informačních činnostech, programování či služb</w:t>
            </w:r>
            <w:r w:rsidR="00063AF0">
              <w:rPr>
                <w:spacing w:val="-4"/>
                <w:sz w:val="16"/>
                <w:szCs w:val="16"/>
              </w:rPr>
              <w:t>ách pracovních agentur přetrvával</w:t>
            </w:r>
            <w:r w:rsidR="001603A3">
              <w:rPr>
                <w:spacing w:val="-4"/>
                <w:sz w:val="16"/>
                <w:szCs w:val="16"/>
              </w:rPr>
              <w:t>a</w:t>
            </w:r>
            <w:r w:rsidRPr="003D0B8C">
              <w:rPr>
                <w:spacing w:val="-4"/>
                <w:sz w:val="16"/>
                <w:szCs w:val="16"/>
              </w:rPr>
              <w:t xml:space="preserve">. </w:t>
            </w:r>
            <w:r>
              <w:rPr>
                <w:spacing w:val="-4"/>
                <w:sz w:val="16"/>
                <w:szCs w:val="16"/>
              </w:rPr>
              <w:t>Pozitivní obrat byl patrný u</w:t>
            </w:r>
            <w:r>
              <w:rPr>
                <w:spacing w:val="-2"/>
                <w:sz w:val="16"/>
                <w:szCs w:val="16"/>
              </w:rPr>
              <w:t> </w:t>
            </w:r>
            <w:r w:rsidRPr="003D0B8C">
              <w:rPr>
                <w:spacing w:val="-4"/>
                <w:sz w:val="16"/>
                <w:szCs w:val="16"/>
              </w:rPr>
              <w:t>cestovních kanceláří a</w:t>
            </w:r>
            <w:r>
              <w:rPr>
                <w:spacing w:val="-2"/>
                <w:sz w:val="16"/>
                <w:szCs w:val="16"/>
              </w:rPr>
              <w:t> </w:t>
            </w:r>
            <w:r w:rsidRPr="003D0B8C">
              <w:rPr>
                <w:spacing w:val="-4"/>
                <w:sz w:val="16"/>
                <w:szCs w:val="16"/>
              </w:rPr>
              <w:t>agentur.</w:t>
            </w:r>
          </w:p>
          <w:p w:rsidR="005C419C" w:rsidRPr="003D0B8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p>
          <w:p w:rsidR="005C419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p>
          <w:p w:rsidR="005C419C" w:rsidRPr="003D0B8C" w:rsidRDefault="005C419C" w:rsidP="00F66CA8">
            <w:pPr>
              <w:spacing w:line="240" w:lineRule="auto"/>
              <w:rPr>
                <w:spacing w:val="-4"/>
                <w:sz w:val="16"/>
                <w:szCs w:val="16"/>
              </w:rPr>
            </w:pPr>
            <w:r w:rsidRPr="003D0B8C">
              <w:rPr>
                <w:spacing w:val="-4"/>
                <w:sz w:val="16"/>
                <w:szCs w:val="16"/>
              </w:rPr>
              <w:t>Tržby v architektonických a inženýrských činnostech po silném loňském propadu nadále mírně klesaly.</w:t>
            </w:r>
          </w:p>
          <w:p w:rsidR="005C419C" w:rsidRPr="003E5346" w:rsidRDefault="005C419C" w:rsidP="00F66CA8">
            <w:pPr>
              <w:spacing w:line="240" w:lineRule="auto"/>
              <w:rPr>
                <w:spacing w:val="-2"/>
                <w:sz w:val="16"/>
                <w:szCs w:val="16"/>
              </w:rPr>
            </w:pPr>
            <w:r>
              <w:rPr>
                <w:spacing w:val="-2"/>
                <w:sz w:val="16"/>
                <w:szCs w:val="16"/>
              </w:rPr>
              <w:t xml:space="preserve">  </w:t>
            </w:r>
          </w:p>
        </w:tc>
        <w:tc>
          <w:tcPr>
            <w:tcW w:w="144" w:type="pct"/>
          </w:tcPr>
          <w:p w:rsidR="005C419C" w:rsidRPr="002916A1" w:rsidRDefault="005C419C" w:rsidP="00F66CA8">
            <w:pPr>
              <w:pStyle w:val="Textpoznpodarou"/>
              <w:jc w:val="both"/>
            </w:pPr>
          </w:p>
        </w:tc>
        <w:tc>
          <w:tcPr>
            <w:tcW w:w="3840" w:type="pct"/>
          </w:tcPr>
          <w:p w:rsidR="005C419C" w:rsidRPr="002916A1" w:rsidRDefault="005C419C" w:rsidP="00F66CA8">
            <w:pPr>
              <w:pStyle w:val="Textpoznpodarou"/>
              <w:jc w:val="both"/>
              <w:rPr>
                <w:spacing w:val="-4"/>
              </w:rPr>
            </w:pPr>
            <w:r w:rsidRPr="002916A1">
              <w:rPr>
                <w:spacing w:val="-4"/>
              </w:rPr>
              <w:t xml:space="preserve">V dopravě a skladování </w:t>
            </w:r>
            <w:r>
              <w:rPr>
                <w:spacing w:val="-4"/>
              </w:rPr>
              <w:t xml:space="preserve">vzrostly tržby </w:t>
            </w:r>
            <w:r w:rsidR="000340BD">
              <w:rPr>
                <w:spacing w:val="-4"/>
              </w:rPr>
              <w:t xml:space="preserve">meziročně </w:t>
            </w:r>
            <w:r>
              <w:rPr>
                <w:spacing w:val="-4"/>
              </w:rPr>
              <w:t>v 1. až 3</w:t>
            </w:r>
            <w:r w:rsidR="005723B7">
              <w:rPr>
                <w:spacing w:val="-4"/>
              </w:rPr>
              <w:t>. čtvrtletí</w:t>
            </w:r>
            <w:r w:rsidR="000340BD">
              <w:rPr>
                <w:spacing w:val="-4"/>
              </w:rPr>
              <w:t xml:space="preserve"> 2017 o 4,2</w:t>
            </w:r>
            <w:r w:rsidR="005723B7">
              <w:rPr>
                <w:spacing w:val="-4"/>
              </w:rPr>
              <w:t> %</w:t>
            </w:r>
            <w:r>
              <w:rPr>
                <w:spacing w:val="-4"/>
              </w:rPr>
              <w:t>. Poprvé po roce 2004 přispěly k růstu všechny odvětvové oddíly. Z nich vyčnívala především vleklou recesí silně zasažená letecká doprava, kde tržby po loňském slabém růstu (+0,7</w:t>
            </w:r>
            <w:r w:rsidR="005723B7">
              <w:rPr>
                <w:spacing w:val="-4"/>
              </w:rPr>
              <w:t> %</w:t>
            </w:r>
            <w:r>
              <w:rPr>
                <w:spacing w:val="-4"/>
              </w:rPr>
              <w:t>) akcelerovaly (+11,4</w:t>
            </w:r>
            <w:r w:rsidR="005723B7">
              <w:rPr>
                <w:spacing w:val="-4"/>
              </w:rPr>
              <w:t> %</w:t>
            </w:r>
            <w:r>
              <w:rPr>
                <w:spacing w:val="-4"/>
              </w:rPr>
              <w:t xml:space="preserve">). Výrazně dynamizovaly i tržby ve skladování, vč. </w:t>
            </w:r>
            <w:r w:rsidRPr="00431237">
              <w:rPr>
                <w:spacing w:val="-4"/>
              </w:rPr>
              <w:t>vedlejší</w:t>
            </w:r>
            <w:r>
              <w:rPr>
                <w:spacing w:val="-4"/>
              </w:rPr>
              <w:t>ch činností</w:t>
            </w:r>
            <w:r w:rsidRPr="00431237">
              <w:rPr>
                <w:spacing w:val="-4"/>
              </w:rPr>
              <w:t xml:space="preserve"> v</w:t>
            </w:r>
            <w:r>
              <w:rPr>
                <w:spacing w:val="-4"/>
              </w:rPr>
              <w:t> </w:t>
            </w:r>
            <w:r w:rsidRPr="00431237">
              <w:rPr>
                <w:spacing w:val="-4"/>
              </w:rPr>
              <w:t>dopravě</w:t>
            </w:r>
            <w:r>
              <w:rPr>
                <w:spacing w:val="-4"/>
              </w:rPr>
              <w:t xml:space="preserve"> (na 5,9</w:t>
            </w:r>
            <w:r w:rsidR="005723B7">
              <w:rPr>
                <w:spacing w:val="-4"/>
              </w:rPr>
              <w:t> %</w:t>
            </w:r>
            <w:r>
              <w:rPr>
                <w:spacing w:val="-4"/>
              </w:rPr>
              <w:t xml:space="preserve">), které profitovaly z rozvoje průmyslu i obchodu. Dařilo se také ubytování, stravování a pohostinství, kde se tempo tržeb </w:t>
            </w:r>
            <w:r w:rsidR="00500ADA">
              <w:rPr>
                <w:spacing w:val="-4"/>
              </w:rPr>
              <w:t>o</w:t>
            </w:r>
            <w:r>
              <w:rPr>
                <w:spacing w:val="-4"/>
              </w:rPr>
              <w:t>proti stejnému období loňského roku zdvojnásobilo a dosáhlo rovných 10</w:t>
            </w:r>
            <w:r w:rsidR="005723B7">
              <w:rPr>
                <w:spacing w:val="-4"/>
              </w:rPr>
              <w:t> %</w:t>
            </w:r>
            <w:r>
              <w:rPr>
                <w:spacing w:val="-4"/>
              </w:rPr>
              <w:t xml:space="preserve"> </w:t>
            </w:r>
            <w:r>
              <w:rPr>
                <w:spacing w:val="-4"/>
              </w:rPr>
              <w:lastRenderedPageBreak/>
              <w:t>(bez významnějších rozdílů mezi odvětvovými oddíly). Tržby v ubytování se navyšovaly nejvíce od roku 2005, ve stravování a pohostinství bylo letošní tempo dokonce nejvyšší v novodobé historii sledování (po roce 2000). Obě dílčí odvětví těžila z rostoucí spotřeby domácností i rozvoje příjezdového cestovního ruchu</w:t>
            </w:r>
            <w:r>
              <w:rPr>
                <w:rStyle w:val="Znakapoznpodarou"/>
                <w:spacing w:val="-4"/>
              </w:rPr>
              <w:footnoteReference w:id="26"/>
            </w:r>
            <w:r>
              <w:rPr>
                <w:spacing w:val="-4"/>
              </w:rPr>
              <w:t>. Za první tři čtvrtletí se počet přenocování v hromadných ubytovacích zařízeních zvýšil o</w:t>
            </w:r>
            <w:r w:rsidR="001603A3">
              <w:rPr>
                <w:spacing w:val="-4"/>
              </w:rPr>
              <w:t> </w:t>
            </w:r>
            <w:r>
              <w:rPr>
                <w:spacing w:val="-4"/>
              </w:rPr>
              <w:t>7,8</w:t>
            </w:r>
            <w:r w:rsidR="005723B7">
              <w:rPr>
                <w:spacing w:val="-4"/>
              </w:rPr>
              <w:t> %</w:t>
            </w:r>
            <w:r>
              <w:rPr>
                <w:spacing w:val="-4"/>
              </w:rPr>
              <w:t>. Od</w:t>
            </w:r>
            <w:r w:rsidRPr="00D91B9F">
              <w:rPr>
                <w:color w:val="0D0D0D" w:themeColor="text1" w:themeTint="F2"/>
                <w:spacing w:val="-4"/>
              </w:rPr>
              <w:t>větví informačních a</w:t>
            </w:r>
            <w:r>
              <w:rPr>
                <w:spacing w:val="-4"/>
              </w:rPr>
              <w:t> </w:t>
            </w:r>
            <w:r w:rsidRPr="00CB5852">
              <w:rPr>
                <w:color w:val="0D0D0D" w:themeColor="text1" w:themeTint="F2"/>
                <w:spacing w:val="-4"/>
              </w:rPr>
              <w:t>komunikačních činnost</w:t>
            </w:r>
            <w:r w:rsidR="001603A3" w:rsidRPr="00CB5852">
              <w:rPr>
                <w:color w:val="0D0D0D" w:themeColor="text1" w:themeTint="F2"/>
                <w:spacing w:val="-4"/>
              </w:rPr>
              <w:t>í</w:t>
            </w:r>
            <w:r w:rsidRPr="00CB5852">
              <w:rPr>
                <w:color w:val="0D0D0D" w:themeColor="text1" w:themeTint="F2"/>
                <w:spacing w:val="-4"/>
              </w:rPr>
              <w:t xml:space="preserve"> (+4,4</w:t>
            </w:r>
            <w:r w:rsidR="005723B7" w:rsidRPr="00CB5852">
              <w:rPr>
                <w:color w:val="0D0D0D" w:themeColor="text1" w:themeTint="F2"/>
                <w:spacing w:val="-4"/>
              </w:rPr>
              <w:t> %</w:t>
            </w:r>
            <w:r w:rsidRPr="00CB5852">
              <w:rPr>
                <w:color w:val="0D0D0D" w:themeColor="text1" w:themeTint="F2"/>
                <w:spacing w:val="-4"/>
              </w:rPr>
              <w:t xml:space="preserve">) táhla </w:t>
            </w:r>
            <w:r w:rsidRPr="00CB5852">
              <w:rPr>
                <w:spacing w:val="-4"/>
              </w:rPr>
              <w:t xml:space="preserve">silná poptávka zejména po zpracování dat, webových portálech a </w:t>
            </w:r>
            <w:proofErr w:type="spellStart"/>
            <w:r w:rsidRPr="00CB5852">
              <w:rPr>
                <w:spacing w:val="-4"/>
              </w:rPr>
              <w:t>hostingu</w:t>
            </w:r>
            <w:proofErr w:type="spellEnd"/>
            <w:r w:rsidRPr="00CB5852">
              <w:rPr>
                <w:spacing w:val="-4"/>
              </w:rPr>
              <w:t xml:space="preserve">, programování a poradenství v oblasti IT. Poklesu tržeb čelil v rámci tohoto odvětví jen filmový a hudební </w:t>
            </w:r>
            <w:proofErr w:type="gramStart"/>
            <w:r w:rsidRPr="00CB5852">
              <w:rPr>
                <w:spacing w:val="-4"/>
              </w:rPr>
              <w:t xml:space="preserve">průmysl </w:t>
            </w:r>
            <w:r w:rsidR="00B9755C">
              <w:rPr>
                <w:spacing w:val="-4"/>
              </w:rPr>
              <w:t xml:space="preserve"> </w:t>
            </w:r>
            <w:r w:rsidRPr="00CB5852">
              <w:rPr>
                <w:spacing w:val="-4"/>
              </w:rPr>
              <w:t>(</w:t>
            </w:r>
            <w:r w:rsidR="001603A3" w:rsidRPr="00CB5852">
              <w:rPr>
                <w:spacing w:val="-4"/>
              </w:rPr>
              <w:t>–</w:t>
            </w:r>
            <w:r w:rsidRPr="00CB5852">
              <w:rPr>
                <w:spacing w:val="-4"/>
              </w:rPr>
              <w:t>14</w:t>
            </w:r>
            <w:proofErr w:type="gramEnd"/>
            <w:r w:rsidR="005723B7" w:rsidRPr="00CB5852">
              <w:rPr>
                <w:spacing w:val="-4"/>
              </w:rPr>
              <w:t> %</w:t>
            </w:r>
            <w:r w:rsidRPr="00CB5852">
              <w:rPr>
                <w:spacing w:val="-4"/>
              </w:rPr>
              <w:t>)</w:t>
            </w:r>
            <w:r w:rsidRPr="00CB5852">
              <w:rPr>
                <w:rStyle w:val="Znakapoznpodarou"/>
                <w:spacing w:val="-4"/>
              </w:rPr>
              <w:footnoteReference w:id="27"/>
            </w:r>
            <w:r w:rsidRPr="00CB5852">
              <w:rPr>
                <w:spacing w:val="-4"/>
              </w:rPr>
              <w:t xml:space="preserve">. V odvětví </w:t>
            </w:r>
            <w:r w:rsidRPr="00CB5852">
              <w:rPr>
                <w:color w:val="0D0D0D" w:themeColor="text1" w:themeTint="F2"/>
                <w:spacing w:val="-4"/>
              </w:rPr>
              <w:t>profesní, vědeck</w:t>
            </w:r>
            <w:r w:rsidR="00CB5852" w:rsidRPr="00CB5852">
              <w:rPr>
                <w:color w:val="0D0D0D" w:themeColor="text1" w:themeTint="F2"/>
                <w:spacing w:val="-4"/>
              </w:rPr>
              <w:t>é</w:t>
            </w:r>
            <w:r w:rsidRPr="00CB5852">
              <w:rPr>
                <w:color w:val="0D0D0D" w:themeColor="text1" w:themeTint="F2"/>
                <w:spacing w:val="-4"/>
              </w:rPr>
              <w:t xml:space="preserve"> a technick</w:t>
            </w:r>
            <w:r w:rsidR="00CB5852" w:rsidRPr="00CB5852">
              <w:rPr>
                <w:color w:val="0D0D0D" w:themeColor="text1" w:themeTint="F2"/>
                <w:spacing w:val="-4"/>
              </w:rPr>
              <w:t>é</w:t>
            </w:r>
            <w:r w:rsidRPr="00CB5852">
              <w:rPr>
                <w:color w:val="0D0D0D" w:themeColor="text1" w:themeTint="F2"/>
                <w:spacing w:val="-4"/>
              </w:rPr>
              <w:t xml:space="preserve"> činnost</w:t>
            </w:r>
            <w:r w:rsidR="00CB5852" w:rsidRPr="00CB5852">
              <w:rPr>
                <w:color w:val="0D0D0D" w:themeColor="text1" w:themeTint="F2"/>
                <w:spacing w:val="-4"/>
              </w:rPr>
              <w:t>i</w:t>
            </w:r>
            <w:r w:rsidRPr="00CB5852">
              <w:rPr>
                <w:spacing w:val="-4"/>
              </w:rPr>
              <w:t xml:space="preserve"> tržby posílily o 2,3</w:t>
            </w:r>
            <w:r w:rsidR="005723B7" w:rsidRPr="00CB5852">
              <w:rPr>
                <w:spacing w:val="-4"/>
              </w:rPr>
              <w:t> %</w:t>
            </w:r>
            <w:r w:rsidRPr="00CB5852">
              <w:rPr>
                <w:spacing w:val="-4"/>
              </w:rPr>
              <w:t xml:space="preserve"> a zaznamenaly teprve druhý meziroční růst po roc</w:t>
            </w:r>
            <w:r w:rsidR="000340BD">
              <w:rPr>
                <w:spacing w:val="-4"/>
              </w:rPr>
              <w:t>e 2008. Táhly ho právní a účetnické</w:t>
            </w:r>
            <w:r w:rsidRPr="00CB5852">
              <w:rPr>
                <w:spacing w:val="-4"/>
              </w:rPr>
              <w:t xml:space="preserve"> činnosti a také vyšší </w:t>
            </w:r>
            <w:r w:rsidRPr="00CB5852">
              <w:rPr>
                <w:color w:val="000000" w:themeColor="text1"/>
                <w:spacing w:val="-4"/>
              </w:rPr>
              <w:t xml:space="preserve">poptávka po fotografických, návrhářských </w:t>
            </w:r>
            <w:r w:rsidR="001603A3" w:rsidRPr="00CB5852">
              <w:rPr>
                <w:color w:val="000000" w:themeColor="text1"/>
                <w:spacing w:val="-4"/>
              </w:rPr>
              <w:t>a </w:t>
            </w:r>
            <w:r w:rsidRPr="00CB5852">
              <w:rPr>
                <w:color w:val="000000" w:themeColor="text1"/>
                <w:spacing w:val="-4"/>
              </w:rPr>
              <w:t>překladatelských činnostech. Ve váhově dominantním oddílu architektonických a</w:t>
            </w:r>
            <w:r w:rsidRPr="00CB5852">
              <w:rPr>
                <w:spacing w:val="-4"/>
              </w:rPr>
              <w:t> </w:t>
            </w:r>
            <w:r w:rsidRPr="00CB5852">
              <w:rPr>
                <w:color w:val="000000" w:themeColor="text1"/>
                <w:spacing w:val="-4"/>
              </w:rPr>
              <w:t xml:space="preserve">inženýrských činností naopak tržby nadále </w:t>
            </w:r>
            <w:proofErr w:type="gramStart"/>
            <w:r w:rsidRPr="00CB5852">
              <w:rPr>
                <w:color w:val="000000" w:themeColor="text1"/>
                <w:spacing w:val="-4"/>
              </w:rPr>
              <w:t>klesaly (</w:t>
            </w:r>
            <w:r w:rsidR="001603A3" w:rsidRPr="00CB5852">
              <w:rPr>
                <w:color w:val="000000" w:themeColor="text1"/>
                <w:spacing w:val="-4"/>
              </w:rPr>
              <w:t>–</w:t>
            </w:r>
            <w:r w:rsidRPr="00CB5852">
              <w:rPr>
                <w:color w:val="000000" w:themeColor="text1"/>
                <w:spacing w:val="-4"/>
              </w:rPr>
              <w:t>0,2</w:t>
            </w:r>
            <w:proofErr w:type="gramEnd"/>
            <w:r w:rsidR="005723B7" w:rsidRPr="00CB5852">
              <w:rPr>
                <w:color w:val="000000" w:themeColor="text1"/>
                <w:spacing w:val="-4"/>
              </w:rPr>
              <w:t> %</w:t>
            </w:r>
            <w:r w:rsidRPr="00CB5852">
              <w:rPr>
                <w:color w:val="000000" w:themeColor="text1"/>
                <w:spacing w:val="-4"/>
              </w:rPr>
              <w:t xml:space="preserve">, o rok dříve </w:t>
            </w:r>
            <w:r w:rsidR="001603A3" w:rsidRPr="00CB5852">
              <w:rPr>
                <w:color w:val="000000" w:themeColor="text1"/>
                <w:spacing w:val="-4"/>
              </w:rPr>
              <w:t>–</w:t>
            </w:r>
            <w:r w:rsidRPr="00CB5852">
              <w:rPr>
                <w:color w:val="000000" w:themeColor="text1"/>
                <w:spacing w:val="-4"/>
              </w:rPr>
              <w:t>9,9</w:t>
            </w:r>
            <w:r w:rsidR="005723B7" w:rsidRPr="00CB5852">
              <w:rPr>
                <w:color w:val="000000" w:themeColor="text1"/>
                <w:spacing w:val="-4"/>
              </w:rPr>
              <w:t> %</w:t>
            </w:r>
            <w:r w:rsidRPr="00CB5852">
              <w:rPr>
                <w:color w:val="000000" w:themeColor="text1"/>
                <w:spacing w:val="-4"/>
              </w:rPr>
              <w:t xml:space="preserve">). V odvětví </w:t>
            </w:r>
            <w:r w:rsidRPr="00CB5852">
              <w:rPr>
                <w:color w:val="0D0D0D" w:themeColor="text1" w:themeTint="F2"/>
                <w:spacing w:val="-4"/>
              </w:rPr>
              <w:t>administrativní a</w:t>
            </w:r>
            <w:r w:rsidRPr="00CB5852">
              <w:rPr>
                <w:spacing w:val="-4"/>
              </w:rPr>
              <w:t> </w:t>
            </w:r>
            <w:r w:rsidRPr="00CB5852">
              <w:rPr>
                <w:color w:val="0D0D0D" w:themeColor="text1" w:themeTint="F2"/>
                <w:spacing w:val="-4"/>
              </w:rPr>
              <w:t>podpůrn</w:t>
            </w:r>
            <w:r w:rsidR="00CB5852" w:rsidRPr="00CB5852">
              <w:rPr>
                <w:color w:val="0D0D0D" w:themeColor="text1" w:themeTint="F2"/>
                <w:spacing w:val="-4"/>
              </w:rPr>
              <w:t>é</w:t>
            </w:r>
            <w:r w:rsidRPr="00CB5852">
              <w:rPr>
                <w:color w:val="0D0D0D" w:themeColor="text1" w:themeTint="F2"/>
                <w:spacing w:val="-4"/>
              </w:rPr>
              <w:t xml:space="preserve"> činnost</w:t>
            </w:r>
            <w:r w:rsidR="00CB5852" w:rsidRPr="00CB5852">
              <w:rPr>
                <w:color w:val="0D0D0D" w:themeColor="text1" w:themeTint="F2"/>
                <w:spacing w:val="-4"/>
              </w:rPr>
              <w:t>i</w:t>
            </w:r>
            <w:r w:rsidRPr="00CB5852">
              <w:rPr>
                <w:color w:val="0D0D0D" w:themeColor="text1" w:themeTint="F2"/>
                <w:spacing w:val="-4"/>
              </w:rPr>
              <w:t xml:space="preserve"> se na růstu tržeb (+8,1</w:t>
            </w:r>
            <w:r w:rsidR="005723B7" w:rsidRPr="00CB5852">
              <w:rPr>
                <w:color w:val="0D0D0D" w:themeColor="text1" w:themeTint="F2"/>
                <w:spacing w:val="-4"/>
              </w:rPr>
              <w:t> %</w:t>
            </w:r>
            <w:r w:rsidRPr="00CB5852">
              <w:rPr>
                <w:color w:val="0D0D0D" w:themeColor="text1" w:themeTint="F2"/>
                <w:spacing w:val="-4"/>
              </w:rPr>
              <w:t xml:space="preserve">) podílely hlavně </w:t>
            </w:r>
            <w:r w:rsidR="00B9755C">
              <w:rPr>
                <w:color w:val="000000" w:themeColor="text1"/>
                <w:spacing w:val="-4"/>
              </w:rPr>
              <w:t>cestovní agentury a</w:t>
            </w:r>
            <w:r w:rsidR="00B9755C" w:rsidRPr="00CB5852">
              <w:rPr>
                <w:spacing w:val="-4"/>
              </w:rPr>
              <w:t> </w:t>
            </w:r>
            <w:r w:rsidRPr="00CB5852">
              <w:rPr>
                <w:color w:val="000000" w:themeColor="text1"/>
                <w:spacing w:val="-4"/>
              </w:rPr>
              <w:t>kanceláře, které dosáhly</w:t>
            </w:r>
            <w:r>
              <w:rPr>
                <w:color w:val="000000" w:themeColor="text1"/>
                <w:spacing w:val="-4"/>
              </w:rPr>
              <w:t xml:space="preserve"> nejlepšího výsledku za posledních deset let, a také dlouhodobě </w:t>
            </w:r>
            <w:r w:rsidR="001603A3">
              <w:rPr>
                <w:color w:val="000000" w:themeColor="text1"/>
                <w:spacing w:val="-4"/>
              </w:rPr>
              <w:t xml:space="preserve">se </w:t>
            </w:r>
            <w:r>
              <w:rPr>
                <w:color w:val="000000" w:themeColor="text1"/>
                <w:spacing w:val="-4"/>
              </w:rPr>
              <w:t>rozvíjející pracovní agentury (+14</w:t>
            </w:r>
            <w:r w:rsidR="005723B7">
              <w:rPr>
                <w:color w:val="000000" w:themeColor="text1"/>
                <w:spacing w:val="-4"/>
              </w:rPr>
              <w:t> %</w:t>
            </w:r>
            <w:r>
              <w:rPr>
                <w:color w:val="000000" w:themeColor="text1"/>
                <w:spacing w:val="-4"/>
              </w:rPr>
              <w:t>, za poslední čtyři roky +77</w:t>
            </w:r>
            <w:r w:rsidR="005723B7">
              <w:rPr>
                <w:color w:val="000000" w:themeColor="text1"/>
                <w:spacing w:val="-4"/>
              </w:rPr>
              <w:t> %</w:t>
            </w:r>
            <w:r>
              <w:rPr>
                <w:color w:val="000000" w:themeColor="text1"/>
                <w:spacing w:val="-4"/>
              </w:rPr>
              <w:t>).</w:t>
            </w:r>
          </w:p>
        </w:tc>
      </w:tr>
    </w:tbl>
    <w:p w:rsidR="005C419C" w:rsidRPr="00535F78" w:rsidRDefault="005C419C" w:rsidP="005C419C">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01" w:type="pct"/>
          </w:tcPr>
          <w:p w:rsidR="005C419C" w:rsidRPr="00E62A33" w:rsidRDefault="005C419C" w:rsidP="00F66CA8">
            <w:pPr>
              <w:pStyle w:val="Textpoznpodarou"/>
              <w:jc w:val="both"/>
              <w:rPr>
                <w:spacing w:val="-2"/>
                <w:highlight w:val="yellow"/>
              </w:rPr>
            </w:pPr>
            <w:r w:rsidRPr="00E62A33">
              <w:rPr>
                <w:color w:val="000000"/>
                <w:spacing w:val="-2"/>
              </w:rPr>
              <w:t>Graf č. 8</w:t>
            </w:r>
          </w:p>
        </w:tc>
        <w:tc>
          <w:tcPr>
            <w:tcW w:w="3333" w:type="pct"/>
          </w:tcPr>
          <w:p w:rsidR="005C419C" w:rsidRDefault="005C419C" w:rsidP="00F66CA8">
            <w:pPr>
              <w:pStyle w:val="Textpoznpodarou"/>
              <w:rPr>
                <w:b/>
                <w:spacing w:val="-2"/>
              </w:rPr>
            </w:pPr>
            <w:r>
              <w:rPr>
                <w:b/>
                <w:spacing w:val="-2"/>
              </w:rPr>
              <w:t>Tržby ve službách* a jejich vybraných odvětvových sekcích</w:t>
            </w:r>
            <w:r w:rsidRPr="00E62A33">
              <w:rPr>
                <w:b/>
                <w:spacing w:val="-2"/>
              </w:rPr>
              <w:t xml:space="preserve"> </w:t>
            </w:r>
          </w:p>
          <w:p w:rsidR="005C419C" w:rsidRPr="00E62A33" w:rsidRDefault="005C419C" w:rsidP="00F66CA8">
            <w:pPr>
              <w:pStyle w:val="Textpoznpodarou"/>
              <w:rPr>
                <w:spacing w:val="-2"/>
                <w:lang w:eastAsia="en-US"/>
              </w:rPr>
            </w:pPr>
            <w:r w:rsidRPr="00E62A33">
              <w:rPr>
                <w:bCs/>
                <w:spacing w:val="-2"/>
              </w:rPr>
              <w:t xml:space="preserve">(reálně, </w:t>
            </w:r>
            <w:r w:rsidRPr="00E62A33">
              <w:rPr>
                <w:rFonts w:cs="Arial"/>
                <w:spacing w:val="-2"/>
              </w:rPr>
              <w:t xml:space="preserve">očištěno od vlivu počtu pracovních dnů, </w:t>
            </w:r>
            <w:r w:rsidRPr="00E62A33">
              <w:rPr>
                <w:spacing w:val="-2"/>
              </w:rPr>
              <w:t>meziročně</w:t>
            </w:r>
            <w:r w:rsidRPr="00E62A33">
              <w:rPr>
                <w:bCs/>
                <w:spacing w:val="-2"/>
              </w:rPr>
              <w:t xml:space="preserve"> v</w:t>
            </w:r>
            <w:r w:rsidR="005723B7">
              <w:rPr>
                <w:bCs/>
                <w:spacing w:val="-2"/>
              </w:rPr>
              <w:t> %</w:t>
            </w:r>
            <w:r w:rsidRPr="00E62A33">
              <w:rPr>
                <w:bCs/>
                <w:spacing w:val="-2"/>
              </w:rPr>
              <w:t>)</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Pr="00E62A33" w:rsidRDefault="005C419C" w:rsidP="00F66CA8">
            <w:pPr>
              <w:pStyle w:val="Textpoznpodarou"/>
              <w:ind w:left="-124"/>
              <w:rPr>
                <w:sz w:val="16"/>
                <w:szCs w:val="16"/>
              </w:rPr>
            </w:pPr>
            <w:r w:rsidRPr="004A6D89">
              <w:rPr>
                <w:noProof/>
                <w:color w:val="0D0D0D" w:themeColor="text1" w:themeTint="F2"/>
                <w:spacing w:val="-4"/>
                <w:sz w:val="14"/>
                <w:szCs w:val="14"/>
              </w:rPr>
              <w:drawing>
                <wp:inline distT="0" distB="0" distL="0" distR="0">
                  <wp:extent cx="4742955" cy="3283527"/>
                  <wp:effectExtent l="1905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12A06">
              <w:rPr>
                <w:color w:val="0D0D0D" w:themeColor="text1" w:themeTint="F2"/>
                <w:spacing w:val="-4"/>
                <w:sz w:val="14"/>
                <w:szCs w:val="14"/>
              </w:rPr>
              <w:t>*Bez obchodu, peněžnictví, poji</w:t>
            </w:r>
            <w:r>
              <w:rPr>
                <w:color w:val="0D0D0D" w:themeColor="text1" w:themeTint="F2"/>
                <w:spacing w:val="-4"/>
                <w:sz w:val="14"/>
                <w:szCs w:val="14"/>
              </w:rPr>
              <w:t>šťovnictví, vědy, výzkumu a veřejných</w:t>
            </w:r>
            <w:r w:rsidRPr="00612A06">
              <w:rPr>
                <w:color w:val="0D0D0D" w:themeColor="text1" w:themeTint="F2"/>
                <w:spacing w:val="-4"/>
                <w:sz w:val="14"/>
                <w:szCs w:val="14"/>
              </w:rPr>
              <w:t xml:space="preserve"> služeb.      </w:t>
            </w:r>
            <w:r>
              <w:rPr>
                <w:color w:val="0D0D0D" w:themeColor="text1" w:themeTint="F2"/>
                <w:spacing w:val="-4"/>
                <w:sz w:val="14"/>
                <w:szCs w:val="14"/>
              </w:rPr>
              <w:t xml:space="preserve">                                                </w:t>
            </w:r>
            <w:r w:rsidRPr="00612A06">
              <w:rPr>
                <w:color w:val="0D0D0D" w:themeColor="text1" w:themeTint="F2"/>
                <w:spacing w:val="-4"/>
                <w:sz w:val="14"/>
                <w:szCs w:val="14"/>
              </w:rPr>
              <w:t xml:space="preserve">         </w:t>
            </w:r>
            <w:r w:rsidRPr="00E62A33">
              <w:rPr>
                <w:sz w:val="14"/>
                <w:szCs w:val="14"/>
              </w:rPr>
              <w:t>Zdroj: ČSÚ</w:t>
            </w:r>
          </w:p>
        </w:tc>
      </w:tr>
    </w:tbl>
    <w:p w:rsidR="005C419C" w:rsidRDefault="005C419C" w:rsidP="005C419C">
      <w:pPr>
        <w:pStyle w:val="Textpoznpodarou"/>
        <w:jc w:val="both"/>
        <w:rPr>
          <w:sz w:val="15"/>
          <w:szCs w:val="15"/>
        </w:rPr>
      </w:pPr>
    </w:p>
    <w:tbl>
      <w:tblPr>
        <w:tblW w:w="4986" w:type="pct"/>
        <w:tblInd w:w="107" w:type="dxa"/>
        <w:tblLayout w:type="fixed"/>
        <w:tblLook w:val="00A0"/>
      </w:tblPr>
      <w:tblGrid>
        <w:gridCol w:w="1997"/>
        <w:gridCol w:w="283"/>
        <w:gridCol w:w="7546"/>
      </w:tblGrid>
      <w:tr w:rsidR="005C419C" w:rsidRPr="00DE32DB" w:rsidTr="00F66CA8">
        <w:trPr>
          <w:trHeight w:val="145"/>
        </w:trPr>
        <w:tc>
          <w:tcPr>
            <w:tcW w:w="1016" w:type="pct"/>
          </w:tcPr>
          <w:p w:rsidR="005C419C" w:rsidRDefault="005C419C" w:rsidP="00F66CA8">
            <w:pPr>
              <w:spacing w:line="240" w:lineRule="auto"/>
              <w:rPr>
                <w:spacing w:val="-2"/>
                <w:sz w:val="16"/>
                <w:szCs w:val="16"/>
              </w:rPr>
            </w:pPr>
            <w:r>
              <w:rPr>
                <w:spacing w:val="-2"/>
                <w:sz w:val="16"/>
                <w:szCs w:val="16"/>
              </w:rPr>
              <w:t>Tempo růstu celkových maloobchodních tržeb podobně jako pozitivní nálada spotřebitelů zůstávaly v průběhu roku 2017 bez výraznějších změn.</w:t>
            </w: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p>
          <w:p w:rsidR="005C419C" w:rsidRDefault="005C419C" w:rsidP="00F66CA8">
            <w:pPr>
              <w:spacing w:line="240" w:lineRule="auto"/>
              <w:rPr>
                <w:spacing w:val="-2"/>
                <w:sz w:val="16"/>
                <w:szCs w:val="16"/>
              </w:rPr>
            </w:pPr>
            <w:r>
              <w:rPr>
                <w:spacing w:val="-2"/>
                <w:sz w:val="16"/>
                <w:szCs w:val="16"/>
              </w:rPr>
              <w:t>Růst maloobchodních tržeb zařadil Česko letos shodně jako v loňském roce na páté místo mezi státy EU.</w:t>
            </w:r>
          </w:p>
          <w:p w:rsidR="005C419C" w:rsidRPr="003E5346" w:rsidRDefault="005C419C" w:rsidP="00F66CA8">
            <w:pPr>
              <w:spacing w:line="240" w:lineRule="auto"/>
              <w:rPr>
                <w:spacing w:val="-2"/>
                <w:sz w:val="16"/>
                <w:szCs w:val="16"/>
              </w:rPr>
            </w:pPr>
          </w:p>
        </w:tc>
        <w:tc>
          <w:tcPr>
            <w:tcW w:w="144" w:type="pct"/>
          </w:tcPr>
          <w:p w:rsidR="005C419C" w:rsidRDefault="005C419C" w:rsidP="00F66CA8">
            <w:pPr>
              <w:pStyle w:val="Textpoznpodarou"/>
              <w:jc w:val="both"/>
            </w:pPr>
          </w:p>
        </w:tc>
        <w:tc>
          <w:tcPr>
            <w:tcW w:w="3840" w:type="pct"/>
          </w:tcPr>
          <w:p w:rsidR="005C419C" w:rsidRPr="00D51636" w:rsidRDefault="005C419C" w:rsidP="00F66CA8">
            <w:pPr>
              <w:pStyle w:val="Textpoznpodarou"/>
              <w:jc w:val="both"/>
              <w:rPr>
                <w:spacing w:val="-4"/>
              </w:rPr>
            </w:pPr>
            <w:r>
              <w:rPr>
                <w:spacing w:val="-4"/>
              </w:rPr>
              <w:t>Tempo růstu maloobchodních tržeb zůstávalo podobně jako optimistické naladění spotřebitelů od počátku roku bez výraznějších změn. Za tři čtvrtletí posílily tržby v maloobchodě meziročně o 6,0</w:t>
            </w:r>
            <w:r w:rsidR="005723B7">
              <w:rPr>
                <w:spacing w:val="-4"/>
              </w:rPr>
              <w:t> %</w:t>
            </w:r>
            <w:r>
              <w:rPr>
                <w:rStyle w:val="Znakapoznpodarou"/>
                <w:spacing w:val="-4"/>
              </w:rPr>
              <w:footnoteReference w:id="28"/>
            </w:r>
            <w:r>
              <w:rPr>
                <w:spacing w:val="-4"/>
              </w:rPr>
              <w:t xml:space="preserve">. Tempo v maloobchodu s potravinami zvolnilo </w:t>
            </w:r>
            <w:r w:rsidRPr="00F052CB">
              <w:rPr>
                <w:spacing w:val="-4"/>
              </w:rPr>
              <w:t>(na 2,5</w:t>
            </w:r>
            <w:r w:rsidR="005723B7">
              <w:rPr>
                <w:spacing w:val="-4"/>
              </w:rPr>
              <w:t> %</w:t>
            </w:r>
            <w:r w:rsidRPr="00F052CB">
              <w:rPr>
                <w:spacing w:val="-4"/>
              </w:rPr>
              <w:t xml:space="preserve"> z loňských 4,1</w:t>
            </w:r>
            <w:r w:rsidR="005723B7">
              <w:rPr>
                <w:spacing w:val="-4"/>
              </w:rPr>
              <w:t> %</w:t>
            </w:r>
            <w:r w:rsidRPr="00F052CB">
              <w:rPr>
                <w:spacing w:val="-4"/>
              </w:rPr>
              <w:t xml:space="preserve">), naopak v prodeji </w:t>
            </w:r>
            <w:proofErr w:type="spellStart"/>
            <w:r w:rsidRPr="00F052CB">
              <w:rPr>
                <w:spacing w:val="-4"/>
              </w:rPr>
              <w:t>nepotravinářskéh</w:t>
            </w:r>
            <w:r>
              <w:rPr>
                <w:spacing w:val="-4"/>
              </w:rPr>
              <w:t>o</w:t>
            </w:r>
            <w:proofErr w:type="spellEnd"/>
            <w:r>
              <w:rPr>
                <w:spacing w:val="-4"/>
              </w:rPr>
              <w:t xml:space="preserve"> zboží rostlo</w:t>
            </w:r>
            <w:r w:rsidRPr="00F052CB">
              <w:rPr>
                <w:spacing w:val="-4"/>
              </w:rPr>
              <w:t xml:space="preserve"> až na 8,9</w:t>
            </w:r>
            <w:r w:rsidR="005723B7">
              <w:rPr>
                <w:spacing w:val="-4"/>
              </w:rPr>
              <w:t> %</w:t>
            </w:r>
            <w:r w:rsidRPr="00F052CB">
              <w:rPr>
                <w:spacing w:val="-4"/>
              </w:rPr>
              <w:t xml:space="preserve"> </w:t>
            </w:r>
            <w:r>
              <w:rPr>
                <w:spacing w:val="-4"/>
              </w:rPr>
              <w:t>(nejvyšší meziroční hodnota za posledních deset let). Posílil hlavně maloobchod s </w:t>
            </w:r>
            <w:r w:rsidRPr="00C20A0D">
              <w:rPr>
                <w:spacing w:val="-4"/>
              </w:rPr>
              <w:t>odě</w:t>
            </w:r>
            <w:r>
              <w:rPr>
                <w:spacing w:val="-4"/>
              </w:rPr>
              <w:t>vy, obuví a </w:t>
            </w:r>
            <w:r w:rsidRPr="00C20A0D">
              <w:rPr>
                <w:spacing w:val="-4"/>
              </w:rPr>
              <w:t>koženým zbožím</w:t>
            </w:r>
            <w:r>
              <w:rPr>
                <w:spacing w:val="-4"/>
              </w:rPr>
              <w:t xml:space="preserve"> (11,3</w:t>
            </w:r>
            <w:r w:rsidR="005723B7">
              <w:rPr>
                <w:spacing w:val="-4"/>
              </w:rPr>
              <w:t> %</w:t>
            </w:r>
            <w:r>
              <w:rPr>
                <w:spacing w:val="-4"/>
              </w:rPr>
              <w:t>), dařilo se i výrobkům pro kulturu a </w:t>
            </w:r>
            <w:r w:rsidRPr="00C20A0D">
              <w:rPr>
                <w:spacing w:val="-4"/>
              </w:rPr>
              <w:t>rekreaci</w:t>
            </w:r>
            <w:r>
              <w:rPr>
                <w:spacing w:val="-4"/>
              </w:rPr>
              <w:t>. Po loňské stagnaci se obnovil silný růst poptávky po počítačových a komunikačních zařízeních. Tržb</w:t>
            </w:r>
            <w:r w:rsidRPr="00D94263">
              <w:rPr>
                <w:color w:val="0D0D0D" w:themeColor="text1" w:themeTint="F2"/>
                <w:spacing w:val="-4"/>
              </w:rPr>
              <w:t>y internetových prodejců rostly o 23,4</w:t>
            </w:r>
            <w:r w:rsidR="005723B7">
              <w:rPr>
                <w:color w:val="0D0D0D" w:themeColor="text1" w:themeTint="F2"/>
                <w:spacing w:val="-4"/>
              </w:rPr>
              <w:t> %</w:t>
            </w:r>
            <w:r w:rsidRPr="00D94263">
              <w:rPr>
                <w:color w:val="0D0D0D" w:themeColor="text1" w:themeTint="F2"/>
                <w:spacing w:val="-4"/>
              </w:rPr>
              <w:t>, podobnými tempy se vyvíjely již pátý rok v řadě. Celkové maloobchodní tržby rostly v ČR od počátku roku více než dvojnásobným tempem nežli v EU (+2,8</w:t>
            </w:r>
            <w:r w:rsidR="005723B7">
              <w:rPr>
                <w:color w:val="0D0D0D" w:themeColor="text1" w:themeTint="F2"/>
                <w:spacing w:val="-4"/>
              </w:rPr>
              <w:t> %</w:t>
            </w:r>
            <w:r w:rsidRPr="00D94263">
              <w:rPr>
                <w:color w:val="0D0D0D" w:themeColor="text1" w:themeTint="F2"/>
                <w:spacing w:val="-4"/>
              </w:rPr>
              <w:t>).</w:t>
            </w:r>
            <w:r>
              <w:rPr>
                <w:color w:val="0D0D0D" w:themeColor="text1" w:themeTint="F2"/>
                <w:spacing w:val="-4"/>
              </w:rPr>
              <w:t xml:space="preserve"> Podobně jako v loňském roce zaznamenaly silnější tempa jen čtyři státy</w:t>
            </w:r>
            <w:r w:rsidR="00BD3F01">
              <w:rPr>
                <w:color w:val="0D0D0D" w:themeColor="text1" w:themeTint="F2"/>
                <w:spacing w:val="-4"/>
              </w:rPr>
              <w:t> </w:t>
            </w:r>
            <w:r>
              <w:rPr>
                <w:color w:val="0D0D0D" w:themeColor="text1" w:themeTint="F2"/>
                <w:spacing w:val="-4"/>
              </w:rPr>
              <w:t>EU. Těžiště růstu maloobchodu v EU bylo vyjma Irska soustředěno výhradně do novějších členských států. Z velkých ekonomik se nejvíce dařilo Francii (+3,8</w:t>
            </w:r>
            <w:r w:rsidR="005723B7">
              <w:rPr>
                <w:color w:val="0D0D0D" w:themeColor="text1" w:themeTint="F2"/>
                <w:spacing w:val="-4"/>
              </w:rPr>
              <w:t> %</w:t>
            </w:r>
            <w:r w:rsidR="00180C39">
              <w:rPr>
                <w:color w:val="0D0D0D" w:themeColor="text1" w:themeTint="F2"/>
                <w:spacing w:val="-4"/>
              </w:rPr>
              <w:t>) a Německu (+3,4</w:t>
            </w:r>
            <w:r w:rsidR="005723B7">
              <w:rPr>
                <w:color w:val="0D0D0D" w:themeColor="text1" w:themeTint="F2"/>
                <w:spacing w:val="-4"/>
              </w:rPr>
              <w:t> %</w:t>
            </w:r>
            <w:r>
              <w:rPr>
                <w:color w:val="0D0D0D" w:themeColor="text1" w:themeTint="F2"/>
                <w:spacing w:val="-4"/>
              </w:rPr>
              <w:t>). Slabou dynamiku si naopak v letošním (i loňském) roce udržovala Itálie.</w:t>
            </w:r>
          </w:p>
        </w:tc>
      </w:tr>
    </w:tbl>
    <w:p w:rsidR="00654093" w:rsidRPr="005C419C" w:rsidRDefault="00654093" w:rsidP="00654093">
      <w:pPr>
        <w:pStyle w:val="Textpoznpodarou"/>
        <w:jc w:val="both"/>
        <w:rPr>
          <w:sz w:val="2"/>
          <w:szCs w:val="2"/>
        </w:rPr>
      </w:pPr>
    </w:p>
    <w:p w:rsidR="00813CB4" w:rsidRPr="00654093" w:rsidRDefault="00813CB4" w:rsidP="00492991">
      <w:pPr>
        <w:pStyle w:val="Textpoznpodarou"/>
        <w:jc w:val="both"/>
        <w:rPr>
          <w:sz w:val="2"/>
          <w:szCs w:val="2"/>
        </w:rPr>
      </w:pPr>
    </w:p>
    <w:p w:rsidR="00DD0726" w:rsidRPr="00A74192" w:rsidRDefault="00DD0726" w:rsidP="00DD0726">
      <w:pPr>
        <w:pStyle w:val="Nadpis1"/>
        <w:numPr>
          <w:ilvl w:val="0"/>
          <w:numId w:val="12"/>
        </w:numPr>
        <w:ind w:left="709"/>
        <w:jc w:val="both"/>
      </w:pPr>
      <w:bookmarkStart w:id="10" w:name="_Toc469299932"/>
      <w:bookmarkStart w:id="11" w:name="_Toc501441379"/>
      <w:bookmarkStart w:id="12" w:name="_Toc469299933"/>
      <w:r>
        <w:lastRenderedPageBreak/>
        <w:t>V</w:t>
      </w:r>
      <w:r w:rsidRPr="00A74192">
        <w:t>nější ekonomické vztahy</w:t>
      </w:r>
      <w:bookmarkEnd w:id="10"/>
      <w:bookmarkEnd w:id="11"/>
    </w:p>
    <w:tbl>
      <w:tblPr>
        <w:tblW w:w="4963" w:type="pct"/>
        <w:tblInd w:w="108" w:type="dxa"/>
        <w:tblLayout w:type="fixed"/>
        <w:tblLook w:val="00A0"/>
      </w:tblPr>
      <w:tblGrid>
        <w:gridCol w:w="1985"/>
        <w:gridCol w:w="282"/>
        <w:gridCol w:w="1135"/>
        <w:gridCol w:w="143"/>
        <w:gridCol w:w="2533"/>
        <w:gridCol w:w="3703"/>
      </w:tblGrid>
      <w:tr w:rsidR="00254069" w:rsidRPr="00A74192" w:rsidTr="006C3DC1">
        <w:tc>
          <w:tcPr>
            <w:tcW w:w="1015" w:type="pct"/>
          </w:tcPr>
          <w:p w:rsidR="00254069" w:rsidRPr="00532819" w:rsidRDefault="00683EAB" w:rsidP="00683EAB">
            <w:pPr>
              <w:spacing w:line="240" w:lineRule="auto"/>
              <w:rPr>
                <w:sz w:val="16"/>
                <w:szCs w:val="16"/>
              </w:rPr>
            </w:pPr>
            <w:r>
              <w:rPr>
                <w:sz w:val="16"/>
                <w:szCs w:val="16"/>
              </w:rPr>
              <w:t xml:space="preserve">Přebytek běžného účtu platební bilance se díky obchodu se zbožím a službami udržel. </w:t>
            </w:r>
          </w:p>
        </w:tc>
        <w:tc>
          <w:tcPr>
            <w:tcW w:w="144" w:type="pct"/>
          </w:tcPr>
          <w:p w:rsidR="00254069" w:rsidRPr="002804BB" w:rsidRDefault="00254069" w:rsidP="00333134">
            <w:pPr>
              <w:pStyle w:val="Textpoznpodarou"/>
              <w:jc w:val="both"/>
              <w:rPr>
                <w:color w:val="FF0000"/>
                <w:highlight w:val="yellow"/>
              </w:rPr>
            </w:pPr>
          </w:p>
        </w:tc>
        <w:tc>
          <w:tcPr>
            <w:tcW w:w="3841" w:type="pct"/>
            <w:gridSpan w:val="4"/>
          </w:tcPr>
          <w:p w:rsidR="00254069" w:rsidRPr="00CB5852" w:rsidRDefault="00254069" w:rsidP="00333134">
            <w:pPr>
              <w:pStyle w:val="Textpoznpodarou"/>
              <w:jc w:val="both"/>
              <w:rPr>
                <w:spacing w:val="-4"/>
                <w:sz w:val="16"/>
                <w:szCs w:val="16"/>
              </w:rPr>
            </w:pPr>
            <w:r w:rsidRPr="00CB5852">
              <w:rPr>
                <w:spacing w:val="-4"/>
              </w:rPr>
              <w:t>Kladné saldo běžného účtu platební bilance v 1. až 3</w:t>
            </w:r>
            <w:r w:rsidR="005723B7" w:rsidRPr="00CB5852">
              <w:rPr>
                <w:spacing w:val="-4"/>
              </w:rPr>
              <w:t>. čtvrtletí</w:t>
            </w:r>
            <w:r w:rsidRPr="00CB5852">
              <w:rPr>
                <w:spacing w:val="-4"/>
              </w:rPr>
              <w:t xml:space="preserve"> roku díky výraznému přebytku obchodu se zbožím a službami dosáhlo 5</w:t>
            </w:r>
            <w:r w:rsidR="002F149A" w:rsidRPr="00CB5852">
              <w:rPr>
                <w:spacing w:val="-4"/>
              </w:rPr>
              <w:t>1</w:t>
            </w:r>
            <w:r w:rsidRPr="00CB5852">
              <w:rPr>
                <w:spacing w:val="-4"/>
              </w:rPr>
              <w:t>,</w:t>
            </w:r>
            <w:r w:rsidR="002F149A" w:rsidRPr="00CB5852">
              <w:rPr>
                <w:spacing w:val="-4"/>
              </w:rPr>
              <w:t>2</w:t>
            </w:r>
            <w:r w:rsidR="006D164C" w:rsidRPr="00CB5852">
              <w:rPr>
                <w:spacing w:val="-4"/>
              </w:rPr>
              <w:t> mld.</w:t>
            </w:r>
            <w:r w:rsidRPr="00CB5852">
              <w:rPr>
                <w:spacing w:val="-4"/>
              </w:rPr>
              <w:t xml:space="preserve"> korun a meziročně se snížilo o 2</w:t>
            </w:r>
            <w:r w:rsidR="002F149A" w:rsidRPr="00CB5852">
              <w:rPr>
                <w:spacing w:val="-4"/>
              </w:rPr>
              <w:t>4</w:t>
            </w:r>
            <w:r w:rsidRPr="00CB5852">
              <w:rPr>
                <w:spacing w:val="-4"/>
              </w:rPr>
              <w:t>,</w:t>
            </w:r>
            <w:r w:rsidR="002F149A" w:rsidRPr="00CB5852">
              <w:rPr>
                <w:spacing w:val="-4"/>
              </w:rPr>
              <w:t>2</w:t>
            </w:r>
            <w:r w:rsidR="006D164C" w:rsidRPr="00CB5852">
              <w:rPr>
                <w:spacing w:val="-4"/>
              </w:rPr>
              <w:t> mld.</w:t>
            </w:r>
            <w:r w:rsidR="00264A46" w:rsidRPr="00CB5852">
              <w:rPr>
                <w:spacing w:val="-4"/>
              </w:rPr>
              <w:t xml:space="preserve"> </w:t>
            </w:r>
            <w:r w:rsidRPr="00CB5852">
              <w:rPr>
                <w:spacing w:val="-4"/>
              </w:rPr>
              <w:t>Ve směru deficitu působilo saldo prvotních (19</w:t>
            </w:r>
            <w:r w:rsidR="002F149A" w:rsidRPr="00CB5852">
              <w:rPr>
                <w:spacing w:val="-4"/>
              </w:rPr>
              <w:t>6</w:t>
            </w:r>
            <w:r w:rsidRPr="00CB5852">
              <w:rPr>
                <w:spacing w:val="-4"/>
              </w:rPr>
              <w:t>,</w:t>
            </w:r>
            <w:r w:rsidR="002F149A" w:rsidRPr="00CB5852">
              <w:rPr>
                <w:spacing w:val="-4"/>
              </w:rPr>
              <w:t>8</w:t>
            </w:r>
            <w:r w:rsidR="006D164C" w:rsidRPr="00CB5852">
              <w:rPr>
                <w:spacing w:val="-4"/>
              </w:rPr>
              <w:t> mld.</w:t>
            </w:r>
            <w:r w:rsidR="00264A46" w:rsidRPr="00CB5852">
              <w:rPr>
                <w:spacing w:val="-4"/>
              </w:rPr>
              <w:t xml:space="preserve"> korun</w:t>
            </w:r>
            <w:r w:rsidR="002F149A" w:rsidRPr="00CB5852">
              <w:rPr>
                <w:spacing w:val="-4"/>
              </w:rPr>
              <w:t>) a</w:t>
            </w:r>
            <w:r w:rsidR="00264A46" w:rsidRPr="00CB5852">
              <w:rPr>
                <w:spacing w:val="-4"/>
              </w:rPr>
              <w:t> </w:t>
            </w:r>
            <w:r w:rsidR="002F149A" w:rsidRPr="00CB5852">
              <w:rPr>
                <w:spacing w:val="-4"/>
              </w:rPr>
              <w:t>druhotných důchodů (44,8</w:t>
            </w:r>
            <w:r w:rsidR="006D164C" w:rsidRPr="00CB5852">
              <w:rPr>
                <w:spacing w:val="-4"/>
              </w:rPr>
              <w:t> mld.</w:t>
            </w:r>
            <w:r w:rsidRPr="00CB5852">
              <w:rPr>
                <w:spacing w:val="-4"/>
              </w:rPr>
              <w:t>). Čistý odliv prvotních důchodů byl soustředěn do položky důchodů z investic, jejichž odliv v 1. až 3</w:t>
            </w:r>
            <w:r w:rsidR="005723B7" w:rsidRPr="00CB5852">
              <w:rPr>
                <w:spacing w:val="-4"/>
              </w:rPr>
              <w:t>. čtvrtletí</w:t>
            </w:r>
            <w:r w:rsidRPr="00CB5852">
              <w:rPr>
                <w:spacing w:val="-4"/>
              </w:rPr>
              <w:t xml:space="preserve"> roku dosáhl 2</w:t>
            </w:r>
            <w:r w:rsidR="00264A46" w:rsidRPr="00CB5852">
              <w:rPr>
                <w:spacing w:val="-4"/>
              </w:rPr>
              <w:t>48</w:t>
            </w:r>
            <w:r w:rsidRPr="00CB5852">
              <w:rPr>
                <w:spacing w:val="-4"/>
              </w:rPr>
              <w:t>,</w:t>
            </w:r>
            <w:r w:rsidR="00264A46" w:rsidRPr="00CB5852">
              <w:rPr>
                <w:spacing w:val="-4"/>
              </w:rPr>
              <w:t>9</w:t>
            </w:r>
            <w:r w:rsidR="006D164C" w:rsidRPr="00CB5852">
              <w:rPr>
                <w:spacing w:val="-4"/>
              </w:rPr>
              <w:t> mld.</w:t>
            </w:r>
            <w:r w:rsidRPr="00CB5852">
              <w:rPr>
                <w:spacing w:val="-4"/>
              </w:rPr>
              <w:t xml:space="preserve"> korun. Meziroční prohloubení deficitu druhotných důchodů, které je patrné na grafu</w:t>
            </w:r>
            <w:r w:rsidR="00264A46" w:rsidRPr="00CB5852">
              <w:rPr>
                <w:spacing w:val="-4"/>
              </w:rPr>
              <w:t xml:space="preserve"> č. 9,</w:t>
            </w:r>
            <w:r w:rsidRPr="00CB5852">
              <w:rPr>
                <w:spacing w:val="-4"/>
              </w:rPr>
              <w:t xml:space="preserve"> je především důsledkem nižšího objemu prostředků na straně aktiv. Finanční účet platební bilance v 1. až 3</w:t>
            </w:r>
            <w:r w:rsidR="005723B7" w:rsidRPr="00CB5852">
              <w:rPr>
                <w:spacing w:val="-4"/>
              </w:rPr>
              <w:t>. čtvrtletí</w:t>
            </w:r>
            <w:r w:rsidRPr="00CB5852">
              <w:rPr>
                <w:spacing w:val="-4"/>
              </w:rPr>
              <w:t xml:space="preserve"> roku skončil v přebytku 12</w:t>
            </w:r>
            <w:r w:rsidR="00264A46" w:rsidRPr="00CB5852">
              <w:rPr>
                <w:spacing w:val="-4"/>
              </w:rPr>
              <w:t>5</w:t>
            </w:r>
            <w:r w:rsidRPr="00CB5852">
              <w:rPr>
                <w:spacing w:val="-4"/>
              </w:rPr>
              <w:t>,</w:t>
            </w:r>
            <w:r w:rsidR="00264A46" w:rsidRPr="00CB5852">
              <w:rPr>
                <w:spacing w:val="-4"/>
              </w:rPr>
              <w:t>0</w:t>
            </w:r>
            <w:r w:rsidR="006D164C" w:rsidRPr="00CB5852">
              <w:rPr>
                <w:spacing w:val="-4"/>
              </w:rPr>
              <w:t> mld.</w:t>
            </w:r>
            <w:r w:rsidRPr="00CB5852">
              <w:rPr>
                <w:spacing w:val="-4"/>
              </w:rPr>
              <w:t xml:space="preserve"> korun. Toho bylo dosaženo nárůstem </w:t>
            </w:r>
            <w:r w:rsidR="00264A46" w:rsidRPr="00CB5852">
              <w:rPr>
                <w:spacing w:val="-4"/>
              </w:rPr>
              <w:t xml:space="preserve">objemu </w:t>
            </w:r>
            <w:r w:rsidRPr="00CB5852">
              <w:rPr>
                <w:spacing w:val="-4"/>
              </w:rPr>
              <w:t>rezervních aktiv v první polovině roku. Ve 3</w:t>
            </w:r>
            <w:r w:rsidR="005723B7" w:rsidRPr="00CB5852">
              <w:rPr>
                <w:spacing w:val="-4"/>
              </w:rPr>
              <w:t>. čtvrtletí</w:t>
            </w:r>
            <w:r w:rsidRPr="00CB5852">
              <w:rPr>
                <w:spacing w:val="-4"/>
              </w:rPr>
              <w:t xml:space="preserve"> byly změny rezervních aktiv jen zlomkem předchozí aktivity. Do jisté míry nestandardní pohyby probíhaly jen u portfoliových investic, konkrétně u dluhových cenných papírů. Na straně</w:t>
            </w:r>
            <w:r w:rsidR="00264A46" w:rsidRPr="00CB5852">
              <w:rPr>
                <w:spacing w:val="-4"/>
              </w:rPr>
              <w:t xml:space="preserve"> pasiv</w:t>
            </w:r>
            <w:r w:rsidRPr="00CB5852">
              <w:rPr>
                <w:spacing w:val="-4"/>
              </w:rPr>
              <w:t xml:space="preserve"> u nich ve 3</w:t>
            </w:r>
            <w:r w:rsidR="005723B7" w:rsidRPr="00CB5852">
              <w:rPr>
                <w:spacing w:val="-4"/>
              </w:rPr>
              <w:t>. čtvrtletí</w:t>
            </w:r>
            <w:r w:rsidRPr="00CB5852">
              <w:rPr>
                <w:spacing w:val="-4"/>
              </w:rPr>
              <w:t xml:space="preserve"> došlo k propadu ve výši 136,7</w:t>
            </w:r>
            <w:r w:rsidR="006D164C" w:rsidRPr="00CB5852">
              <w:rPr>
                <w:spacing w:val="-4"/>
              </w:rPr>
              <w:t> mld.</w:t>
            </w:r>
            <w:r w:rsidRPr="00CB5852">
              <w:rPr>
                <w:spacing w:val="-4"/>
              </w:rPr>
              <w:t xml:space="preserve"> korun.</w:t>
            </w:r>
          </w:p>
          <w:p w:rsidR="00254069" w:rsidRPr="00CB5852" w:rsidRDefault="00254069" w:rsidP="00333134">
            <w:pPr>
              <w:pStyle w:val="Textpoznpodarou"/>
              <w:jc w:val="both"/>
              <w:rPr>
                <w:spacing w:val="-4"/>
                <w:sz w:val="14"/>
                <w:szCs w:val="14"/>
              </w:rPr>
            </w:pPr>
          </w:p>
        </w:tc>
      </w:tr>
      <w:tr w:rsidR="00DD0726" w:rsidRPr="006647AD" w:rsidTr="006C3DC1">
        <w:tc>
          <w:tcPr>
            <w:tcW w:w="1015" w:type="pct"/>
          </w:tcPr>
          <w:p w:rsidR="00DD0726" w:rsidRPr="006647AD" w:rsidRDefault="00DD0726" w:rsidP="006C3DC1">
            <w:pPr>
              <w:spacing w:line="240" w:lineRule="auto"/>
              <w:rPr>
                <w:szCs w:val="20"/>
                <w:highlight w:val="yellow"/>
              </w:rPr>
            </w:pPr>
          </w:p>
        </w:tc>
        <w:tc>
          <w:tcPr>
            <w:tcW w:w="144" w:type="pct"/>
          </w:tcPr>
          <w:p w:rsidR="00DD0726" w:rsidRPr="006647AD" w:rsidRDefault="00DD0726" w:rsidP="006C3DC1">
            <w:pPr>
              <w:pStyle w:val="Textpoznpodarou"/>
              <w:rPr>
                <w:color w:val="FF0000"/>
              </w:rPr>
            </w:pPr>
          </w:p>
        </w:tc>
        <w:tc>
          <w:tcPr>
            <w:tcW w:w="580" w:type="pct"/>
          </w:tcPr>
          <w:p w:rsidR="00DD0726" w:rsidRPr="00DC21E2" w:rsidRDefault="00DD0726" w:rsidP="006C3DC1">
            <w:pPr>
              <w:pStyle w:val="Textpoznpodarou"/>
              <w:rPr>
                <w:color w:val="FF0000"/>
                <w:spacing w:val="-4"/>
                <w:highlight w:val="yellow"/>
              </w:rPr>
            </w:pPr>
            <w:r w:rsidRPr="00DC21E2">
              <w:rPr>
                <w:spacing w:val="-4"/>
              </w:rPr>
              <w:t>Graf č. 9</w:t>
            </w:r>
          </w:p>
        </w:tc>
        <w:tc>
          <w:tcPr>
            <w:tcW w:w="3261" w:type="pct"/>
            <w:gridSpan w:val="3"/>
          </w:tcPr>
          <w:p w:rsidR="00DD0726" w:rsidRPr="00DC21E2" w:rsidRDefault="00DD0726" w:rsidP="006C3DC1">
            <w:pPr>
              <w:pStyle w:val="Textpoznpodarou"/>
              <w:jc w:val="both"/>
              <w:rPr>
                <w:color w:val="FF0000"/>
                <w:spacing w:val="-4"/>
                <w:highlight w:val="yellow"/>
              </w:rPr>
            </w:pPr>
            <w:r w:rsidRPr="00DC21E2">
              <w:rPr>
                <w:b/>
                <w:spacing w:val="-4"/>
              </w:rPr>
              <w:t xml:space="preserve">Běžný účet platební bilance </w:t>
            </w:r>
            <w:r w:rsidR="00131FFA">
              <w:rPr>
                <w:spacing w:val="-4"/>
              </w:rPr>
              <w:t>(kumulace 1. až 3</w:t>
            </w:r>
            <w:r w:rsidR="005723B7">
              <w:rPr>
                <w:spacing w:val="-4"/>
              </w:rPr>
              <w:t>. čtvrtletí</w:t>
            </w:r>
            <w:r w:rsidRPr="00DC21E2">
              <w:rPr>
                <w:spacing w:val="-4"/>
              </w:rPr>
              <w:t xml:space="preserve"> v</w:t>
            </w:r>
            <w:r w:rsidR="006D164C">
              <w:rPr>
                <w:spacing w:val="-4"/>
              </w:rPr>
              <w:t> mld.</w:t>
            </w:r>
            <w:r w:rsidRPr="00DC21E2">
              <w:rPr>
                <w:spacing w:val="-4"/>
              </w:rPr>
              <w:t xml:space="preserve"> korun)</w:t>
            </w:r>
          </w:p>
        </w:tc>
      </w:tr>
      <w:tr w:rsidR="00DD0726" w:rsidRPr="00A74192" w:rsidTr="006C3DC1">
        <w:tc>
          <w:tcPr>
            <w:tcW w:w="1015" w:type="pct"/>
          </w:tcPr>
          <w:p w:rsidR="00DD0726" w:rsidRPr="002804BB" w:rsidRDefault="00DD0726" w:rsidP="006C3DC1">
            <w:pPr>
              <w:spacing w:line="240" w:lineRule="auto"/>
              <w:rPr>
                <w:sz w:val="16"/>
                <w:szCs w:val="16"/>
                <w:highlight w:val="yellow"/>
              </w:rPr>
            </w:pPr>
          </w:p>
        </w:tc>
        <w:tc>
          <w:tcPr>
            <w:tcW w:w="144" w:type="pct"/>
          </w:tcPr>
          <w:p w:rsidR="00DD0726" w:rsidRPr="00A74192" w:rsidRDefault="00DD0726" w:rsidP="006C3DC1">
            <w:pPr>
              <w:pStyle w:val="Textpoznpodarou"/>
              <w:rPr>
                <w:color w:val="FF0000"/>
              </w:rPr>
            </w:pPr>
          </w:p>
        </w:tc>
        <w:tc>
          <w:tcPr>
            <w:tcW w:w="3841" w:type="pct"/>
            <w:gridSpan w:val="4"/>
          </w:tcPr>
          <w:p w:rsidR="00DD0726" w:rsidRPr="00DC21E2" w:rsidRDefault="00455BB8" w:rsidP="006C3DC1">
            <w:pPr>
              <w:pStyle w:val="Textpoznpodarou"/>
              <w:ind w:left="-73"/>
              <w:jc w:val="both"/>
              <w:rPr>
                <w:spacing w:val="-4"/>
                <w:sz w:val="16"/>
                <w:highlight w:val="yellow"/>
              </w:rPr>
            </w:pPr>
            <w:r w:rsidRPr="00455BB8">
              <w:rPr>
                <w:noProof/>
                <w:spacing w:val="-4"/>
                <w:sz w:val="16"/>
              </w:rPr>
              <w:drawing>
                <wp:inline distT="0" distB="0" distL="0" distR="0">
                  <wp:extent cx="4740249" cy="347472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0726" w:rsidRPr="00DC21E2" w:rsidRDefault="00DD0726" w:rsidP="006C3DC1">
            <w:pPr>
              <w:pStyle w:val="Textpoznpodarou"/>
              <w:ind w:left="-73"/>
              <w:jc w:val="right"/>
              <w:rPr>
                <w:spacing w:val="-4"/>
                <w:sz w:val="14"/>
                <w:szCs w:val="14"/>
              </w:rPr>
            </w:pPr>
            <w:r w:rsidRPr="00DC21E2">
              <w:rPr>
                <w:spacing w:val="-4"/>
                <w:sz w:val="14"/>
                <w:szCs w:val="14"/>
              </w:rPr>
              <w:t>Zdroj: ČNB</w:t>
            </w:r>
          </w:p>
          <w:p w:rsidR="00DD0726" w:rsidRPr="00ED7C3C" w:rsidRDefault="00DD0726" w:rsidP="006C3DC1">
            <w:pPr>
              <w:pStyle w:val="Textpoznpodarou"/>
              <w:ind w:left="-73"/>
              <w:jc w:val="right"/>
              <w:rPr>
                <w:color w:val="FF0000"/>
                <w:spacing w:val="-4"/>
                <w:sz w:val="15"/>
                <w:szCs w:val="15"/>
                <w:highlight w:val="yellow"/>
              </w:rPr>
            </w:pPr>
          </w:p>
        </w:tc>
      </w:tr>
      <w:tr w:rsidR="00254069" w:rsidRPr="00A74192" w:rsidTr="006C3DC1">
        <w:tc>
          <w:tcPr>
            <w:tcW w:w="1015" w:type="pct"/>
          </w:tcPr>
          <w:p w:rsidR="00254069" w:rsidRPr="00532819" w:rsidRDefault="00ED390A" w:rsidP="00333134">
            <w:pPr>
              <w:spacing w:line="240" w:lineRule="auto"/>
              <w:rPr>
                <w:sz w:val="16"/>
                <w:szCs w:val="16"/>
              </w:rPr>
            </w:pPr>
            <w:r>
              <w:rPr>
                <w:sz w:val="16"/>
                <w:szCs w:val="16"/>
              </w:rPr>
              <w:t>Hodnota exportu ve 3</w:t>
            </w:r>
            <w:r w:rsidR="005723B7">
              <w:rPr>
                <w:sz w:val="16"/>
                <w:szCs w:val="16"/>
              </w:rPr>
              <w:t>. čtvrtletí</w:t>
            </w:r>
            <w:r>
              <w:rPr>
                <w:sz w:val="16"/>
                <w:szCs w:val="16"/>
              </w:rPr>
              <w:t xml:space="preserve"> rostla.</w:t>
            </w:r>
          </w:p>
        </w:tc>
        <w:tc>
          <w:tcPr>
            <w:tcW w:w="144" w:type="pct"/>
          </w:tcPr>
          <w:p w:rsidR="00254069" w:rsidRPr="002804BB" w:rsidRDefault="00254069" w:rsidP="00333134">
            <w:pPr>
              <w:pStyle w:val="Textpoznpodarou"/>
              <w:jc w:val="both"/>
              <w:rPr>
                <w:highlight w:val="yellow"/>
              </w:rPr>
            </w:pPr>
          </w:p>
        </w:tc>
        <w:tc>
          <w:tcPr>
            <w:tcW w:w="3841" w:type="pct"/>
            <w:gridSpan w:val="4"/>
          </w:tcPr>
          <w:p w:rsidR="00254069" w:rsidRDefault="00254069" w:rsidP="00333134">
            <w:pPr>
              <w:pStyle w:val="Textpoznpodarou"/>
              <w:jc w:val="both"/>
              <w:rPr>
                <w:spacing w:val="-4"/>
                <w:sz w:val="16"/>
                <w:szCs w:val="16"/>
              </w:rPr>
            </w:pPr>
            <w:r w:rsidRPr="004B5B42">
              <w:rPr>
                <w:spacing w:val="-4"/>
              </w:rPr>
              <w:t>V průběhu prvních tří čtvrtletí roku 2017 bylo z Česka vyvezeno zboží v hodnotě 2 6</w:t>
            </w:r>
            <w:r>
              <w:rPr>
                <w:spacing w:val="-4"/>
              </w:rPr>
              <w:t>10</w:t>
            </w:r>
            <w:r w:rsidRPr="004B5B42">
              <w:rPr>
                <w:spacing w:val="-4"/>
              </w:rPr>
              <w:t>,</w:t>
            </w:r>
            <w:r>
              <w:rPr>
                <w:spacing w:val="-4"/>
              </w:rPr>
              <w:t>8</w:t>
            </w:r>
            <w:r w:rsidR="006D164C">
              <w:rPr>
                <w:spacing w:val="-4"/>
              </w:rPr>
              <w:t> mld.</w:t>
            </w:r>
            <w:r w:rsidRPr="004B5B42">
              <w:rPr>
                <w:spacing w:val="-4"/>
              </w:rPr>
              <w:t xml:space="preserve"> korun</w:t>
            </w:r>
            <w:r w:rsidRPr="00ED7C3C">
              <w:rPr>
                <w:rStyle w:val="Znakapoznpodarou"/>
                <w:spacing w:val="-4"/>
              </w:rPr>
              <w:footnoteReference w:id="29"/>
            </w:r>
            <w:r w:rsidRPr="004B5B42">
              <w:rPr>
                <w:spacing w:val="-4"/>
              </w:rPr>
              <w:t>.</w:t>
            </w:r>
            <w:r>
              <w:rPr>
                <w:spacing w:val="-4"/>
              </w:rPr>
              <w:t xml:space="preserve"> To je o 6,0</w:t>
            </w:r>
            <w:r w:rsidR="005723B7">
              <w:rPr>
                <w:spacing w:val="-4"/>
              </w:rPr>
              <w:t> %</w:t>
            </w:r>
            <w:r>
              <w:rPr>
                <w:spacing w:val="-4"/>
              </w:rPr>
              <w:t xml:space="preserve"> (146,7</w:t>
            </w:r>
            <w:r w:rsidR="006D164C">
              <w:rPr>
                <w:spacing w:val="-4"/>
              </w:rPr>
              <w:t> mld.</w:t>
            </w:r>
            <w:r>
              <w:rPr>
                <w:spacing w:val="-4"/>
              </w:rPr>
              <w:t>) více než ve stejném období minulého roku. Vývoz v jednotlivých čtvrtletích pokaždé překonal stejná období předchozího roku. V samotném 3</w:t>
            </w:r>
            <w:r w:rsidR="005723B7">
              <w:rPr>
                <w:spacing w:val="-4"/>
              </w:rPr>
              <w:t>. čtvrtletí</w:t>
            </w:r>
            <w:r>
              <w:rPr>
                <w:spacing w:val="-4"/>
              </w:rPr>
              <w:t xml:space="preserve"> dosáhla hodnota vývozu 808,0</w:t>
            </w:r>
            <w:r w:rsidR="006D164C">
              <w:rPr>
                <w:spacing w:val="-4"/>
              </w:rPr>
              <w:t> mld.</w:t>
            </w:r>
            <w:r>
              <w:rPr>
                <w:spacing w:val="-4"/>
              </w:rPr>
              <w:t xml:space="preserve"> korun a meziročně byla vyšší o 3,8</w:t>
            </w:r>
            <w:r w:rsidR="005723B7">
              <w:rPr>
                <w:spacing w:val="-4"/>
              </w:rPr>
              <w:t> %</w:t>
            </w:r>
            <w:r>
              <w:rPr>
                <w:spacing w:val="-4"/>
              </w:rPr>
              <w:t xml:space="preserve"> (29,9</w:t>
            </w:r>
            <w:r w:rsidR="006D164C">
              <w:rPr>
                <w:spacing w:val="-4"/>
              </w:rPr>
              <w:t> mld.</w:t>
            </w:r>
            <w:r>
              <w:rPr>
                <w:spacing w:val="-4"/>
              </w:rPr>
              <w:t>).</w:t>
            </w:r>
          </w:p>
          <w:p w:rsidR="00254069" w:rsidRPr="00CB5852" w:rsidRDefault="00254069" w:rsidP="00333134">
            <w:pPr>
              <w:pStyle w:val="Textpoznpodarou"/>
              <w:jc w:val="both"/>
              <w:rPr>
                <w:spacing w:val="-4"/>
                <w:sz w:val="14"/>
                <w:szCs w:val="14"/>
                <w:highlight w:val="yellow"/>
              </w:rPr>
            </w:pPr>
          </w:p>
        </w:tc>
      </w:tr>
      <w:tr w:rsidR="00254069" w:rsidRPr="00A74192" w:rsidTr="006C3DC1">
        <w:tc>
          <w:tcPr>
            <w:tcW w:w="1015" w:type="pct"/>
          </w:tcPr>
          <w:p w:rsidR="00254069" w:rsidRPr="00532819" w:rsidRDefault="00ED390A" w:rsidP="00333134">
            <w:pPr>
              <w:spacing w:line="240" w:lineRule="auto"/>
              <w:rPr>
                <w:sz w:val="16"/>
                <w:szCs w:val="16"/>
              </w:rPr>
            </w:pPr>
            <w:r>
              <w:rPr>
                <w:sz w:val="16"/>
                <w:szCs w:val="16"/>
              </w:rPr>
              <w:t>Opět se zvýšila hodnota vývozu do zemí EU.</w:t>
            </w:r>
          </w:p>
        </w:tc>
        <w:tc>
          <w:tcPr>
            <w:tcW w:w="144" w:type="pct"/>
          </w:tcPr>
          <w:p w:rsidR="00254069" w:rsidRPr="002804BB" w:rsidRDefault="00254069" w:rsidP="00333134">
            <w:pPr>
              <w:pStyle w:val="Textpoznpodarou"/>
              <w:jc w:val="both"/>
              <w:rPr>
                <w:highlight w:val="yellow"/>
              </w:rPr>
            </w:pPr>
          </w:p>
        </w:tc>
        <w:tc>
          <w:tcPr>
            <w:tcW w:w="3841" w:type="pct"/>
            <w:gridSpan w:val="4"/>
          </w:tcPr>
          <w:p w:rsidR="00254069" w:rsidRPr="00DD4AE7" w:rsidRDefault="00254069" w:rsidP="00333134">
            <w:pPr>
              <w:pStyle w:val="Textpoznpodarou"/>
              <w:jc w:val="both"/>
              <w:rPr>
                <w:spacing w:val="-4"/>
                <w:sz w:val="16"/>
                <w:szCs w:val="16"/>
              </w:rPr>
            </w:pPr>
            <w:r>
              <w:rPr>
                <w:spacing w:val="-4"/>
              </w:rPr>
              <w:t>Struktura českého vývozu podle teritoriálního členění se prakticky nezměnila. Vývoz do většiny hlavních exportních destinací za 1. až 3</w:t>
            </w:r>
            <w:r w:rsidR="005723B7">
              <w:rPr>
                <w:spacing w:val="-4"/>
              </w:rPr>
              <w:t>. čtvrtletí</w:t>
            </w:r>
            <w:r>
              <w:rPr>
                <w:spacing w:val="-4"/>
              </w:rPr>
              <w:t xml:space="preserve"> rostl. Export do zemí EU se za dané období zvýšil o 5,7</w:t>
            </w:r>
            <w:r w:rsidR="005723B7">
              <w:rPr>
                <w:spacing w:val="-4"/>
              </w:rPr>
              <w:t> %</w:t>
            </w:r>
            <w:r>
              <w:rPr>
                <w:spacing w:val="-4"/>
              </w:rPr>
              <w:t xml:space="preserve"> (118,3</w:t>
            </w:r>
            <w:r w:rsidR="006D164C">
              <w:rPr>
                <w:spacing w:val="-4"/>
              </w:rPr>
              <w:t> mld.</w:t>
            </w:r>
            <w:r>
              <w:rPr>
                <w:spacing w:val="-4"/>
              </w:rPr>
              <w:t xml:space="preserve"> korun), a to i díky silnému nárůstu vývozu do Německa (6,9</w:t>
            </w:r>
            <w:r w:rsidR="005723B7">
              <w:rPr>
                <w:spacing w:val="-4"/>
              </w:rPr>
              <w:t> %</w:t>
            </w:r>
            <w:r>
              <w:rPr>
                <w:spacing w:val="-4"/>
              </w:rPr>
              <w:t>, 54,8</w:t>
            </w:r>
            <w:r w:rsidR="006D164C">
              <w:rPr>
                <w:spacing w:val="-4"/>
              </w:rPr>
              <w:t> mld.</w:t>
            </w:r>
            <w:r>
              <w:rPr>
                <w:spacing w:val="-4"/>
              </w:rPr>
              <w:t>), Polska (7,2</w:t>
            </w:r>
            <w:r w:rsidR="005723B7">
              <w:rPr>
                <w:spacing w:val="-4"/>
              </w:rPr>
              <w:t> %</w:t>
            </w:r>
            <w:r>
              <w:rPr>
                <w:spacing w:val="-4"/>
              </w:rPr>
              <w:t>, 10,9</w:t>
            </w:r>
            <w:r w:rsidR="006D164C">
              <w:rPr>
                <w:spacing w:val="-4"/>
              </w:rPr>
              <w:t> mld.</w:t>
            </w:r>
            <w:r>
              <w:rPr>
                <w:spacing w:val="-4"/>
              </w:rPr>
              <w:t>) nebo Francie (8,4</w:t>
            </w:r>
            <w:r w:rsidR="005723B7">
              <w:rPr>
                <w:spacing w:val="-4"/>
              </w:rPr>
              <w:t> %</w:t>
            </w:r>
            <w:r>
              <w:rPr>
                <w:spacing w:val="-4"/>
              </w:rPr>
              <w:t>, 10,3</w:t>
            </w:r>
            <w:r w:rsidR="006D164C">
              <w:rPr>
                <w:spacing w:val="-4"/>
              </w:rPr>
              <w:t> mld.</w:t>
            </w:r>
            <w:r w:rsidR="00CB5852">
              <w:rPr>
                <w:spacing w:val="-4"/>
              </w:rPr>
              <w:t>). Jediným významn</w:t>
            </w:r>
            <w:r>
              <w:rPr>
                <w:spacing w:val="-4"/>
              </w:rPr>
              <w:t xml:space="preserve">ým obchodním partnerem, kam se vývoz meziročně snížil, bylo </w:t>
            </w:r>
            <w:proofErr w:type="gramStart"/>
            <w:r>
              <w:rPr>
                <w:spacing w:val="-4"/>
              </w:rPr>
              <w:t>Slovensko (</w:t>
            </w:r>
            <w:r w:rsidR="003B462D">
              <w:rPr>
                <w:spacing w:val="-4"/>
              </w:rPr>
              <w:t>–</w:t>
            </w:r>
            <w:r>
              <w:rPr>
                <w:spacing w:val="-4"/>
              </w:rPr>
              <w:t>3,5</w:t>
            </w:r>
            <w:proofErr w:type="gramEnd"/>
            <w:r w:rsidR="005723B7">
              <w:rPr>
                <w:spacing w:val="-4"/>
              </w:rPr>
              <w:t> %</w:t>
            </w:r>
            <w:r>
              <w:rPr>
                <w:spacing w:val="-4"/>
              </w:rPr>
              <w:t>). Export do zemí mimo</w:t>
            </w:r>
            <w:r w:rsidR="001579FC">
              <w:rPr>
                <w:spacing w:val="-4"/>
              </w:rPr>
              <w:t> </w:t>
            </w:r>
            <w:r>
              <w:rPr>
                <w:spacing w:val="-4"/>
              </w:rPr>
              <w:t>EU v prvních třech čtvrtletích vzrostl o 7,2</w:t>
            </w:r>
            <w:r w:rsidR="005723B7">
              <w:rPr>
                <w:spacing w:val="-4"/>
              </w:rPr>
              <w:t> %</w:t>
            </w:r>
            <w:r>
              <w:rPr>
                <w:spacing w:val="-4"/>
              </w:rPr>
              <w:t>. Samotné 3</w:t>
            </w:r>
            <w:r w:rsidR="005723B7">
              <w:rPr>
                <w:spacing w:val="-4"/>
              </w:rPr>
              <w:t>. čtvrtletí</w:t>
            </w:r>
            <w:r>
              <w:rPr>
                <w:spacing w:val="-4"/>
              </w:rPr>
              <w:t xml:space="preserve"> se od kumulace tří uplynulých kvartálů roku 2017 lišilo mírným meziročním poklesem exportu do zemí mimo</w:t>
            </w:r>
            <w:r w:rsidR="001579FC">
              <w:rPr>
                <w:spacing w:val="-4"/>
              </w:rPr>
              <w:t> </w:t>
            </w:r>
            <w:proofErr w:type="gramStart"/>
            <w:r>
              <w:rPr>
                <w:spacing w:val="-4"/>
              </w:rPr>
              <w:t>EU (</w:t>
            </w:r>
            <w:r w:rsidR="001579FC">
              <w:rPr>
                <w:spacing w:val="-4"/>
              </w:rPr>
              <w:t>–</w:t>
            </w:r>
            <w:r>
              <w:rPr>
                <w:spacing w:val="-4"/>
              </w:rPr>
              <w:t>0,2</w:t>
            </w:r>
            <w:proofErr w:type="gramEnd"/>
            <w:r w:rsidR="005723B7">
              <w:rPr>
                <w:spacing w:val="-4"/>
              </w:rPr>
              <w:t> %</w:t>
            </w:r>
            <w:r>
              <w:rPr>
                <w:spacing w:val="-4"/>
              </w:rPr>
              <w:t>). Projevil se zde totiž pokles hodnoty zboží vyvezeného do Ruska o 0,5</w:t>
            </w:r>
            <w:r w:rsidR="005723B7">
              <w:rPr>
                <w:spacing w:val="-4"/>
              </w:rPr>
              <w:t> %</w:t>
            </w:r>
            <w:r>
              <w:rPr>
                <w:spacing w:val="-4"/>
              </w:rPr>
              <w:t xml:space="preserve"> a do Spojených států o 2,6</w:t>
            </w:r>
            <w:r w:rsidR="005723B7">
              <w:rPr>
                <w:spacing w:val="-4"/>
              </w:rPr>
              <w:t> %</w:t>
            </w:r>
            <w:r>
              <w:rPr>
                <w:spacing w:val="-4"/>
              </w:rPr>
              <w:t>.</w:t>
            </w:r>
          </w:p>
        </w:tc>
      </w:tr>
      <w:tr w:rsidR="00254069" w:rsidRPr="00A74192" w:rsidTr="006C3DC1">
        <w:tc>
          <w:tcPr>
            <w:tcW w:w="1015" w:type="pct"/>
          </w:tcPr>
          <w:p w:rsidR="00254069" w:rsidRPr="001841D7" w:rsidRDefault="00254069" w:rsidP="00333134">
            <w:pPr>
              <w:spacing w:line="240" w:lineRule="auto"/>
              <w:rPr>
                <w:sz w:val="16"/>
                <w:szCs w:val="16"/>
                <w:highlight w:val="yellow"/>
              </w:rPr>
            </w:pPr>
          </w:p>
        </w:tc>
        <w:tc>
          <w:tcPr>
            <w:tcW w:w="144" w:type="pct"/>
          </w:tcPr>
          <w:p w:rsidR="00254069" w:rsidRPr="002804BB" w:rsidRDefault="00254069" w:rsidP="00333134">
            <w:pPr>
              <w:pStyle w:val="Textpoznpodarou"/>
              <w:jc w:val="both"/>
              <w:rPr>
                <w:highlight w:val="yellow"/>
              </w:rPr>
            </w:pPr>
          </w:p>
        </w:tc>
        <w:tc>
          <w:tcPr>
            <w:tcW w:w="3841" w:type="pct"/>
            <w:gridSpan w:val="4"/>
          </w:tcPr>
          <w:p w:rsidR="00254069" w:rsidRDefault="00254069" w:rsidP="00333134">
            <w:pPr>
              <w:pStyle w:val="Textpoznpodarou"/>
              <w:jc w:val="both"/>
              <w:rPr>
                <w:spacing w:val="-4"/>
                <w:sz w:val="16"/>
                <w:szCs w:val="16"/>
              </w:rPr>
            </w:pPr>
            <w:r>
              <w:rPr>
                <w:spacing w:val="-4"/>
              </w:rPr>
              <w:t>Během prvních tří čtvrtletí roku výrazně rostl vývoz tří váhově nejvýznamnějších oddílů klasifikace produkce. Vývoz motorových vozidel v uvedeném období meziročně vzrostl o 8,4</w:t>
            </w:r>
            <w:r w:rsidR="005723B7">
              <w:rPr>
                <w:spacing w:val="-4"/>
              </w:rPr>
              <w:t> %</w:t>
            </w:r>
            <w:r>
              <w:rPr>
                <w:spacing w:val="-4"/>
              </w:rPr>
              <w:t>. Opět se mírně zvýšil jejich podíl na celkovém exportu (na 28,9</w:t>
            </w:r>
            <w:r w:rsidR="005723B7">
              <w:rPr>
                <w:spacing w:val="-4"/>
              </w:rPr>
              <w:t> %</w:t>
            </w:r>
            <w:r>
              <w:rPr>
                <w:spacing w:val="-4"/>
              </w:rPr>
              <w:t>). Nárůstu ve výši 8</w:t>
            </w:r>
            <w:r w:rsidR="005723B7">
              <w:rPr>
                <w:spacing w:val="-4"/>
              </w:rPr>
              <w:t> %</w:t>
            </w:r>
            <w:r>
              <w:rPr>
                <w:spacing w:val="-4"/>
              </w:rPr>
              <w:t xml:space="preserve"> dosáhly stroje a zařízení i elektrická zařízení. Naopak během 1.</w:t>
            </w:r>
            <w:r w:rsidR="00F66CA8" w:rsidRPr="00F66CA8">
              <w:rPr>
                <w:rFonts w:cs="Arial"/>
                <w:spacing w:val="-2"/>
              </w:rPr>
              <w:t> </w:t>
            </w:r>
            <w:r>
              <w:rPr>
                <w:spacing w:val="-4"/>
              </w:rPr>
              <w:t>až 3</w:t>
            </w:r>
            <w:r w:rsidR="005723B7">
              <w:rPr>
                <w:spacing w:val="-4"/>
              </w:rPr>
              <w:t>. čtvrtletí</w:t>
            </w:r>
            <w:r>
              <w:rPr>
                <w:spacing w:val="-4"/>
              </w:rPr>
              <w:t xml:space="preserve"> poklesl vývoz kovodělných výrobků o</w:t>
            </w:r>
            <w:r w:rsidR="001579FC">
              <w:rPr>
                <w:spacing w:val="-4"/>
              </w:rPr>
              <w:t> </w:t>
            </w:r>
            <w:r>
              <w:rPr>
                <w:spacing w:val="-4"/>
              </w:rPr>
              <w:t>3,5</w:t>
            </w:r>
            <w:r w:rsidR="005723B7">
              <w:rPr>
                <w:spacing w:val="-4"/>
              </w:rPr>
              <w:t> %</w:t>
            </w:r>
            <w:r>
              <w:rPr>
                <w:spacing w:val="-4"/>
              </w:rPr>
              <w:t xml:space="preserve"> (tento pokles byl způsoben 13,1% meziročním propadem v 1.</w:t>
            </w:r>
            <w:r w:rsidR="001579FC">
              <w:rPr>
                <w:spacing w:val="-4"/>
              </w:rPr>
              <w:t> </w:t>
            </w:r>
            <w:r>
              <w:rPr>
                <w:spacing w:val="-4"/>
              </w:rPr>
              <w:t>kvartálu, po zbytek roku vývoz mírně rostl) a potravinářských výrobků o 4,1</w:t>
            </w:r>
            <w:r w:rsidR="005723B7">
              <w:rPr>
                <w:spacing w:val="-4"/>
              </w:rPr>
              <w:t> %</w:t>
            </w:r>
            <w:r>
              <w:rPr>
                <w:spacing w:val="-4"/>
              </w:rPr>
              <w:t xml:space="preserve"> (zde trvá pokles již od 3</w:t>
            </w:r>
            <w:r w:rsidR="005723B7">
              <w:rPr>
                <w:spacing w:val="-4"/>
              </w:rPr>
              <w:t>. čtvrtletí</w:t>
            </w:r>
            <w:r>
              <w:rPr>
                <w:spacing w:val="-4"/>
              </w:rPr>
              <w:t xml:space="preserve"> roku 2016).</w:t>
            </w:r>
          </w:p>
          <w:p w:rsidR="00254069" w:rsidRPr="0072174F" w:rsidRDefault="00254069" w:rsidP="00333134">
            <w:pPr>
              <w:pStyle w:val="Textpoznpodarou"/>
              <w:jc w:val="both"/>
              <w:rPr>
                <w:spacing w:val="-4"/>
                <w:sz w:val="16"/>
                <w:szCs w:val="16"/>
              </w:rPr>
            </w:pPr>
          </w:p>
        </w:tc>
      </w:tr>
      <w:tr w:rsidR="00254069" w:rsidRPr="00A74192" w:rsidTr="006C3DC1">
        <w:tc>
          <w:tcPr>
            <w:tcW w:w="1015" w:type="pct"/>
          </w:tcPr>
          <w:p w:rsidR="00254069" w:rsidRPr="001841D7" w:rsidRDefault="00ED390A" w:rsidP="00333134">
            <w:pPr>
              <w:spacing w:line="240" w:lineRule="auto"/>
              <w:rPr>
                <w:sz w:val="16"/>
                <w:szCs w:val="16"/>
                <w:highlight w:val="yellow"/>
              </w:rPr>
            </w:pPr>
            <w:r w:rsidRPr="00ED390A">
              <w:rPr>
                <w:sz w:val="16"/>
                <w:szCs w:val="16"/>
              </w:rPr>
              <w:t xml:space="preserve">Dovoz tentokrát </w:t>
            </w:r>
            <w:r>
              <w:rPr>
                <w:sz w:val="16"/>
                <w:szCs w:val="16"/>
              </w:rPr>
              <w:t xml:space="preserve">meziročně </w:t>
            </w:r>
            <w:r w:rsidRPr="00ED390A">
              <w:rPr>
                <w:sz w:val="16"/>
                <w:szCs w:val="16"/>
              </w:rPr>
              <w:t>rostl rychleji než vývoz.</w:t>
            </w:r>
            <w:r>
              <w:rPr>
                <w:sz w:val="16"/>
                <w:szCs w:val="16"/>
              </w:rPr>
              <w:t xml:space="preserve"> Stále se projevoval rozdíl v cenách ropy a</w:t>
            </w:r>
            <w:r w:rsidR="00130A21">
              <w:rPr>
                <w:sz w:val="16"/>
                <w:szCs w:val="16"/>
              </w:rPr>
              <w:t> </w:t>
            </w:r>
            <w:r>
              <w:rPr>
                <w:sz w:val="16"/>
                <w:szCs w:val="16"/>
              </w:rPr>
              <w:t>zemního plynu, zvýšila se i hodnota importu základních kovů.</w:t>
            </w:r>
          </w:p>
        </w:tc>
        <w:tc>
          <w:tcPr>
            <w:tcW w:w="144" w:type="pct"/>
          </w:tcPr>
          <w:p w:rsidR="00254069" w:rsidRPr="002804BB" w:rsidRDefault="00254069" w:rsidP="00333134">
            <w:pPr>
              <w:pStyle w:val="Textpoznpodarou"/>
              <w:jc w:val="both"/>
              <w:rPr>
                <w:highlight w:val="yellow"/>
              </w:rPr>
            </w:pPr>
          </w:p>
        </w:tc>
        <w:tc>
          <w:tcPr>
            <w:tcW w:w="3841" w:type="pct"/>
            <w:gridSpan w:val="4"/>
          </w:tcPr>
          <w:p w:rsidR="00254069" w:rsidRDefault="00254069" w:rsidP="00333134">
            <w:pPr>
              <w:pStyle w:val="Textpoznpodarou"/>
              <w:jc w:val="both"/>
              <w:rPr>
                <w:spacing w:val="-4"/>
                <w:sz w:val="16"/>
                <w:szCs w:val="16"/>
              </w:rPr>
            </w:pPr>
            <w:r w:rsidRPr="002A36EC">
              <w:rPr>
                <w:spacing w:val="-4"/>
              </w:rPr>
              <w:t>Hodnota zboží dovezeného do Česka v 1. až 3</w:t>
            </w:r>
            <w:r w:rsidR="005723B7">
              <w:rPr>
                <w:spacing w:val="-4"/>
              </w:rPr>
              <w:t>. čtvrtletí</w:t>
            </w:r>
            <w:r w:rsidRPr="002A36EC">
              <w:rPr>
                <w:spacing w:val="-4"/>
              </w:rPr>
              <w:t xml:space="preserve"> roku dosáhla 2 47</w:t>
            </w:r>
            <w:r>
              <w:rPr>
                <w:spacing w:val="-4"/>
              </w:rPr>
              <w:t>5</w:t>
            </w:r>
            <w:r w:rsidRPr="002A36EC">
              <w:rPr>
                <w:spacing w:val="-4"/>
              </w:rPr>
              <w:t>,</w:t>
            </w:r>
            <w:r>
              <w:rPr>
                <w:spacing w:val="-4"/>
              </w:rPr>
              <w:t>8</w:t>
            </w:r>
            <w:r w:rsidR="006D164C">
              <w:rPr>
                <w:spacing w:val="-4"/>
              </w:rPr>
              <w:t> mld.</w:t>
            </w:r>
            <w:r w:rsidRPr="002A36EC">
              <w:rPr>
                <w:spacing w:val="-4"/>
              </w:rPr>
              <w:t xml:space="preserve"> korun. Ve </w:t>
            </w:r>
            <w:r>
              <w:rPr>
                <w:spacing w:val="-4"/>
              </w:rPr>
              <w:t>2. i 3</w:t>
            </w:r>
            <w:r w:rsidR="005723B7">
              <w:rPr>
                <w:spacing w:val="-4"/>
              </w:rPr>
              <w:t>. čtvrtletí</w:t>
            </w:r>
            <w:r w:rsidRPr="002A36EC">
              <w:rPr>
                <w:spacing w:val="-4"/>
              </w:rPr>
              <w:t xml:space="preserve"> roku 2017 rostl dovoz rychleji než vývoz a</w:t>
            </w:r>
            <w:r>
              <w:rPr>
                <w:spacing w:val="-4"/>
              </w:rPr>
              <w:t> </w:t>
            </w:r>
            <w:r w:rsidRPr="002A36EC">
              <w:rPr>
                <w:spacing w:val="-4"/>
              </w:rPr>
              <w:t>celkový meziroční přírůstek v uplynulých kvartálech dosáhl 6,</w:t>
            </w:r>
            <w:r>
              <w:rPr>
                <w:spacing w:val="-4"/>
              </w:rPr>
              <w:t>9</w:t>
            </w:r>
            <w:r w:rsidR="005723B7">
              <w:rPr>
                <w:spacing w:val="-4"/>
              </w:rPr>
              <w:t> %</w:t>
            </w:r>
            <w:r w:rsidRPr="002A36EC">
              <w:rPr>
                <w:spacing w:val="-4"/>
              </w:rPr>
              <w:t>, v samotném 3</w:t>
            </w:r>
            <w:r w:rsidR="005723B7">
              <w:rPr>
                <w:spacing w:val="-4"/>
              </w:rPr>
              <w:t>. čtvrtletí</w:t>
            </w:r>
            <w:r w:rsidRPr="002A36EC">
              <w:rPr>
                <w:spacing w:val="-4"/>
              </w:rPr>
              <w:t xml:space="preserve"> pak </w:t>
            </w:r>
            <w:r>
              <w:rPr>
                <w:spacing w:val="-4"/>
              </w:rPr>
              <w:t>5</w:t>
            </w:r>
            <w:r w:rsidRPr="002A36EC">
              <w:rPr>
                <w:spacing w:val="-4"/>
              </w:rPr>
              <w:t>,</w:t>
            </w:r>
            <w:r>
              <w:rPr>
                <w:spacing w:val="-4"/>
              </w:rPr>
              <w:t>1</w:t>
            </w:r>
            <w:r w:rsidR="005723B7">
              <w:rPr>
                <w:spacing w:val="-4"/>
              </w:rPr>
              <w:t> %</w:t>
            </w:r>
            <w:r w:rsidRPr="002A36EC">
              <w:rPr>
                <w:spacing w:val="-4"/>
              </w:rPr>
              <w:t>.</w:t>
            </w:r>
            <w:r>
              <w:rPr>
                <w:spacing w:val="-4"/>
              </w:rPr>
              <w:t xml:space="preserve"> Od začátku roku posílil především dovoz ze zemí mimo EU (o 12,9</w:t>
            </w:r>
            <w:r w:rsidR="005723B7">
              <w:rPr>
                <w:spacing w:val="-4"/>
              </w:rPr>
              <w:t> %</w:t>
            </w:r>
            <w:r>
              <w:rPr>
                <w:spacing w:val="-4"/>
              </w:rPr>
              <w:t>). Podíl na tom má hlavně import z Ruska, který meziročně vzrostl o 53,0</w:t>
            </w:r>
            <w:r w:rsidR="005723B7">
              <w:rPr>
                <w:spacing w:val="-4"/>
              </w:rPr>
              <w:t> %</w:t>
            </w:r>
            <w:r>
              <w:rPr>
                <w:spacing w:val="-4"/>
              </w:rPr>
              <w:t>. Stále se tak projevuje meziroční nárůst cen ropy a zemního plynu i zvýšený dovoz této komodity související se zotavením chemického průmyslu (nárůst hodnoty importu ropy a zemního plynu činil 51,9</w:t>
            </w:r>
            <w:r w:rsidR="005723B7">
              <w:rPr>
                <w:spacing w:val="-4"/>
              </w:rPr>
              <w:t> %</w:t>
            </w:r>
            <w:r>
              <w:rPr>
                <w:spacing w:val="-4"/>
              </w:rPr>
              <w:t>). Kromě toho výrazně rostla hodnota dovozu základních kovů o 21,3</w:t>
            </w:r>
            <w:r w:rsidR="005723B7">
              <w:rPr>
                <w:spacing w:val="-4"/>
              </w:rPr>
              <w:t> %</w:t>
            </w:r>
            <w:r>
              <w:rPr>
                <w:spacing w:val="-4"/>
              </w:rPr>
              <w:t>. Výrazněji nepolevoval meziroční růst dovozu motorových vozidel (11,8</w:t>
            </w:r>
            <w:r w:rsidR="005723B7">
              <w:rPr>
                <w:spacing w:val="-4"/>
              </w:rPr>
              <w:t> %</w:t>
            </w:r>
            <w:r>
              <w:rPr>
                <w:spacing w:val="-4"/>
              </w:rPr>
              <w:t xml:space="preserve"> od začátku roku, 13,0</w:t>
            </w:r>
            <w:r w:rsidR="005723B7">
              <w:rPr>
                <w:spacing w:val="-4"/>
              </w:rPr>
              <w:t> %</w:t>
            </w:r>
            <w:r>
              <w:rPr>
                <w:spacing w:val="-4"/>
              </w:rPr>
              <w:t xml:space="preserve"> ve 3</w:t>
            </w:r>
            <w:r w:rsidR="005723B7">
              <w:rPr>
                <w:spacing w:val="-4"/>
              </w:rPr>
              <w:t>. čtvrtletí</w:t>
            </w:r>
            <w:r>
              <w:rPr>
                <w:spacing w:val="-4"/>
              </w:rPr>
              <w:t>). Hodnota importu strojů a zařízení se ve 3</w:t>
            </w:r>
            <w:r w:rsidR="005723B7">
              <w:rPr>
                <w:spacing w:val="-4"/>
              </w:rPr>
              <w:t>. čtvrtletí</w:t>
            </w:r>
            <w:r>
              <w:rPr>
                <w:spacing w:val="-4"/>
              </w:rPr>
              <w:t xml:space="preserve"> meziročně zvýšila o 15,9</w:t>
            </w:r>
            <w:r w:rsidR="005723B7">
              <w:rPr>
                <w:spacing w:val="-4"/>
              </w:rPr>
              <w:t> %</w:t>
            </w:r>
            <w:r>
              <w:rPr>
                <w:spacing w:val="-4"/>
              </w:rPr>
              <w:t xml:space="preserve"> (nejvíce od začátku roku 2015). Výrazný pokles hodnoty importu v průběhu roku nastal u koksu a rafinovaných ropných </w:t>
            </w:r>
            <w:proofErr w:type="gramStart"/>
            <w:r>
              <w:rPr>
                <w:spacing w:val="-4"/>
              </w:rPr>
              <w:t>výrobků (</w:t>
            </w:r>
            <w:r w:rsidR="00602A2B">
              <w:rPr>
                <w:spacing w:val="-4"/>
              </w:rPr>
              <w:t>–</w:t>
            </w:r>
            <w:r>
              <w:rPr>
                <w:spacing w:val="-4"/>
              </w:rPr>
              <w:t>21,0</w:t>
            </w:r>
            <w:proofErr w:type="gramEnd"/>
            <w:r w:rsidR="005723B7">
              <w:rPr>
                <w:spacing w:val="-4"/>
              </w:rPr>
              <w:t> %</w:t>
            </w:r>
            <w:r>
              <w:rPr>
                <w:spacing w:val="-4"/>
              </w:rPr>
              <w:t>).</w:t>
            </w:r>
          </w:p>
          <w:p w:rsidR="00254069" w:rsidRPr="00902375" w:rsidRDefault="00254069" w:rsidP="00333134">
            <w:pPr>
              <w:pStyle w:val="Textpoznpodarou"/>
              <w:jc w:val="both"/>
              <w:rPr>
                <w:spacing w:val="-4"/>
                <w:sz w:val="16"/>
                <w:szCs w:val="16"/>
                <w:highlight w:val="yellow"/>
              </w:rPr>
            </w:pPr>
          </w:p>
        </w:tc>
      </w:tr>
      <w:tr w:rsidR="00DD0726" w:rsidRPr="00A74192" w:rsidTr="006C3DC1">
        <w:tc>
          <w:tcPr>
            <w:tcW w:w="1015" w:type="pct"/>
          </w:tcPr>
          <w:p w:rsidR="00DD0726" w:rsidRPr="002804BB" w:rsidRDefault="00DD0726" w:rsidP="006C3DC1">
            <w:pPr>
              <w:spacing w:line="240" w:lineRule="auto"/>
              <w:rPr>
                <w:sz w:val="16"/>
                <w:szCs w:val="16"/>
                <w:highlight w:val="yellow"/>
              </w:rPr>
            </w:pPr>
          </w:p>
        </w:tc>
        <w:tc>
          <w:tcPr>
            <w:tcW w:w="144" w:type="pct"/>
          </w:tcPr>
          <w:p w:rsidR="00DD0726" w:rsidRPr="00A74192" w:rsidRDefault="00DD0726" w:rsidP="006C3DC1">
            <w:pPr>
              <w:pStyle w:val="Textpoznpodarou"/>
              <w:jc w:val="both"/>
            </w:pPr>
          </w:p>
        </w:tc>
        <w:tc>
          <w:tcPr>
            <w:tcW w:w="653" w:type="pct"/>
            <w:gridSpan w:val="2"/>
          </w:tcPr>
          <w:p w:rsidR="00DD0726" w:rsidRPr="00DC21E2" w:rsidRDefault="00DD0726" w:rsidP="006C3DC1">
            <w:pPr>
              <w:pStyle w:val="Textpoznpodarou"/>
              <w:jc w:val="both"/>
              <w:rPr>
                <w:spacing w:val="-4"/>
                <w:sz w:val="16"/>
                <w:szCs w:val="16"/>
                <w:highlight w:val="yellow"/>
              </w:rPr>
            </w:pPr>
            <w:r w:rsidRPr="00DC21E2">
              <w:rPr>
                <w:spacing w:val="-4"/>
              </w:rPr>
              <w:t>Graf č. 10</w:t>
            </w:r>
          </w:p>
        </w:tc>
        <w:tc>
          <w:tcPr>
            <w:tcW w:w="3188" w:type="pct"/>
            <w:gridSpan w:val="2"/>
          </w:tcPr>
          <w:p w:rsidR="00DD0726" w:rsidRPr="00DC21E2" w:rsidRDefault="00DD0726" w:rsidP="006C3DC1">
            <w:pPr>
              <w:pStyle w:val="Textpoznpodarou"/>
              <w:rPr>
                <w:spacing w:val="-4"/>
                <w:sz w:val="16"/>
                <w:szCs w:val="16"/>
                <w:highlight w:val="yellow"/>
              </w:rPr>
            </w:pPr>
            <w:r w:rsidRPr="00DC21E2">
              <w:rPr>
                <w:b/>
                <w:spacing w:val="-4"/>
              </w:rPr>
              <w:t xml:space="preserve">Bilance zahraničního obchodu* ve statistice zahraničního obchodu </w:t>
            </w:r>
            <w:r w:rsidRPr="00DC21E2">
              <w:rPr>
                <w:spacing w:val="-4"/>
              </w:rPr>
              <w:t>(kumulace 1. a</w:t>
            </w:r>
            <w:r w:rsidR="00131FFA">
              <w:rPr>
                <w:spacing w:val="-4"/>
              </w:rPr>
              <w:t>ž 3</w:t>
            </w:r>
            <w:r w:rsidR="005723B7">
              <w:rPr>
                <w:spacing w:val="-4"/>
              </w:rPr>
              <w:t>. čtvrtletí</w:t>
            </w:r>
            <w:r w:rsidRPr="00DC21E2">
              <w:rPr>
                <w:spacing w:val="-4"/>
              </w:rPr>
              <w:t>, v</w:t>
            </w:r>
            <w:r w:rsidR="006D164C">
              <w:rPr>
                <w:spacing w:val="-4"/>
              </w:rPr>
              <w:t> mld.</w:t>
            </w:r>
            <w:r w:rsidRPr="00DC21E2">
              <w:rPr>
                <w:spacing w:val="-4"/>
              </w:rPr>
              <w:t> korun, vybrané oddíly klasifikace CPA)</w:t>
            </w:r>
          </w:p>
        </w:tc>
      </w:tr>
      <w:tr w:rsidR="00254069" w:rsidRPr="00A74192" w:rsidTr="006C3DC1">
        <w:tc>
          <w:tcPr>
            <w:tcW w:w="1015" w:type="pct"/>
          </w:tcPr>
          <w:p w:rsidR="00254069" w:rsidRPr="002804BB" w:rsidRDefault="00254069" w:rsidP="006C3DC1">
            <w:pPr>
              <w:spacing w:line="240" w:lineRule="auto"/>
              <w:rPr>
                <w:sz w:val="16"/>
                <w:szCs w:val="16"/>
                <w:highlight w:val="yellow"/>
              </w:rPr>
            </w:pPr>
          </w:p>
        </w:tc>
        <w:tc>
          <w:tcPr>
            <w:tcW w:w="144" w:type="pct"/>
          </w:tcPr>
          <w:p w:rsidR="00254069" w:rsidRPr="00A74192" w:rsidRDefault="00254069" w:rsidP="006C3DC1">
            <w:pPr>
              <w:pStyle w:val="Textpoznpodarou"/>
              <w:jc w:val="both"/>
            </w:pPr>
          </w:p>
        </w:tc>
        <w:tc>
          <w:tcPr>
            <w:tcW w:w="3841" w:type="pct"/>
            <w:gridSpan w:val="4"/>
          </w:tcPr>
          <w:p w:rsidR="00254069" w:rsidRPr="00DC21E2" w:rsidRDefault="00254069" w:rsidP="00333134">
            <w:pPr>
              <w:pStyle w:val="Textpoznpodarou"/>
              <w:ind w:left="-73"/>
              <w:jc w:val="right"/>
              <w:rPr>
                <w:spacing w:val="-4"/>
                <w:sz w:val="14"/>
                <w:szCs w:val="14"/>
              </w:rPr>
            </w:pPr>
            <w:r w:rsidRPr="003C1AD4">
              <w:rPr>
                <w:noProof/>
                <w:spacing w:val="-4"/>
                <w:sz w:val="14"/>
                <w:szCs w:val="14"/>
              </w:rPr>
              <w:drawing>
                <wp:inline distT="0" distB="0" distL="0" distR="0">
                  <wp:extent cx="4737600" cy="3553200"/>
                  <wp:effectExtent l="19050" t="0" r="0" b="0"/>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254069" w:rsidRPr="008F1638" w:rsidTr="006C3DC1">
        <w:tc>
          <w:tcPr>
            <w:tcW w:w="1015" w:type="pct"/>
          </w:tcPr>
          <w:p w:rsidR="00254069" w:rsidRPr="00F35066" w:rsidRDefault="00254069" w:rsidP="006C3DC1">
            <w:pPr>
              <w:spacing w:line="240" w:lineRule="auto"/>
              <w:rPr>
                <w:sz w:val="16"/>
                <w:szCs w:val="16"/>
              </w:rPr>
            </w:pPr>
          </w:p>
        </w:tc>
        <w:tc>
          <w:tcPr>
            <w:tcW w:w="144" w:type="pct"/>
          </w:tcPr>
          <w:p w:rsidR="00254069" w:rsidRPr="002804BB" w:rsidRDefault="00254069" w:rsidP="006C3DC1">
            <w:pPr>
              <w:pStyle w:val="Textpoznpodarou"/>
              <w:jc w:val="both"/>
              <w:rPr>
                <w:highlight w:val="yellow"/>
              </w:rPr>
            </w:pPr>
          </w:p>
        </w:tc>
        <w:tc>
          <w:tcPr>
            <w:tcW w:w="1948" w:type="pct"/>
            <w:gridSpan w:val="3"/>
          </w:tcPr>
          <w:p w:rsidR="00254069" w:rsidRPr="00DC21E2" w:rsidRDefault="00254069" w:rsidP="006C3DC1">
            <w:pPr>
              <w:pStyle w:val="Textpoznpodarou"/>
              <w:jc w:val="both"/>
              <w:rPr>
                <w:spacing w:val="-4"/>
                <w:sz w:val="14"/>
                <w:szCs w:val="14"/>
              </w:rPr>
            </w:pPr>
            <w:r w:rsidRPr="00DC21E2">
              <w:rPr>
                <w:spacing w:val="-4"/>
                <w:sz w:val="14"/>
                <w:szCs w:val="14"/>
              </w:rPr>
              <w:t>*</w:t>
            </w:r>
            <w:r w:rsidR="00602A2B">
              <w:rPr>
                <w:spacing w:val="-4"/>
                <w:sz w:val="14"/>
                <w:szCs w:val="14"/>
              </w:rPr>
              <w:t xml:space="preserve"> V</w:t>
            </w:r>
            <w:r w:rsidRPr="00DC21E2">
              <w:rPr>
                <w:spacing w:val="-4"/>
                <w:sz w:val="14"/>
                <w:szCs w:val="14"/>
              </w:rPr>
              <w:t xml:space="preserve"> národním pojetí</w:t>
            </w:r>
          </w:p>
        </w:tc>
        <w:tc>
          <w:tcPr>
            <w:tcW w:w="1893" w:type="pct"/>
          </w:tcPr>
          <w:p w:rsidR="00254069" w:rsidRPr="00DC21E2" w:rsidRDefault="00254069" w:rsidP="006C3DC1">
            <w:pPr>
              <w:pStyle w:val="Textpoznpodarou"/>
              <w:jc w:val="right"/>
              <w:rPr>
                <w:spacing w:val="-4"/>
                <w:sz w:val="14"/>
                <w:szCs w:val="14"/>
              </w:rPr>
            </w:pPr>
            <w:r w:rsidRPr="00DC21E2">
              <w:rPr>
                <w:spacing w:val="-4"/>
                <w:sz w:val="14"/>
                <w:szCs w:val="14"/>
              </w:rPr>
              <w:t>Zdroj: ČSÚ</w:t>
            </w:r>
          </w:p>
          <w:p w:rsidR="00254069" w:rsidRPr="00DC21E2" w:rsidRDefault="00254069" w:rsidP="006C3DC1">
            <w:pPr>
              <w:pStyle w:val="Textpoznpodarou"/>
              <w:jc w:val="right"/>
              <w:rPr>
                <w:spacing w:val="-4"/>
                <w:sz w:val="14"/>
                <w:szCs w:val="14"/>
              </w:rPr>
            </w:pPr>
          </w:p>
        </w:tc>
      </w:tr>
      <w:tr w:rsidR="00254069" w:rsidRPr="00A74192" w:rsidTr="006C3DC1">
        <w:tc>
          <w:tcPr>
            <w:tcW w:w="1015" w:type="pct"/>
          </w:tcPr>
          <w:p w:rsidR="00254069" w:rsidRPr="001841D7" w:rsidRDefault="00ED390A" w:rsidP="00333134">
            <w:pPr>
              <w:spacing w:line="240" w:lineRule="auto"/>
              <w:rPr>
                <w:sz w:val="16"/>
                <w:szCs w:val="16"/>
                <w:highlight w:val="yellow"/>
              </w:rPr>
            </w:pPr>
            <w:r w:rsidRPr="00ED390A">
              <w:rPr>
                <w:sz w:val="16"/>
                <w:szCs w:val="16"/>
              </w:rPr>
              <w:t xml:space="preserve">Bilance </w:t>
            </w:r>
            <w:r>
              <w:rPr>
                <w:sz w:val="16"/>
                <w:szCs w:val="16"/>
              </w:rPr>
              <w:t xml:space="preserve">zahraničního obchodu </w:t>
            </w:r>
            <w:r w:rsidRPr="00ED390A">
              <w:rPr>
                <w:sz w:val="16"/>
                <w:szCs w:val="16"/>
              </w:rPr>
              <w:t>se meziročně snížila o 14,0</w:t>
            </w:r>
            <w:r w:rsidR="006D164C">
              <w:rPr>
                <w:sz w:val="16"/>
                <w:szCs w:val="16"/>
              </w:rPr>
              <w:t> mld.</w:t>
            </w:r>
            <w:r w:rsidRPr="00ED390A">
              <w:rPr>
                <w:sz w:val="16"/>
                <w:szCs w:val="16"/>
              </w:rPr>
              <w:t xml:space="preserve"> korun.</w:t>
            </w:r>
          </w:p>
        </w:tc>
        <w:tc>
          <w:tcPr>
            <w:tcW w:w="144" w:type="pct"/>
          </w:tcPr>
          <w:p w:rsidR="00254069" w:rsidRPr="002804BB" w:rsidRDefault="00254069" w:rsidP="00333134">
            <w:pPr>
              <w:pStyle w:val="Textpoznpodarou"/>
              <w:jc w:val="both"/>
              <w:rPr>
                <w:highlight w:val="yellow"/>
              </w:rPr>
            </w:pPr>
          </w:p>
        </w:tc>
        <w:tc>
          <w:tcPr>
            <w:tcW w:w="3841" w:type="pct"/>
            <w:gridSpan w:val="4"/>
          </w:tcPr>
          <w:p w:rsidR="00254069" w:rsidRPr="0014598D" w:rsidRDefault="00254069" w:rsidP="00333134">
            <w:pPr>
              <w:pStyle w:val="Textpoznpodarou"/>
              <w:jc w:val="both"/>
              <w:rPr>
                <w:spacing w:val="-4"/>
              </w:rPr>
            </w:pPr>
            <w:r>
              <w:rPr>
                <w:spacing w:val="-4"/>
              </w:rPr>
              <w:t>Zahraniční obchod se zbožím v průběhu 1. až 3</w:t>
            </w:r>
            <w:r w:rsidR="005723B7">
              <w:rPr>
                <w:spacing w:val="-4"/>
              </w:rPr>
              <w:t>. čtvrtletí</w:t>
            </w:r>
            <w:r>
              <w:rPr>
                <w:spacing w:val="-4"/>
              </w:rPr>
              <w:t xml:space="preserve"> roku dosáhl přebytku bilance ve výši 135,0</w:t>
            </w:r>
            <w:r w:rsidR="006D164C">
              <w:rPr>
                <w:spacing w:val="-4"/>
              </w:rPr>
              <w:t> mld.</w:t>
            </w:r>
            <w:r>
              <w:rPr>
                <w:spacing w:val="-4"/>
              </w:rPr>
              <w:t xml:space="preserve"> korun. V porovnání se stejným obdobím předchozího roku se přebytek snížil o 14,0</w:t>
            </w:r>
            <w:r w:rsidR="006D164C">
              <w:rPr>
                <w:spacing w:val="-4"/>
              </w:rPr>
              <w:t> mld.</w:t>
            </w:r>
            <w:r>
              <w:rPr>
                <w:spacing w:val="-4"/>
              </w:rPr>
              <w:t xml:space="preserve"> korun. Přitom ve 3</w:t>
            </w:r>
            <w:r w:rsidR="005723B7">
              <w:rPr>
                <w:spacing w:val="-4"/>
              </w:rPr>
              <w:t>. čtvrtletí</w:t>
            </w:r>
            <w:r>
              <w:rPr>
                <w:spacing w:val="-4"/>
              </w:rPr>
              <w:t xml:space="preserve"> činil přebytek zahraničního obchodu 18,3</w:t>
            </w:r>
            <w:r w:rsidR="006D164C">
              <w:rPr>
                <w:spacing w:val="-4"/>
              </w:rPr>
              <w:t> mld.</w:t>
            </w:r>
            <w:r>
              <w:rPr>
                <w:spacing w:val="-4"/>
              </w:rPr>
              <w:t xml:space="preserve"> korun a meziročně se snížil o 8,1</w:t>
            </w:r>
            <w:r w:rsidR="006D164C">
              <w:rPr>
                <w:spacing w:val="-4"/>
              </w:rPr>
              <w:t> mld.</w:t>
            </w:r>
            <w:r>
              <w:rPr>
                <w:spacing w:val="-4"/>
              </w:rPr>
              <w:t xml:space="preserve"> Pokračoval trend zvyšování přebytku se zeměmi</w:t>
            </w:r>
            <w:r w:rsidR="00602A2B">
              <w:rPr>
                <w:spacing w:val="-4"/>
              </w:rPr>
              <w:t> </w:t>
            </w:r>
            <w:r>
              <w:rPr>
                <w:spacing w:val="-4"/>
              </w:rPr>
              <w:t>EU (o</w:t>
            </w:r>
            <w:r w:rsidR="00602A2B">
              <w:rPr>
                <w:spacing w:val="-4"/>
              </w:rPr>
              <w:t> </w:t>
            </w:r>
            <w:r>
              <w:rPr>
                <w:spacing w:val="-4"/>
              </w:rPr>
              <w:t>44,5</w:t>
            </w:r>
            <w:r w:rsidR="006D164C">
              <w:rPr>
                <w:spacing w:val="-4"/>
              </w:rPr>
              <w:t> mld.</w:t>
            </w:r>
            <w:r>
              <w:rPr>
                <w:spacing w:val="-4"/>
              </w:rPr>
              <w:t xml:space="preserve"> za 1. až 3</w:t>
            </w:r>
            <w:r w:rsidR="005723B7">
              <w:rPr>
                <w:spacing w:val="-4"/>
              </w:rPr>
              <w:t>. čtvrtletí</w:t>
            </w:r>
            <w:r>
              <w:rPr>
                <w:spacing w:val="-4"/>
              </w:rPr>
              <w:t>). Naopak se prohlubovalo záporné saldo obchodu se zeměmi mimo</w:t>
            </w:r>
            <w:r w:rsidR="00602A2B">
              <w:rPr>
                <w:spacing w:val="-4"/>
              </w:rPr>
              <w:t> </w:t>
            </w:r>
            <w:r>
              <w:rPr>
                <w:spacing w:val="-4"/>
              </w:rPr>
              <w:t>EU (o</w:t>
            </w:r>
            <w:r w:rsidR="00602A2B">
              <w:rPr>
                <w:spacing w:val="-4"/>
              </w:rPr>
              <w:t> </w:t>
            </w:r>
            <w:r>
              <w:rPr>
                <w:spacing w:val="-4"/>
              </w:rPr>
              <w:t>60,2</w:t>
            </w:r>
            <w:r w:rsidR="006D164C">
              <w:rPr>
                <w:spacing w:val="-4"/>
              </w:rPr>
              <w:t> mld.</w:t>
            </w:r>
            <w:r>
              <w:rPr>
                <w:spacing w:val="-4"/>
              </w:rPr>
              <w:t>, nejvýraznější je propad u</w:t>
            </w:r>
            <w:r w:rsidR="00602A2B">
              <w:rPr>
                <w:spacing w:val="-4"/>
              </w:rPr>
              <w:t> </w:t>
            </w:r>
            <w:r>
              <w:rPr>
                <w:spacing w:val="-4"/>
              </w:rPr>
              <w:t>Ruska o</w:t>
            </w:r>
            <w:r w:rsidR="00602A2B">
              <w:rPr>
                <w:spacing w:val="-4"/>
              </w:rPr>
              <w:t> </w:t>
            </w:r>
            <w:r>
              <w:rPr>
                <w:spacing w:val="-4"/>
              </w:rPr>
              <w:t>25,4</w:t>
            </w:r>
            <w:r w:rsidR="006D164C">
              <w:rPr>
                <w:spacing w:val="-4"/>
              </w:rPr>
              <w:t> mld.</w:t>
            </w:r>
            <w:r>
              <w:rPr>
                <w:spacing w:val="-4"/>
              </w:rPr>
              <w:t xml:space="preserve"> korun). To koresponduje i s pohledem na bilanci u jednotlivých zbožových oddílů. Výrazné prohloubení deficitu bilance nastalo u ropy a zemního plynu a základních kovů. Naopak přebytek obchodu s motorovými vozidly nebo stroji a zařízeními se opět navýšil.</w:t>
            </w:r>
          </w:p>
        </w:tc>
      </w:tr>
    </w:tbl>
    <w:p w:rsidR="00DD0726" w:rsidRPr="00A74192" w:rsidRDefault="00DD0726" w:rsidP="00DD0726">
      <w:pPr>
        <w:pStyle w:val="Nadpis1"/>
        <w:numPr>
          <w:ilvl w:val="0"/>
          <w:numId w:val="12"/>
        </w:numPr>
        <w:ind w:left="709"/>
        <w:jc w:val="both"/>
      </w:pPr>
      <w:bookmarkStart w:id="13" w:name="_Toc501441380"/>
      <w:bookmarkStart w:id="14" w:name="_Toc454185153"/>
      <w:bookmarkEnd w:id="12"/>
      <w:r w:rsidRPr="00A74192">
        <w:lastRenderedPageBreak/>
        <w:t>Ceny</w:t>
      </w:r>
      <w:bookmarkEnd w:id="13"/>
    </w:p>
    <w:tbl>
      <w:tblPr>
        <w:tblW w:w="4963" w:type="pct"/>
        <w:tblInd w:w="108" w:type="dxa"/>
        <w:tblLayout w:type="fixed"/>
        <w:tblLook w:val="00A0"/>
      </w:tblPr>
      <w:tblGrid>
        <w:gridCol w:w="1985"/>
        <w:gridCol w:w="282"/>
        <w:gridCol w:w="1135"/>
        <w:gridCol w:w="6379"/>
      </w:tblGrid>
      <w:tr w:rsidR="00254069" w:rsidRPr="00A74192" w:rsidTr="006C3DC1">
        <w:tc>
          <w:tcPr>
            <w:tcW w:w="1015" w:type="pct"/>
          </w:tcPr>
          <w:p w:rsidR="00254069" w:rsidRPr="00A74192" w:rsidRDefault="00254069" w:rsidP="00333134">
            <w:pPr>
              <w:spacing w:line="240" w:lineRule="auto"/>
              <w:ind w:right="-19"/>
              <w:rPr>
                <w:sz w:val="16"/>
                <w:szCs w:val="16"/>
              </w:rPr>
            </w:pPr>
            <w:r>
              <w:rPr>
                <w:sz w:val="16"/>
                <w:szCs w:val="16"/>
              </w:rPr>
              <w:t>Celkový meziroční růst cen v ekonomice dosáhl 1,6</w:t>
            </w:r>
            <w:r w:rsidR="005723B7">
              <w:rPr>
                <w:sz w:val="16"/>
                <w:szCs w:val="16"/>
              </w:rPr>
              <w:t> %</w:t>
            </w:r>
            <w:r>
              <w:rPr>
                <w:sz w:val="16"/>
                <w:szCs w:val="16"/>
              </w:rPr>
              <w:t>.</w:t>
            </w:r>
          </w:p>
        </w:tc>
        <w:tc>
          <w:tcPr>
            <w:tcW w:w="144" w:type="pct"/>
          </w:tcPr>
          <w:p w:rsidR="00254069" w:rsidRPr="00A74192" w:rsidRDefault="00254069" w:rsidP="00333134">
            <w:pPr>
              <w:pStyle w:val="Textpoznpodarou"/>
              <w:jc w:val="both"/>
            </w:pPr>
          </w:p>
        </w:tc>
        <w:tc>
          <w:tcPr>
            <w:tcW w:w="3841" w:type="pct"/>
            <w:gridSpan w:val="2"/>
          </w:tcPr>
          <w:p w:rsidR="00254069" w:rsidRDefault="00254069" w:rsidP="00333134">
            <w:pPr>
              <w:pStyle w:val="Textpoznpodarou"/>
              <w:ind w:right="-35"/>
              <w:jc w:val="both"/>
              <w:rPr>
                <w:spacing w:val="-4"/>
                <w:sz w:val="16"/>
                <w:szCs w:val="16"/>
              </w:rPr>
            </w:pPr>
            <w:r>
              <w:rPr>
                <w:spacing w:val="-4"/>
              </w:rPr>
              <w:t>Celkový meziroční růst cenové hladiny v Česku měřený deflátorem HDP dosáhl 1,6</w:t>
            </w:r>
            <w:r w:rsidR="005723B7">
              <w:rPr>
                <w:spacing w:val="-4"/>
              </w:rPr>
              <w:t> %</w:t>
            </w:r>
            <w:r>
              <w:rPr>
                <w:spacing w:val="-4"/>
              </w:rPr>
              <w:t>. Ve směru růstu cenové hladiny kladně působil deflátor výdajů na spotřebu domácností (2,4</w:t>
            </w:r>
            <w:r w:rsidR="005723B7">
              <w:rPr>
                <w:spacing w:val="-4"/>
              </w:rPr>
              <w:t> %</w:t>
            </w:r>
            <w:r>
              <w:rPr>
                <w:spacing w:val="-4"/>
              </w:rPr>
              <w:t>) a</w:t>
            </w:r>
            <w:r w:rsidR="00B6206C">
              <w:rPr>
                <w:spacing w:val="-4"/>
              </w:rPr>
              <w:t xml:space="preserve"> </w:t>
            </w:r>
            <w:r>
              <w:rPr>
                <w:spacing w:val="-4"/>
              </w:rPr>
              <w:t>vládních institucí (3,8</w:t>
            </w:r>
            <w:r w:rsidR="005723B7">
              <w:rPr>
                <w:spacing w:val="-4"/>
              </w:rPr>
              <w:t> %</w:t>
            </w:r>
            <w:r>
              <w:rPr>
                <w:spacing w:val="-4"/>
              </w:rPr>
              <w:t>). Rostly i ceny kapitálových statků (1,4</w:t>
            </w:r>
            <w:r w:rsidR="005723B7">
              <w:rPr>
                <w:spacing w:val="-4"/>
              </w:rPr>
              <w:t> %</w:t>
            </w:r>
            <w:r>
              <w:rPr>
                <w:spacing w:val="-4"/>
              </w:rPr>
              <w:t>). Negativně působily pouze směnné relace. Ceny vývozu totiž klesaly rychleji než ceny dovozu.</w:t>
            </w:r>
          </w:p>
          <w:p w:rsidR="00254069" w:rsidRPr="00A747C1" w:rsidRDefault="00254069" w:rsidP="00333134">
            <w:pPr>
              <w:pStyle w:val="Textpoznpodarou"/>
              <w:ind w:right="-35"/>
              <w:jc w:val="both"/>
              <w:rPr>
                <w:spacing w:val="-4"/>
                <w:sz w:val="16"/>
                <w:szCs w:val="16"/>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Meziroční růst spotřebitelských cen zůstal nad 2</w:t>
            </w:r>
            <w:r w:rsidR="005723B7">
              <w:rPr>
                <w:spacing w:val="-4"/>
                <w:sz w:val="16"/>
                <w:szCs w:val="16"/>
              </w:rPr>
              <w:t> %</w:t>
            </w:r>
            <w:r>
              <w:rPr>
                <w:spacing w:val="-4"/>
                <w:sz w:val="16"/>
                <w:szCs w:val="16"/>
              </w:rPr>
              <w:t>.</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Spotřebitelské ceny ve 3</w:t>
            </w:r>
            <w:r w:rsidR="005723B7">
              <w:rPr>
                <w:spacing w:val="-4"/>
              </w:rPr>
              <w:t>. čtvrtletí</w:t>
            </w:r>
            <w:r>
              <w:rPr>
                <w:spacing w:val="-4"/>
              </w:rPr>
              <w:t xml:space="preserve"> meziročně vzrostly o 2,5</w:t>
            </w:r>
            <w:r w:rsidR="005723B7">
              <w:rPr>
                <w:spacing w:val="-4"/>
              </w:rPr>
              <w:t> %</w:t>
            </w:r>
            <w:r>
              <w:rPr>
                <w:spacing w:val="-4"/>
              </w:rPr>
              <w:t xml:space="preserve">, což bylo nejvíce </w:t>
            </w:r>
            <w:r w:rsidRPr="009402D5">
              <w:t>od</w:t>
            </w:r>
            <w:r>
              <w:t> </w:t>
            </w:r>
            <w:r w:rsidRPr="009402D5">
              <w:t>začátku</w:t>
            </w:r>
            <w:r>
              <w:rPr>
                <w:spacing w:val="-4"/>
              </w:rPr>
              <w:t xml:space="preserve"> roku. Celkový meziroční růst spotřebitelských cen za uplynulá tři čtvrtletí pak dosáhl 2,4</w:t>
            </w:r>
            <w:r w:rsidR="005723B7">
              <w:rPr>
                <w:spacing w:val="-4"/>
              </w:rPr>
              <w:t> %</w:t>
            </w:r>
            <w:r>
              <w:rPr>
                <w:spacing w:val="-4"/>
              </w:rPr>
              <w:t>. Z hlavních složek spotřebního koše nejsilněji ovlivnily růst cen ve 3</w:t>
            </w:r>
            <w:r w:rsidR="005723B7">
              <w:rPr>
                <w:spacing w:val="-4"/>
              </w:rPr>
              <w:t>. čtvrtletí</w:t>
            </w:r>
            <w:r>
              <w:rPr>
                <w:spacing w:val="-4"/>
              </w:rPr>
              <w:t xml:space="preserve"> potraviny a nealkoholické nápoje (1,0</w:t>
            </w:r>
            <w:r w:rsidR="00CE0849">
              <w:rPr>
                <w:spacing w:val="-4"/>
              </w:rPr>
              <w:t> p. </w:t>
            </w:r>
            <w:proofErr w:type="spellStart"/>
            <w:r w:rsidR="00CE0849">
              <w:rPr>
                <w:spacing w:val="-4"/>
              </w:rPr>
              <w:t>b</w:t>
            </w:r>
            <w:proofErr w:type="spellEnd"/>
            <w:r w:rsidR="00CE0849">
              <w:rPr>
                <w:spacing w:val="-4"/>
              </w:rPr>
              <w:t>.</w:t>
            </w:r>
            <w:r>
              <w:rPr>
                <w:spacing w:val="-4"/>
              </w:rPr>
              <w:t>), bydlení, voda, energie a paliva (0,5</w:t>
            </w:r>
            <w:r w:rsidR="00CE0849">
              <w:rPr>
                <w:spacing w:val="-4"/>
              </w:rPr>
              <w:t> p. </w:t>
            </w:r>
            <w:proofErr w:type="spellStart"/>
            <w:r w:rsidR="00CE0849">
              <w:rPr>
                <w:spacing w:val="-4"/>
              </w:rPr>
              <w:t>b</w:t>
            </w:r>
            <w:proofErr w:type="spellEnd"/>
            <w:r w:rsidR="00CE0849">
              <w:rPr>
                <w:spacing w:val="-4"/>
              </w:rPr>
              <w:t>.</w:t>
            </w:r>
            <w:r>
              <w:rPr>
                <w:spacing w:val="-4"/>
              </w:rPr>
              <w:t>) a stravování a ubytování (0,4</w:t>
            </w:r>
            <w:r w:rsidR="00CE0849">
              <w:rPr>
                <w:spacing w:val="-4"/>
              </w:rPr>
              <w:t> p. </w:t>
            </w:r>
            <w:proofErr w:type="spellStart"/>
            <w:r w:rsidR="00CE0849">
              <w:rPr>
                <w:spacing w:val="-4"/>
              </w:rPr>
              <w:t>b</w:t>
            </w:r>
            <w:proofErr w:type="spellEnd"/>
            <w:r w:rsidR="00CE0849">
              <w:rPr>
                <w:spacing w:val="-4"/>
              </w:rPr>
              <w:t>.</w:t>
            </w:r>
            <w:r>
              <w:rPr>
                <w:spacing w:val="-4"/>
              </w:rPr>
              <w:t>). V trojici položek s největším vlivem na celkový růst cen tak ve 3</w:t>
            </w:r>
            <w:r w:rsidR="005723B7">
              <w:rPr>
                <w:spacing w:val="-4"/>
              </w:rPr>
              <w:t>. čtvrtletí</w:t>
            </w:r>
            <w:r>
              <w:rPr>
                <w:spacing w:val="-4"/>
              </w:rPr>
              <w:t xml:space="preserve"> nebyla zastoupena doprava, která přispěla 0,3</w:t>
            </w:r>
            <w:r w:rsidR="00CE0849">
              <w:rPr>
                <w:spacing w:val="-4"/>
              </w:rPr>
              <w:t> p. </w:t>
            </w:r>
            <w:proofErr w:type="spellStart"/>
            <w:r w:rsidR="00CE0849">
              <w:rPr>
                <w:spacing w:val="-4"/>
              </w:rPr>
              <w:t>b</w:t>
            </w:r>
            <w:proofErr w:type="spellEnd"/>
            <w:r w:rsidR="00CE0849">
              <w:rPr>
                <w:spacing w:val="-4"/>
              </w:rPr>
              <w:t>.</w:t>
            </w:r>
          </w:p>
          <w:p w:rsidR="00254069" w:rsidRPr="00E21F0E" w:rsidRDefault="00254069" w:rsidP="00333134">
            <w:pPr>
              <w:pStyle w:val="Textpoznpodarou"/>
              <w:ind w:right="-35"/>
              <w:jc w:val="both"/>
              <w:rPr>
                <w:spacing w:val="-4"/>
                <w:sz w:val="16"/>
                <w:szCs w:val="16"/>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 xml:space="preserve">K růstu přispěly ceny potravin i bydlení. </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jc w:val="both"/>
              <w:rPr>
                <w:spacing w:val="-4"/>
                <w:sz w:val="16"/>
                <w:szCs w:val="16"/>
              </w:rPr>
            </w:pPr>
            <w:r>
              <w:rPr>
                <w:spacing w:val="-4"/>
              </w:rPr>
              <w:t>Ceny výše zmíněných potravin a nealkoholických nápojů ve 3</w:t>
            </w:r>
            <w:r w:rsidR="005723B7">
              <w:rPr>
                <w:spacing w:val="-4"/>
              </w:rPr>
              <w:t>. čtvrtletí</w:t>
            </w:r>
            <w:r>
              <w:rPr>
                <w:spacing w:val="-4"/>
              </w:rPr>
              <w:t xml:space="preserve"> meziročně vzrostly o 5,7</w:t>
            </w:r>
            <w:r w:rsidR="005723B7">
              <w:rPr>
                <w:spacing w:val="-4"/>
              </w:rPr>
              <w:t> %</w:t>
            </w:r>
            <w:r>
              <w:rPr>
                <w:spacing w:val="-4"/>
              </w:rPr>
              <w:t xml:space="preserve">, což je </w:t>
            </w:r>
            <w:r w:rsidR="00487E32">
              <w:rPr>
                <w:spacing w:val="-4"/>
              </w:rPr>
              <w:t xml:space="preserve">růst </w:t>
            </w:r>
            <w:r>
              <w:rPr>
                <w:spacing w:val="-4"/>
              </w:rPr>
              <w:t>o více než 1</w:t>
            </w:r>
            <w:r w:rsidR="00CE0849">
              <w:rPr>
                <w:spacing w:val="-4"/>
              </w:rPr>
              <w:t> p. </w:t>
            </w:r>
            <w:proofErr w:type="spellStart"/>
            <w:r w:rsidR="00CE0849">
              <w:rPr>
                <w:spacing w:val="-4"/>
              </w:rPr>
              <w:t>b</w:t>
            </w:r>
            <w:proofErr w:type="spellEnd"/>
            <w:r w:rsidR="00CE0849">
              <w:rPr>
                <w:spacing w:val="-4"/>
              </w:rPr>
              <w:t>.</w:t>
            </w:r>
            <w:r>
              <w:rPr>
                <w:spacing w:val="-4"/>
              </w:rPr>
              <w:t xml:space="preserve"> </w:t>
            </w:r>
            <w:proofErr w:type="gramStart"/>
            <w:r>
              <w:rPr>
                <w:spacing w:val="-4"/>
              </w:rPr>
              <w:t>vyšší</w:t>
            </w:r>
            <w:proofErr w:type="gramEnd"/>
            <w:r>
              <w:rPr>
                <w:spacing w:val="-4"/>
              </w:rPr>
              <w:t xml:space="preserve"> než v předchozích dvou kvartálech. Popsané zrychlení růstu lze přičíst především meziročnímu zvýšení cen mléka, sýrů a vajec o 12,9</w:t>
            </w:r>
            <w:r w:rsidR="005723B7">
              <w:rPr>
                <w:spacing w:val="-4"/>
              </w:rPr>
              <w:t> %</w:t>
            </w:r>
            <w:r>
              <w:rPr>
                <w:spacing w:val="-4"/>
              </w:rPr>
              <w:t xml:space="preserve"> (v porovnání s předchozím čtvrtletím více o 3,1</w:t>
            </w:r>
            <w:r w:rsidR="00CE0849">
              <w:rPr>
                <w:spacing w:val="-4"/>
              </w:rPr>
              <w:t> p. </w:t>
            </w:r>
            <w:proofErr w:type="spellStart"/>
            <w:r w:rsidR="00CE0849">
              <w:rPr>
                <w:spacing w:val="-4"/>
              </w:rPr>
              <w:t>b</w:t>
            </w:r>
            <w:proofErr w:type="spellEnd"/>
            <w:r w:rsidR="00CE0849">
              <w:rPr>
                <w:spacing w:val="-4"/>
              </w:rPr>
              <w:t>.</w:t>
            </w:r>
            <w:r>
              <w:rPr>
                <w:spacing w:val="-4"/>
              </w:rPr>
              <w:t>). Výrazně přispěly i pekárenské výrobky a obiloviny (5,7</w:t>
            </w:r>
            <w:r w:rsidR="005723B7">
              <w:rPr>
                <w:spacing w:val="-4"/>
              </w:rPr>
              <w:t> %</w:t>
            </w:r>
            <w:r>
              <w:rPr>
                <w:spacing w:val="-4"/>
              </w:rPr>
              <w:t>) a maso (5,4</w:t>
            </w:r>
            <w:r w:rsidR="005723B7">
              <w:rPr>
                <w:spacing w:val="-4"/>
              </w:rPr>
              <w:t> %</w:t>
            </w:r>
            <w:r>
              <w:rPr>
                <w:spacing w:val="-4"/>
              </w:rPr>
              <w:t>). Hojně diskutované zdražování másla se promítlo do cen olejů a tuků, které vzrostly o 19,1</w:t>
            </w:r>
            <w:r w:rsidR="005723B7">
              <w:rPr>
                <w:spacing w:val="-4"/>
              </w:rPr>
              <w:t> %</w:t>
            </w:r>
            <w:r>
              <w:rPr>
                <w:spacing w:val="-4"/>
              </w:rPr>
              <w:t>. Ceny bydlení, vody, energie a paliv se meziročně zvýšily o 2,1</w:t>
            </w:r>
            <w:r w:rsidR="005723B7">
              <w:rPr>
                <w:spacing w:val="-4"/>
              </w:rPr>
              <w:t> %</w:t>
            </w:r>
            <w:r>
              <w:rPr>
                <w:spacing w:val="-4"/>
              </w:rPr>
              <w:t>, což je o 0,6</w:t>
            </w:r>
            <w:r w:rsidR="00CE0849">
              <w:rPr>
                <w:spacing w:val="-4"/>
              </w:rPr>
              <w:t> p. </w:t>
            </w:r>
            <w:proofErr w:type="spellStart"/>
            <w:r w:rsidR="00CE0849">
              <w:rPr>
                <w:spacing w:val="-4"/>
              </w:rPr>
              <w:t>b</w:t>
            </w:r>
            <w:proofErr w:type="spellEnd"/>
            <w:r w:rsidR="00CE0849">
              <w:rPr>
                <w:spacing w:val="-4"/>
              </w:rPr>
              <w:t>.</w:t>
            </w:r>
            <w:r>
              <w:rPr>
                <w:spacing w:val="-4"/>
              </w:rPr>
              <w:t xml:space="preserve"> </w:t>
            </w:r>
            <w:proofErr w:type="gramStart"/>
            <w:r>
              <w:rPr>
                <w:spacing w:val="-4"/>
              </w:rPr>
              <w:t>více</w:t>
            </w:r>
            <w:proofErr w:type="gramEnd"/>
            <w:r>
              <w:rPr>
                <w:spacing w:val="-4"/>
              </w:rPr>
              <w:t xml:space="preserve"> než v předchozím čtvrtletí. V tomto oddílu rostly pouze ceny bydlení a souvisejících položek. Nejvýrazněji rostlo imputované nájemné (meziročně o 5,0</w:t>
            </w:r>
            <w:r w:rsidR="005723B7">
              <w:rPr>
                <w:spacing w:val="-4"/>
              </w:rPr>
              <w:t> %</w:t>
            </w:r>
            <w:r>
              <w:rPr>
                <w:spacing w:val="-4"/>
              </w:rPr>
              <w:t>, zrychlení oproti minulému čtvrtletí o</w:t>
            </w:r>
            <w:r w:rsidR="00487E32">
              <w:rPr>
                <w:spacing w:val="-4"/>
              </w:rPr>
              <w:t> </w:t>
            </w:r>
            <w:r>
              <w:rPr>
                <w:spacing w:val="-4"/>
              </w:rPr>
              <w:t>1,1</w:t>
            </w:r>
            <w:r w:rsidR="00CE0849">
              <w:rPr>
                <w:spacing w:val="-4"/>
              </w:rPr>
              <w:t> p. </w:t>
            </w:r>
            <w:proofErr w:type="spellStart"/>
            <w:r w:rsidR="00CE0849">
              <w:rPr>
                <w:spacing w:val="-4"/>
              </w:rPr>
              <w:t>b</w:t>
            </w:r>
            <w:proofErr w:type="spellEnd"/>
            <w:r w:rsidR="00CE0849">
              <w:rPr>
                <w:spacing w:val="-4"/>
              </w:rPr>
              <w:t>.</w:t>
            </w:r>
            <w:r>
              <w:rPr>
                <w:spacing w:val="-4"/>
              </w:rPr>
              <w:t>). Nájemné z bytů vzrostlo o 2,2</w:t>
            </w:r>
            <w:r w:rsidR="005723B7">
              <w:rPr>
                <w:spacing w:val="-4"/>
              </w:rPr>
              <w:t> %</w:t>
            </w:r>
            <w:r>
              <w:rPr>
                <w:spacing w:val="-4"/>
              </w:rPr>
              <w:t xml:space="preserve">. Naopak ceny elektřiny, tepla, plynu a ostatních paliv mírně </w:t>
            </w:r>
            <w:proofErr w:type="gramStart"/>
            <w:r>
              <w:rPr>
                <w:spacing w:val="-4"/>
              </w:rPr>
              <w:t>klesaly (</w:t>
            </w:r>
            <w:r w:rsidR="00487E32">
              <w:rPr>
                <w:spacing w:val="-4"/>
              </w:rPr>
              <w:t>–</w:t>
            </w:r>
            <w:r>
              <w:rPr>
                <w:spacing w:val="-4"/>
              </w:rPr>
              <w:t>0,3</w:t>
            </w:r>
            <w:proofErr w:type="gramEnd"/>
            <w:r w:rsidR="005723B7">
              <w:rPr>
                <w:spacing w:val="-4"/>
              </w:rPr>
              <w:t> %</w:t>
            </w:r>
            <w:r>
              <w:rPr>
                <w:spacing w:val="-4"/>
              </w:rPr>
              <w:t>).</w:t>
            </w:r>
          </w:p>
          <w:p w:rsidR="00254069" w:rsidRPr="00D27653" w:rsidRDefault="00254069" w:rsidP="00333134">
            <w:pPr>
              <w:pStyle w:val="Textpoznpodarou"/>
              <w:jc w:val="both"/>
              <w:rPr>
                <w:spacing w:val="-4"/>
                <w:sz w:val="16"/>
                <w:szCs w:val="16"/>
              </w:rPr>
            </w:pPr>
          </w:p>
        </w:tc>
      </w:tr>
      <w:tr w:rsidR="00DD0726" w:rsidRPr="00F81A26" w:rsidTr="006C3DC1">
        <w:tc>
          <w:tcPr>
            <w:tcW w:w="1015" w:type="pct"/>
          </w:tcPr>
          <w:p w:rsidR="00DD0726" w:rsidRPr="00F81A26" w:rsidRDefault="00DD0726" w:rsidP="006C3DC1">
            <w:pPr>
              <w:spacing w:line="240" w:lineRule="auto"/>
              <w:ind w:right="-19"/>
              <w:jc w:val="center"/>
              <w:rPr>
                <w:spacing w:val="-4"/>
                <w:szCs w:val="20"/>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jc w:val="both"/>
              <w:rPr>
                <w:spacing w:val="-4"/>
              </w:rPr>
            </w:pPr>
            <w:r w:rsidRPr="00F81A26">
              <w:rPr>
                <w:spacing w:val="-4"/>
              </w:rPr>
              <w:t>Graf č. 11</w:t>
            </w:r>
          </w:p>
        </w:tc>
        <w:tc>
          <w:tcPr>
            <w:tcW w:w="3261" w:type="pct"/>
          </w:tcPr>
          <w:p w:rsidR="00DD0726" w:rsidRPr="00F81A26" w:rsidRDefault="00DD0726" w:rsidP="006C3DC1">
            <w:pPr>
              <w:pStyle w:val="Textpoznpodarou"/>
              <w:rPr>
                <w:spacing w:val="-4"/>
              </w:rPr>
            </w:pPr>
            <w:r w:rsidRPr="00F81A26">
              <w:rPr>
                <w:b/>
                <w:spacing w:val="-4"/>
              </w:rPr>
              <w:t>Ceny ve vybraných oddílech indexu spotřebitelských cen</w:t>
            </w:r>
            <w:r w:rsidRPr="00F81A26">
              <w:rPr>
                <w:spacing w:val="-4"/>
              </w:rPr>
              <w:t xml:space="preserve"> (meziroční změna, v</w:t>
            </w:r>
            <w:r w:rsidR="005723B7">
              <w:rPr>
                <w:spacing w:val="-4"/>
              </w:rPr>
              <w:t> %</w:t>
            </w:r>
            <w:r w:rsidRPr="00F81A26">
              <w:rPr>
                <w:spacing w:val="-4"/>
              </w:rPr>
              <w:t>)</w:t>
            </w:r>
          </w:p>
        </w:tc>
      </w:tr>
      <w:tr w:rsidR="00DD0726" w:rsidRPr="00F81A26" w:rsidTr="006C3DC1">
        <w:tc>
          <w:tcPr>
            <w:tcW w:w="1015" w:type="pct"/>
          </w:tcPr>
          <w:p w:rsidR="00DD0726" w:rsidRPr="00F81A26" w:rsidRDefault="00DD0726" w:rsidP="006C3DC1">
            <w:pPr>
              <w:spacing w:line="240" w:lineRule="auto"/>
              <w:ind w:right="-19"/>
              <w:rPr>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254069" w:rsidP="006C3DC1">
            <w:pPr>
              <w:pStyle w:val="Textpoznpodarou"/>
              <w:ind w:left="-54"/>
              <w:jc w:val="both"/>
              <w:rPr>
                <w:spacing w:val="-4"/>
              </w:rPr>
            </w:pPr>
            <w:r w:rsidRPr="00254069">
              <w:rPr>
                <w:noProof/>
                <w:spacing w:val="-4"/>
              </w:rPr>
              <w:drawing>
                <wp:inline distT="0" distB="0" distL="0" distR="0">
                  <wp:extent cx="4737600" cy="3553200"/>
                  <wp:effectExtent l="0" t="0" r="0"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0726" w:rsidRPr="00F81A26" w:rsidRDefault="00DD0726" w:rsidP="006C3DC1">
            <w:pPr>
              <w:pStyle w:val="Textpoznpodarou"/>
              <w:ind w:left="-54"/>
              <w:jc w:val="right"/>
              <w:rPr>
                <w:spacing w:val="-4"/>
                <w:sz w:val="14"/>
                <w:szCs w:val="14"/>
              </w:rPr>
            </w:pPr>
            <w:r w:rsidRPr="00F81A26">
              <w:rPr>
                <w:spacing w:val="-4"/>
                <w:sz w:val="14"/>
                <w:szCs w:val="14"/>
              </w:rPr>
              <w:t>Zdroj: ČSÚ</w:t>
            </w:r>
          </w:p>
          <w:p w:rsidR="00DD0726" w:rsidRPr="00F81A26" w:rsidRDefault="00DD0726" w:rsidP="006C3DC1">
            <w:pPr>
              <w:pStyle w:val="Textpoznpodarou"/>
              <w:ind w:left="-54"/>
              <w:jc w:val="right"/>
              <w:rPr>
                <w:spacing w:val="-4"/>
                <w:sz w:val="14"/>
                <w:szCs w:val="14"/>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Nezanedbatelný byl vliv cen ubytování a</w:t>
            </w:r>
            <w:r w:rsidR="00487E32">
              <w:rPr>
                <w:spacing w:val="-4"/>
                <w:sz w:val="16"/>
                <w:szCs w:val="16"/>
              </w:rPr>
              <w:t> </w:t>
            </w:r>
            <w:r>
              <w:rPr>
                <w:spacing w:val="-4"/>
                <w:sz w:val="16"/>
                <w:szCs w:val="16"/>
              </w:rPr>
              <w:t>stravování.</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jc w:val="both"/>
              <w:rPr>
                <w:spacing w:val="-4"/>
                <w:sz w:val="16"/>
                <w:szCs w:val="16"/>
              </w:rPr>
            </w:pPr>
            <w:r>
              <w:rPr>
                <w:spacing w:val="-4"/>
              </w:rPr>
              <w:t>Třetím nejvýraznějším hybatelem cenového růstu se ve 3</w:t>
            </w:r>
            <w:r w:rsidR="005723B7">
              <w:rPr>
                <w:spacing w:val="-4"/>
              </w:rPr>
              <w:t>. čtvrtletí</w:t>
            </w:r>
            <w:r>
              <w:rPr>
                <w:spacing w:val="-4"/>
              </w:rPr>
              <w:t xml:space="preserve"> staly ceny ubytování a stravování, které se meziročně zvýšily o</w:t>
            </w:r>
            <w:r w:rsidR="00C814FC">
              <w:rPr>
                <w:spacing w:val="-4"/>
              </w:rPr>
              <w:t> </w:t>
            </w:r>
            <w:r>
              <w:rPr>
                <w:spacing w:val="-4"/>
              </w:rPr>
              <w:t>6,3</w:t>
            </w:r>
            <w:r w:rsidR="005723B7">
              <w:rPr>
                <w:spacing w:val="-4"/>
              </w:rPr>
              <w:t> %</w:t>
            </w:r>
            <w:r>
              <w:rPr>
                <w:spacing w:val="-4"/>
              </w:rPr>
              <w:t>. Zdražování v této spotřební kategorii bylo v roce 2017 soustředěno do stravovacích služeb, kde růst cen dosáhl 7,0</w:t>
            </w:r>
            <w:r w:rsidR="005723B7">
              <w:rPr>
                <w:spacing w:val="-4"/>
              </w:rPr>
              <w:t> %</w:t>
            </w:r>
            <w:r>
              <w:rPr>
                <w:spacing w:val="-4"/>
              </w:rPr>
              <w:t>. Naopak ve 3</w:t>
            </w:r>
            <w:r w:rsidR="005723B7">
              <w:rPr>
                <w:spacing w:val="-4"/>
              </w:rPr>
              <w:t>. čtvrtletí</w:t>
            </w:r>
            <w:r>
              <w:rPr>
                <w:spacing w:val="-4"/>
              </w:rPr>
              <w:t xml:space="preserve"> zpomalil meziroční růst cen dopravy (</w:t>
            </w:r>
            <w:proofErr w:type="gramStart"/>
            <w:r>
              <w:rPr>
                <w:spacing w:val="-4"/>
              </w:rPr>
              <w:t>ze</w:t>
            </w:r>
            <w:proofErr w:type="gramEnd"/>
            <w:r>
              <w:rPr>
                <w:spacing w:val="-4"/>
              </w:rPr>
              <w:t xml:space="preserve"> 3,9</w:t>
            </w:r>
            <w:r w:rsidR="005723B7">
              <w:rPr>
                <w:spacing w:val="-4"/>
              </w:rPr>
              <w:t> %</w:t>
            </w:r>
            <w:r>
              <w:rPr>
                <w:spacing w:val="-4"/>
              </w:rPr>
              <w:t xml:space="preserve"> na 2,5</w:t>
            </w:r>
            <w:r w:rsidR="005723B7">
              <w:rPr>
                <w:spacing w:val="-4"/>
              </w:rPr>
              <w:t> %</w:t>
            </w:r>
            <w:r>
              <w:rPr>
                <w:spacing w:val="-4"/>
              </w:rPr>
              <w:t>). Za zpomalením růstu lze vidět především snížení tempa růstu nákladů na provoz dopravních prostředků, které se meziročně zvýšily o 2,0</w:t>
            </w:r>
            <w:r w:rsidR="005723B7">
              <w:rPr>
                <w:spacing w:val="-4"/>
              </w:rPr>
              <w:t> %</w:t>
            </w:r>
            <w:r>
              <w:rPr>
                <w:spacing w:val="-4"/>
              </w:rPr>
              <w:t xml:space="preserve"> (zpomalení </w:t>
            </w:r>
            <w:r>
              <w:rPr>
                <w:spacing w:val="-4"/>
              </w:rPr>
              <w:lastRenderedPageBreak/>
              <w:t>o 3,8</w:t>
            </w:r>
            <w:r w:rsidR="00CE0849">
              <w:rPr>
                <w:spacing w:val="-4"/>
              </w:rPr>
              <w:t> p. </w:t>
            </w:r>
            <w:proofErr w:type="spellStart"/>
            <w:r w:rsidR="00CE0849">
              <w:rPr>
                <w:spacing w:val="-4"/>
              </w:rPr>
              <w:t>b</w:t>
            </w:r>
            <w:proofErr w:type="spellEnd"/>
            <w:r w:rsidR="00CE0849">
              <w:rPr>
                <w:spacing w:val="-4"/>
              </w:rPr>
              <w:t>.</w:t>
            </w:r>
            <w:r>
              <w:rPr>
                <w:spacing w:val="-4"/>
              </w:rPr>
              <w:t xml:space="preserve"> </w:t>
            </w:r>
            <w:proofErr w:type="gramStart"/>
            <w:r>
              <w:rPr>
                <w:spacing w:val="-4"/>
              </w:rPr>
              <w:t>ve</w:t>
            </w:r>
            <w:proofErr w:type="gramEnd"/>
            <w:r>
              <w:rPr>
                <w:spacing w:val="-4"/>
              </w:rPr>
              <w:t xml:space="preserve"> srovnání s 2</w:t>
            </w:r>
            <w:r w:rsidR="005723B7">
              <w:rPr>
                <w:spacing w:val="-4"/>
              </w:rPr>
              <w:t>. čtvrtletí</w:t>
            </w:r>
            <w:r>
              <w:rPr>
                <w:spacing w:val="-4"/>
              </w:rPr>
              <w:t>m). Ceny ropy se totiž držely nad úrovní stejného období minulého roku, meziroční rozdíl se však v porovnání se začátkem roku 2017 zredukoval. Výrazněji rostly náklady na nákup osobních dopravních prostředků (</w:t>
            </w:r>
            <w:r w:rsidRPr="009402D5">
              <w:t>o</w:t>
            </w:r>
            <w:r>
              <w:t> </w:t>
            </w:r>
            <w:r w:rsidRPr="009402D5">
              <w:t>4</w:t>
            </w:r>
            <w:r>
              <w:rPr>
                <w:spacing w:val="-4"/>
              </w:rPr>
              <w:t>,0</w:t>
            </w:r>
            <w:r w:rsidR="005723B7">
              <w:rPr>
                <w:spacing w:val="-4"/>
              </w:rPr>
              <w:t> %</w:t>
            </w:r>
            <w:r>
              <w:rPr>
                <w:spacing w:val="-4"/>
              </w:rPr>
              <w:t>).</w:t>
            </w:r>
          </w:p>
          <w:p w:rsidR="00254069" w:rsidRPr="008B199F" w:rsidRDefault="00254069" w:rsidP="00333134">
            <w:pPr>
              <w:pStyle w:val="Textpoznpodarou"/>
              <w:jc w:val="both"/>
              <w:rPr>
                <w:spacing w:val="-4"/>
                <w:sz w:val="16"/>
                <w:szCs w:val="16"/>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lastRenderedPageBreak/>
              <w:t>Ve 3</w:t>
            </w:r>
            <w:r w:rsidR="005723B7">
              <w:rPr>
                <w:spacing w:val="-4"/>
                <w:sz w:val="16"/>
                <w:szCs w:val="16"/>
              </w:rPr>
              <w:t>. čtvrtletí</w:t>
            </w:r>
            <w:r>
              <w:rPr>
                <w:spacing w:val="-4"/>
                <w:sz w:val="16"/>
                <w:szCs w:val="16"/>
              </w:rPr>
              <w:t xml:space="preserve"> se od průměru výrazněji odchýlil vývoj cen domácností důchodců a domácností v Praze. </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Z pohledu indexu cen pro různé skupiny spotřebitelů došlo ve 3</w:t>
            </w:r>
            <w:r w:rsidR="005723B7">
              <w:rPr>
                <w:spacing w:val="-4"/>
              </w:rPr>
              <w:t>. čtvrtletí</w:t>
            </w:r>
            <w:r>
              <w:rPr>
                <w:spacing w:val="-4"/>
              </w:rPr>
              <w:t xml:space="preserve"> k poměrně výraznému odchýlení od celkového indexu. U domácností důchodců růst indexu zaostával o</w:t>
            </w:r>
            <w:r w:rsidR="00980392">
              <w:rPr>
                <w:spacing w:val="-4"/>
              </w:rPr>
              <w:t> </w:t>
            </w:r>
            <w:r>
              <w:rPr>
                <w:spacing w:val="-4"/>
              </w:rPr>
              <w:t>0,2</w:t>
            </w:r>
            <w:r w:rsidR="00CE0849">
              <w:rPr>
                <w:spacing w:val="-4"/>
              </w:rPr>
              <w:t> p. </w:t>
            </w:r>
            <w:proofErr w:type="spellStart"/>
            <w:r w:rsidR="00CE0849">
              <w:rPr>
                <w:spacing w:val="-4"/>
              </w:rPr>
              <w:t>b</w:t>
            </w:r>
            <w:proofErr w:type="spellEnd"/>
            <w:r w:rsidR="00CE0849">
              <w:rPr>
                <w:spacing w:val="-4"/>
              </w:rPr>
              <w:t>.</w:t>
            </w:r>
            <w:r>
              <w:rPr>
                <w:spacing w:val="-4"/>
              </w:rPr>
              <w:t xml:space="preserve"> Potraviny a nealkoholické nápoje, které mají v těchto domácnostech podstatně vyšší váhu než u průměrného spotřebitele, přispěly k růstu cen 1,4</w:t>
            </w:r>
            <w:r w:rsidR="00CE0849">
              <w:rPr>
                <w:spacing w:val="-4"/>
              </w:rPr>
              <w:t> p. </w:t>
            </w:r>
            <w:proofErr w:type="spellStart"/>
            <w:r w:rsidR="00CE0849">
              <w:rPr>
                <w:spacing w:val="-4"/>
              </w:rPr>
              <w:t>b</w:t>
            </w:r>
            <w:proofErr w:type="spellEnd"/>
            <w:r w:rsidR="00CE0849">
              <w:rPr>
                <w:spacing w:val="-4"/>
              </w:rPr>
              <w:t>.</w:t>
            </w:r>
            <w:r>
              <w:rPr>
                <w:spacing w:val="-4"/>
              </w:rPr>
              <w:t xml:space="preserve"> Ostatní položky, které ovlivňovaly index spotřebitelských cen (ceny bydlení, stravování a ubytování),</w:t>
            </w:r>
            <w:r w:rsidR="00F11A6D">
              <w:rPr>
                <w:spacing w:val="-4"/>
              </w:rPr>
              <w:t xml:space="preserve"> však</w:t>
            </w:r>
            <w:r>
              <w:rPr>
                <w:spacing w:val="-4"/>
              </w:rPr>
              <w:t xml:space="preserve"> mají v domácnostech důchodců nižší váhu. Náklady na bydlení a energie navíc v domácnostech důchodců meziročně rostly jen o</w:t>
            </w:r>
            <w:r w:rsidR="00AB4D2A">
              <w:rPr>
                <w:spacing w:val="-4"/>
              </w:rPr>
              <w:t> </w:t>
            </w:r>
            <w:r>
              <w:rPr>
                <w:spacing w:val="-4"/>
              </w:rPr>
              <w:t>0,4</w:t>
            </w:r>
            <w:r w:rsidR="005723B7">
              <w:rPr>
                <w:spacing w:val="-4"/>
              </w:rPr>
              <w:t> %</w:t>
            </w:r>
            <w:r>
              <w:rPr>
                <w:spacing w:val="-4"/>
              </w:rPr>
              <w:t xml:space="preserve"> (2,1</w:t>
            </w:r>
            <w:r w:rsidR="005723B7">
              <w:rPr>
                <w:spacing w:val="-4"/>
              </w:rPr>
              <w:t> %</w:t>
            </w:r>
            <w:r>
              <w:rPr>
                <w:spacing w:val="-4"/>
              </w:rPr>
              <w:t xml:space="preserve"> u průměrné domácnosti). Výrazněji než u průměru se zvyšovaly náklady na spotřební koš u domácností v Praze (2,8</w:t>
            </w:r>
            <w:r w:rsidR="005723B7">
              <w:rPr>
                <w:spacing w:val="-4"/>
              </w:rPr>
              <w:t> %</w:t>
            </w:r>
            <w:r>
              <w:rPr>
                <w:spacing w:val="-4"/>
              </w:rPr>
              <w:t>). Zde se projevil především výrazně rychlejší růst cen stravování a ubytování</w:t>
            </w:r>
            <w:r w:rsidR="00AB4D2A">
              <w:rPr>
                <w:spacing w:val="-4"/>
              </w:rPr>
              <w:t>,</w:t>
            </w:r>
            <w:r>
              <w:rPr>
                <w:spacing w:val="-4"/>
              </w:rPr>
              <w:t xml:space="preserve"> než byl celorepublikový průměr (v</w:t>
            </w:r>
            <w:r w:rsidR="00AB4D2A">
              <w:rPr>
                <w:spacing w:val="-4"/>
              </w:rPr>
              <w:t> </w:t>
            </w:r>
            <w:r>
              <w:rPr>
                <w:spacing w:val="-4"/>
              </w:rPr>
              <w:t>Praze meziročně o 9,3</w:t>
            </w:r>
            <w:r w:rsidR="005723B7">
              <w:rPr>
                <w:spacing w:val="-4"/>
              </w:rPr>
              <w:t> %</w:t>
            </w:r>
            <w:r>
              <w:rPr>
                <w:spacing w:val="-4"/>
              </w:rPr>
              <w:t>)</w:t>
            </w:r>
            <w:r w:rsidR="00A66784">
              <w:rPr>
                <w:spacing w:val="-4"/>
              </w:rPr>
              <w:t>,</w:t>
            </w:r>
            <w:r>
              <w:rPr>
                <w:spacing w:val="-4"/>
              </w:rPr>
              <w:t xml:space="preserve"> i mírně vyšší váha této položky. Ze stejných důvodů silněji než u průměrného spotřebitele přispěla k růstu cen položka rekreace a kultura.</w:t>
            </w:r>
          </w:p>
          <w:p w:rsidR="00254069" w:rsidRPr="00363208" w:rsidRDefault="00254069" w:rsidP="00333134">
            <w:pPr>
              <w:pStyle w:val="Textpoznpodarou"/>
              <w:ind w:right="-35"/>
              <w:jc w:val="both"/>
              <w:rPr>
                <w:spacing w:val="-4"/>
                <w:sz w:val="16"/>
                <w:szCs w:val="16"/>
              </w:rPr>
            </w:pPr>
          </w:p>
        </w:tc>
      </w:tr>
      <w:tr w:rsidR="00DD0726" w:rsidRPr="00F81A26" w:rsidTr="006C3DC1">
        <w:tc>
          <w:tcPr>
            <w:tcW w:w="1015" w:type="pct"/>
          </w:tcPr>
          <w:p w:rsidR="00DD0726" w:rsidRPr="00F81A26" w:rsidRDefault="00967AE9" w:rsidP="00461C4C">
            <w:pPr>
              <w:spacing w:line="240" w:lineRule="auto"/>
              <w:ind w:right="-19"/>
              <w:rPr>
                <w:spacing w:val="-4"/>
                <w:sz w:val="16"/>
                <w:szCs w:val="16"/>
              </w:rPr>
            </w:pPr>
            <w:r>
              <w:rPr>
                <w:spacing w:val="-4"/>
                <w:sz w:val="16"/>
                <w:szCs w:val="16"/>
              </w:rPr>
              <w:t>Po roce a půl zrychlování došlo ke zpomalení růstu realizovaných cen</w:t>
            </w:r>
            <w:r w:rsidR="00461C4C">
              <w:rPr>
                <w:spacing w:val="-4"/>
                <w:sz w:val="16"/>
                <w:szCs w:val="16"/>
              </w:rPr>
              <w:t xml:space="preserve"> starších </w:t>
            </w:r>
            <w:r>
              <w:rPr>
                <w:spacing w:val="-4"/>
                <w:sz w:val="16"/>
                <w:szCs w:val="16"/>
              </w:rPr>
              <w:t xml:space="preserve">bytů. </w:t>
            </w:r>
          </w:p>
        </w:tc>
        <w:tc>
          <w:tcPr>
            <w:tcW w:w="144" w:type="pct"/>
          </w:tcPr>
          <w:p w:rsidR="00DD0726" w:rsidRPr="00F81A26" w:rsidRDefault="00DD0726" w:rsidP="006C3DC1">
            <w:pPr>
              <w:pStyle w:val="Textpoznpodarou"/>
              <w:jc w:val="both"/>
              <w:rPr>
                <w:spacing w:val="-4"/>
              </w:rPr>
            </w:pPr>
          </w:p>
        </w:tc>
        <w:tc>
          <w:tcPr>
            <w:tcW w:w="3841" w:type="pct"/>
            <w:gridSpan w:val="2"/>
          </w:tcPr>
          <w:p w:rsidR="00DD0726" w:rsidRDefault="00967AE9" w:rsidP="00461C4C">
            <w:pPr>
              <w:pStyle w:val="Textpoznpodarou"/>
              <w:ind w:right="-35"/>
              <w:jc w:val="both"/>
              <w:rPr>
                <w:spacing w:val="-5"/>
                <w:sz w:val="16"/>
                <w:szCs w:val="16"/>
              </w:rPr>
            </w:pPr>
            <w:r>
              <w:rPr>
                <w:spacing w:val="-5"/>
              </w:rPr>
              <w:t>Nabídkové ceny bytů v ČR ve 3</w:t>
            </w:r>
            <w:r w:rsidR="005723B7">
              <w:rPr>
                <w:spacing w:val="-5"/>
              </w:rPr>
              <w:t>. čtvrtletí</w:t>
            </w:r>
            <w:r>
              <w:rPr>
                <w:spacing w:val="-5"/>
              </w:rPr>
              <w:t xml:space="preserve"> poměrně prudce zrychlily svůj meziroční růst na 12,5</w:t>
            </w:r>
            <w:r w:rsidR="005723B7">
              <w:rPr>
                <w:spacing w:val="-5"/>
              </w:rPr>
              <w:t> %</w:t>
            </w:r>
            <w:r>
              <w:rPr>
                <w:spacing w:val="-5"/>
              </w:rPr>
              <w:t>. Bližší pohled odhaluje, že jde především o</w:t>
            </w:r>
            <w:r w:rsidR="00A66784">
              <w:rPr>
                <w:spacing w:val="-5"/>
              </w:rPr>
              <w:t> </w:t>
            </w:r>
            <w:r>
              <w:rPr>
                <w:spacing w:val="-5"/>
              </w:rPr>
              <w:t>vliv cen bytů v Praze, které vzrostly o 18,3</w:t>
            </w:r>
            <w:r w:rsidR="005723B7">
              <w:rPr>
                <w:spacing w:val="-5"/>
              </w:rPr>
              <w:t> %</w:t>
            </w:r>
            <w:r>
              <w:rPr>
                <w:spacing w:val="-5"/>
              </w:rPr>
              <w:t xml:space="preserve">. </w:t>
            </w:r>
            <w:r w:rsidR="00461C4C">
              <w:rPr>
                <w:spacing w:val="-5"/>
              </w:rPr>
              <w:t>Naopak, realizované ceny starších bytů v Česku svůj meziroční růst zpomalily o</w:t>
            </w:r>
            <w:r w:rsidR="00A66784">
              <w:rPr>
                <w:spacing w:val="-5"/>
              </w:rPr>
              <w:t> </w:t>
            </w:r>
            <w:r w:rsidR="00461C4C">
              <w:rPr>
                <w:spacing w:val="-5"/>
              </w:rPr>
              <w:t>3,4</w:t>
            </w:r>
            <w:r w:rsidR="00A66784">
              <w:rPr>
                <w:spacing w:val="-5"/>
              </w:rPr>
              <w:t> </w:t>
            </w:r>
            <w:r w:rsidR="00461C4C">
              <w:rPr>
                <w:spacing w:val="-5"/>
              </w:rPr>
              <w:t>p.</w:t>
            </w:r>
            <w:r w:rsidR="00A66784">
              <w:rPr>
                <w:spacing w:val="-5"/>
              </w:rPr>
              <w:t> </w:t>
            </w:r>
            <w:r w:rsidR="00461C4C">
              <w:rPr>
                <w:spacing w:val="-5"/>
              </w:rPr>
              <w:t>b na 15,3</w:t>
            </w:r>
            <w:r w:rsidR="005723B7">
              <w:rPr>
                <w:spacing w:val="-5"/>
              </w:rPr>
              <w:t> %</w:t>
            </w:r>
            <w:r w:rsidR="00461C4C">
              <w:rPr>
                <w:spacing w:val="-5"/>
              </w:rPr>
              <w:t>. U</w:t>
            </w:r>
            <w:r w:rsidR="00A66784">
              <w:rPr>
                <w:spacing w:val="-5"/>
              </w:rPr>
              <w:t> </w:t>
            </w:r>
            <w:r w:rsidR="00461C4C">
              <w:rPr>
                <w:spacing w:val="-5"/>
              </w:rPr>
              <w:t>starších bytů v</w:t>
            </w:r>
            <w:r w:rsidR="00A66784">
              <w:rPr>
                <w:spacing w:val="-5"/>
              </w:rPr>
              <w:t> </w:t>
            </w:r>
            <w:r w:rsidR="00461C4C">
              <w:rPr>
                <w:spacing w:val="-5"/>
              </w:rPr>
              <w:t>Praze realizované ceny rovněž nerostly tak rychle jako v minulém kvartálu. Realizované ceny nových bytů v</w:t>
            </w:r>
            <w:r w:rsidR="00A66784">
              <w:rPr>
                <w:spacing w:val="-5"/>
              </w:rPr>
              <w:t> </w:t>
            </w:r>
            <w:r w:rsidR="00461C4C">
              <w:rPr>
                <w:spacing w:val="-5"/>
              </w:rPr>
              <w:t>Praze však potvrdily převažující nabídku bytů ve vyšší cenové kategorii – zrychlily a zvýšily se meziročně o 16,4</w:t>
            </w:r>
            <w:r w:rsidR="005723B7">
              <w:rPr>
                <w:spacing w:val="-5"/>
              </w:rPr>
              <w:t> %</w:t>
            </w:r>
            <w:r w:rsidR="00461C4C">
              <w:rPr>
                <w:spacing w:val="-5"/>
              </w:rPr>
              <w:t>.</w:t>
            </w:r>
          </w:p>
          <w:p w:rsidR="00461C4C" w:rsidRPr="00461C4C" w:rsidRDefault="00461C4C" w:rsidP="00461C4C">
            <w:pPr>
              <w:pStyle w:val="Textpoznpodarou"/>
              <w:ind w:right="-35"/>
              <w:jc w:val="both"/>
              <w:rPr>
                <w:spacing w:val="-5"/>
                <w:sz w:val="16"/>
                <w:szCs w:val="16"/>
              </w:rPr>
            </w:pPr>
          </w:p>
        </w:tc>
      </w:tr>
      <w:tr w:rsidR="00DD0726" w:rsidRPr="00F81A26" w:rsidTr="006C3DC1">
        <w:tc>
          <w:tcPr>
            <w:tcW w:w="1015" w:type="pct"/>
          </w:tcPr>
          <w:p w:rsidR="00DD0726" w:rsidRPr="00F81A26" w:rsidRDefault="00DD0726" w:rsidP="006C3DC1">
            <w:pPr>
              <w:pStyle w:val="Textpoznpodarou"/>
              <w:jc w:val="center"/>
              <w:rPr>
                <w:spacing w:val="-4"/>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ind w:right="-35"/>
              <w:jc w:val="both"/>
              <w:rPr>
                <w:spacing w:val="-4"/>
              </w:rPr>
            </w:pPr>
            <w:r w:rsidRPr="00F81A26">
              <w:rPr>
                <w:spacing w:val="-4"/>
              </w:rPr>
              <w:t>Graf č. 12</w:t>
            </w:r>
          </w:p>
        </w:tc>
        <w:tc>
          <w:tcPr>
            <w:tcW w:w="3261" w:type="pct"/>
          </w:tcPr>
          <w:p w:rsidR="00DD0726" w:rsidRPr="00F81A26" w:rsidRDefault="00DD0726" w:rsidP="006C3DC1">
            <w:pPr>
              <w:pStyle w:val="Textpoznpodarou"/>
              <w:ind w:right="-35"/>
              <w:rPr>
                <w:spacing w:val="-4"/>
              </w:rPr>
            </w:pPr>
            <w:r w:rsidRPr="00F81A26">
              <w:rPr>
                <w:b/>
                <w:spacing w:val="-4"/>
                <w:lang w:eastAsia="en-US"/>
              </w:rPr>
              <w:t xml:space="preserve">Ceny nemovitostí </w:t>
            </w:r>
            <w:r w:rsidRPr="00F81A26">
              <w:rPr>
                <w:spacing w:val="-4"/>
                <w:lang w:eastAsia="en-US"/>
              </w:rPr>
              <w:t>(meziroční změna, v</w:t>
            </w:r>
            <w:r w:rsidR="005723B7">
              <w:rPr>
                <w:spacing w:val="-4"/>
                <w:lang w:eastAsia="en-US"/>
              </w:rPr>
              <w:t> %</w:t>
            </w:r>
            <w:r w:rsidRPr="00F81A26">
              <w:rPr>
                <w:spacing w:val="-4"/>
                <w:lang w:eastAsia="en-US"/>
              </w:rPr>
              <w:t>)</w:t>
            </w:r>
          </w:p>
        </w:tc>
      </w:tr>
      <w:tr w:rsidR="00DD0726" w:rsidRPr="00F81A26" w:rsidTr="006C3DC1">
        <w:tc>
          <w:tcPr>
            <w:tcW w:w="1015" w:type="pct"/>
          </w:tcPr>
          <w:p w:rsidR="00DD0726" w:rsidRPr="00F81A26" w:rsidRDefault="00DD0726" w:rsidP="006C3DC1">
            <w:pPr>
              <w:spacing w:line="240" w:lineRule="auto"/>
              <w:ind w:right="-19"/>
              <w:rPr>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9D6727" w:rsidP="006C3DC1">
            <w:pPr>
              <w:pStyle w:val="Textpoznpodarou"/>
              <w:ind w:left="-54" w:right="-35"/>
              <w:jc w:val="both"/>
              <w:rPr>
                <w:spacing w:val="-4"/>
              </w:rPr>
            </w:pPr>
            <w:r w:rsidRPr="009D6727">
              <w:rPr>
                <w:noProof/>
                <w:spacing w:val="-4"/>
              </w:rPr>
              <w:drawing>
                <wp:inline distT="0" distB="0" distL="0" distR="0">
                  <wp:extent cx="4737600" cy="3553200"/>
                  <wp:effectExtent l="1905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0726" w:rsidRPr="00F81A26" w:rsidRDefault="00DD0726" w:rsidP="006C3DC1">
            <w:pPr>
              <w:pStyle w:val="Textpoznpodarou"/>
              <w:ind w:left="-54" w:right="-35"/>
              <w:jc w:val="right"/>
              <w:rPr>
                <w:spacing w:val="-4"/>
                <w:sz w:val="14"/>
                <w:szCs w:val="14"/>
              </w:rPr>
            </w:pPr>
            <w:r w:rsidRPr="00F81A26">
              <w:rPr>
                <w:spacing w:val="-4"/>
                <w:sz w:val="14"/>
                <w:szCs w:val="14"/>
              </w:rPr>
              <w:t>Zdroj: ČSÚ</w:t>
            </w:r>
          </w:p>
          <w:p w:rsidR="00DD0726" w:rsidRPr="00F81A26" w:rsidRDefault="00DD0726" w:rsidP="006C3DC1">
            <w:pPr>
              <w:pStyle w:val="Textpoznpodarou"/>
              <w:ind w:left="-54" w:right="-35"/>
              <w:jc w:val="right"/>
              <w:rPr>
                <w:spacing w:val="-4"/>
                <w:sz w:val="14"/>
                <w:szCs w:val="14"/>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V EU se růst spotřebitelských cen držel pod 2</w:t>
            </w:r>
            <w:r w:rsidR="005723B7">
              <w:rPr>
                <w:spacing w:val="-4"/>
                <w:sz w:val="16"/>
                <w:szCs w:val="16"/>
              </w:rPr>
              <w:t> %</w:t>
            </w:r>
            <w:r>
              <w:rPr>
                <w:spacing w:val="-4"/>
                <w:sz w:val="16"/>
                <w:szCs w:val="16"/>
              </w:rPr>
              <w:t>.</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Meziroční růst spotřebitelských cen v EU ve 3</w:t>
            </w:r>
            <w:r w:rsidR="005723B7">
              <w:rPr>
                <w:spacing w:val="-4"/>
              </w:rPr>
              <w:t>. čtvrtletí</w:t>
            </w:r>
            <w:r>
              <w:rPr>
                <w:spacing w:val="-4"/>
              </w:rPr>
              <w:t xml:space="preserve"> dosáhl 1,7</w:t>
            </w:r>
            <w:r w:rsidR="005723B7">
              <w:rPr>
                <w:spacing w:val="-4"/>
              </w:rPr>
              <w:t> %</w:t>
            </w:r>
            <w:r>
              <w:rPr>
                <w:spacing w:val="-4"/>
              </w:rPr>
              <w:t>, stejně jako v předchozím kvartálu. Zatímco během 2</w:t>
            </w:r>
            <w:r w:rsidR="005723B7">
              <w:rPr>
                <w:spacing w:val="-4"/>
              </w:rPr>
              <w:t>. čtvrtletí</w:t>
            </w:r>
            <w:r>
              <w:rPr>
                <w:spacing w:val="-4"/>
              </w:rPr>
              <w:t xml:space="preserve"> docházelo k postupnému zpomalování meziročního růstu až k červnovým 1,5</w:t>
            </w:r>
            <w:r w:rsidR="005723B7">
              <w:rPr>
                <w:spacing w:val="-4"/>
              </w:rPr>
              <w:t> %</w:t>
            </w:r>
            <w:r>
              <w:rPr>
                <w:spacing w:val="-4"/>
              </w:rPr>
              <w:t>, ve 3</w:t>
            </w:r>
            <w:r w:rsidR="005723B7">
              <w:rPr>
                <w:spacing w:val="-4"/>
              </w:rPr>
              <w:t>. čtvrtletí</w:t>
            </w:r>
            <w:r>
              <w:rPr>
                <w:spacing w:val="-4"/>
              </w:rPr>
              <w:t xml:space="preserve"> začal opět mírně zesilovat (1,8</w:t>
            </w:r>
            <w:r w:rsidR="005723B7">
              <w:rPr>
                <w:spacing w:val="-4"/>
              </w:rPr>
              <w:t> %</w:t>
            </w:r>
            <w:r>
              <w:rPr>
                <w:spacing w:val="-4"/>
              </w:rPr>
              <w:t xml:space="preserve"> v září). Kladně k růstu cen přispívaly pohonné hmoty a</w:t>
            </w:r>
            <w:r w:rsidR="00D52F9A">
              <w:rPr>
                <w:spacing w:val="-4"/>
              </w:rPr>
              <w:t> </w:t>
            </w:r>
            <w:r>
              <w:rPr>
                <w:spacing w:val="-4"/>
              </w:rPr>
              <w:t>ceny ubytování. V opačném směru působily ceny telekomunikačních služeb. Rozpětí temp růstu cen v jednotlivých zemích EU bylo poměrně široké, všichni členové však zažívali kladný meziroční růst. Nejrychleji rostly spotřebitelské ceny v pobaltských zemích – v Litvě o</w:t>
            </w:r>
            <w:r w:rsidR="00D52F9A">
              <w:rPr>
                <w:spacing w:val="-4"/>
              </w:rPr>
              <w:t> </w:t>
            </w:r>
            <w:r>
              <w:rPr>
                <w:spacing w:val="-4"/>
              </w:rPr>
              <w:t>4,6</w:t>
            </w:r>
            <w:r w:rsidR="005723B7">
              <w:rPr>
                <w:spacing w:val="-4"/>
              </w:rPr>
              <w:t> %</w:t>
            </w:r>
            <w:r>
              <w:rPr>
                <w:spacing w:val="-4"/>
              </w:rPr>
              <w:t>, v Estonsku o</w:t>
            </w:r>
            <w:r w:rsidR="00D52F9A">
              <w:rPr>
                <w:spacing w:val="-4"/>
              </w:rPr>
              <w:t> </w:t>
            </w:r>
            <w:r>
              <w:rPr>
                <w:spacing w:val="-4"/>
              </w:rPr>
              <w:t>3,9</w:t>
            </w:r>
            <w:r w:rsidR="005723B7">
              <w:rPr>
                <w:spacing w:val="-4"/>
              </w:rPr>
              <w:t> %</w:t>
            </w:r>
            <w:r>
              <w:rPr>
                <w:spacing w:val="-4"/>
              </w:rPr>
              <w:t xml:space="preserve"> a v Lotyšsku o</w:t>
            </w:r>
            <w:r w:rsidR="00D52F9A">
              <w:rPr>
                <w:spacing w:val="-4"/>
              </w:rPr>
              <w:t> </w:t>
            </w:r>
            <w:r>
              <w:rPr>
                <w:spacing w:val="-4"/>
              </w:rPr>
              <w:t>3,0</w:t>
            </w:r>
            <w:r w:rsidR="005723B7">
              <w:rPr>
                <w:spacing w:val="-4"/>
              </w:rPr>
              <w:t> %</w:t>
            </w:r>
            <w:r>
              <w:rPr>
                <w:spacing w:val="-4"/>
              </w:rPr>
              <w:t>. Česká republika se s Maďarskem dělila o</w:t>
            </w:r>
            <w:r w:rsidR="00D52F9A">
              <w:rPr>
                <w:spacing w:val="-4"/>
              </w:rPr>
              <w:t> </w:t>
            </w:r>
            <w:r>
              <w:rPr>
                <w:spacing w:val="-4"/>
              </w:rPr>
              <w:t>čtvrté místo (2,5</w:t>
            </w:r>
            <w:r w:rsidR="005723B7">
              <w:rPr>
                <w:spacing w:val="-4"/>
              </w:rPr>
              <w:t> %</w:t>
            </w:r>
            <w:r>
              <w:rPr>
                <w:spacing w:val="-4"/>
              </w:rPr>
              <w:t>). Jen o</w:t>
            </w:r>
            <w:r w:rsidR="00D52F9A">
              <w:rPr>
                <w:spacing w:val="-4"/>
              </w:rPr>
              <w:t> </w:t>
            </w:r>
            <w:r>
              <w:rPr>
                <w:spacing w:val="-4"/>
              </w:rPr>
              <w:t>0,1</w:t>
            </w:r>
            <w:r w:rsidR="005723B7">
              <w:rPr>
                <w:spacing w:val="-4"/>
              </w:rPr>
              <w:t> %</w:t>
            </w:r>
            <w:r>
              <w:rPr>
                <w:spacing w:val="-4"/>
              </w:rPr>
              <w:t xml:space="preserve"> meziročně vzrostly ceny </w:t>
            </w:r>
            <w:r>
              <w:rPr>
                <w:spacing w:val="-4"/>
              </w:rPr>
              <w:lastRenderedPageBreak/>
              <w:t>v Irsku, o</w:t>
            </w:r>
            <w:r w:rsidR="00D52F9A">
              <w:rPr>
                <w:spacing w:val="-4"/>
              </w:rPr>
              <w:t> </w:t>
            </w:r>
            <w:r>
              <w:rPr>
                <w:spacing w:val="-4"/>
              </w:rPr>
              <w:t>0,2</w:t>
            </w:r>
            <w:r w:rsidR="005723B7">
              <w:rPr>
                <w:spacing w:val="-4"/>
              </w:rPr>
              <w:t> %</w:t>
            </w:r>
            <w:r>
              <w:rPr>
                <w:spacing w:val="-4"/>
              </w:rPr>
              <w:t xml:space="preserve"> na Kypru (zpomalení v porovnání s předchozím čtvrtletím zde dosáhlo 1,1</w:t>
            </w:r>
            <w:r w:rsidR="00CE0849">
              <w:rPr>
                <w:spacing w:val="-4"/>
              </w:rPr>
              <w:t> p. </w:t>
            </w:r>
            <w:proofErr w:type="spellStart"/>
            <w:r w:rsidR="00CE0849">
              <w:rPr>
                <w:spacing w:val="-4"/>
              </w:rPr>
              <w:t>b</w:t>
            </w:r>
            <w:proofErr w:type="spellEnd"/>
            <w:r w:rsidR="00CE0849">
              <w:rPr>
                <w:spacing w:val="-4"/>
              </w:rPr>
              <w:t>.</w:t>
            </w:r>
            <w:r>
              <w:rPr>
                <w:spacing w:val="-4"/>
              </w:rPr>
              <w:t>) a pod jedním procentem se růst cen ve 3</w:t>
            </w:r>
            <w:r w:rsidR="005723B7">
              <w:rPr>
                <w:spacing w:val="-4"/>
              </w:rPr>
              <w:t>. čtvrtletí</w:t>
            </w:r>
            <w:r>
              <w:rPr>
                <w:spacing w:val="-4"/>
              </w:rPr>
              <w:t xml:space="preserve"> držel i ve Finsku (0,8</w:t>
            </w:r>
            <w:r w:rsidR="005723B7">
              <w:rPr>
                <w:spacing w:val="-4"/>
              </w:rPr>
              <w:t> %</w:t>
            </w:r>
            <w:r>
              <w:rPr>
                <w:spacing w:val="-4"/>
              </w:rPr>
              <w:t>). V </w:t>
            </w:r>
            <w:proofErr w:type="spellStart"/>
            <w:r w:rsidR="00DE3BE8">
              <w:rPr>
                <w:spacing w:val="-4"/>
              </w:rPr>
              <w:t>e</w:t>
            </w:r>
            <w:r>
              <w:rPr>
                <w:spacing w:val="-4"/>
              </w:rPr>
              <w:t>urozóně</w:t>
            </w:r>
            <w:proofErr w:type="spellEnd"/>
            <w:r>
              <w:rPr>
                <w:spacing w:val="-4"/>
              </w:rPr>
              <w:t xml:space="preserve"> se spotřebitelské ceny zvyšovaly mírnějším tempem než v celé EU (1,5</w:t>
            </w:r>
            <w:r w:rsidR="005723B7">
              <w:rPr>
                <w:spacing w:val="-4"/>
              </w:rPr>
              <w:t> %</w:t>
            </w:r>
            <w:r>
              <w:rPr>
                <w:spacing w:val="-4"/>
              </w:rPr>
              <w:t>).</w:t>
            </w:r>
          </w:p>
          <w:p w:rsidR="00254069" w:rsidRPr="000911E7" w:rsidRDefault="00254069" w:rsidP="00333134">
            <w:pPr>
              <w:pStyle w:val="Textpoznpodarou"/>
              <w:ind w:right="-35"/>
              <w:jc w:val="both"/>
              <w:rPr>
                <w:spacing w:val="-4"/>
              </w:rPr>
            </w:pPr>
            <w:r>
              <w:rPr>
                <w:spacing w:val="-4"/>
              </w:rPr>
              <w:t xml:space="preserve">  </w:t>
            </w: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lastRenderedPageBreak/>
              <w:t>Růst cen průmyslových výrobců se ve 3</w:t>
            </w:r>
            <w:r w:rsidR="005723B7">
              <w:rPr>
                <w:spacing w:val="-4"/>
                <w:sz w:val="16"/>
                <w:szCs w:val="16"/>
              </w:rPr>
              <w:t>. čtvrtletí</w:t>
            </w:r>
            <w:r>
              <w:rPr>
                <w:spacing w:val="-4"/>
                <w:sz w:val="16"/>
                <w:szCs w:val="16"/>
              </w:rPr>
              <w:t xml:space="preserve"> zpomalil.</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Meziroční růst cen průmyslových výrobců se ve 3</w:t>
            </w:r>
            <w:r w:rsidR="005723B7">
              <w:rPr>
                <w:spacing w:val="-4"/>
              </w:rPr>
              <w:t>. čtvrtletí</w:t>
            </w:r>
            <w:r>
              <w:rPr>
                <w:spacing w:val="-4"/>
              </w:rPr>
              <w:t xml:space="preserve"> zpomalil na 1,4</w:t>
            </w:r>
            <w:r w:rsidR="005723B7">
              <w:rPr>
                <w:spacing w:val="-4"/>
              </w:rPr>
              <w:t> %</w:t>
            </w:r>
            <w:r>
              <w:rPr>
                <w:spacing w:val="-4"/>
              </w:rPr>
              <w:t xml:space="preserve"> (dosáhl 2,7</w:t>
            </w:r>
            <w:r w:rsidR="005723B7">
              <w:rPr>
                <w:spacing w:val="-4"/>
              </w:rPr>
              <w:t> %</w:t>
            </w:r>
            <w:r>
              <w:rPr>
                <w:spacing w:val="-4"/>
              </w:rPr>
              <w:t xml:space="preserve"> v 1. a 2,3</w:t>
            </w:r>
            <w:r w:rsidR="005723B7">
              <w:rPr>
                <w:spacing w:val="-4"/>
              </w:rPr>
              <w:t> %</w:t>
            </w:r>
            <w:r>
              <w:rPr>
                <w:spacing w:val="-4"/>
              </w:rPr>
              <w:t xml:space="preserve"> ve 2</w:t>
            </w:r>
            <w:r w:rsidR="005723B7">
              <w:rPr>
                <w:spacing w:val="-4"/>
              </w:rPr>
              <w:t>. čtvrtletí</w:t>
            </w:r>
            <w:r>
              <w:rPr>
                <w:spacing w:val="-4"/>
              </w:rPr>
              <w:t>). Klíčovou úlohu měla dynamika cen ve</w:t>
            </w:r>
            <w:r w:rsidR="00DE5403">
              <w:rPr>
                <w:spacing w:val="-4"/>
              </w:rPr>
              <w:t xml:space="preserve"> </w:t>
            </w:r>
            <w:r>
              <w:rPr>
                <w:spacing w:val="-4"/>
              </w:rPr>
              <w:t>zpracovatelském průmyslu, který má v indexu nejvyšší váhu. Přestože si podstatný vliv zachoval koks a rafinované ropné výrobky, jejich příspěvek k růstu cen průmyslových výrobců se v porovnání s předchozím čtvrtletím snížil. Ke zpomalení cenového růstu přispěly i dopravní prostředky, jejichž ceny se ve 3</w:t>
            </w:r>
            <w:r w:rsidR="005723B7">
              <w:rPr>
                <w:spacing w:val="-4"/>
              </w:rPr>
              <w:t>. čtvrtletí</w:t>
            </w:r>
            <w:r>
              <w:rPr>
                <w:spacing w:val="-4"/>
              </w:rPr>
              <w:t xml:space="preserve"> meziročně propadly o 2,5</w:t>
            </w:r>
            <w:r w:rsidR="005723B7">
              <w:rPr>
                <w:spacing w:val="-4"/>
              </w:rPr>
              <w:t> %</w:t>
            </w:r>
            <w:r>
              <w:rPr>
                <w:spacing w:val="-4"/>
              </w:rPr>
              <w:t>. Zastavil se i poměrně výrazný růst cen chemických látek a výrobků (meziroční pokles ve 3</w:t>
            </w:r>
            <w:r w:rsidR="005723B7">
              <w:rPr>
                <w:spacing w:val="-4"/>
              </w:rPr>
              <w:t>. čtvrtletí</w:t>
            </w:r>
            <w:r>
              <w:rPr>
                <w:spacing w:val="-4"/>
              </w:rPr>
              <w:t xml:space="preserve"> dosáhl 0,6</w:t>
            </w:r>
            <w:r w:rsidR="005723B7">
              <w:rPr>
                <w:spacing w:val="-4"/>
              </w:rPr>
              <w:t> %</w:t>
            </w:r>
            <w:r>
              <w:rPr>
                <w:spacing w:val="-4"/>
              </w:rPr>
              <w:t>, v ostrém kontrastu s 5,3% nárůstem v předchozím kvartálu). Silně rostly ceny potravinářských výrobků, nápojů a tabáku (4,1</w:t>
            </w:r>
            <w:r w:rsidR="005723B7">
              <w:rPr>
                <w:spacing w:val="-4"/>
              </w:rPr>
              <w:t> %</w:t>
            </w:r>
            <w:r>
              <w:rPr>
                <w:spacing w:val="-4"/>
              </w:rPr>
              <w:t>) a výrazný zůstal přírůstek u obecných kovů (5,1</w:t>
            </w:r>
            <w:r w:rsidR="005723B7">
              <w:rPr>
                <w:spacing w:val="-4"/>
              </w:rPr>
              <w:t> %</w:t>
            </w:r>
            <w:r>
              <w:rPr>
                <w:spacing w:val="-4"/>
              </w:rPr>
              <w:t>). Propadl se cenový růst u těžby a dobývání (ze 4,9</w:t>
            </w:r>
            <w:r w:rsidR="005723B7">
              <w:rPr>
                <w:spacing w:val="-4"/>
              </w:rPr>
              <w:t> %</w:t>
            </w:r>
            <w:r>
              <w:rPr>
                <w:spacing w:val="-4"/>
              </w:rPr>
              <w:t xml:space="preserve"> ve 2</w:t>
            </w:r>
            <w:r w:rsidR="005723B7">
              <w:rPr>
                <w:spacing w:val="-4"/>
              </w:rPr>
              <w:t>. čtvrtletí</w:t>
            </w:r>
            <w:r>
              <w:rPr>
                <w:spacing w:val="-4"/>
              </w:rPr>
              <w:t xml:space="preserve"> na současných 2,2</w:t>
            </w:r>
            <w:r w:rsidR="005723B7">
              <w:rPr>
                <w:spacing w:val="-4"/>
              </w:rPr>
              <w:t> %</w:t>
            </w:r>
            <w:r>
              <w:rPr>
                <w:spacing w:val="-4"/>
              </w:rPr>
              <w:t>). V podstatě neměnná zůstává situace u elektřiny, plynu, páry a klimatizovaného vzduchu (pokles cen o 1,2</w:t>
            </w:r>
            <w:r w:rsidR="005723B7">
              <w:rPr>
                <w:spacing w:val="-4"/>
              </w:rPr>
              <w:t> %</w:t>
            </w:r>
            <w:r>
              <w:rPr>
                <w:spacing w:val="-4"/>
              </w:rPr>
              <w:t>) a u zásobování vodou a služeb souvisejících s odpadními vodami (nárůst o 1,0</w:t>
            </w:r>
            <w:r w:rsidR="005723B7">
              <w:rPr>
                <w:spacing w:val="-4"/>
              </w:rPr>
              <w:t> %</w:t>
            </w:r>
            <w:r>
              <w:rPr>
                <w:spacing w:val="-4"/>
              </w:rPr>
              <w:t>).</w:t>
            </w:r>
          </w:p>
          <w:p w:rsidR="00254069" w:rsidRPr="00D44CFD" w:rsidRDefault="00254069" w:rsidP="00333134">
            <w:pPr>
              <w:pStyle w:val="Textpoznpodarou"/>
              <w:ind w:right="-35"/>
              <w:jc w:val="both"/>
              <w:rPr>
                <w:spacing w:val="-4"/>
                <w:sz w:val="16"/>
                <w:szCs w:val="16"/>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V EU byl vývoj podobný jako v Česku.</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Podobně jako v Česku i v Evropě se ve 3</w:t>
            </w:r>
            <w:r w:rsidR="005723B7">
              <w:rPr>
                <w:spacing w:val="-4"/>
              </w:rPr>
              <w:t>. čtvrtletí</w:t>
            </w:r>
            <w:r>
              <w:rPr>
                <w:spacing w:val="-4"/>
              </w:rPr>
              <w:t xml:space="preserve"> zpomalilo tempo růstu cen průmyslových výrobců. Meziroční růst v EU28 dosáhl 2,</w:t>
            </w:r>
            <w:r w:rsidR="008013CB">
              <w:rPr>
                <w:spacing w:val="-4"/>
              </w:rPr>
              <w:t>8</w:t>
            </w:r>
            <w:r w:rsidR="005723B7">
              <w:rPr>
                <w:spacing w:val="-4"/>
              </w:rPr>
              <w:t> %</w:t>
            </w:r>
            <w:r>
              <w:rPr>
                <w:spacing w:val="-4"/>
              </w:rPr>
              <w:t xml:space="preserve"> (4,7</w:t>
            </w:r>
            <w:r w:rsidR="005723B7">
              <w:rPr>
                <w:spacing w:val="-4"/>
              </w:rPr>
              <w:t> %</w:t>
            </w:r>
            <w:r>
              <w:rPr>
                <w:spacing w:val="-4"/>
              </w:rPr>
              <w:t xml:space="preserve"> a 3,7</w:t>
            </w:r>
            <w:r w:rsidR="005723B7">
              <w:rPr>
                <w:spacing w:val="-4"/>
              </w:rPr>
              <w:t> %</w:t>
            </w:r>
            <w:r>
              <w:rPr>
                <w:spacing w:val="-4"/>
              </w:rPr>
              <w:t xml:space="preserve"> v 1. a 2</w:t>
            </w:r>
            <w:r w:rsidR="005723B7">
              <w:rPr>
                <w:spacing w:val="-4"/>
              </w:rPr>
              <w:t>. čtvrtletí</w:t>
            </w:r>
            <w:r>
              <w:rPr>
                <w:spacing w:val="-4"/>
              </w:rPr>
              <w:t xml:space="preserve">). Na rozdíl od předchozích čtvrtletí však ve všech státech </w:t>
            </w:r>
            <w:r w:rsidR="00A24472">
              <w:rPr>
                <w:spacing w:val="-4"/>
              </w:rPr>
              <w:t>U</w:t>
            </w:r>
            <w:r>
              <w:rPr>
                <w:spacing w:val="-4"/>
              </w:rPr>
              <w:t>nie ceny výrobců meziročně rostly. Nejrychleji v Belgii (6,8</w:t>
            </w:r>
            <w:r w:rsidR="005723B7">
              <w:rPr>
                <w:spacing w:val="-4"/>
              </w:rPr>
              <w:t> %</w:t>
            </w:r>
            <w:r>
              <w:rPr>
                <w:spacing w:val="-4"/>
              </w:rPr>
              <w:t>), Bulharsku (5,7</w:t>
            </w:r>
            <w:r w:rsidR="005723B7">
              <w:rPr>
                <w:spacing w:val="-4"/>
              </w:rPr>
              <w:t> %</w:t>
            </w:r>
            <w:r>
              <w:rPr>
                <w:spacing w:val="-4"/>
              </w:rPr>
              <w:t>) a Estonsku (5,5</w:t>
            </w:r>
            <w:r w:rsidR="005723B7">
              <w:rPr>
                <w:spacing w:val="-4"/>
              </w:rPr>
              <w:t> %</w:t>
            </w:r>
            <w:r>
              <w:rPr>
                <w:spacing w:val="-4"/>
              </w:rPr>
              <w:t>). Česká republika měla čtvrtý nejpomalejší meziroční růst cen výrobců. Pod úrovní ČR se umístil</w:t>
            </w:r>
            <w:r w:rsidR="00A24472">
              <w:rPr>
                <w:spacing w:val="-4"/>
              </w:rPr>
              <w:t>y</w:t>
            </w:r>
            <w:r>
              <w:rPr>
                <w:spacing w:val="-4"/>
              </w:rPr>
              <w:t xml:space="preserve"> Lucembursko (0,</w:t>
            </w:r>
            <w:r w:rsidR="008013CB">
              <w:rPr>
                <w:spacing w:val="-4"/>
              </w:rPr>
              <w:t>7</w:t>
            </w:r>
            <w:r w:rsidR="005723B7">
              <w:rPr>
                <w:spacing w:val="-4"/>
              </w:rPr>
              <w:t> %</w:t>
            </w:r>
            <w:r>
              <w:rPr>
                <w:spacing w:val="-4"/>
              </w:rPr>
              <w:t>), Malta (1,0</w:t>
            </w:r>
            <w:r w:rsidR="005723B7">
              <w:rPr>
                <w:spacing w:val="-4"/>
              </w:rPr>
              <w:t> %</w:t>
            </w:r>
            <w:r>
              <w:rPr>
                <w:spacing w:val="-4"/>
              </w:rPr>
              <w:t>) a Rakousko (1,3</w:t>
            </w:r>
            <w:r w:rsidR="005723B7">
              <w:rPr>
                <w:spacing w:val="-4"/>
              </w:rPr>
              <w:t> %</w:t>
            </w:r>
            <w:r>
              <w:rPr>
                <w:spacing w:val="-4"/>
              </w:rPr>
              <w:t>).</w:t>
            </w:r>
          </w:p>
          <w:p w:rsidR="00254069" w:rsidRPr="005140CF" w:rsidRDefault="00254069" w:rsidP="00333134">
            <w:pPr>
              <w:pStyle w:val="Textpoznpodarou"/>
              <w:ind w:right="-35"/>
              <w:jc w:val="both"/>
              <w:rPr>
                <w:spacing w:val="-4"/>
                <w:sz w:val="16"/>
                <w:szCs w:val="16"/>
              </w:rPr>
            </w:pPr>
          </w:p>
        </w:tc>
      </w:tr>
      <w:tr w:rsidR="00DD0726" w:rsidRPr="00F81A26" w:rsidTr="006C3DC1">
        <w:tc>
          <w:tcPr>
            <w:tcW w:w="1015" w:type="pct"/>
          </w:tcPr>
          <w:p w:rsidR="00DD0726" w:rsidRPr="00F81A26" w:rsidRDefault="00DD0726" w:rsidP="006C3DC1">
            <w:pPr>
              <w:spacing w:line="240" w:lineRule="auto"/>
              <w:ind w:right="-19"/>
              <w:jc w:val="center"/>
              <w:rPr>
                <w:spacing w:val="-4"/>
                <w:szCs w:val="20"/>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ind w:right="-35"/>
              <w:jc w:val="both"/>
              <w:rPr>
                <w:spacing w:val="-4"/>
              </w:rPr>
            </w:pPr>
            <w:r w:rsidRPr="00F81A26">
              <w:rPr>
                <w:spacing w:val="-4"/>
              </w:rPr>
              <w:t>Graf č. 13</w:t>
            </w:r>
          </w:p>
        </w:tc>
        <w:tc>
          <w:tcPr>
            <w:tcW w:w="3261" w:type="pct"/>
          </w:tcPr>
          <w:p w:rsidR="00DD0726" w:rsidRPr="00F81A26" w:rsidRDefault="00DD0726" w:rsidP="006C3DC1">
            <w:pPr>
              <w:pStyle w:val="Textpoznpodarou"/>
              <w:ind w:right="-35"/>
              <w:rPr>
                <w:spacing w:val="-4"/>
              </w:rPr>
            </w:pPr>
            <w:r w:rsidRPr="00F81A26">
              <w:rPr>
                <w:b/>
                <w:spacing w:val="-4"/>
                <w:lang w:eastAsia="en-US"/>
              </w:rPr>
              <w:t>Ceny hlavních skupin průmyslových výrobců</w:t>
            </w:r>
            <w:r w:rsidRPr="00F81A26">
              <w:rPr>
                <w:spacing w:val="-4"/>
                <w:lang w:eastAsia="en-US"/>
              </w:rPr>
              <w:t xml:space="preserve"> (meziroční změna, v</w:t>
            </w:r>
            <w:r w:rsidR="005723B7">
              <w:rPr>
                <w:spacing w:val="-4"/>
                <w:lang w:eastAsia="en-US"/>
              </w:rPr>
              <w:t> %</w:t>
            </w:r>
            <w:r w:rsidRPr="00F81A26">
              <w:rPr>
                <w:spacing w:val="-4"/>
                <w:lang w:eastAsia="en-US"/>
              </w:rPr>
              <w:t>, podle klasifikace CPA)</w:t>
            </w:r>
          </w:p>
        </w:tc>
      </w:tr>
      <w:tr w:rsidR="00DD0726" w:rsidRPr="00F81A26" w:rsidTr="006C3DC1">
        <w:tc>
          <w:tcPr>
            <w:tcW w:w="1015" w:type="pct"/>
          </w:tcPr>
          <w:p w:rsidR="00DD0726" w:rsidRPr="00F81A26" w:rsidRDefault="00DD0726" w:rsidP="006C3DC1">
            <w:pPr>
              <w:spacing w:line="240" w:lineRule="auto"/>
              <w:ind w:right="-19"/>
              <w:rPr>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254069" w:rsidP="006C3DC1">
            <w:pPr>
              <w:pStyle w:val="Textpoznpodarou"/>
              <w:ind w:left="-54" w:right="-35"/>
              <w:jc w:val="both"/>
              <w:rPr>
                <w:spacing w:val="-4"/>
              </w:rPr>
            </w:pPr>
            <w:r w:rsidRPr="00254069">
              <w:rPr>
                <w:noProof/>
                <w:spacing w:val="-4"/>
              </w:rPr>
              <w:drawing>
                <wp:inline distT="0" distB="0" distL="0" distR="0">
                  <wp:extent cx="4737600" cy="35532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0726" w:rsidRPr="00F81A26" w:rsidRDefault="00DD0726" w:rsidP="006C3DC1">
            <w:pPr>
              <w:pStyle w:val="Textpoznpodarou"/>
              <w:ind w:left="-54" w:right="-35"/>
              <w:jc w:val="right"/>
              <w:rPr>
                <w:spacing w:val="-4"/>
                <w:sz w:val="14"/>
                <w:szCs w:val="14"/>
              </w:rPr>
            </w:pPr>
            <w:r w:rsidRPr="00F81A26">
              <w:rPr>
                <w:spacing w:val="-4"/>
                <w:sz w:val="14"/>
                <w:szCs w:val="14"/>
              </w:rPr>
              <w:t>Zdroj: ČSÚ</w:t>
            </w:r>
          </w:p>
          <w:p w:rsidR="00DD0726" w:rsidRPr="00F81A26" w:rsidRDefault="00DD0726" w:rsidP="006C3DC1">
            <w:pPr>
              <w:pStyle w:val="Textpoznpodarou"/>
              <w:ind w:left="-54" w:right="-35"/>
              <w:jc w:val="right"/>
              <w:rPr>
                <w:spacing w:val="-4"/>
                <w:sz w:val="14"/>
                <w:szCs w:val="14"/>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Ceny zemědělských výrobců pokračovaly ve výrazném růstu.</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Ceny zemědělských výrobců ve 3</w:t>
            </w:r>
            <w:r w:rsidR="005723B7">
              <w:rPr>
                <w:spacing w:val="-4"/>
              </w:rPr>
              <w:t>. čtvrtletí</w:t>
            </w:r>
            <w:r>
              <w:rPr>
                <w:spacing w:val="-4"/>
              </w:rPr>
              <w:t xml:space="preserve"> meziročně vzrostly o 12,1</w:t>
            </w:r>
            <w:r w:rsidR="005723B7">
              <w:rPr>
                <w:spacing w:val="-4"/>
              </w:rPr>
              <w:t> %</w:t>
            </w:r>
            <w:r>
              <w:rPr>
                <w:spacing w:val="-4"/>
              </w:rPr>
              <w:t xml:space="preserve"> a svůj výrazný růst z předchozího čtvrtletí zrychlily o 0,</w:t>
            </w:r>
            <w:r w:rsidR="00320B3F">
              <w:rPr>
                <w:spacing w:val="-4"/>
              </w:rPr>
              <w:t>8</w:t>
            </w:r>
            <w:r w:rsidR="00CE0849">
              <w:rPr>
                <w:spacing w:val="-4"/>
              </w:rPr>
              <w:t> p. </w:t>
            </w:r>
            <w:proofErr w:type="spellStart"/>
            <w:r w:rsidR="00CE0849">
              <w:rPr>
                <w:spacing w:val="-4"/>
              </w:rPr>
              <w:t>b</w:t>
            </w:r>
            <w:proofErr w:type="spellEnd"/>
            <w:r w:rsidR="00CE0849">
              <w:rPr>
                <w:spacing w:val="-4"/>
              </w:rPr>
              <w:t>.</w:t>
            </w:r>
            <w:r>
              <w:rPr>
                <w:spacing w:val="-4"/>
              </w:rPr>
              <w:t xml:space="preserve"> K celkovému růstu cen přispěla rostlinná (meziroční přírůstek 8,1</w:t>
            </w:r>
            <w:r w:rsidR="005723B7">
              <w:rPr>
                <w:spacing w:val="-4"/>
              </w:rPr>
              <w:t> %</w:t>
            </w:r>
            <w:r>
              <w:rPr>
                <w:spacing w:val="-4"/>
              </w:rPr>
              <w:t>) i živočišná výroba (17,2</w:t>
            </w:r>
            <w:r w:rsidR="005723B7">
              <w:rPr>
                <w:spacing w:val="-4"/>
              </w:rPr>
              <w:t> %</w:t>
            </w:r>
            <w:r>
              <w:rPr>
                <w:spacing w:val="-4"/>
              </w:rPr>
              <w:t>). U rostlinné výroby se projevilo posílení meziročního cenového růstu u obilovin na 6,3</w:t>
            </w:r>
            <w:r w:rsidR="005723B7">
              <w:rPr>
                <w:spacing w:val="-4"/>
              </w:rPr>
              <w:t> %</w:t>
            </w:r>
            <w:r>
              <w:rPr>
                <w:spacing w:val="-4"/>
              </w:rPr>
              <w:t>. Poměrně silný zůstal růst cen u olejnin (4,6</w:t>
            </w:r>
            <w:r w:rsidR="005723B7">
              <w:rPr>
                <w:spacing w:val="-4"/>
              </w:rPr>
              <w:t> %</w:t>
            </w:r>
            <w:r>
              <w:rPr>
                <w:spacing w:val="-4"/>
              </w:rPr>
              <w:t>) a po čtyřech čtvrtletích hlubokých poklesů se zvýšily ceny brambor (6,3</w:t>
            </w:r>
            <w:r w:rsidR="005723B7">
              <w:rPr>
                <w:spacing w:val="-4"/>
              </w:rPr>
              <w:t> %</w:t>
            </w:r>
            <w:r>
              <w:rPr>
                <w:spacing w:val="-4"/>
              </w:rPr>
              <w:t>). U živočišné výroby se navyšování cen soustředilo do živočišných výrobků (35,3</w:t>
            </w:r>
            <w:r w:rsidR="005723B7">
              <w:rPr>
                <w:spacing w:val="-4"/>
              </w:rPr>
              <w:t> %</w:t>
            </w:r>
            <w:r>
              <w:rPr>
                <w:spacing w:val="-4"/>
              </w:rPr>
              <w:t xml:space="preserve">), ale ceny hospodářských zvířat se v růstu udržely také </w:t>
            </w:r>
            <w:r>
              <w:rPr>
                <w:spacing w:val="-4"/>
              </w:rPr>
              <w:lastRenderedPageBreak/>
              <w:t>(4,2</w:t>
            </w:r>
            <w:r w:rsidR="005723B7">
              <w:rPr>
                <w:spacing w:val="-4"/>
              </w:rPr>
              <w:t> %</w:t>
            </w:r>
            <w:r>
              <w:rPr>
                <w:spacing w:val="-4"/>
              </w:rPr>
              <w:t>, zmírnění oproti p</w:t>
            </w:r>
            <w:r w:rsidR="00B30737">
              <w:rPr>
                <w:spacing w:val="-4"/>
              </w:rPr>
              <w:t>ředchozímu kvartálu o 6,3</w:t>
            </w:r>
            <w:r w:rsidR="00CE0849">
              <w:rPr>
                <w:spacing w:val="-4"/>
              </w:rPr>
              <w:t> p. </w:t>
            </w:r>
            <w:proofErr w:type="spellStart"/>
            <w:r w:rsidR="00CE0849">
              <w:rPr>
                <w:spacing w:val="-4"/>
              </w:rPr>
              <w:t>b</w:t>
            </w:r>
            <w:proofErr w:type="spellEnd"/>
            <w:r w:rsidR="00CE0849">
              <w:rPr>
                <w:spacing w:val="-4"/>
              </w:rPr>
              <w:t>.</w:t>
            </w:r>
            <w:r w:rsidR="00A24472">
              <w:rPr>
                <w:spacing w:val="-4"/>
              </w:rPr>
              <w:t>;</w:t>
            </w:r>
            <w:r w:rsidR="00B30737">
              <w:rPr>
                <w:spacing w:val="-4"/>
              </w:rPr>
              <w:t xml:space="preserve"> </w:t>
            </w:r>
            <w:r>
              <w:rPr>
                <w:spacing w:val="-4"/>
              </w:rPr>
              <w:t>hlavní příčinou bylo zpomalení růstu cen jatečných prasat). Stejně jako ve 2</w:t>
            </w:r>
            <w:r w:rsidR="005723B7">
              <w:rPr>
                <w:spacing w:val="-4"/>
              </w:rPr>
              <w:t>. čtvrtletí</w:t>
            </w:r>
            <w:r>
              <w:rPr>
                <w:spacing w:val="-4"/>
              </w:rPr>
              <w:t xml:space="preserve"> výrazně zdražovalo mléko (38,4</w:t>
            </w:r>
            <w:r w:rsidR="005723B7">
              <w:rPr>
                <w:spacing w:val="-4"/>
              </w:rPr>
              <w:t> %</w:t>
            </w:r>
            <w:r>
              <w:rPr>
                <w:spacing w:val="-4"/>
              </w:rPr>
              <w:t>), udržel se více než 10% růst cen vajec (11,8</w:t>
            </w:r>
            <w:r w:rsidR="005723B7">
              <w:rPr>
                <w:spacing w:val="-4"/>
              </w:rPr>
              <w:t> %</w:t>
            </w:r>
            <w:r>
              <w:rPr>
                <w:spacing w:val="-4"/>
              </w:rPr>
              <w:t>).</w:t>
            </w:r>
          </w:p>
          <w:p w:rsidR="00254069" w:rsidRPr="00EE7565" w:rsidRDefault="00254069" w:rsidP="00333134">
            <w:pPr>
              <w:pStyle w:val="Textpoznpodarou"/>
              <w:ind w:right="-35"/>
              <w:jc w:val="both"/>
              <w:rPr>
                <w:spacing w:val="-4"/>
                <w:sz w:val="16"/>
                <w:szCs w:val="16"/>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lastRenderedPageBreak/>
              <w:t>Zrychlil i růst cen tržních služeb.</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Pokračovalo zrychlování růstu indexu cen tržních služeb. Meziroční přírůstek tak ve 3.</w:t>
            </w:r>
            <w:r w:rsidR="003B1DB0">
              <w:rPr>
                <w:spacing w:val="-4"/>
              </w:rPr>
              <w:t> </w:t>
            </w:r>
            <w:r>
              <w:rPr>
                <w:spacing w:val="-4"/>
              </w:rPr>
              <w:t>čtvrtletí dosáhl 1,6</w:t>
            </w:r>
            <w:r w:rsidR="005723B7">
              <w:rPr>
                <w:spacing w:val="-4"/>
              </w:rPr>
              <w:t> %</w:t>
            </w:r>
            <w:r>
              <w:rPr>
                <w:spacing w:val="-4"/>
              </w:rPr>
              <w:t>. Jde o nejvyšší tempo růstu od 2</w:t>
            </w:r>
            <w:r w:rsidR="005723B7">
              <w:rPr>
                <w:spacing w:val="-4"/>
              </w:rPr>
              <w:t>. čtvrtletí</w:t>
            </w:r>
            <w:r>
              <w:rPr>
                <w:spacing w:val="-4"/>
              </w:rPr>
              <w:t xml:space="preserve"> roku 2009. Při pohledu na jednotlivé oddíly klasifikace je patrné, že k růstu alespoň malou měrou přispěla většina. Z nich nejvýznamnější příspěvek k růstu celého indexu (0,3</w:t>
            </w:r>
            <w:r w:rsidR="00CE0849">
              <w:rPr>
                <w:spacing w:val="-4"/>
              </w:rPr>
              <w:t> p. </w:t>
            </w:r>
            <w:proofErr w:type="spellStart"/>
            <w:r w:rsidR="00CE0849">
              <w:rPr>
                <w:spacing w:val="-4"/>
              </w:rPr>
              <w:t>b</w:t>
            </w:r>
            <w:proofErr w:type="spellEnd"/>
            <w:r w:rsidR="00CE0849">
              <w:rPr>
                <w:spacing w:val="-4"/>
              </w:rPr>
              <w:t>.</w:t>
            </w:r>
            <w:r>
              <w:rPr>
                <w:spacing w:val="-4"/>
              </w:rPr>
              <w:t>) mělo pojištění, zajištění a penzijní financování (meziroční růst ve 3</w:t>
            </w:r>
            <w:r w:rsidR="005723B7">
              <w:rPr>
                <w:spacing w:val="-4"/>
              </w:rPr>
              <w:t>. čtvrtletí</w:t>
            </w:r>
            <w:r>
              <w:rPr>
                <w:spacing w:val="-4"/>
              </w:rPr>
              <w:t xml:space="preserve"> 5,3</w:t>
            </w:r>
            <w:r w:rsidR="005723B7">
              <w:rPr>
                <w:spacing w:val="-4"/>
              </w:rPr>
              <w:t> %</w:t>
            </w:r>
            <w:r>
              <w:rPr>
                <w:spacing w:val="-4"/>
              </w:rPr>
              <w:t>), dále architektonické a inženýrské služby (2,9</w:t>
            </w:r>
            <w:r w:rsidR="005723B7">
              <w:rPr>
                <w:spacing w:val="-4"/>
              </w:rPr>
              <w:t> %</w:t>
            </w:r>
            <w:r>
              <w:rPr>
                <w:spacing w:val="-4"/>
              </w:rPr>
              <w:t>) a reklamní služby a průzkum trhu (3,3</w:t>
            </w:r>
            <w:r w:rsidR="005723B7">
              <w:rPr>
                <w:spacing w:val="-4"/>
              </w:rPr>
              <w:t> %</w:t>
            </w:r>
            <w:r>
              <w:rPr>
                <w:spacing w:val="-4"/>
              </w:rPr>
              <w:t>). U</w:t>
            </w:r>
            <w:r w:rsidR="003B1DB0">
              <w:rPr>
                <w:spacing w:val="-4"/>
              </w:rPr>
              <w:t> </w:t>
            </w:r>
            <w:r>
              <w:rPr>
                <w:spacing w:val="-4"/>
              </w:rPr>
              <w:t>posledně jmenovaného oddílu se patrně projevila vyšší poptávka po službách související s vrcholícím předvolebním obdobím. Zrychlení cenového růstu u služeb v oblasti programování a poradenství na 1,</w:t>
            </w:r>
            <w:r w:rsidR="00320B3F">
              <w:rPr>
                <w:spacing w:val="-4"/>
              </w:rPr>
              <w:t>7</w:t>
            </w:r>
            <w:r w:rsidR="005723B7">
              <w:rPr>
                <w:spacing w:val="-4"/>
              </w:rPr>
              <w:t> %</w:t>
            </w:r>
            <w:r>
              <w:rPr>
                <w:spacing w:val="-4"/>
              </w:rPr>
              <w:t xml:space="preserve"> přineslo i příspěvek k růstu cen tržních služeb ve výši 0,2</w:t>
            </w:r>
            <w:r w:rsidR="00CE0849">
              <w:rPr>
                <w:spacing w:val="-4"/>
              </w:rPr>
              <w:t> p. </w:t>
            </w:r>
            <w:proofErr w:type="spellStart"/>
            <w:r w:rsidR="00CE0849">
              <w:rPr>
                <w:spacing w:val="-4"/>
              </w:rPr>
              <w:t>b</w:t>
            </w:r>
            <w:proofErr w:type="spellEnd"/>
            <w:r w:rsidR="00CE0849">
              <w:rPr>
                <w:spacing w:val="-4"/>
              </w:rPr>
              <w:t>.</w:t>
            </w:r>
            <w:r>
              <w:rPr>
                <w:spacing w:val="-4"/>
              </w:rPr>
              <w:t xml:space="preserve"> Růst tak významněji brzdily jen ceny telekomunikačních služeb, které klesly o</w:t>
            </w:r>
            <w:r w:rsidR="003B1DB0">
              <w:rPr>
                <w:spacing w:val="-4"/>
              </w:rPr>
              <w:t> </w:t>
            </w:r>
            <w:r>
              <w:rPr>
                <w:spacing w:val="-4"/>
              </w:rPr>
              <w:t>1,1</w:t>
            </w:r>
            <w:r w:rsidR="005723B7">
              <w:rPr>
                <w:spacing w:val="-4"/>
              </w:rPr>
              <w:t> %</w:t>
            </w:r>
            <w:r>
              <w:rPr>
                <w:spacing w:val="-4"/>
              </w:rPr>
              <w:t>.</w:t>
            </w:r>
          </w:p>
          <w:p w:rsidR="00254069" w:rsidRPr="004F0EBF" w:rsidRDefault="00254069" w:rsidP="00333134">
            <w:pPr>
              <w:pStyle w:val="Textpoznpodarou"/>
              <w:ind w:right="-35"/>
              <w:jc w:val="both"/>
              <w:rPr>
                <w:spacing w:val="-4"/>
                <w:sz w:val="16"/>
                <w:szCs w:val="16"/>
              </w:rPr>
            </w:pPr>
          </w:p>
        </w:tc>
      </w:tr>
      <w:tr w:rsidR="00254069" w:rsidRPr="00F81A26" w:rsidTr="006C3DC1">
        <w:tc>
          <w:tcPr>
            <w:tcW w:w="1015" w:type="pct"/>
          </w:tcPr>
          <w:p w:rsidR="00254069" w:rsidRPr="00F81A26" w:rsidRDefault="00254069" w:rsidP="00333134">
            <w:pPr>
              <w:spacing w:line="240" w:lineRule="auto"/>
              <w:ind w:right="-19"/>
              <w:rPr>
                <w:spacing w:val="-4"/>
                <w:sz w:val="16"/>
                <w:szCs w:val="16"/>
              </w:rPr>
            </w:pPr>
            <w:r>
              <w:rPr>
                <w:spacing w:val="-4"/>
                <w:sz w:val="16"/>
                <w:szCs w:val="16"/>
              </w:rPr>
              <w:t>Posílení koruny mělo za následek pokles cen vývozu i dovozu. Směnné relace se zmírnily, ale zůstaly záporné.</w:t>
            </w:r>
          </w:p>
        </w:tc>
        <w:tc>
          <w:tcPr>
            <w:tcW w:w="144" w:type="pct"/>
          </w:tcPr>
          <w:p w:rsidR="00254069" w:rsidRPr="00F81A26" w:rsidRDefault="00254069" w:rsidP="00333134">
            <w:pPr>
              <w:pStyle w:val="Textpoznpodarou"/>
              <w:jc w:val="both"/>
              <w:rPr>
                <w:spacing w:val="-4"/>
              </w:rPr>
            </w:pPr>
          </w:p>
        </w:tc>
        <w:tc>
          <w:tcPr>
            <w:tcW w:w="3841" w:type="pct"/>
            <w:gridSpan w:val="2"/>
          </w:tcPr>
          <w:p w:rsidR="00254069" w:rsidRDefault="00254069" w:rsidP="00333134">
            <w:pPr>
              <w:pStyle w:val="Textpoznpodarou"/>
              <w:ind w:right="-35"/>
              <w:jc w:val="both"/>
              <w:rPr>
                <w:spacing w:val="-4"/>
                <w:sz w:val="16"/>
                <w:szCs w:val="16"/>
              </w:rPr>
            </w:pPr>
            <w:r>
              <w:rPr>
                <w:spacing w:val="-4"/>
              </w:rPr>
              <w:t>Kladný meziroční růst cen vývozu vydržel jen dvě čtvrtletí. Ve 3</w:t>
            </w:r>
            <w:r w:rsidR="005723B7">
              <w:rPr>
                <w:spacing w:val="-4"/>
              </w:rPr>
              <w:t>. čtvrtletí</w:t>
            </w:r>
            <w:r>
              <w:rPr>
                <w:spacing w:val="-4"/>
              </w:rPr>
              <w:t xml:space="preserve"> se ceny exportů meziročně snížily o 1,1</w:t>
            </w:r>
            <w:r w:rsidR="005723B7">
              <w:rPr>
                <w:spacing w:val="-4"/>
              </w:rPr>
              <w:t> %</w:t>
            </w:r>
            <w:r>
              <w:rPr>
                <w:spacing w:val="-4"/>
              </w:rPr>
              <w:t>. Důležitým faktorem však byl vliv posilující koruny. Po očištění od kurzového vlivu totiž ceny vývozu meziročně vzrostly o</w:t>
            </w:r>
            <w:r w:rsidR="004A4760">
              <w:rPr>
                <w:spacing w:val="-4"/>
              </w:rPr>
              <w:t> </w:t>
            </w:r>
            <w:r>
              <w:rPr>
                <w:spacing w:val="-4"/>
              </w:rPr>
              <w:t>1,8</w:t>
            </w:r>
            <w:r w:rsidR="005723B7">
              <w:rPr>
                <w:spacing w:val="-4"/>
              </w:rPr>
              <w:t> %</w:t>
            </w:r>
            <w:r>
              <w:rPr>
                <w:spacing w:val="-4"/>
              </w:rPr>
              <w:t>. Nejsilnější vliv na meziroční pokles celkového indexu měly ceny strojů a dopravních prostředků, které se snížily o</w:t>
            </w:r>
            <w:r w:rsidR="004A4760">
              <w:rPr>
                <w:spacing w:val="-4"/>
              </w:rPr>
              <w:t> </w:t>
            </w:r>
            <w:r>
              <w:rPr>
                <w:spacing w:val="-4"/>
              </w:rPr>
              <w:t>3,0</w:t>
            </w:r>
            <w:r w:rsidR="005723B7">
              <w:rPr>
                <w:spacing w:val="-4"/>
              </w:rPr>
              <w:t> %</w:t>
            </w:r>
            <w:r w:rsidR="004A4760">
              <w:rPr>
                <w:spacing w:val="-4"/>
              </w:rPr>
              <w:t>,</w:t>
            </w:r>
            <w:r>
              <w:rPr>
                <w:spacing w:val="-4"/>
              </w:rPr>
              <w:t xml:space="preserve"> a ceny průmyslového spotřebního zboží, které klesly o</w:t>
            </w:r>
            <w:r w:rsidR="004A4760">
              <w:rPr>
                <w:spacing w:val="-4"/>
              </w:rPr>
              <w:t> </w:t>
            </w:r>
            <w:r>
              <w:rPr>
                <w:spacing w:val="-4"/>
              </w:rPr>
              <w:t>1,8</w:t>
            </w:r>
            <w:r w:rsidR="005723B7">
              <w:rPr>
                <w:spacing w:val="-4"/>
              </w:rPr>
              <w:t> %</w:t>
            </w:r>
            <w:r>
              <w:rPr>
                <w:spacing w:val="-4"/>
              </w:rPr>
              <w:t>. Navzdory zpomalení v průběhu roku zůstal poměrně výrazný růst cen minerálních paliv (</w:t>
            </w:r>
            <w:r w:rsidR="00320B3F">
              <w:rPr>
                <w:spacing w:val="-4"/>
              </w:rPr>
              <w:t>9</w:t>
            </w:r>
            <w:r>
              <w:rPr>
                <w:spacing w:val="-4"/>
              </w:rPr>
              <w:t>,6</w:t>
            </w:r>
            <w:r w:rsidR="005723B7">
              <w:rPr>
                <w:spacing w:val="-4"/>
              </w:rPr>
              <w:t> %</w:t>
            </w:r>
            <w:r>
              <w:rPr>
                <w:spacing w:val="-4"/>
              </w:rPr>
              <w:t>) a ostatních surovin (</w:t>
            </w:r>
            <w:r w:rsidR="00320B3F">
              <w:rPr>
                <w:spacing w:val="-4"/>
              </w:rPr>
              <w:t>8</w:t>
            </w:r>
            <w:r>
              <w:rPr>
                <w:spacing w:val="-4"/>
              </w:rPr>
              <w:t>,6</w:t>
            </w:r>
            <w:r w:rsidR="005723B7">
              <w:rPr>
                <w:spacing w:val="-4"/>
              </w:rPr>
              <w:t> %</w:t>
            </w:r>
            <w:r>
              <w:rPr>
                <w:spacing w:val="-4"/>
              </w:rPr>
              <w:t>). I</w:t>
            </w:r>
            <w:r w:rsidR="004A4760">
              <w:rPr>
                <w:spacing w:val="-4"/>
              </w:rPr>
              <w:t> </w:t>
            </w:r>
            <w:r>
              <w:rPr>
                <w:spacing w:val="-4"/>
              </w:rPr>
              <w:t>ceny dovozu byly ovlivněny posilující korunou. Ve 3</w:t>
            </w:r>
            <w:r w:rsidR="005723B7">
              <w:rPr>
                <w:spacing w:val="-4"/>
              </w:rPr>
              <w:t>. čtvrtletí</w:t>
            </w:r>
            <w:r>
              <w:rPr>
                <w:spacing w:val="-4"/>
              </w:rPr>
              <w:t xml:space="preserve"> meziročně klesly o</w:t>
            </w:r>
            <w:r w:rsidR="00154D93">
              <w:rPr>
                <w:spacing w:val="-4"/>
              </w:rPr>
              <w:t> </w:t>
            </w:r>
            <w:r>
              <w:rPr>
                <w:spacing w:val="-4"/>
              </w:rPr>
              <w:t>0,9</w:t>
            </w:r>
            <w:r w:rsidR="005723B7">
              <w:rPr>
                <w:spacing w:val="-4"/>
              </w:rPr>
              <w:t> %</w:t>
            </w:r>
            <w:r>
              <w:rPr>
                <w:spacing w:val="-4"/>
              </w:rPr>
              <w:t>, po očištění od kurzového vlivu však rostly o</w:t>
            </w:r>
            <w:r w:rsidR="00154D93">
              <w:rPr>
                <w:spacing w:val="-4"/>
              </w:rPr>
              <w:t> </w:t>
            </w:r>
            <w:r>
              <w:rPr>
                <w:spacing w:val="-4"/>
              </w:rPr>
              <w:t>2,5</w:t>
            </w:r>
            <w:r w:rsidR="005723B7">
              <w:rPr>
                <w:spacing w:val="-4"/>
              </w:rPr>
              <w:t> %</w:t>
            </w:r>
            <w:r>
              <w:rPr>
                <w:spacing w:val="-4"/>
              </w:rPr>
              <w:t xml:space="preserve">. Nejvýrazněji k meziročnímu poklesu cen dovozu přispěly stroje a dopravní </w:t>
            </w:r>
            <w:proofErr w:type="gramStart"/>
            <w:r>
              <w:rPr>
                <w:spacing w:val="-4"/>
              </w:rPr>
              <w:t>prostředky (</w:t>
            </w:r>
            <w:r w:rsidR="00154D93">
              <w:rPr>
                <w:spacing w:val="-4"/>
              </w:rPr>
              <w:t>–</w:t>
            </w:r>
            <w:r>
              <w:rPr>
                <w:spacing w:val="-4"/>
              </w:rPr>
              <w:t>4,3</w:t>
            </w:r>
            <w:proofErr w:type="gramEnd"/>
            <w:r w:rsidR="005723B7">
              <w:rPr>
                <w:spacing w:val="-4"/>
              </w:rPr>
              <w:t> %</w:t>
            </w:r>
            <w:r>
              <w:rPr>
                <w:spacing w:val="-4"/>
              </w:rPr>
              <w:t>) a průmyslové spotřební zboží (</w:t>
            </w:r>
            <w:r w:rsidR="00154D93">
              <w:rPr>
                <w:spacing w:val="-4"/>
              </w:rPr>
              <w:t>–</w:t>
            </w:r>
            <w:r>
              <w:rPr>
                <w:spacing w:val="-4"/>
              </w:rPr>
              <w:t>3,5</w:t>
            </w:r>
            <w:r w:rsidR="005723B7">
              <w:rPr>
                <w:spacing w:val="-4"/>
              </w:rPr>
              <w:t> %</w:t>
            </w:r>
            <w:r>
              <w:rPr>
                <w:spacing w:val="-4"/>
              </w:rPr>
              <w:t>). Meziroční propad na druhé straně tlumily polotovary (3,8</w:t>
            </w:r>
            <w:r w:rsidR="005723B7">
              <w:rPr>
                <w:spacing w:val="-4"/>
              </w:rPr>
              <w:t> %</w:t>
            </w:r>
            <w:r>
              <w:rPr>
                <w:spacing w:val="-4"/>
              </w:rPr>
              <w:t>) a minerální paliva (5,2</w:t>
            </w:r>
            <w:r w:rsidR="005723B7">
              <w:rPr>
                <w:spacing w:val="-4"/>
              </w:rPr>
              <w:t> %</w:t>
            </w:r>
            <w:r>
              <w:rPr>
                <w:spacing w:val="-4"/>
              </w:rPr>
              <w:t>). U minerálních paliv i ostatních surovin se však růst cen značně zpomalil v porovnání s</w:t>
            </w:r>
            <w:r w:rsidR="00154D93">
              <w:rPr>
                <w:spacing w:val="-4"/>
              </w:rPr>
              <w:t> </w:t>
            </w:r>
            <w:r>
              <w:rPr>
                <w:spacing w:val="-4"/>
              </w:rPr>
              <w:t>1.</w:t>
            </w:r>
            <w:r w:rsidR="00154D93">
              <w:rPr>
                <w:spacing w:val="-4"/>
              </w:rPr>
              <w:t> </w:t>
            </w:r>
            <w:r>
              <w:rPr>
                <w:spacing w:val="-4"/>
              </w:rPr>
              <w:t>pololetím roku. Směnné relace ve 3</w:t>
            </w:r>
            <w:r w:rsidR="005723B7">
              <w:rPr>
                <w:spacing w:val="-4"/>
              </w:rPr>
              <w:t>. čtvrtletí</w:t>
            </w:r>
            <w:r>
              <w:rPr>
                <w:spacing w:val="-4"/>
              </w:rPr>
              <w:t xml:space="preserve"> roku zůstaly záporné a</w:t>
            </w:r>
            <w:r w:rsidR="00154D93">
              <w:rPr>
                <w:spacing w:val="-4"/>
              </w:rPr>
              <w:t> </w:t>
            </w:r>
            <w:r>
              <w:rPr>
                <w:spacing w:val="-4"/>
              </w:rPr>
              <w:t>dosáhly 99,8</w:t>
            </w:r>
            <w:r w:rsidR="005723B7">
              <w:rPr>
                <w:spacing w:val="-4"/>
              </w:rPr>
              <w:t> %</w:t>
            </w:r>
            <w:r>
              <w:rPr>
                <w:spacing w:val="-4"/>
              </w:rPr>
              <w:t>. Při pohledu na vývoj v průběhu roku je patrné, že se směnné relace zmírňovaly. V záporu zůstaly jen polotovary (97,4</w:t>
            </w:r>
            <w:r w:rsidR="005723B7">
              <w:rPr>
                <w:spacing w:val="-4"/>
              </w:rPr>
              <w:t> %</w:t>
            </w:r>
            <w:r>
              <w:rPr>
                <w:spacing w:val="-4"/>
              </w:rPr>
              <w:t>), nápoje a tabák (98,0</w:t>
            </w:r>
            <w:r w:rsidR="005723B7">
              <w:rPr>
                <w:spacing w:val="-4"/>
              </w:rPr>
              <w:t> %</w:t>
            </w:r>
            <w:r>
              <w:rPr>
                <w:spacing w:val="-4"/>
              </w:rPr>
              <w:t>) a chemikálie (99,9</w:t>
            </w:r>
            <w:r w:rsidR="005723B7">
              <w:rPr>
                <w:spacing w:val="-4"/>
              </w:rPr>
              <w:t> %</w:t>
            </w:r>
            <w:r>
              <w:rPr>
                <w:spacing w:val="-4"/>
              </w:rPr>
              <w:t>). Na rozdíl od 1.</w:t>
            </w:r>
            <w:r w:rsidR="00154D93">
              <w:rPr>
                <w:spacing w:val="-4"/>
              </w:rPr>
              <w:t> </w:t>
            </w:r>
            <w:r>
              <w:rPr>
                <w:spacing w:val="-4"/>
              </w:rPr>
              <w:t>pololetí kladných směnných relací dosáhly stroje a dopravní prostředky (101,4</w:t>
            </w:r>
            <w:r w:rsidR="005723B7">
              <w:rPr>
                <w:spacing w:val="-4"/>
              </w:rPr>
              <w:t> %</w:t>
            </w:r>
            <w:r>
              <w:rPr>
                <w:spacing w:val="-4"/>
              </w:rPr>
              <w:t>), ostatní suroviny (103,0</w:t>
            </w:r>
            <w:r w:rsidR="005723B7">
              <w:rPr>
                <w:spacing w:val="-4"/>
              </w:rPr>
              <w:t> %</w:t>
            </w:r>
            <w:r>
              <w:rPr>
                <w:spacing w:val="-4"/>
              </w:rPr>
              <w:t>) a potraviny a živá zvířata (100,4</w:t>
            </w:r>
            <w:r w:rsidR="005723B7">
              <w:rPr>
                <w:spacing w:val="-4"/>
              </w:rPr>
              <w:t> %</w:t>
            </w:r>
            <w:r>
              <w:rPr>
                <w:spacing w:val="-4"/>
              </w:rPr>
              <w:t>). Výrazně kladné byly i směnné relace u minerálních paliv (104,2</w:t>
            </w:r>
            <w:r w:rsidR="005723B7">
              <w:rPr>
                <w:spacing w:val="-4"/>
              </w:rPr>
              <w:t> %</w:t>
            </w:r>
            <w:r>
              <w:rPr>
                <w:spacing w:val="-4"/>
              </w:rPr>
              <w:t>).</w:t>
            </w:r>
          </w:p>
          <w:p w:rsidR="00254069" w:rsidRPr="00593012" w:rsidRDefault="00254069" w:rsidP="00333134">
            <w:pPr>
              <w:pStyle w:val="Textpoznpodarou"/>
              <w:ind w:right="-35"/>
              <w:jc w:val="both"/>
              <w:rPr>
                <w:spacing w:val="-4"/>
                <w:sz w:val="16"/>
                <w:szCs w:val="16"/>
              </w:rPr>
            </w:pPr>
          </w:p>
        </w:tc>
      </w:tr>
      <w:tr w:rsidR="00DD0726" w:rsidRPr="00F81A26" w:rsidTr="006C3DC1">
        <w:tc>
          <w:tcPr>
            <w:tcW w:w="1015" w:type="pct"/>
          </w:tcPr>
          <w:p w:rsidR="00DD0726" w:rsidRPr="00F81A26" w:rsidRDefault="00DD0726" w:rsidP="006C3DC1">
            <w:pPr>
              <w:spacing w:line="240" w:lineRule="auto"/>
              <w:ind w:right="-19"/>
              <w:jc w:val="center"/>
              <w:rPr>
                <w:spacing w:val="-4"/>
                <w:szCs w:val="20"/>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ind w:right="-35"/>
              <w:jc w:val="both"/>
              <w:rPr>
                <w:spacing w:val="-4"/>
              </w:rPr>
            </w:pPr>
            <w:r w:rsidRPr="00F81A26">
              <w:rPr>
                <w:spacing w:val="-4"/>
              </w:rPr>
              <w:t>Graf č. 14</w:t>
            </w:r>
          </w:p>
        </w:tc>
        <w:tc>
          <w:tcPr>
            <w:tcW w:w="3261" w:type="pct"/>
          </w:tcPr>
          <w:p w:rsidR="00DD0726" w:rsidRPr="00F81A26" w:rsidRDefault="00DD0726" w:rsidP="006C3DC1">
            <w:pPr>
              <w:pStyle w:val="Textpoznpodarou"/>
              <w:ind w:right="-35"/>
              <w:rPr>
                <w:spacing w:val="-4"/>
              </w:rPr>
            </w:pPr>
            <w:r w:rsidRPr="00F81A26">
              <w:rPr>
                <w:b/>
                <w:spacing w:val="-4"/>
                <w:lang w:eastAsia="en-US"/>
              </w:rPr>
              <w:t>Deflátory</w:t>
            </w:r>
            <w:r w:rsidRPr="00F81A26">
              <w:rPr>
                <w:spacing w:val="-4"/>
                <w:lang w:eastAsia="en-US"/>
              </w:rPr>
              <w:t xml:space="preserve"> (očištěno o </w:t>
            </w:r>
            <w:proofErr w:type="spellStart"/>
            <w:r w:rsidRPr="00F81A26">
              <w:rPr>
                <w:spacing w:val="-4"/>
                <w:lang w:eastAsia="en-US"/>
              </w:rPr>
              <w:t>sez</w:t>
            </w:r>
            <w:proofErr w:type="spellEnd"/>
            <w:r w:rsidRPr="00F81A26">
              <w:rPr>
                <w:spacing w:val="-4"/>
                <w:lang w:eastAsia="en-US"/>
              </w:rPr>
              <w:t>. a kalendářní vlivy, meziroční změna, v</w:t>
            </w:r>
            <w:r w:rsidR="005723B7">
              <w:rPr>
                <w:spacing w:val="-4"/>
                <w:lang w:eastAsia="en-US"/>
              </w:rPr>
              <w:t> %</w:t>
            </w:r>
            <w:r w:rsidRPr="00F81A26">
              <w:rPr>
                <w:spacing w:val="-4"/>
                <w:lang w:eastAsia="en-US"/>
              </w:rPr>
              <w:t>)</w:t>
            </w:r>
          </w:p>
        </w:tc>
      </w:tr>
      <w:tr w:rsidR="00DD0726" w:rsidRPr="00F81A26" w:rsidTr="006C3DC1">
        <w:tc>
          <w:tcPr>
            <w:tcW w:w="1015" w:type="pct"/>
          </w:tcPr>
          <w:p w:rsidR="00DD0726" w:rsidRPr="00F81A26" w:rsidRDefault="00DD0726" w:rsidP="006C3DC1">
            <w:pPr>
              <w:spacing w:line="240" w:lineRule="auto"/>
              <w:ind w:right="-19"/>
              <w:rPr>
                <w:rFonts w:cs="Arial"/>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254069" w:rsidP="006C3DC1">
            <w:pPr>
              <w:pStyle w:val="Textpoznpodarou"/>
              <w:ind w:left="-54" w:right="-35"/>
              <w:jc w:val="both"/>
              <w:rPr>
                <w:spacing w:val="-4"/>
                <w:sz w:val="14"/>
                <w:szCs w:val="14"/>
              </w:rPr>
            </w:pPr>
            <w:r w:rsidRPr="00254069">
              <w:rPr>
                <w:noProof/>
                <w:spacing w:val="-4"/>
                <w:sz w:val="14"/>
                <w:szCs w:val="14"/>
              </w:rPr>
              <w:drawing>
                <wp:inline distT="0" distB="0" distL="0" distR="0">
                  <wp:extent cx="4737600" cy="3553200"/>
                  <wp:effectExtent l="0" t="0" r="0" b="0"/>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0726" w:rsidRPr="00F81A26" w:rsidRDefault="00DD0726" w:rsidP="006C3DC1">
            <w:pPr>
              <w:pStyle w:val="Textpoznpodarou"/>
              <w:ind w:left="-54" w:right="-35"/>
              <w:jc w:val="right"/>
              <w:rPr>
                <w:spacing w:val="-4"/>
                <w:sz w:val="14"/>
                <w:szCs w:val="14"/>
              </w:rPr>
            </w:pPr>
            <w:r w:rsidRPr="00F81A26">
              <w:rPr>
                <w:spacing w:val="-4"/>
                <w:sz w:val="14"/>
                <w:szCs w:val="14"/>
              </w:rPr>
              <w:t>Zdroj: ČSÚ</w:t>
            </w:r>
          </w:p>
        </w:tc>
      </w:tr>
    </w:tbl>
    <w:p w:rsidR="00D84BD1" w:rsidRDefault="00D84BD1" w:rsidP="00DD0726">
      <w:pPr>
        <w:pStyle w:val="Nadpis1"/>
        <w:numPr>
          <w:ilvl w:val="0"/>
          <w:numId w:val="12"/>
        </w:numPr>
        <w:ind w:left="709"/>
      </w:pPr>
      <w:bookmarkStart w:id="15" w:name="_Toc501441381"/>
      <w:r w:rsidRPr="0051593C">
        <w:lastRenderedPageBreak/>
        <w:t>Trh práce</w:t>
      </w:r>
      <w:bookmarkEnd w:id="14"/>
      <w:bookmarkEnd w:id="15"/>
    </w:p>
    <w:tbl>
      <w:tblPr>
        <w:tblW w:w="4995" w:type="pct"/>
        <w:tblInd w:w="108" w:type="dxa"/>
        <w:tblLayout w:type="fixed"/>
        <w:tblLook w:val="00A0"/>
      </w:tblPr>
      <w:tblGrid>
        <w:gridCol w:w="2000"/>
        <w:gridCol w:w="284"/>
        <w:gridCol w:w="7560"/>
      </w:tblGrid>
      <w:tr w:rsidR="005C419C" w:rsidRPr="00F06A1D" w:rsidTr="00F66CA8">
        <w:trPr>
          <w:trHeight w:val="145"/>
        </w:trPr>
        <w:tc>
          <w:tcPr>
            <w:tcW w:w="1016" w:type="pct"/>
            <w:shd w:val="clear" w:color="auto" w:fill="auto"/>
          </w:tcPr>
          <w:p w:rsidR="005C419C" w:rsidRPr="000C7A77" w:rsidRDefault="005C419C" w:rsidP="00F66CA8">
            <w:pPr>
              <w:spacing w:line="240" w:lineRule="auto"/>
              <w:rPr>
                <w:rFonts w:cs="Arial"/>
                <w:color w:val="0D0D0D" w:themeColor="text1" w:themeTint="F2"/>
                <w:spacing w:val="-4"/>
                <w:sz w:val="16"/>
                <w:szCs w:val="16"/>
              </w:rPr>
            </w:pPr>
            <w:r>
              <w:rPr>
                <w:rFonts w:cs="Arial"/>
                <w:color w:val="0D0D0D" w:themeColor="text1" w:themeTint="F2"/>
                <w:spacing w:val="-4"/>
                <w:sz w:val="16"/>
                <w:szCs w:val="16"/>
              </w:rPr>
              <w:t>Silná poptávka se odrazila ve vysokých tempech růstu zaměstnanosti. T</w:t>
            </w:r>
            <w:r w:rsidR="00731189">
              <w:rPr>
                <w:rFonts w:cs="Arial"/>
                <w:color w:val="0D0D0D" w:themeColor="text1" w:themeTint="F2"/>
                <w:spacing w:val="-4"/>
                <w:sz w:val="16"/>
                <w:szCs w:val="16"/>
              </w:rPr>
              <w:t>a</w:t>
            </w:r>
            <w:r>
              <w:rPr>
                <w:rFonts w:cs="Arial"/>
                <w:color w:val="0D0D0D" w:themeColor="text1" w:themeTint="F2"/>
                <w:spacing w:val="-4"/>
                <w:sz w:val="16"/>
                <w:szCs w:val="16"/>
              </w:rPr>
              <w:t xml:space="preserve"> ve 3</w:t>
            </w:r>
            <w:r w:rsidR="005723B7">
              <w:rPr>
                <w:rFonts w:cs="Arial"/>
                <w:color w:val="0D0D0D" w:themeColor="text1" w:themeTint="F2"/>
                <w:spacing w:val="-4"/>
                <w:sz w:val="16"/>
                <w:szCs w:val="16"/>
              </w:rPr>
              <w:t>. čtvrtletí</w:t>
            </w:r>
            <w:r>
              <w:rPr>
                <w:rFonts w:cs="Arial"/>
                <w:color w:val="0D0D0D" w:themeColor="text1" w:themeTint="F2"/>
                <w:spacing w:val="-4"/>
                <w:sz w:val="16"/>
                <w:szCs w:val="16"/>
              </w:rPr>
              <w:t xml:space="preserve"> akceleroval</w:t>
            </w:r>
            <w:r w:rsidR="00731189">
              <w:rPr>
                <w:rFonts w:cs="Arial"/>
                <w:color w:val="0D0D0D" w:themeColor="text1" w:themeTint="F2"/>
                <w:spacing w:val="-4"/>
                <w:sz w:val="16"/>
                <w:szCs w:val="16"/>
              </w:rPr>
              <w:t>a</w:t>
            </w:r>
            <w:r>
              <w:rPr>
                <w:rFonts w:cs="Arial"/>
                <w:color w:val="0D0D0D" w:themeColor="text1" w:themeTint="F2"/>
                <w:spacing w:val="-4"/>
                <w:sz w:val="16"/>
                <w:szCs w:val="16"/>
              </w:rPr>
              <w:t xml:space="preserve"> na maxima od konce konjunktury minulé dekády. </w:t>
            </w:r>
          </w:p>
        </w:tc>
        <w:tc>
          <w:tcPr>
            <w:tcW w:w="144" w:type="pct"/>
          </w:tcPr>
          <w:p w:rsidR="005C419C" w:rsidRPr="00A90EFD" w:rsidRDefault="005C419C" w:rsidP="00F66CA8">
            <w:pPr>
              <w:pStyle w:val="Textpoznpodarou"/>
              <w:jc w:val="both"/>
              <w:rPr>
                <w:rFonts w:cs="Arial"/>
                <w:color w:val="0D0D0D" w:themeColor="text1" w:themeTint="F2"/>
              </w:rPr>
            </w:pPr>
          </w:p>
        </w:tc>
        <w:tc>
          <w:tcPr>
            <w:tcW w:w="3840" w:type="pct"/>
          </w:tcPr>
          <w:p w:rsidR="005C419C" w:rsidRPr="008A4BA8" w:rsidRDefault="005C419C" w:rsidP="00F66CA8">
            <w:pPr>
              <w:pStyle w:val="Textpoznpodarou"/>
              <w:jc w:val="both"/>
              <w:rPr>
                <w:rFonts w:cs="Arial"/>
                <w:color w:val="0D0D0D" w:themeColor="text1" w:themeTint="F2"/>
                <w:spacing w:val="-4"/>
              </w:rPr>
            </w:pPr>
            <w:r w:rsidRPr="008A4BA8">
              <w:rPr>
                <w:rFonts w:cs="Arial"/>
                <w:color w:val="0D0D0D" w:themeColor="text1" w:themeTint="F2"/>
                <w:spacing w:val="-4"/>
              </w:rPr>
              <w:t>Na trhu práce nadále převládaly příznivé tendence. Silný ekonomický růst stimuloval po</w:t>
            </w:r>
            <w:r>
              <w:rPr>
                <w:rFonts w:cs="Arial"/>
                <w:color w:val="0D0D0D" w:themeColor="text1" w:themeTint="F2"/>
                <w:spacing w:val="-4"/>
              </w:rPr>
              <w:t>ptávku po pracovní síle. Růst</w:t>
            </w:r>
            <w:r w:rsidRPr="008A4BA8">
              <w:rPr>
                <w:rFonts w:cs="Arial"/>
                <w:color w:val="0D0D0D" w:themeColor="text1" w:themeTint="F2"/>
                <w:spacing w:val="-4"/>
              </w:rPr>
              <w:t xml:space="preserve"> celkové zaměstnanosti</w:t>
            </w:r>
            <w:r w:rsidRPr="008A4BA8">
              <w:rPr>
                <w:rStyle w:val="Znakapoznpodarou"/>
                <w:color w:val="0D0D0D" w:themeColor="text1" w:themeTint="F2"/>
                <w:spacing w:val="-4"/>
              </w:rPr>
              <w:footnoteReference w:id="30"/>
            </w:r>
            <w:r w:rsidRPr="008A4BA8">
              <w:rPr>
                <w:rFonts w:cs="Arial"/>
                <w:color w:val="0D0D0D" w:themeColor="text1" w:themeTint="F2"/>
                <w:spacing w:val="-4"/>
              </w:rPr>
              <w:t xml:space="preserve"> během 3</w:t>
            </w:r>
            <w:r w:rsidR="005723B7">
              <w:rPr>
                <w:rFonts w:cs="Arial"/>
                <w:color w:val="0D0D0D" w:themeColor="text1" w:themeTint="F2"/>
                <w:spacing w:val="-4"/>
              </w:rPr>
              <w:t>. čtvrtletí</w:t>
            </w:r>
            <w:r>
              <w:rPr>
                <w:rFonts w:cs="Arial"/>
                <w:color w:val="0D0D0D" w:themeColor="text1" w:themeTint="F2"/>
                <w:spacing w:val="-4"/>
              </w:rPr>
              <w:t xml:space="preserve"> akceleroval. O</w:t>
            </w:r>
            <w:r w:rsidRPr="008A4BA8">
              <w:rPr>
                <w:rFonts w:cs="Arial"/>
                <w:color w:val="0D0D0D" w:themeColor="text1" w:themeTint="F2"/>
                <w:spacing w:val="-4"/>
              </w:rPr>
              <w:t>proti předešlému kvartálu</w:t>
            </w:r>
            <w:r>
              <w:rPr>
                <w:rFonts w:cs="Arial"/>
                <w:color w:val="0D0D0D" w:themeColor="text1" w:themeTint="F2"/>
                <w:spacing w:val="-4"/>
              </w:rPr>
              <w:t xml:space="preserve"> pracovalo o</w:t>
            </w:r>
            <w:r w:rsidRPr="008A4BA8">
              <w:rPr>
                <w:rFonts w:cs="Arial"/>
                <w:color w:val="0D0D0D" w:themeColor="text1" w:themeTint="F2"/>
                <w:spacing w:val="-4"/>
              </w:rPr>
              <w:t xml:space="preserve"> 0,8</w:t>
            </w:r>
            <w:r w:rsidR="005723B7">
              <w:rPr>
                <w:rFonts w:cs="Arial"/>
                <w:color w:val="0D0D0D" w:themeColor="text1" w:themeTint="F2"/>
                <w:spacing w:val="-4"/>
              </w:rPr>
              <w:t> %</w:t>
            </w:r>
            <w:r>
              <w:rPr>
                <w:rFonts w:cs="Arial"/>
                <w:color w:val="0D0D0D" w:themeColor="text1" w:themeTint="F2"/>
                <w:spacing w:val="-4"/>
              </w:rPr>
              <w:t xml:space="preserve"> osob více</w:t>
            </w:r>
            <w:r w:rsidRPr="008A4BA8">
              <w:rPr>
                <w:rFonts w:cs="Arial"/>
                <w:color w:val="0D0D0D" w:themeColor="text1" w:themeTint="F2"/>
                <w:spacing w:val="-4"/>
              </w:rPr>
              <w:t>, meziročně o rovná 2</w:t>
            </w:r>
            <w:r w:rsidR="005723B7">
              <w:rPr>
                <w:rFonts w:cs="Arial"/>
                <w:color w:val="0D0D0D" w:themeColor="text1" w:themeTint="F2"/>
                <w:spacing w:val="-4"/>
              </w:rPr>
              <w:t> %</w:t>
            </w:r>
            <w:r w:rsidRPr="008A4BA8">
              <w:rPr>
                <w:rFonts w:cs="Arial"/>
                <w:color w:val="0D0D0D" w:themeColor="text1" w:themeTint="F2"/>
                <w:spacing w:val="-4"/>
              </w:rPr>
              <w:t>. V obou případech šlo o nejsilnější tempa od konce konjunktury minulé dekády. Nejen hospodářský cyklus spojený s přílivem pracovní síly ze zahraničí, ale rovněž posuny ve věkové skladbě obyvatelstva vč</w:t>
            </w:r>
            <w:r w:rsidR="004670EA">
              <w:rPr>
                <w:rFonts w:cs="Arial"/>
                <w:color w:val="0D0D0D" w:themeColor="text1" w:themeTint="F2"/>
                <w:spacing w:val="-4"/>
              </w:rPr>
              <w:t>etně</w:t>
            </w:r>
            <w:r w:rsidRPr="008A4BA8">
              <w:rPr>
                <w:rFonts w:cs="Arial"/>
                <w:color w:val="0D0D0D" w:themeColor="text1" w:themeTint="F2"/>
                <w:spacing w:val="-4"/>
              </w:rPr>
              <w:t xml:space="preserve"> pravidelného navyšování důchodového věku se promítly v rekordním počtu pracujících (5,36</w:t>
            </w:r>
            <w:r w:rsidR="004670EA">
              <w:rPr>
                <w:rFonts w:cs="Arial"/>
                <w:color w:val="0D0D0D" w:themeColor="text1" w:themeTint="F2"/>
                <w:spacing w:val="-4"/>
              </w:rPr>
              <w:t> </w:t>
            </w:r>
            <w:r w:rsidRPr="008A4BA8">
              <w:rPr>
                <w:rFonts w:cs="Arial"/>
                <w:color w:val="0D0D0D" w:themeColor="text1" w:themeTint="F2"/>
                <w:spacing w:val="-4"/>
              </w:rPr>
              <w:t>mil. osob).</w:t>
            </w:r>
            <w:r>
              <w:rPr>
                <w:rFonts w:cs="Arial"/>
                <w:color w:val="0D0D0D" w:themeColor="text1" w:themeTint="F2"/>
                <w:spacing w:val="-4"/>
              </w:rPr>
              <w:t xml:space="preserve"> Z podrobnějších údajů z</w:t>
            </w:r>
            <w:r w:rsidR="004670EA">
              <w:rPr>
                <w:rFonts w:cs="Arial"/>
                <w:color w:val="0D0D0D" w:themeColor="text1" w:themeTint="F2"/>
                <w:spacing w:val="-4"/>
              </w:rPr>
              <w:t xml:space="preserve">e </w:t>
            </w:r>
            <w:r>
              <w:rPr>
                <w:rFonts w:cs="Arial"/>
                <w:color w:val="0D0D0D" w:themeColor="text1" w:themeTint="F2"/>
                <w:spacing w:val="-4"/>
              </w:rPr>
              <w:t>šetření v domácnostech</w:t>
            </w:r>
            <w:r w:rsidRPr="008A4BA8">
              <w:rPr>
                <w:rFonts w:cs="Arial"/>
                <w:color w:val="0D0D0D" w:themeColor="text1" w:themeTint="F2"/>
                <w:spacing w:val="-4"/>
              </w:rPr>
              <w:t xml:space="preserve"> vyplynulo, že ve 2</w:t>
            </w:r>
            <w:r w:rsidR="005723B7">
              <w:rPr>
                <w:rFonts w:cs="Arial"/>
                <w:color w:val="0D0D0D" w:themeColor="text1" w:themeTint="F2"/>
                <w:spacing w:val="-4"/>
              </w:rPr>
              <w:t>. čtvrtletí</w:t>
            </w:r>
            <w:r w:rsidRPr="008A4BA8">
              <w:rPr>
                <w:rFonts w:cs="Arial"/>
                <w:color w:val="0D0D0D" w:themeColor="text1" w:themeTint="F2"/>
                <w:spacing w:val="-4"/>
              </w:rPr>
              <w:t xml:space="preserve"> 2017 mělo práci 78,2</w:t>
            </w:r>
            <w:r w:rsidR="005723B7">
              <w:rPr>
                <w:rFonts w:cs="Arial"/>
                <w:color w:val="0D0D0D" w:themeColor="text1" w:themeTint="F2"/>
                <w:spacing w:val="-4"/>
              </w:rPr>
              <w:t> %</w:t>
            </w:r>
            <w:r w:rsidRPr="008A4BA8">
              <w:rPr>
                <w:rFonts w:cs="Arial"/>
                <w:color w:val="0D0D0D" w:themeColor="text1" w:themeTint="F2"/>
                <w:spacing w:val="-4"/>
              </w:rPr>
              <w:t xml:space="preserve"> osob ve věku 20</w:t>
            </w:r>
            <w:r>
              <w:rPr>
                <w:rFonts w:cs="Arial"/>
                <w:color w:val="0D0D0D" w:themeColor="text1" w:themeTint="F2"/>
                <w:spacing w:val="-4"/>
              </w:rPr>
              <w:t>–</w:t>
            </w:r>
            <w:r w:rsidRPr="008A4BA8">
              <w:rPr>
                <w:rFonts w:cs="Arial"/>
                <w:color w:val="0D0D0D" w:themeColor="text1" w:themeTint="F2"/>
                <w:spacing w:val="-4"/>
              </w:rPr>
              <w:t>64 let, meziročně o 1,7</w:t>
            </w:r>
            <w:r w:rsidR="00CE0849">
              <w:rPr>
                <w:rFonts w:cs="Arial"/>
                <w:color w:val="0D0D0D" w:themeColor="text1" w:themeTint="F2"/>
                <w:spacing w:val="-4"/>
              </w:rPr>
              <w:t> p. </w:t>
            </w:r>
            <w:proofErr w:type="spellStart"/>
            <w:r w:rsidR="00CE0849">
              <w:rPr>
                <w:rFonts w:cs="Arial"/>
                <w:color w:val="0D0D0D" w:themeColor="text1" w:themeTint="F2"/>
                <w:spacing w:val="-4"/>
              </w:rPr>
              <w:t>b</w:t>
            </w:r>
            <w:proofErr w:type="spellEnd"/>
            <w:r w:rsidR="00CE0849">
              <w:rPr>
                <w:rFonts w:cs="Arial"/>
                <w:color w:val="0D0D0D" w:themeColor="text1" w:themeTint="F2"/>
                <w:spacing w:val="-4"/>
              </w:rPr>
              <w:t>.</w:t>
            </w:r>
            <w:r>
              <w:rPr>
                <w:rFonts w:cs="Arial"/>
                <w:color w:val="0D0D0D" w:themeColor="text1" w:themeTint="F2"/>
                <w:spacing w:val="-4"/>
              </w:rPr>
              <w:t xml:space="preserve"> </w:t>
            </w:r>
            <w:proofErr w:type="gramStart"/>
            <w:r>
              <w:rPr>
                <w:rFonts w:cs="Arial"/>
                <w:color w:val="0D0D0D" w:themeColor="text1" w:themeTint="F2"/>
                <w:spacing w:val="-4"/>
              </w:rPr>
              <w:t>více</w:t>
            </w:r>
            <w:proofErr w:type="gramEnd"/>
            <w:r w:rsidRPr="008A4BA8">
              <w:rPr>
                <w:rFonts w:cs="Arial"/>
                <w:color w:val="0D0D0D" w:themeColor="text1" w:themeTint="F2"/>
                <w:spacing w:val="-4"/>
              </w:rPr>
              <w:t xml:space="preserve">. Na tomto růstu se podíleli spíše starší pracovníci (nad </w:t>
            </w:r>
            <w:r>
              <w:rPr>
                <w:rFonts w:cs="Arial"/>
                <w:color w:val="0D0D0D" w:themeColor="text1" w:themeTint="F2"/>
                <w:spacing w:val="-4"/>
              </w:rPr>
              <w:t>55</w:t>
            </w:r>
            <w:r w:rsidR="004670EA">
              <w:rPr>
                <w:rFonts w:cs="Arial"/>
                <w:color w:val="0D0D0D" w:themeColor="text1" w:themeTint="F2"/>
                <w:spacing w:val="-4"/>
              </w:rPr>
              <w:t> </w:t>
            </w:r>
            <w:r>
              <w:rPr>
                <w:rFonts w:cs="Arial"/>
                <w:color w:val="0D0D0D" w:themeColor="text1" w:themeTint="F2"/>
                <w:spacing w:val="-4"/>
              </w:rPr>
              <w:t>let), míra zaměstnanosti ale</w:t>
            </w:r>
            <w:r w:rsidRPr="008A4BA8">
              <w:rPr>
                <w:rFonts w:cs="Arial"/>
                <w:color w:val="0D0D0D" w:themeColor="text1" w:themeTint="F2"/>
                <w:spacing w:val="-4"/>
              </w:rPr>
              <w:t xml:space="preserve"> vzrostla ve všech věkových s</w:t>
            </w:r>
            <w:r>
              <w:rPr>
                <w:rFonts w:cs="Arial"/>
                <w:color w:val="0D0D0D" w:themeColor="text1" w:themeTint="F2"/>
                <w:spacing w:val="-4"/>
              </w:rPr>
              <w:t>kupinách (vyjma osob ve věku 35–</w:t>
            </w:r>
            <w:r w:rsidRPr="008A4BA8">
              <w:rPr>
                <w:rFonts w:cs="Arial"/>
                <w:color w:val="0D0D0D" w:themeColor="text1" w:themeTint="F2"/>
                <w:spacing w:val="-4"/>
              </w:rPr>
              <w:t>39</w:t>
            </w:r>
            <w:r w:rsidR="004670EA">
              <w:rPr>
                <w:rFonts w:cs="Arial"/>
                <w:color w:val="0D0D0D" w:themeColor="text1" w:themeTint="F2"/>
                <w:spacing w:val="-4"/>
              </w:rPr>
              <w:t> </w:t>
            </w:r>
            <w:r w:rsidRPr="008A4BA8">
              <w:rPr>
                <w:rFonts w:cs="Arial"/>
                <w:color w:val="0D0D0D" w:themeColor="text1" w:themeTint="F2"/>
                <w:spacing w:val="-4"/>
              </w:rPr>
              <w:t>let). Zaměstnanost</w:t>
            </w:r>
            <w:r>
              <w:rPr>
                <w:rFonts w:cs="Arial"/>
                <w:color w:val="0D0D0D" w:themeColor="text1" w:themeTint="F2"/>
                <w:spacing w:val="-4"/>
              </w:rPr>
              <w:t xml:space="preserve"> mužů činila</w:t>
            </w:r>
            <w:r w:rsidRPr="008A4BA8">
              <w:rPr>
                <w:rFonts w:cs="Arial"/>
                <w:color w:val="0D0D0D" w:themeColor="text1" w:themeTint="F2"/>
                <w:spacing w:val="-4"/>
              </w:rPr>
              <w:t xml:space="preserve"> ve 2</w:t>
            </w:r>
            <w:r w:rsidR="005723B7">
              <w:rPr>
                <w:rFonts w:cs="Arial"/>
                <w:color w:val="0D0D0D" w:themeColor="text1" w:themeTint="F2"/>
                <w:spacing w:val="-4"/>
              </w:rPr>
              <w:t>. čtvrtletí</w:t>
            </w:r>
            <w:r w:rsidRPr="008A4BA8">
              <w:rPr>
                <w:rFonts w:cs="Arial"/>
                <w:color w:val="0D0D0D" w:themeColor="text1" w:themeTint="F2"/>
                <w:spacing w:val="-4"/>
              </w:rPr>
              <w:t xml:space="preserve"> 86,1</w:t>
            </w:r>
            <w:r w:rsidR="005723B7">
              <w:rPr>
                <w:rFonts w:cs="Arial"/>
                <w:color w:val="0D0D0D" w:themeColor="text1" w:themeTint="F2"/>
                <w:spacing w:val="-4"/>
              </w:rPr>
              <w:t> %</w:t>
            </w:r>
            <w:r>
              <w:rPr>
                <w:rFonts w:cs="Arial"/>
                <w:color w:val="0D0D0D" w:themeColor="text1" w:themeTint="F2"/>
                <w:spacing w:val="-4"/>
              </w:rPr>
              <w:t xml:space="preserve"> a byla již téměř</w:t>
            </w:r>
            <w:r w:rsidRPr="008A4BA8">
              <w:rPr>
                <w:rFonts w:cs="Arial"/>
                <w:color w:val="0D0D0D" w:themeColor="text1" w:themeTint="F2"/>
                <w:spacing w:val="-4"/>
              </w:rPr>
              <w:t xml:space="preserve"> tři roky </w:t>
            </w:r>
            <w:r>
              <w:rPr>
                <w:rFonts w:cs="Arial"/>
                <w:color w:val="0D0D0D" w:themeColor="text1" w:themeTint="F2"/>
                <w:spacing w:val="-4"/>
              </w:rPr>
              <w:t>nejvyšší v</w:t>
            </w:r>
            <w:r w:rsidR="004670EA">
              <w:rPr>
                <w:rFonts w:cs="Arial"/>
                <w:color w:val="0D0D0D" w:themeColor="text1" w:themeTint="F2"/>
                <w:spacing w:val="-4"/>
              </w:rPr>
              <w:t> </w:t>
            </w:r>
            <w:r w:rsidRPr="008A4BA8">
              <w:rPr>
                <w:rFonts w:cs="Arial"/>
                <w:color w:val="0D0D0D" w:themeColor="text1" w:themeTint="F2"/>
                <w:spacing w:val="-4"/>
              </w:rPr>
              <w:t>E</w:t>
            </w:r>
            <w:r>
              <w:rPr>
                <w:rFonts w:cs="Arial"/>
                <w:color w:val="0D0D0D" w:themeColor="text1" w:themeTint="F2"/>
                <w:spacing w:val="-4"/>
              </w:rPr>
              <w:t>U. Zaměstnanost žen řadila ČR</w:t>
            </w:r>
            <w:r w:rsidRPr="008A4BA8">
              <w:rPr>
                <w:rFonts w:cs="Arial"/>
                <w:color w:val="0D0D0D" w:themeColor="text1" w:themeTint="F2"/>
                <w:spacing w:val="-4"/>
              </w:rPr>
              <w:t xml:space="preserve"> nadále až na jedenácté místo</w:t>
            </w:r>
            <w:r>
              <w:rPr>
                <w:rFonts w:cs="Arial"/>
                <w:color w:val="0D0D0D" w:themeColor="text1" w:themeTint="F2"/>
                <w:spacing w:val="-4"/>
              </w:rPr>
              <w:t xml:space="preserve"> i přesto</w:t>
            </w:r>
            <w:r w:rsidRPr="008A4BA8">
              <w:rPr>
                <w:rFonts w:cs="Arial"/>
                <w:color w:val="0D0D0D" w:themeColor="text1" w:themeTint="F2"/>
                <w:spacing w:val="-4"/>
              </w:rPr>
              <w:t>, že se meziročně zvyšovala dynamičtěji než v Uni</w:t>
            </w:r>
            <w:r>
              <w:rPr>
                <w:rFonts w:cs="Arial"/>
                <w:color w:val="0D0D0D" w:themeColor="text1" w:themeTint="F2"/>
                <w:spacing w:val="-4"/>
              </w:rPr>
              <w:t>i (z 68,4 na 70,1</w:t>
            </w:r>
            <w:r w:rsidR="005723B7">
              <w:rPr>
                <w:rFonts w:cs="Arial"/>
                <w:color w:val="0D0D0D" w:themeColor="text1" w:themeTint="F2"/>
                <w:spacing w:val="-4"/>
              </w:rPr>
              <w:t> %</w:t>
            </w:r>
            <w:r w:rsidRPr="008A4BA8">
              <w:rPr>
                <w:rFonts w:cs="Arial"/>
                <w:color w:val="0D0D0D" w:themeColor="text1" w:themeTint="F2"/>
                <w:spacing w:val="-4"/>
              </w:rPr>
              <w:t>).</w:t>
            </w:r>
          </w:p>
          <w:p w:rsidR="005C419C" w:rsidRPr="008A4BA8" w:rsidRDefault="005C419C" w:rsidP="00F66CA8">
            <w:pPr>
              <w:pStyle w:val="Textpoznpodarou"/>
              <w:jc w:val="both"/>
              <w:rPr>
                <w:rFonts w:cs="Arial"/>
                <w:color w:val="0D0D0D" w:themeColor="text1" w:themeTint="F2"/>
                <w:spacing w:val="-4"/>
                <w:sz w:val="15"/>
                <w:szCs w:val="15"/>
              </w:rPr>
            </w:pPr>
          </w:p>
        </w:tc>
      </w:tr>
      <w:tr w:rsidR="005C419C" w:rsidRPr="0094422D" w:rsidTr="00F66CA8">
        <w:trPr>
          <w:trHeight w:val="145"/>
        </w:trPr>
        <w:tc>
          <w:tcPr>
            <w:tcW w:w="1016" w:type="pct"/>
            <w:shd w:val="clear" w:color="auto" w:fill="auto"/>
          </w:tcPr>
          <w:p w:rsidR="005C419C" w:rsidRDefault="005C419C" w:rsidP="00F66CA8">
            <w:pPr>
              <w:spacing w:line="240" w:lineRule="auto"/>
              <w:rPr>
                <w:rFonts w:cs="Arial"/>
                <w:color w:val="0D0D0D" w:themeColor="text1" w:themeTint="F2"/>
                <w:spacing w:val="-2"/>
                <w:sz w:val="16"/>
                <w:szCs w:val="16"/>
              </w:rPr>
            </w:pPr>
            <w:r>
              <w:rPr>
                <w:rFonts w:cs="Arial"/>
                <w:color w:val="0D0D0D" w:themeColor="text1" w:themeTint="F2"/>
                <w:spacing w:val="-2"/>
                <w:sz w:val="16"/>
                <w:szCs w:val="16"/>
              </w:rPr>
              <w:t>K růstu zaměstnanosti významně přispěl i vyšší počet podnikajících osob, z pohledu odvětví pak zejména obchod, doprava, ubytování a stravování.</w:t>
            </w:r>
          </w:p>
          <w:p w:rsidR="005C419C" w:rsidRDefault="005C419C" w:rsidP="00F66CA8">
            <w:pPr>
              <w:spacing w:line="240" w:lineRule="auto"/>
              <w:rPr>
                <w:rFonts w:cs="Arial"/>
                <w:color w:val="0D0D0D" w:themeColor="text1" w:themeTint="F2"/>
                <w:spacing w:val="-2"/>
                <w:sz w:val="16"/>
                <w:szCs w:val="16"/>
              </w:rPr>
            </w:pPr>
          </w:p>
          <w:p w:rsidR="005C419C" w:rsidRDefault="005C419C" w:rsidP="00F66CA8">
            <w:pPr>
              <w:spacing w:line="240" w:lineRule="auto"/>
              <w:rPr>
                <w:rFonts w:cs="Arial"/>
                <w:color w:val="0D0D0D" w:themeColor="text1" w:themeTint="F2"/>
                <w:spacing w:val="-2"/>
                <w:sz w:val="16"/>
                <w:szCs w:val="16"/>
              </w:rPr>
            </w:pPr>
          </w:p>
          <w:p w:rsidR="005C419C" w:rsidRDefault="005C419C" w:rsidP="00F66CA8">
            <w:pPr>
              <w:spacing w:line="240" w:lineRule="auto"/>
              <w:rPr>
                <w:rFonts w:cs="Arial"/>
                <w:color w:val="0D0D0D" w:themeColor="text1" w:themeTint="F2"/>
                <w:spacing w:val="-2"/>
                <w:sz w:val="16"/>
                <w:szCs w:val="16"/>
              </w:rPr>
            </w:pPr>
          </w:p>
          <w:p w:rsidR="005C419C" w:rsidRDefault="005C419C" w:rsidP="00F66CA8">
            <w:pPr>
              <w:spacing w:line="240" w:lineRule="auto"/>
              <w:rPr>
                <w:rFonts w:cs="Arial"/>
                <w:color w:val="0D0D0D" w:themeColor="text1" w:themeTint="F2"/>
                <w:spacing w:val="-2"/>
                <w:sz w:val="16"/>
                <w:szCs w:val="16"/>
              </w:rPr>
            </w:pPr>
          </w:p>
          <w:p w:rsidR="005C419C" w:rsidRDefault="005C419C" w:rsidP="00F66CA8">
            <w:pPr>
              <w:spacing w:line="240" w:lineRule="auto"/>
              <w:rPr>
                <w:rFonts w:cs="Arial"/>
                <w:color w:val="0D0D0D" w:themeColor="text1" w:themeTint="F2"/>
                <w:spacing w:val="-2"/>
                <w:sz w:val="16"/>
                <w:szCs w:val="16"/>
              </w:rPr>
            </w:pPr>
          </w:p>
          <w:p w:rsidR="005C419C" w:rsidRPr="001C4DD3" w:rsidRDefault="005C419C" w:rsidP="00F66CA8">
            <w:pPr>
              <w:spacing w:line="240" w:lineRule="auto"/>
              <w:rPr>
                <w:rFonts w:cs="Arial"/>
                <w:color w:val="0D0D0D" w:themeColor="text1" w:themeTint="F2"/>
                <w:spacing w:val="-2"/>
                <w:sz w:val="16"/>
                <w:szCs w:val="16"/>
              </w:rPr>
            </w:pPr>
            <w:r>
              <w:rPr>
                <w:rFonts w:cs="Arial"/>
                <w:color w:val="0D0D0D" w:themeColor="text1" w:themeTint="F2"/>
                <w:spacing w:val="-2"/>
                <w:sz w:val="16"/>
                <w:szCs w:val="16"/>
              </w:rPr>
              <w:t>Pracovníků ubylo jen ve finančním sektoru a také v těžbě a dobývání.</w:t>
            </w:r>
          </w:p>
        </w:tc>
        <w:tc>
          <w:tcPr>
            <w:tcW w:w="144" w:type="pct"/>
          </w:tcPr>
          <w:p w:rsidR="005C419C" w:rsidRPr="00A90EFD" w:rsidRDefault="005C419C" w:rsidP="00F66CA8">
            <w:pPr>
              <w:pStyle w:val="Textpoznpodarou"/>
              <w:jc w:val="both"/>
              <w:rPr>
                <w:rFonts w:cs="Arial"/>
                <w:color w:val="0D0D0D" w:themeColor="text1" w:themeTint="F2"/>
              </w:rPr>
            </w:pPr>
          </w:p>
        </w:tc>
        <w:tc>
          <w:tcPr>
            <w:tcW w:w="3840" w:type="pct"/>
          </w:tcPr>
          <w:p w:rsidR="005C419C" w:rsidRPr="003E56BE" w:rsidRDefault="005C419C" w:rsidP="00F66CA8">
            <w:pPr>
              <w:pStyle w:val="Textpoznpodarou"/>
              <w:jc w:val="both"/>
              <w:rPr>
                <w:rFonts w:cs="Arial"/>
                <w:color w:val="000000" w:themeColor="text1"/>
                <w:spacing w:val="-4"/>
              </w:rPr>
            </w:pPr>
            <w:r>
              <w:rPr>
                <w:rFonts w:cs="Arial"/>
                <w:color w:val="000000" w:themeColor="text1"/>
                <w:spacing w:val="-4"/>
              </w:rPr>
              <w:t>Počet pracovníků v ekonomice posílil v 1. až 3</w:t>
            </w:r>
            <w:r w:rsidR="005723B7">
              <w:rPr>
                <w:rFonts w:cs="Arial"/>
                <w:color w:val="000000" w:themeColor="text1"/>
                <w:spacing w:val="-4"/>
              </w:rPr>
              <w:t>. čtvrtletí</w:t>
            </w:r>
            <w:r>
              <w:rPr>
                <w:rFonts w:cs="Arial"/>
                <w:color w:val="000000" w:themeColor="text1"/>
                <w:spacing w:val="-4"/>
              </w:rPr>
              <w:t xml:space="preserve"> hlavně vlivem meziročně vyššího počtu zaměstnanců (+62</w:t>
            </w:r>
            <w:r w:rsidR="00B03F5F">
              <w:rPr>
                <w:rFonts w:cs="Arial"/>
                <w:color w:val="000000" w:themeColor="text1"/>
                <w:spacing w:val="-4"/>
              </w:rPr>
              <w:t> </w:t>
            </w:r>
            <w:r>
              <w:rPr>
                <w:rFonts w:cs="Arial"/>
                <w:color w:val="000000" w:themeColor="text1"/>
                <w:spacing w:val="-4"/>
              </w:rPr>
              <w:t xml:space="preserve">tis.). Čtvrtinou se však podíleli i </w:t>
            </w:r>
            <w:proofErr w:type="spellStart"/>
            <w:r>
              <w:rPr>
                <w:rFonts w:cs="Arial"/>
                <w:color w:val="000000" w:themeColor="text1"/>
                <w:spacing w:val="-4"/>
              </w:rPr>
              <w:t>sebezaměstnaní</w:t>
            </w:r>
            <w:proofErr w:type="spellEnd"/>
            <w:r>
              <w:rPr>
                <w:rFonts w:cs="Arial"/>
                <w:color w:val="000000" w:themeColor="text1"/>
                <w:spacing w:val="-4"/>
              </w:rPr>
              <w:t xml:space="preserve">, </w:t>
            </w:r>
            <w:r w:rsidRPr="00863669">
              <w:rPr>
                <w:rFonts w:cs="Arial"/>
                <w:color w:val="000000" w:themeColor="text1"/>
                <w:spacing w:val="-4"/>
              </w:rPr>
              <w:t>jejichž růst zrychlil z loňských +0,4</w:t>
            </w:r>
            <w:r w:rsidR="005723B7">
              <w:rPr>
                <w:rFonts w:cs="Arial"/>
                <w:color w:val="000000" w:themeColor="text1"/>
                <w:spacing w:val="-4"/>
              </w:rPr>
              <w:t> %</w:t>
            </w:r>
            <w:r w:rsidRPr="00863669">
              <w:rPr>
                <w:rFonts w:cs="Arial"/>
                <w:color w:val="000000" w:themeColor="text1"/>
                <w:spacing w:val="-4"/>
              </w:rPr>
              <w:t xml:space="preserve"> na 2,8</w:t>
            </w:r>
            <w:r w:rsidR="005723B7">
              <w:rPr>
                <w:rFonts w:cs="Arial"/>
                <w:color w:val="000000" w:themeColor="text1"/>
                <w:spacing w:val="-4"/>
              </w:rPr>
              <w:t> %</w:t>
            </w:r>
            <w:r w:rsidRPr="00863669">
              <w:rPr>
                <w:rFonts w:cs="Arial"/>
                <w:color w:val="000000" w:themeColor="text1"/>
                <w:spacing w:val="-4"/>
              </w:rPr>
              <w:t xml:space="preserve"> (nejvyšší tempo za posledních sedm let) a prostupoval</w:t>
            </w:r>
            <w:r>
              <w:rPr>
                <w:rFonts w:cs="Arial"/>
                <w:color w:val="000000" w:themeColor="text1"/>
                <w:spacing w:val="-4"/>
              </w:rPr>
              <w:t xml:space="preserve"> drtivou většinou významných oborů. Z odvětvového hlediska se na růstu celkové zaměstnanosti nejvíce podílelo dominantní uskupení služeb – o</w:t>
            </w:r>
            <w:r w:rsidRPr="00D11EC7">
              <w:rPr>
                <w:rFonts w:cs="Arial"/>
                <w:color w:val="000000" w:themeColor="text1"/>
                <w:spacing w:val="-4"/>
              </w:rPr>
              <w:t>bchod, doprava, ubytování a</w:t>
            </w:r>
            <w:r w:rsidRPr="00174670">
              <w:rPr>
                <w:rFonts w:cs="Arial"/>
                <w:color w:val="0D0D0D" w:themeColor="text1" w:themeTint="F2"/>
                <w:spacing w:val="-2"/>
              </w:rPr>
              <w:t> </w:t>
            </w:r>
            <w:r w:rsidRPr="00D11EC7">
              <w:rPr>
                <w:rFonts w:cs="Arial"/>
                <w:color w:val="000000" w:themeColor="text1"/>
                <w:spacing w:val="-4"/>
              </w:rPr>
              <w:t>pohostinství</w:t>
            </w:r>
            <w:r>
              <w:rPr>
                <w:rFonts w:cs="Arial"/>
                <w:color w:val="000000" w:themeColor="text1"/>
                <w:spacing w:val="-4"/>
              </w:rPr>
              <w:t>, kde pracovalo o</w:t>
            </w:r>
            <w:r w:rsidR="00B03F5F">
              <w:rPr>
                <w:rFonts w:cs="Arial"/>
                <w:color w:val="000000" w:themeColor="text1"/>
                <w:spacing w:val="-4"/>
              </w:rPr>
              <w:t> </w:t>
            </w:r>
            <w:r>
              <w:rPr>
                <w:rFonts w:cs="Arial"/>
                <w:color w:val="000000" w:themeColor="text1"/>
                <w:spacing w:val="-4"/>
              </w:rPr>
              <w:t>30</w:t>
            </w:r>
            <w:r w:rsidR="00B03F5F">
              <w:rPr>
                <w:rFonts w:cs="Arial"/>
                <w:color w:val="000000" w:themeColor="text1"/>
                <w:spacing w:val="-4"/>
              </w:rPr>
              <w:t> </w:t>
            </w:r>
            <w:r>
              <w:rPr>
                <w:rFonts w:cs="Arial"/>
                <w:color w:val="000000" w:themeColor="text1"/>
                <w:spacing w:val="-4"/>
              </w:rPr>
              <w:t>tis</w:t>
            </w:r>
            <w:r w:rsidR="00B03F5F">
              <w:rPr>
                <w:rFonts w:cs="Arial"/>
                <w:color w:val="000000" w:themeColor="text1"/>
                <w:spacing w:val="-4"/>
              </w:rPr>
              <w:t>íc</w:t>
            </w:r>
            <w:r>
              <w:rPr>
                <w:rFonts w:cs="Arial"/>
                <w:color w:val="000000" w:themeColor="text1"/>
                <w:spacing w:val="-4"/>
              </w:rPr>
              <w:t xml:space="preserve"> lidí více (v samotném 3</w:t>
            </w:r>
            <w:r w:rsidR="005723B7">
              <w:rPr>
                <w:rFonts w:cs="Arial"/>
                <w:color w:val="000000" w:themeColor="text1"/>
                <w:spacing w:val="-4"/>
              </w:rPr>
              <w:t>. čtvrtletí</w:t>
            </w:r>
            <w:r>
              <w:rPr>
                <w:rFonts w:cs="Arial"/>
                <w:color w:val="000000" w:themeColor="text1"/>
                <w:spacing w:val="-4"/>
              </w:rPr>
              <w:t xml:space="preserve"> činil meziroční přírůstek dokonce 41 tis</w:t>
            </w:r>
            <w:r w:rsidR="00B03F5F">
              <w:rPr>
                <w:rFonts w:cs="Arial"/>
                <w:color w:val="000000" w:themeColor="text1"/>
                <w:spacing w:val="-4"/>
              </w:rPr>
              <w:t>íc</w:t>
            </w:r>
            <w:r>
              <w:rPr>
                <w:rFonts w:cs="Arial"/>
                <w:color w:val="000000" w:themeColor="text1"/>
                <w:spacing w:val="-4"/>
              </w:rPr>
              <w:t>). Relativně nejdynamičtěji však letos – podobně jako za celé období od konce poslední recese – vytvářely nová pracovní místa p</w:t>
            </w:r>
            <w:r w:rsidRPr="004C1899">
              <w:rPr>
                <w:rFonts w:cs="Arial"/>
                <w:color w:val="000000" w:themeColor="text1"/>
                <w:spacing w:val="-4"/>
              </w:rPr>
              <w:t>rofesní, vědecké, technické a</w:t>
            </w:r>
            <w:r w:rsidRPr="00174670">
              <w:rPr>
                <w:rFonts w:cs="Arial"/>
                <w:color w:val="0D0D0D" w:themeColor="text1" w:themeTint="F2"/>
                <w:spacing w:val="-2"/>
              </w:rPr>
              <w:t> </w:t>
            </w:r>
            <w:r w:rsidRPr="004C1899">
              <w:rPr>
                <w:rFonts w:cs="Arial"/>
                <w:color w:val="000000" w:themeColor="text1"/>
                <w:spacing w:val="-4"/>
              </w:rPr>
              <w:t>administrativní činnosti</w:t>
            </w:r>
            <w:r>
              <w:rPr>
                <w:rFonts w:cs="Arial"/>
                <w:color w:val="000000" w:themeColor="text1"/>
                <w:spacing w:val="-4"/>
              </w:rPr>
              <w:t xml:space="preserve"> a také informační i komunikační činnosti. V obou těchto odvětvích se zaměstnanost za poslední čtyři roky zvýšila o osminu (ve zpracovatelském průmyslu o 7,0</w:t>
            </w:r>
            <w:r w:rsidR="005723B7">
              <w:rPr>
                <w:rFonts w:cs="Arial"/>
                <w:color w:val="000000" w:themeColor="text1"/>
                <w:spacing w:val="-4"/>
              </w:rPr>
              <w:t> %</w:t>
            </w:r>
            <w:r>
              <w:rPr>
                <w:rFonts w:cs="Arial"/>
                <w:color w:val="000000" w:themeColor="text1"/>
                <w:spacing w:val="-4"/>
              </w:rPr>
              <w:t xml:space="preserve"> a v celé ekonomice o 4,8</w:t>
            </w:r>
            <w:r w:rsidR="005723B7">
              <w:rPr>
                <w:rFonts w:cs="Arial"/>
                <w:color w:val="000000" w:themeColor="text1"/>
                <w:spacing w:val="-4"/>
              </w:rPr>
              <w:t> %</w:t>
            </w:r>
            <w:r>
              <w:rPr>
                <w:rFonts w:cs="Arial"/>
                <w:color w:val="000000" w:themeColor="text1"/>
                <w:spacing w:val="-4"/>
              </w:rPr>
              <w:t>, naopak v peněžnictví a</w:t>
            </w:r>
            <w:r w:rsidRPr="00174670">
              <w:rPr>
                <w:rFonts w:cs="Arial"/>
                <w:color w:val="0D0D0D" w:themeColor="text1" w:themeTint="F2"/>
                <w:spacing w:val="-2"/>
              </w:rPr>
              <w:t> </w:t>
            </w:r>
            <w:r>
              <w:rPr>
                <w:rFonts w:cs="Arial"/>
                <w:color w:val="000000" w:themeColor="text1"/>
                <w:spacing w:val="-4"/>
              </w:rPr>
              <w:t>pojišťovnictví o 1</w:t>
            </w:r>
            <w:r w:rsidR="005723B7">
              <w:rPr>
                <w:rFonts w:cs="Arial"/>
                <w:color w:val="000000" w:themeColor="text1"/>
                <w:spacing w:val="-4"/>
              </w:rPr>
              <w:t> %</w:t>
            </w:r>
            <w:r>
              <w:rPr>
                <w:rFonts w:cs="Arial"/>
                <w:color w:val="000000" w:themeColor="text1"/>
                <w:spacing w:val="-4"/>
              </w:rPr>
              <w:t xml:space="preserve"> poklesla). Nadále </w:t>
            </w:r>
            <w:r w:rsidRPr="006B28D9">
              <w:rPr>
                <w:rFonts w:cs="Arial"/>
                <w:color w:val="0D0D0D" w:themeColor="text1" w:themeTint="F2"/>
                <w:spacing w:val="-4"/>
              </w:rPr>
              <w:t xml:space="preserve">pokračoval </w:t>
            </w:r>
            <w:r>
              <w:rPr>
                <w:rFonts w:cs="Arial"/>
                <w:color w:val="0D0D0D" w:themeColor="text1" w:themeTint="F2"/>
                <w:spacing w:val="-4"/>
              </w:rPr>
              <w:t>„</w:t>
            </w:r>
            <w:r w:rsidRPr="006B28D9">
              <w:rPr>
                <w:rFonts w:cs="Arial"/>
                <w:color w:val="0D0D0D" w:themeColor="text1" w:themeTint="F2"/>
                <w:spacing w:val="-4"/>
              </w:rPr>
              <w:t>skromný</w:t>
            </w:r>
            <w:r>
              <w:rPr>
                <w:rFonts w:cs="Arial"/>
                <w:color w:val="0D0D0D" w:themeColor="text1" w:themeTint="F2"/>
                <w:spacing w:val="-4"/>
              </w:rPr>
              <w:t>“</w:t>
            </w:r>
            <w:r w:rsidRPr="006B28D9">
              <w:rPr>
                <w:rFonts w:cs="Arial"/>
                <w:color w:val="0D0D0D" w:themeColor="text1" w:themeTint="F2"/>
                <w:spacing w:val="-4"/>
              </w:rPr>
              <w:t xml:space="preserve"> růst zaměstnanosti v odvětvích s dominancí </w:t>
            </w:r>
            <w:r w:rsidR="004739AC" w:rsidRPr="006B28D9">
              <w:rPr>
                <w:rFonts w:cs="Arial"/>
                <w:color w:val="0D0D0D" w:themeColor="text1" w:themeTint="F2"/>
                <w:spacing w:val="-4"/>
              </w:rPr>
              <w:t>stát</w:t>
            </w:r>
            <w:r w:rsidR="004739AC">
              <w:rPr>
                <w:rFonts w:cs="Arial"/>
                <w:color w:val="0D0D0D" w:themeColor="text1" w:themeTint="F2"/>
                <w:spacing w:val="-4"/>
              </w:rPr>
              <w:t>u</w:t>
            </w:r>
            <w:r w:rsidRPr="006B28D9">
              <w:rPr>
                <w:rStyle w:val="Znakapoznpodarou"/>
                <w:color w:val="0D0D0D" w:themeColor="text1" w:themeTint="F2"/>
                <w:spacing w:val="-4"/>
              </w:rPr>
              <w:footnoteReference w:id="31"/>
            </w:r>
            <w:r w:rsidRPr="006B28D9">
              <w:rPr>
                <w:rFonts w:cs="Arial"/>
                <w:color w:val="0D0D0D" w:themeColor="text1" w:themeTint="F2"/>
                <w:spacing w:val="-4"/>
              </w:rPr>
              <w:t xml:space="preserve"> (+1,0</w:t>
            </w:r>
            <w:r w:rsidR="005723B7">
              <w:rPr>
                <w:rFonts w:cs="Arial"/>
                <w:color w:val="0D0D0D" w:themeColor="text1" w:themeTint="F2"/>
                <w:spacing w:val="-4"/>
              </w:rPr>
              <w:t> %</w:t>
            </w:r>
            <w:r w:rsidRPr="006B28D9">
              <w:rPr>
                <w:rFonts w:cs="Arial"/>
                <w:color w:val="0D0D0D" w:themeColor="text1" w:themeTint="F2"/>
                <w:spacing w:val="-4"/>
              </w:rPr>
              <w:t xml:space="preserve"> meziročně),</w:t>
            </w:r>
            <w:r>
              <w:rPr>
                <w:rFonts w:cs="Arial"/>
                <w:color w:val="0D0D0D" w:themeColor="text1" w:themeTint="F2"/>
                <w:spacing w:val="-4"/>
              </w:rPr>
              <w:t xml:space="preserve"> na rozdíl od předchozích let byl tažený převedším odvětvím vzdělávání.</w:t>
            </w:r>
          </w:p>
        </w:tc>
      </w:tr>
    </w:tbl>
    <w:p w:rsidR="005C419C" w:rsidRPr="005C419C" w:rsidRDefault="005C419C" w:rsidP="005C419C">
      <w:pPr>
        <w:rPr>
          <w:sz w:val="15"/>
          <w:szCs w:val="15"/>
          <w:lang w:eastAsia="ar-SA"/>
        </w:rPr>
      </w:pPr>
    </w:p>
    <w:tbl>
      <w:tblPr>
        <w:tblW w:w="4977" w:type="pct"/>
        <w:tblInd w:w="80" w:type="dxa"/>
        <w:tblLayout w:type="fixed"/>
        <w:tblLook w:val="00A0"/>
      </w:tblPr>
      <w:tblGrid>
        <w:gridCol w:w="2004"/>
        <w:gridCol w:w="284"/>
        <w:gridCol w:w="1122"/>
        <w:gridCol w:w="6399"/>
      </w:tblGrid>
      <w:tr w:rsidR="005C419C" w:rsidRPr="000117D0" w:rsidTr="00F66CA8">
        <w:trPr>
          <w:trHeight w:val="145"/>
        </w:trPr>
        <w:tc>
          <w:tcPr>
            <w:tcW w:w="1018"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0" w:type="pct"/>
          </w:tcPr>
          <w:p w:rsidR="005C419C" w:rsidRPr="00AA4A76" w:rsidRDefault="005C419C" w:rsidP="00F66CA8">
            <w:pPr>
              <w:pStyle w:val="Textpoznpodarou"/>
              <w:jc w:val="both"/>
              <w:rPr>
                <w:highlight w:val="yellow"/>
              </w:rPr>
            </w:pPr>
            <w:r>
              <w:rPr>
                <w:color w:val="000000"/>
              </w:rPr>
              <w:t>Graf č. 15</w:t>
            </w:r>
          </w:p>
        </w:tc>
        <w:tc>
          <w:tcPr>
            <w:tcW w:w="3253" w:type="pct"/>
          </w:tcPr>
          <w:p w:rsidR="005C419C" w:rsidRPr="000117D0" w:rsidRDefault="005C419C" w:rsidP="00F66CA8">
            <w:pPr>
              <w:pStyle w:val="Textpoznpodarou"/>
              <w:rPr>
                <w:b/>
                <w:lang w:eastAsia="en-US"/>
              </w:rPr>
            </w:pPr>
            <w:r>
              <w:rPr>
                <w:b/>
                <w:lang w:eastAsia="en-US"/>
              </w:rPr>
              <w:t xml:space="preserve">Počet pracovníků ve vybraných odvětvích </w:t>
            </w:r>
            <w:r w:rsidRPr="00886A8F">
              <w:rPr>
                <w:b/>
                <w:lang w:eastAsia="en-US"/>
              </w:rPr>
              <w:t xml:space="preserve">a </w:t>
            </w:r>
            <w:r>
              <w:rPr>
                <w:b/>
                <w:lang w:eastAsia="en-US"/>
              </w:rPr>
              <w:t xml:space="preserve">celkový počet </w:t>
            </w:r>
            <w:r w:rsidRPr="00886A8F">
              <w:rPr>
                <w:b/>
                <w:lang w:eastAsia="en-US"/>
              </w:rPr>
              <w:t xml:space="preserve">zaměstnanců </w:t>
            </w:r>
            <w:r>
              <w:rPr>
                <w:spacing w:val="-4"/>
                <w:lang w:eastAsia="en-US"/>
              </w:rPr>
              <w:t>(</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očištěno, </w:t>
            </w:r>
            <w:r w:rsidRPr="00E62A33">
              <w:rPr>
                <w:spacing w:val="-2"/>
              </w:rPr>
              <w:t>meziročně</w:t>
            </w:r>
            <w:r w:rsidRPr="00E62A33">
              <w:rPr>
                <w:bCs/>
                <w:spacing w:val="-2"/>
              </w:rPr>
              <w:t xml:space="preserve"> v</w:t>
            </w:r>
            <w:r w:rsidR="005723B7">
              <w:rPr>
                <w:bCs/>
                <w:spacing w:val="-2"/>
              </w:rPr>
              <w:t> %</w:t>
            </w:r>
            <w:r w:rsidRPr="00E62A33">
              <w:rPr>
                <w:bCs/>
                <w:spacing w:val="-2"/>
              </w:rPr>
              <w:t>)</w:t>
            </w:r>
          </w:p>
        </w:tc>
      </w:tr>
      <w:tr w:rsidR="005C419C" w:rsidRPr="00535F78" w:rsidTr="00F66CA8">
        <w:trPr>
          <w:trHeight w:val="145"/>
        </w:trPr>
        <w:tc>
          <w:tcPr>
            <w:tcW w:w="1018"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23" w:type="pct"/>
            <w:gridSpan w:val="2"/>
          </w:tcPr>
          <w:p w:rsidR="005C419C" w:rsidRDefault="005C419C" w:rsidP="00F66CA8">
            <w:pPr>
              <w:pStyle w:val="Textpoznpodarou"/>
              <w:ind w:left="-124"/>
              <w:jc w:val="both"/>
              <w:rPr>
                <w:sz w:val="16"/>
                <w:szCs w:val="16"/>
              </w:rPr>
            </w:pPr>
            <w:r w:rsidRPr="00CA10D3">
              <w:rPr>
                <w:noProof/>
                <w:sz w:val="16"/>
                <w:szCs w:val="16"/>
              </w:rPr>
              <w:drawing>
                <wp:inline distT="0" distB="0" distL="0" distR="0">
                  <wp:extent cx="4752000" cy="3528000"/>
                  <wp:effectExtent l="0" t="0" r="0" b="0"/>
                  <wp:docPr id="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C419C" w:rsidRPr="00535F78" w:rsidRDefault="005C419C" w:rsidP="00F66CA8">
            <w:pPr>
              <w:pStyle w:val="Textpoznpodarou"/>
              <w:ind w:left="-124"/>
              <w:jc w:val="right"/>
              <w:rPr>
                <w:sz w:val="14"/>
                <w:szCs w:val="14"/>
              </w:rPr>
            </w:pPr>
            <w:r w:rsidRPr="00535F78">
              <w:rPr>
                <w:rFonts w:cs="Arial"/>
                <w:sz w:val="14"/>
                <w:szCs w:val="14"/>
              </w:rPr>
              <w:t xml:space="preserve">Zdroj: </w:t>
            </w:r>
            <w:r>
              <w:rPr>
                <w:rFonts w:cs="Arial"/>
                <w:sz w:val="14"/>
                <w:szCs w:val="14"/>
              </w:rPr>
              <w:t>ČSÚ (národní účty)</w:t>
            </w:r>
          </w:p>
        </w:tc>
      </w:tr>
    </w:tbl>
    <w:p w:rsidR="005C419C" w:rsidRPr="005C419C" w:rsidRDefault="005C419C" w:rsidP="005C419C">
      <w:pPr>
        <w:rPr>
          <w:sz w:val="4"/>
          <w:szCs w:val="4"/>
          <w:lang w:eastAsia="ar-SA"/>
        </w:rPr>
      </w:pPr>
    </w:p>
    <w:tbl>
      <w:tblPr>
        <w:tblW w:w="4995" w:type="pct"/>
        <w:tblInd w:w="108" w:type="dxa"/>
        <w:tblLayout w:type="fixed"/>
        <w:tblLook w:val="00A0"/>
      </w:tblPr>
      <w:tblGrid>
        <w:gridCol w:w="2000"/>
        <w:gridCol w:w="284"/>
        <w:gridCol w:w="7560"/>
      </w:tblGrid>
      <w:tr w:rsidR="005C419C" w:rsidRPr="00F06A1D" w:rsidTr="00F66CA8">
        <w:trPr>
          <w:trHeight w:val="145"/>
        </w:trPr>
        <w:tc>
          <w:tcPr>
            <w:tcW w:w="1016" w:type="pct"/>
            <w:shd w:val="clear" w:color="auto" w:fill="auto"/>
          </w:tcPr>
          <w:p w:rsidR="005C419C" w:rsidRDefault="005C419C" w:rsidP="00F66CA8">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Meziroční pokles zaměstnanosti ve stavebnictví se zastavil. Přispěla k tomu kontinuálně rostoucí poptávka po menších stavebních pracích.</w:t>
            </w:r>
          </w:p>
          <w:p w:rsidR="005C419C" w:rsidRPr="000C7A77" w:rsidRDefault="005C419C" w:rsidP="00F66CA8">
            <w:pPr>
              <w:spacing w:line="240" w:lineRule="auto"/>
              <w:rPr>
                <w:rFonts w:cs="Arial"/>
                <w:color w:val="0D0D0D" w:themeColor="text1" w:themeTint="F2"/>
                <w:spacing w:val="-4"/>
                <w:sz w:val="16"/>
                <w:szCs w:val="16"/>
              </w:rPr>
            </w:pPr>
          </w:p>
        </w:tc>
        <w:tc>
          <w:tcPr>
            <w:tcW w:w="144" w:type="pct"/>
          </w:tcPr>
          <w:p w:rsidR="005C419C" w:rsidRPr="00A90EFD" w:rsidRDefault="005C419C" w:rsidP="00F66CA8">
            <w:pPr>
              <w:pStyle w:val="Textpoznpodarou"/>
              <w:jc w:val="both"/>
              <w:rPr>
                <w:rFonts w:cs="Arial"/>
                <w:color w:val="0D0D0D" w:themeColor="text1" w:themeTint="F2"/>
              </w:rPr>
            </w:pPr>
          </w:p>
        </w:tc>
        <w:tc>
          <w:tcPr>
            <w:tcW w:w="3840" w:type="pct"/>
          </w:tcPr>
          <w:p w:rsidR="005C419C" w:rsidRDefault="005C419C" w:rsidP="00F66CA8">
            <w:pPr>
              <w:pStyle w:val="Textpoznpodarou"/>
              <w:jc w:val="both"/>
              <w:rPr>
                <w:rFonts w:cs="Arial"/>
                <w:color w:val="0D0D0D" w:themeColor="text1" w:themeTint="F2"/>
                <w:spacing w:val="-3"/>
              </w:rPr>
            </w:pPr>
            <w:r>
              <w:rPr>
                <w:rFonts w:cs="Arial"/>
                <w:color w:val="0D0D0D" w:themeColor="text1" w:themeTint="F2"/>
                <w:spacing w:val="-3"/>
              </w:rPr>
              <w:t xml:space="preserve">Ve zpracovatelském průmyslu (s více než 1,4 mil. pracujících) se letos zaměstnanost navýšila jen </w:t>
            </w:r>
            <w:r w:rsidR="004739AC">
              <w:rPr>
                <w:rFonts w:cs="Arial"/>
                <w:color w:val="0D0D0D" w:themeColor="text1" w:themeTint="F2"/>
                <w:spacing w:val="-3"/>
              </w:rPr>
              <w:t>o </w:t>
            </w:r>
            <w:r>
              <w:rPr>
                <w:rFonts w:cs="Arial"/>
                <w:color w:val="0D0D0D" w:themeColor="text1" w:themeTint="F2"/>
                <w:spacing w:val="-3"/>
              </w:rPr>
              <w:t>0,5</w:t>
            </w:r>
            <w:r w:rsidR="005723B7">
              <w:rPr>
                <w:rFonts w:cs="Arial"/>
                <w:color w:val="0D0D0D" w:themeColor="text1" w:themeTint="F2"/>
                <w:spacing w:val="-3"/>
              </w:rPr>
              <w:t> %</w:t>
            </w:r>
            <w:r>
              <w:rPr>
                <w:rFonts w:cs="Arial"/>
                <w:color w:val="0D0D0D" w:themeColor="text1" w:themeTint="F2"/>
                <w:spacing w:val="-3"/>
              </w:rPr>
              <w:t xml:space="preserve"> meziročně, nejméně za poslední čtyři roky. </w:t>
            </w:r>
            <w:r>
              <w:rPr>
                <w:rFonts w:cs="Arial"/>
                <w:color w:val="000000" w:themeColor="text1"/>
                <w:spacing w:val="-4"/>
              </w:rPr>
              <w:t>Slábnoucí růstová tempa zaměstnanosti (patrná již v roce 2016) nenaznačují horší ekonomické vyhlídky tohoto odvětví, ale spíše vypovídají o sílících obtížích při hledání kvalifikovaných zaměstnanců. Průmyslové podniky přesouvaly agenturní pracovníky do svých kmenových stavů</w:t>
            </w:r>
            <w:r>
              <w:rPr>
                <w:rStyle w:val="Znakapoznpodarou"/>
                <w:color w:val="000000" w:themeColor="text1"/>
                <w:spacing w:val="-4"/>
              </w:rPr>
              <w:footnoteReference w:id="32"/>
            </w:r>
            <w:r>
              <w:rPr>
                <w:rFonts w:cs="Arial"/>
                <w:color w:val="000000" w:themeColor="text1"/>
                <w:spacing w:val="-4"/>
              </w:rPr>
              <w:t>. Ve stavebnictví se zastavila šest let trvající redukce zaměstnanosti, když počet pracovníků v 1. až 3</w:t>
            </w:r>
            <w:r w:rsidR="005723B7">
              <w:rPr>
                <w:rFonts w:cs="Arial"/>
                <w:color w:val="000000" w:themeColor="text1"/>
                <w:spacing w:val="-4"/>
              </w:rPr>
              <w:t>. čtvrtletí</w:t>
            </w:r>
            <w:r>
              <w:rPr>
                <w:rFonts w:cs="Arial"/>
                <w:color w:val="000000" w:themeColor="text1"/>
                <w:spacing w:val="-4"/>
              </w:rPr>
              <w:t xml:space="preserve"> vzrostl meziročně o 1,0</w:t>
            </w:r>
            <w:r w:rsidR="005723B7">
              <w:rPr>
                <w:rFonts w:cs="Arial"/>
                <w:color w:val="000000" w:themeColor="text1"/>
                <w:spacing w:val="-4"/>
              </w:rPr>
              <w:t> %</w:t>
            </w:r>
            <w:r>
              <w:rPr>
                <w:rFonts w:cs="Arial"/>
                <w:color w:val="000000" w:themeColor="text1"/>
                <w:spacing w:val="-4"/>
              </w:rPr>
              <w:t xml:space="preserve">. Na tomto pozitivním obratu se však dosud podíleli jen </w:t>
            </w:r>
            <w:proofErr w:type="spellStart"/>
            <w:r>
              <w:rPr>
                <w:rFonts w:cs="Arial"/>
                <w:color w:val="000000" w:themeColor="text1"/>
                <w:spacing w:val="-4"/>
              </w:rPr>
              <w:t>sebezaměstnaní</w:t>
            </w:r>
            <w:proofErr w:type="spellEnd"/>
            <w:r>
              <w:rPr>
                <w:rFonts w:cs="Arial"/>
                <w:color w:val="000000" w:themeColor="text1"/>
                <w:spacing w:val="-4"/>
              </w:rPr>
              <w:t xml:space="preserve">, neboť stavy zaměstnanců meziročně nadále </w:t>
            </w:r>
            <w:proofErr w:type="gramStart"/>
            <w:r>
              <w:rPr>
                <w:rFonts w:cs="Arial"/>
                <w:color w:val="000000" w:themeColor="text1"/>
                <w:spacing w:val="-4"/>
              </w:rPr>
              <w:t>klesaly (</w:t>
            </w:r>
            <w:r w:rsidR="004739AC">
              <w:rPr>
                <w:rFonts w:cs="Arial"/>
                <w:color w:val="000000" w:themeColor="text1"/>
                <w:spacing w:val="-4"/>
              </w:rPr>
              <w:t>–</w:t>
            </w:r>
            <w:r>
              <w:rPr>
                <w:rFonts w:cs="Arial"/>
                <w:color w:val="000000" w:themeColor="text1"/>
                <w:spacing w:val="-4"/>
              </w:rPr>
              <w:t>0,5</w:t>
            </w:r>
            <w:proofErr w:type="gramEnd"/>
            <w:r w:rsidR="005723B7">
              <w:rPr>
                <w:rFonts w:cs="Arial"/>
                <w:color w:val="000000" w:themeColor="text1"/>
                <w:spacing w:val="-4"/>
              </w:rPr>
              <w:t> %</w:t>
            </w:r>
            <w:r>
              <w:rPr>
                <w:rFonts w:cs="Arial"/>
                <w:color w:val="000000" w:themeColor="text1"/>
                <w:spacing w:val="-4"/>
              </w:rPr>
              <w:t>).</w:t>
            </w:r>
          </w:p>
          <w:p w:rsidR="005C419C" w:rsidRPr="00006380" w:rsidRDefault="005C419C" w:rsidP="00F66CA8">
            <w:pPr>
              <w:pStyle w:val="Textpoznpodarou"/>
              <w:jc w:val="both"/>
              <w:rPr>
                <w:rFonts w:cs="Arial"/>
                <w:color w:val="0D0D0D" w:themeColor="text1" w:themeTint="F2"/>
                <w:spacing w:val="-3"/>
                <w:sz w:val="15"/>
                <w:szCs w:val="15"/>
              </w:rPr>
            </w:pPr>
          </w:p>
        </w:tc>
      </w:tr>
      <w:tr w:rsidR="005C419C" w:rsidRPr="0094422D" w:rsidTr="00F66CA8">
        <w:trPr>
          <w:trHeight w:val="145"/>
        </w:trPr>
        <w:tc>
          <w:tcPr>
            <w:tcW w:w="1016" w:type="pct"/>
            <w:shd w:val="clear" w:color="auto" w:fill="auto"/>
          </w:tcPr>
          <w:p w:rsidR="005C419C" w:rsidRPr="001C4DD3" w:rsidRDefault="005C419C" w:rsidP="00F66CA8">
            <w:pPr>
              <w:spacing w:line="240" w:lineRule="auto"/>
              <w:rPr>
                <w:rFonts w:cs="Arial"/>
                <w:color w:val="0D0D0D" w:themeColor="text1" w:themeTint="F2"/>
                <w:spacing w:val="-2"/>
                <w:sz w:val="16"/>
                <w:szCs w:val="16"/>
              </w:rPr>
            </w:pPr>
            <w:r>
              <w:rPr>
                <w:rFonts w:cs="Arial"/>
                <w:color w:val="0D0D0D" w:themeColor="text1" w:themeTint="F2"/>
                <w:spacing w:val="-2"/>
                <w:sz w:val="16"/>
                <w:szCs w:val="16"/>
              </w:rPr>
              <w:t>Tempo redukce míry nezaměstnanosti během roku 2017 nepolevovalo především zásluhou příznivého vývoje u</w:t>
            </w:r>
            <w:r w:rsidR="004739AC">
              <w:rPr>
                <w:rFonts w:cs="Arial"/>
                <w:color w:val="0D0D0D" w:themeColor="text1" w:themeTint="F2"/>
                <w:spacing w:val="-2"/>
                <w:sz w:val="16"/>
                <w:szCs w:val="16"/>
              </w:rPr>
              <w:t> </w:t>
            </w:r>
            <w:r>
              <w:rPr>
                <w:rFonts w:cs="Arial"/>
                <w:color w:val="0D0D0D" w:themeColor="text1" w:themeTint="F2"/>
                <w:spacing w:val="-2"/>
                <w:sz w:val="16"/>
                <w:szCs w:val="16"/>
              </w:rPr>
              <w:t>dlouhodobě nezaměstnaných, resp.</w:t>
            </w:r>
            <w:r w:rsidR="00532E85">
              <w:rPr>
                <w:rFonts w:cs="Arial"/>
                <w:color w:val="0D0D0D" w:themeColor="text1" w:themeTint="F2"/>
                <w:spacing w:val="-2"/>
                <w:sz w:val="16"/>
                <w:szCs w:val="16"/>
              </w:rPr>
              <w:t> u </w:t>
            </w:r>
            <w:r>
              <w:rPr>
                <w:rFonts w:cs="Arial"/>
                <w:color w:val="0D0D0D" w:themeColor="text1" w:themeTint="F2"/>
                <w:spacing w:val="-2"/>
                <w:sz w:val="16"/>
                <w:szCs w:val="16"/>
              </w:rPr>
              <w:t>osob s nejnižším stupněm vzdělání.</w:t>
            </w:r>
          </w:p>
        </w:tc>
        <w:tc>
          <w:tcPr>
            <w:tcW w:w="144" w:type="pct"/>
          </w:tcPr>
          <w:p w:rsidR="005C419C" w:rsidRPr="00A90EFD" w:rsidRDefault="005C419C" w:rsidP="00F66CA8">
            <w:pPr>
              <w:pStyle w:val="Textpoznpodarou"/>
              <w:jc w:val="both"/>
              <w:rPr>
                <w:rFonts w:cs="Arial"/>
                <w:color w:val="0D0D0D" w:themeColor="text1" w:themeTint="F2"/>
              </w:rPr>
            </w:pPr>
          </w:p>
        </w:tc>
        <w:tc>
          <w:tcPr>
            <w:tcW w:w="3840" w:type="pct"/>
          </w:tcPr>
          <w:p w:rsidR="005C419C" w:rsidRPr="009113CC" w:rsidRDefault="005C419C" w:rsidP="00F66CA8">
            <w:pPr>
              <w:pStyle w:val="Textpoznpodarou"/>
              <w:jc w:val="both"/>
              <w:rPr>
                <w:rFonts w:cs="Arial"/>
                <w:color w:val="0D0D0D" w:themeColor="text1" w:themeTint="F2"/>
                <w:spacing w:val="-4"/>
              </w:rPr>
            </w:pPr>
            <w:r w:rsidRPr="00F21804">
              <w:rPr>
                <w:rFonts w:cs="Arial"/>
                <w:color w:val="0D0D0D" w:themeColor="text1" w:themeTint="F2"/>
                <w:spacing w:val="-4"/>
              </w:rPr>
              <w:t xml:space="preserve">Obecná míra nezaměstnanosti </w:t>
            </w:r>
            <w:r>
              <w:rPr>
                <w:rFonts w:cs="Arial"/>
                <w:color w:val="0D0D0D" w:themeColor="text1" w:themeTint="F2"/>
                <w:spacing w:val="-4"/>
              </w:rPr>
              <w:t>nepřetržitě klesala na historická minima a</w:t>
            </w:r>
            <w:r w:rsidR="005C331D">
              <w:rPr>
                <w:rFonts w:cs="Arial"/>
                <w:color w:val="0D0D0D" w:themeColor="text1" w:themeTint="F2"/>
                <w:spacing w:val="-4"/>
              </w:rPr>
              <w:t> </w:t>
            </w:r>
            <w:proofErr w:type="spellStart"/>
            <w:r w:rsidR="00FF761D">
              <w:rPr>
                <w:rFonts w:cs="Arial"/>
                <w:color w:val="0D0D0D" w:themeColor="text1" w:themeTint="F2"/>
                <w:spacing w:val="-4"/>
              </w:rPr>
              <w:t>ná</w:t>
            </w:r>
            <w:r>
              <w:rPr>
                <w:rFonts w:cs="Arial"/>
                <w:color w:val="0D0D0D" w:themeColor="text1" w:themeTint="F2"/>
                <w:spacing w:val="-4"/>
              </w:rPr>
              <w:t>dále</w:t>
            </w:r>
            <w:proofErr w:type="spellEnd"/>
            <w:r>
              <w:rPr>
                <w:rFonts w:cs="Arial"/>
                <w:color w:val="0D0D0D" w:themeColor="text1" w:themeTint="F2"/>
                <w:spacing w:val="-4"/>
              </w:rPr>
              <w:t xml:space="preserve"> testovala hranice přirozené míry nezaměstnanosti. V</w:t>
            </w:r>
            <w:r w:rsidR="005C331D">
              <w:rPr>
                <w:rFonts w:cs="Arial"/>
                <w:color w:val="0D0D0D" w:themeColor="text1" w:themeTint="F2"/>
                <w:spacing w:val="-4"/>
              </w:rPr>
              <w:t> </w:t>
            </w:r>
            <w:r>
              <w:rPr>
                <w:rFonts w:cs="Arial"/>
                <w:color w:val="0D0D0D" w:themeColor="text1" w:themeTint="F2"/>
                <w:spacing w:val="-4"/>
              </w:rPr>
              <w:t>září</w:t>
            </w:r>
            <w:r w:rsidRPr="001639F9">
              <w:rPr>
                <w:rFonts w:cs="Arial"/>
                <w:color w:val="0D0D0D" w:themeColor="text1" w:themeTint="F2"/>
                <w:spacing w:val="-4"/>
              </w:rPr>
              <w:t xml:space="preserve"> </w:t>
            </w:r>
            <w:r>
              <w:rPr>
                <w:rFonts w:cs="Arial"/>
                <w:color w:val="0D0D0D" w:themeColor="text1" w:themeTint="F2"/>
                <w:spacing w:val="-4"/>
              </w:rPr>
              <w:t>2017 bylo (</w:t>
            </w:r>
            <w:r w:rsidRPr="001639F9">
              <w:rPr>
                <w:rFonts w:cs="Arial"/>
                <w:color w:val="0D0D0D" w:themeColor="text1" w:themeTint="F2"/>
                <w:spacing w:val="-4"/>
              </w:rPr>
              <w:t>dle sezónně očištěných údajů</w:t>
            </w:r>
            <w:r>
              <w:rPr>
                <w:rFonts w:cs="Arial"/>
                <w:color w:val="0D0D0D" w:themeColor="text1" w:themeTint="F2"/>
                <w:spacing w:val="-4"/>
              </w:rPr>
              <w:t>) ve věku 15</w:t>
            </w:r>
            <w:r w:rsidR="005C331D">
              <w:rPr>
                <w:rFonts w:cs="Arial"/>
                <w:color w:val="0D0D0D" w:themeColor="text1" w:themeTint="F2"/>
                <w:spacing w:val="-4"/>
              </w:rPr>
              <w:t>–</w:t>
            </w:r>
            <w:r>
              <w:rPr>
                <w:rFonts w:cs="Arial"/>
                <w:color w:val="0D0D0D" w:themeColor="text1" w:themeTint="F2"/>
                <w:spacing w:val="-4"/>
              </w:rPr>
              <w:t>64</w:t>
            </w:r>
            <w:r w:rsidR="005C331D">
              <w:rPr>
                <w:rFonts w:cs="Arial"/>
                <w:color w:val="0D0D0D" w:themeColor="text1" w:themeTint="F2"/>
                <w:spacing w:val="-4"/>
              </w:rPr>
              <w:t> </w:t>
            </w:r>
            <w:r>
              <w:rPr>
                <w:rFonts w:cs="Arial"/>
                <w:color w:val="0D0D0D" w:themeColor="text1" w:themeTint="F2"/>
                <w:spacing w:val="-4"/>
              </w:rPr>
              <w:t>let mezi ženami 3,3</w:t>
            </w:r>
            <w:r w:rsidR="005723B7">
              <w:rPr>
                <w:rFonts w:cs="Arial"/>
                <w:color w:val="0D0D0D" w:themeColor="text1" w:themeTint="F2"/>
                <w:spacing w:val="-4"/>
              </w:rPr>
              <w:t> %</w:t>
            </w:r>
            <w:r>
              <w:rPr>
                <w:rFonts w:cs="Arial"/>
                <w:color w:val="0D0D0D" w:themeColor="text1" w:themeTint="F2"/>
                <w:spacing w:val="-4"/>
              </w:rPr>
              <w:t xml:space="preserve"> nezaměstnaných (meziročně o</w:t>
            </w:r>
            <w:r w:rsidR="005C331D">
              <w:rPr>
                <w:rFonts w:cs="Arial"/>
                <w:color w:val="000000" w:themeColor="text1"/>
                <w:spacing w:val="-4"/>
              </w:rPr>
              <w:t> </w:t>
            </w:r>
            <w:r>
              <w:rPr>
                <w:rFonts w:cs="Arial"/>
                <w:color w:val="0D0D0D" w:themeColor="text1" w:themeTint="F2"/>
                <w:spacing w:val="-4"/>
              </w:rPr>
              <w:t>1,3</w:t>
            </w:r>
            <w:r w:rsidR="00CE0849">
              <w:rPr>
                <w:rFonts w:cs="Arial"/>
                <w:color w:val="0D0D0D" w:themeColor="text1" w:themeTint="F2"/>
                <w:spacing w:val="-4"/>
              </w:rPr>
              <w:t> p. </w:t>
            </w:r>
            <w:proofErr w:type="spellStart"/>
            <w:r w:rsidR="00CE0849">
              <w:rPr>
                <w:rFonts w:cs="Arial"/>
                <w:color w:val="0D0D0D" w:themeColor="text1" w:themeTint="F2"/>
                <w:spacing w:val="-4"/>
              </w:rPr>
              <w:t>b</w:t>
            </w:r>
            <w:proofErr w:type="spellEnd"/>
            <w:r w:rsidR="00CE0849">
              <w:rPr>
                <w:rFonts w:cs="Arial"/>
                <w:color w:val="0D0D0D" w:themeColor="text1" w:themeTint="F2"/>
                <w:spacing w:val="-4"/>
              </w:rPr>
              <w:t>.</w:t>
            </w:r>
            <w:r>
              <w:rPr>
                <w:rFonts w:cs="Arial"/>
                <w:color w:val="0D0D0D" w:themeColor="text1" w:themeTint="F2"/>
                <w:spacing w:val="-4"/>
              </w:rPr>
              <w:t xml:space="preserve"> </w:t>
            </w:r>
            <w:proofErr w:type="gramStart"/>
            <w:r>
              <w:rPr>
                <w:rFonts w:cs="Arial"/>
                <w:color w:val="0D0D0D" w:themeColor="text1" w:themeTint="F2"/>
                <w:spacing w:val="-4"/>
              </w:rPr>
              <w:t>méně</w:t>
            </w:r>
            <w:proofErr w:type="gramEnd"/>
            <w:r>
              <w:rPr>
                <w:rFonts w:cs="Arial"/>
                <w:color w:val="0D0D0D" w:themeColor="text1" w:themeTint="F2"/>
                <w:spacing w:val="-4"/>
              </w:rPr>
              <w:t>), mezi muži 2,2</w:t>
            </w:r>
            <w:r w:rsidR="005723B7">
              <w:rPr>
                <w:rFonts w:cs="Arial"/>
                <w:color w:val="0D0D0D" w:themeColor="text1" w:themeTint="F2"/>
                <w:spacing w:val="-4"/>
              </w:rPr>
              <w:t> %</w:t>
            </w:r>
            <w:r>
              <w:rPr>
                <w:rFonts w:cs="Arial"/>
                <w:color w:val="0D0D0D" w:themeColor="text1" w:themeTint="F2"/>
                <w:spacing w:val="-4"/>
              </w:rPr>
              <w:t xml:space="preserve"> (</w:t>
            </w:r>
            <w:r w:rsidR="005C331D">
              <w:rPr>
                <w:rFonts w:cs="Arial"/>
                <w:color w:val="0D0D0D" w:themeColor="text1" w:themeTint="F2"/>
                <w:spacing w:val="-4"/>
              </w:rPr>
              <w:t>–</w:t>
            </w:r>
            <w:r>
              <w:rPr>
                <w:rFonts w:cs="Arial"/>
                <w:color w:val="0D0D0D" w:themeColor="text1" w:themeTint="F2"/>
                <w:spacing w:val="-4"/>
              </w:rPr>
              <w:t>1,1</w:t>
            </w:r>
            <w:r w:rsidR="00CE0849">
              <w:rPr>
                <w:rFonts w:cs="Arial"/>
                <w:color w:val="0D0D0D" w:themeColor="text1" w:themeTint="F2"/>
                <w:spacing w:val="-4"/>
              </w:rPr>
              <w:t> p. </w:t>
            </w:r>
            <w:proofErr w:type="spellStart"/>
            <w:r w:rsidR="00CE0849">
              <w:rPr>
                <w:rFonts w:cs="Arial"/>
                <w:color w:val="0D0D0D" w:themeColor="text1" w:themeTint="F2"/>
                <w:spacing w:val="-4"/>
              </w:rPr>
              <w:t>b</w:t>
            </w:r>
            <w:proofErr w:type="spellEnd"/>
            <w:r w:rsidR="00CE0849">
              <w:rPr>
                <w:rFonts w:cs="Arial"/>
                <w:color w:val="0D0D0D" w:themeColor="text1" w:themeTint="F2"/>
                <w:spacing w:val="-4"/>
              </w:rPr>
              <w:t>.</w:t>
            </w:r>
            <w:r>
              <w:rPr>
                <w:rFonts w:cs="Arial"/>
                <w:color w:val="0D0D0D" w:themeColor="text1" w:themeTint="F2"/>
                <w:spacing w:val="-4"/>
              </w:rPr>
              <w:t>). O meziroční redukci nezaměstnanosti se v 3</w:t>
            </w:r>
            <w:r w:rsidR="005723B7">
              <w:rPr>
                <w:rFonts w:cs="Arial"/>
                <w:color w:val="0D0D0D" w:themeColor="text1" w:themeTint="F2"/>
                <w:spacing w:val="-4"/>
              </w:rPr>
              <w:t>. čtvrtletí</w:t>
            </w:r>
            <w:r>
              <w:rPr>
                <w:rFonts w:cs="Arial"/>
                <w:color w:val="0D0D0D" w:themeColor="text1" w:themeTint="F2"/>
                <w:spacing w:val="-4"/>
              </w:rPr>
              <w:t xml:space="preserve"> z více než poloviny zasloužili dlouhodobě nezaměstnaní, jejichž četnost se snížila pod 50</w:t>
            </w:r>
            <w:r w:rsidR="005C331D">
              <w:rPr>
                <w:rFonts w:cs="Arial"/>
                <w:color w:val="0D0D0D" w:themeColor="text1" w:themeTint="F2"/>
                <w:spacing w:val="-4"/>
              </w:rPr>
              <w:t> </w:t>
            </w:r>
            <w:r>
              <w:rPr>
                <w:rFonts w:cs="Arial"/>
                <w:color w:val="0D0D0D" w:themeColor="text1" w:themeTint="F2"/>
                <w:spacing w:val="-4"/>
              </w:rPr>
              <w:t>tis</w:t>
            </w:r>
            <w:r w:rsidR="005C331D">
              <w:rPr>
                <w:rFonts w:cs="Arial"/>
                <w:color w:val="0D0D0D" w:themeColor="text1" w:themeTint="F2"/>
                <w:spacing w:val="-4"/>
              </w:rPr>
              <w:t>íc</w:t>
            </w:r>
            <w:r>
              <w:rPr>
                <w:rFonts w:cs="Arial"/>
                <w:color w:val="0D0D0D" w:themeColor="text1" w:themeTint="F2"/>
                <w:spacing w:val="-4"/>
              </w:rPr>
              <w:t xml:space="preserve">. Souviselo to </w:t>
            </w:r>
            <w:r w:rsidR="005C331D">
              <w:rPr>
                <w:rFonts w:cs="Arial"/>
                <w:color w:val="0D0D0D" w:themeColor="text1" w:themeTint="F2"/>
                <w:spacing w:val="-4"/>
              </w:rPr>
              <w:t>s </w:t>
            </w:r>
            <w:r>
              <w:rPr>
                <w:rFonts w:cs="Arial"/>
                <w:color w:val="0D0D0D" w:themeColor="text1" w:themeTint="F2"/>
                <w:spacing w:val="-4"/>
              </w:rPr>
              <w:t>výrazným zlepšením postavení osob s nejnižším stupněm vzdělání na trhu práce. Nezaměstnanost osob s maximálně základním vzděláním klesla z 20,7</w:t>
            </w:r>
            <w:r w:rsidR="005723B7">
              <w:rPr>
                <w:rFonts w:cs="Arial"/>
                <w:color w:val="0D0D0D" w:themeColor="text1" w:themeTint="F2"/>
                <w:spacing w:val="-4"/>
              </w:rPr>
              <w:t> %</w:t>
            </w:r>
            <w:r>
              <w:rPr>
                <w:rFonts w:cs="Arial"/>
                <w:color w:val="0D0D0D" w:themeColor="text1" w:themeTint="F2"/>
                <w:spacing w:val="-4"/>
              </w:rPr>
              <w:t xml:space="preserve"> na 11,3</w:t>
            </w:r>
            <w:r w:rsidR="005723B7">
              <w:rPr>
                <w:rFonts w:cs="Arial"/>
                <w:color w:val="0D0D0D" w:themeColor="text1" w:themeTint="F2"/>
                <w:spacing w:val="-4"/>
              </w:rPr>
              <w:t> %</w:t>
            </w:r>
            <w:r>
              <w:rPr>
                <w:rFonts w:cs="Arial"/>
                <w:color w:val="0D0D0D" w:themeColor="text1" w:themeTint="F2"/>
                <w:spacing w:val="-4"/>
              </w:rPr>
              <w:t xml:space="preserve"> (nejsilnější meziroční pokles v historii). Rozdíl mezi nezaměstnaností osob se středním vzděláním bez maturity (3,2</w:t>
            </w:r>
            <w:r w:rsidR="005723B7">
              <w:rPr>
                <w:rFonts w:cs="Arial"/>
                <w:color w:val="0D0D0D" w:themeColor="text1" w:themeTint="F2"/>
                <w:spacing w:val="-4"/>
              </w:rPr>
              <w:t> %</w:t>
            </w:r>
            <w:r>
              <w:rPr>
                <w:rFonts w:cs="Arial"/>
                <w:color w:val="0D0D0D" w:themeColor="text1" w:themeTint="F2"/>
                <w:spacing w:val="-4"/>
              </w:rPr>
              <w:t>) a</w:t>
            </w:r>
            <w:r>
              <w:rPr>
                <w:rFonts w:cs="Arial"/>
                <w:color w:val="000000" w:themeColor="text1"/>
                <w:spacing w:val="-4"/>
              </w:rPr>
              <w:t> </w:t>
            </w:r>
            <w:r>
              <w:rPr>
                <w:rFonts w:cs="Arial"/>
                <w:color w:val="0D0D0D" w:themeColor="text1" w:themeTint="F2"/>
                <w:spacing w:val="-4"/>
              </w:rPr>
              <w:t>vysokoškoláků (1,8</w:t>
            </w:r>
            <w:r w:rsidR="005723B7">
              <w:rPr>
                <w:rFonts w:cs="Arial"/>
                <w:color w:val="0D0D0D" w:themeColor="text1" w:themeTint="F2"/>
                <w:spacing w:val="-4"/>
              </w:rPr>
              <w:t> %</w:t>
            </w:r>
            <w:r>
              <w:rPr>
                <w:rFonts w:cs="Arial"/>
                <w:color w:val="0D0D0D" w:themeColor="text1" w:themeTint="F2"/>
                <w:spacing w:val="-4"/>
              </w:rPr>
              <w:t>) byl v Česku nejnižší v</w:t>
            </w:r>
            <w:r w:rsidR="005C331D">
              <w:rPr>
                <w:rFonts w:cs="Arial"/>
                <w:color w:val="0D0D0D" w:themeColor="text1" w:themeTint="F2"/>
                <w:spacing w:val="-4"/>
              </w:rPr>
              <w:t> </w:t>
            </w:r>
            <w:r>
              <w:rPr>
                <w:rFonts w:cs="Arial"/>
                <w:color w:val="0D0D0D" w:themeColor="text1" w:themeTint="F2"/>
                <w:spacing w:val="-4"/>
              </w:rPr>
              <w:t>rámci</w:t>
            </w:r>
            <w:r w:rsidR="005C331D">
              <w:rPr>
                <w:rFonts w:cs="Arial"/>
                <w:color w:val="0D0D0D" w:themeColor="text1" w:themeTint="F2"/>
                <w:spacing w:val="-4"/>
              </w:rPr>
              <w:t> </w:t>
            </w:r>
            <w:r>
              <w:rPr>
                <w:rFonts w:cs="Arial"/>
                <w:color w:val="0D0D0D" w:themeColor="text1" w:themeTint="F2"/>
                <w:spacing w:val="-4"/>
              </w:rPr>
              <w:t xml:space="preserve">EU. Česko si udržuje výsadní postavení země s nejnižší nezaměstnaností v EU nepřetržitě již téměř dva roky. Příznivou pozici měla i většina novějších členských států Unie, na historická minima klesla </w:t>
            </w:r>
            <w:r w:rsidRPr="00FF761D">
              <w:rPr>
                <w:rFonts w:cs="Arial"/>
                <w:color w:val="0D0D0D" w:themeColor="text1" w:themeTint="F2"/>
                <w:spacing w:val="-4"/>
              </w:rPr>
              <w:t>nezaměstnanost na Slovensku (7,2</w:t>
            </w:r>
            <w:r w:rsidR="005723B7" w:rsidRPr="00FF761D">
              <w:rPr>
                <w:rFonts w:cs="Arial"/>
                <w:color w:val="0D0D0D" w:themeColor="text1" w:themeTint="F2"/>
                <w:spacing w:val="-4"/>
              </w:rPr>
              <w:t> %</w:t>
            </w:r>
            <w:r w:rsidRPr="00FF761D">
              <w:rPr>
                <w:rFonts w:cs="Arial"/>
                <w:color w:val="0D0D0D" w:themeColor="text1" w:themeTint="F2"/>
                <w:spacing w:val="-4"/>
              </w:rPr>
              <w:t xml:space="preserve">), </w:t>
            </w:r>
            <w:r w:rsidR="005C331D" w:rsidRPr="00FF761D">
              <w:rPr>
                <w:rFonts w:cs="Arial"/>
                <w:color w:val="0D0D0D" w:themeColor="text1" w:themeTint="F2"/>
                <w:spacing w:val="-4"/>
              </w:rPr>
              <w:t>v </w:t>
            </w:r>
            <w:r w:rsidRPr="00FF761D">
              <w:rPr>
                <w:rFonts w:cs="Arial"/>
                <w:color w:val="0D0D0D" w:themeColor="text1" w:themeTint="F2"/>
                <w:spacing w:val="-4"/>
              </w:rPr>
              <w:t>Polsku, Maďarsku, Rumunsku a</w:t>
            </w:r>
            <w:r w:rsidR="005C331D" w:rsidRPr="00FF761D">
              <w:rPr>
                <w:rFonts w:cs="Arial"/>
                <w:color w:val="0D0D0D" w:themeColor="text1" w:themeTint="F2"/>
                <w:spacing w:val="-4"/>
              </w:rPr>
              <w:t xml:space="preserve"> na </w:t>
            </w:r>
            <w:r w:rsidRPr="00FF761D">
              <w:rPr>
                <w:rFonts w:cs="Arial"/>
                <w:color w:val="0D0D0D" w:themeColor="text1" w:themeTint="F2"/>
                <w:spacing w:val="-4"/>
              </w:rPr>
              <w:t>Maltě, z jádrových zemí Unie v Německu (3,6</w:t>
            </w:r>
            <w:r w:rsidR="005723B7" w:rsidRPr="00FF761D">
              <w:rPr>
                <w:rFonts w:cs="Arial"/>
                <w:color w:val="0D0D0D" w:themeColor="text1" w:themeTint="F2"/>
                <w:spacing w:val="-4"/>
              </w:rPr>
              <w:t> %</w:t>
            </w:r>
            <w:r w:rsidRPr="00FF761D">
              <w:rPr>
                <w:rFonts w:cs="Arial"/>
                <w:color w:val="0D0D0D" w:themeColor="text1" w:themeTint="F2"/>
                <w:spacing w:val="-4"/>
              </w:rPr>
              <w:t>) a Velké Británii (4,2</w:t>
            </w:r>
            <w:r w:rsidR="005723B7" w:rsidRPr="00FF761D">
              <w:rPr>
                <w:rFonts w:cs="Arial"/>
                <w:color w:val="0D0D0D" w:themeColor="text1" w:themeTint="F2"/>
                <w:spacing w:val="-4"/>
              </w:rPr>
              <w:t> %</w:t>
            </w:r>
            <w:r w:rsidRPr="00FF761D">
              <w:rPr>
                <w:rFonts w:cs="Arial"/>
                <w:color w:val="0D0D0D" w:themeColor="text1" w:themeTint="F2"/>
                <w:spacing w:val="-4"/>
              </w:rPr>
              <w:t>)</w:t>
            </w:r>
            <w:r w:rsidR="00FF761D">
              <w:rPr>
                <w:rFonts w:cs="Arial"/>
                <w:color w:val="0D0D0D" w:themeColor="text1" w:themeTint="F2"/>
                <w:spacing w:val="-4"/>
              </w:rPr>
              <w:t xml:space="preserve">. Jen s minimálními </w:t>
            </w:r>
            <w:r w:rsidRPr="00FF761D">
              <w:rPr>
                <w:rFonts w:cs="Arial"/>
                <w:color w:val="0D0D0D" w:themeColor="text1" w:themeTint="F2"/>
                <w:spacing w:val="-4"/>
              </w:rPr>
              <w:t>změnami naopak setrvávala vysoká nezaměstnanost ve Francii a Itálii.</w:t>
            </w:r>
          </w:p>
        </w:tc>
      </w:tr>
    </w:tbl>
    <w:p w:rsidR="005C419C" w:rsidRPr="00FF5A0D" w:rsidRDefault="005C419C" w:rsidP="005C419C">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2" w:type="pct"/>
          </w:tcPr>
          <w:p w:rsidR="005C419C" w:rsidRPr="00AA4A76" w:rsidRDefault="005C419C" w:rsidP="00F66CA8">
            <w:pPr>
              <w:pStyle w:val="Textpoznpodarou"/>
              <w:jc w:val="both"/>
              <w:rPr>
                <w:highlight w:val="yellow"/>
              </w:rPr>
            </w:pPr>
            <w:r>
              <w:rPr>
                <w:color w:val="000000"/>
              </w:rPr>
              <w:t>Graf č. 16</w:t>
            </w:r>
          </w:p>
        </w:tc>
        <w:tc>
          <w:tcPr>
            <w:tcW w:w="3262" w:type="pct"/>
          </w:tcPr>
          <w:p w:rsidR="005C419C" w:rsidRPr="0006150D" w:rsidRDefault="005C419C" w:rsidP="00F66CA8">
            <w:pPr>
              <w:spacing w:line="240" w:lineRule="auto"/>
              <w:rPr>
                <w:rFonts w:cs="Arial"/>
                <w:b/>
                <w:bCs/>
                <w:spacing w:val="-2"/>
              </w:rPr>
            </w:pPr>
            <w:r w:rsidRPr="0006150D">
              <w:rPr>
                <w:rFonts w:cs="Arial"/>
                <w:b/>
                <w:bCs/>
                <w:spacing w:val="-2"/>
              </w:rPr>
              <w:t xml:space="preserve">Obecná míra nezaměstnanosti mužů a žen </w:t>
            </w:r>
            <w:r w:rsidRPr="0006150D">
              <w:rPr>
                <w:rFonts w:cs="Arial"/>
                <w:bCs/>
                <w:spacing w:val="-2"/>
              </w:rPr>
              <w:t>(v</w:t>
            </w:r>
            <w:r w:rsidR="005723B7">
              <w:rPr>
                <w:rFonts w:cs="Arial"/>
                <w:bCs/>
                <w:spacing w:val="-2"/>
              </w:rPr>
              <w:t> %</w:t>
            </w:r>
            <w:r w:rsidRPr="0006150D">
              <w:rPr>
                <w:rFonts w:cs="Arial"/>
                <w:bCs/>
                <w:spacing w:val="-2"/>
              </w:rPr>
              <w:t>, sezónně očištěno)</w:t>
            </w:r>
            <w:r w:rsidRPr="0006150D">
              <w:rPr>
                <w:rFonts w:cs="Arial"/>
                <w:b/>
                <w:bCs/>
                <w:spacing w:val="-2"/>
              </w:rPr>
              <w:t xml:space="preserve"> a vybrané skupiny nezaměstnaných </w:t>
            </w:r>
            <w:r w:rsidRPr="0006150D">
              <w:rPr>
                <w:rFonts w:cs="Arial"/>
                <w:bCs/>
                <w:spacing w:val="-2"/>
              </w:rPr>
              <w:t>(y/y, v</w:t>
            </w:r>
            <w:r w:rsidR="005723B7">
              <w:rPr>
                <w:rFonts w:cs="Arial"/>
                <w:bCs/>
                <w:spacing w:val="-2"/>
              </w:rPr>
              <w:t> %</w:t>
            </w:r>
            <w:r w:rsidRPr="0006150D">
              <w:rPr>
                <w:rFonts w:cs="Arial"/>
                <w:bCs/>
                <w:spacing w:val="-2"/>
              </w:rPr>
              <w:t>)</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3" w:type="pct"/>
            <w:gridSpan w:val="2"/>
          </w:tcPr>
          <w:p w:rsidR="005C419C" w:rsidRPr="007E5880" w:rsidRDefault="005C419C" w:rsidP="00F66CA8">
            <w:pPr>
              <w:pStyle w:val="Textpoznpodarou"/>
              <w:rPr>
                <w:sz w:val="14"/>
                <w:szCs w:val="14"/>
              </w:rPr>
            </w:pPr>
            <w:r w:rsidRPr="00A02D74">
              <w:rPr>
                <w:noProof/>
                <w:sz w:val="14"/>
                <w:szCs w:val="14"/>
              </w:rPr>
              <w:drawing>
                <wp:inline distT="0" distB="0" distL="0" distR="0">
                  <wp:extent cx="4719204" cy="3295403"/>
                  <wp:effectExtent l="1905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419C" w:rsidRPr="007E5880" w:rsidRDefault="005C419C" w:rsidP="00F66CA8">
            <w:pPr>
              <w:pStyle w:val="Textpoznpodarou"/>
              <w:jc w:val="right"/>
              <w:rPr>
                <w:sz w:val="14"/>
                <w:szCs w:val="14"/>
              </w:rPr>
            </w:pPr>
            <w:r w:rsidRPr="00535F78">
              <w:rPr>
                <w:rFonts w:cs="Arial"/>
                <w:sz w:val="14"/>
                <w:szCs w:val="14"/>
              </w:rPr>
              <w:t xml:space="preserve">Zdroj: </w:t>
            </w:r>
            <w:r>
              <w:rPr>
                <w:rFonts w:cs="Arial"/>
                <w:sz w:val="14"/>
                <w:szCs w:val="14"/>
              </w:rPr>
              <w:t>ČSÚ (VŠPS</w:t>
            </w:r>
            <w:r w:rsidR="00A14BA8">
              <w:rPr>
                <w:rFonts w:cs="Arial"/>
                <w:sz w:val="14"/>
                <w:szCs w:val="14"/>
              </w:rPr>
              <w:t xml:space="preserve"> – </w:t>
            </w:r>
            <w:r>
              <w:rPr>
                <w:rFonts w:cs="Arial"/>
                <w:sz w:val="14"/>
                <w:szCs w:val="14"/>
              </w:rPr>
              <w:t xml:space="preserve">výběrové šetření pracovních sil) </w:t>
            </w:r>
          </w:p>
        </w:tc>
      </w:tr>
    </w:tbl>
    <w:p w:rsidR="005C419C" w:rsidRPr="00F82577" w:rsidRDefault="005C419C" w:rsidP="005C419C">
      <w:pPr>
        <w:pStyle w:val="Textpoznpodarou"/>
        <w:jc w:val="both"/>
        <w:rPr>
          <w:rFonts w:cs="Arial"/>
          <w:color w:val="000000"/>
          <w:spacing w:val="-2"/>
          <w:sz w:val="14"/>
          <w:szCs w:val="14"/>
        </w:rPr>
      </w:pPr>
    </w:p>
    <w:tbl>
      <w:tblPr>
        <w:tblW w:w="4995" w:type="pct"/>
        <w:tblInd w:w="108" w:type="dxa"/>
        <w:tblLayout w:type="fixed"/>
        <w:tblLook w:val="00A0"/>
      </w:tblPr>
      <w:tblGrid>
        <w:gridCol w:w="2000"/>
        <w:gridCol w:w="284"/>
        <w:gridCol w:w="7560"/>
      </w:tblGrid>
      <w:tr w:rsidR="005C419C" w:rsidRPr="00F06A1D" w:rsidTr="00F66CA8">
        <w:trPr>
          <w:trHeight w:val="145"/>
        </w:trPr>
        <w:tc>
          <w:tcPr>
            <w:tcW w:w="1016" w:type="pct"/>
            <w:shd w:val="clear" w:color="auto" w:fill="auto"/>
          </w:tcPr>
          <w:p w:rsidR="005C419C" w:rsidRPr="00A7478D" w:rsidRDefault="005C419C" w:rsidP="00F66CA8">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Nabídka volných míst prostřednictvím ÚP během roku 2017 akcelerovala, přibyla hlavně místa s minimálními kvalifikačními nároky.</w:t>
            </w:r>
          </w:p>
        </w:tc>
        <w:tc>
          <w:tcPr>
            <w:tcW w:w="144" w:type="pct"/>
          </w:tcPr>
          <w:p w:rsidR="005C419C" w:rsidRPr="00A90EFD" w:rsidRDefault="005C419C" w:rsidP="00F66CA8">
            <w:pPr>
              <w:pStyle w:val="Textpoznpodarou"/>
              <w:jc w:val="both"/>
              <w:rPr>
                <w:rFonts w:cs="Arial"/>
                <w:color w:val="0D0D0D" w:themeColor="text1" w:themeTint="F2"/>
              </w:rPr>
            </w:pPr>
          </w:p>
        </w:tc>
        <w:tc>
          <w:tcPr>
            <w:tcW w:w="3840" w:type="pct"/>
          </w:tcPr>
          <w:p w:rsidR="005C419C" w:rsidRPr="005A0ABB" w:rsidRDefault="005C419C" w:rsidP="00F66CA8">
            <w:pPr>
              <w:pStyle w:val="Textpoznpodarou"/>
              <w:jc w:val="both"/>
              <w:rPr>
                <w:rFonts w:cs="Arial"/>
                <w:color w:val="0D0D0D" w:themeColor="text1" w:themeTint="F2"/>
                <w:spacing w:val="-4"/>
              </w:rPr>
            </w:pPr>
            <w:r>
              <w:rPr>
                <w:rFonts w:cs="Arial"/>
                <w:color w:val="0D0D0D" w:themeColor="text1" w:themeTint="F2"/>
                <w:spacing w:val="-4"/>
              </w:rPr>
              <w:t>V roce 2017 akcelerovala nabídka volných pracovních míst na úřadech práce (ÚP). Na konci září jejich počet poprvé v historii překonal 200tis</w:t>
            </w:r>
            <w:r w:rsidR="00A14BA8">
              <w:rPr>
                <w:rFonts w:cs="Arial"/>
                <w:color w:val="0D0D0D" w:themeColor="text1" w:themeTint="F2"/>
                <w:spacing w:val="-4"/>
              </w:rPr>
              <w:t>ícovou</w:t>
            </w:r>
            <w:r>
              <w:rPr>
                <w:rFonts w:cs="Arial"/>
                <w:color w:val="0D0D0D" w:themeColor="text1" w:themeTint="F2"/>
                <w:spacing w:val="-4"/>
              </w:rPr>
              <w:t xml:space="preserve"> hranici, rekordní byl i meziroční přírůstek (+65</w:t>
            </w:r>
            <w:r w:rsidR="00A14BA8">
              <w:rPr>
                <w:rFonts w:cs="Arial"/>
                <w:color w:val="0D0D0D" w:themeColor="text1" w:themeTint="F2"/>
                <w:spacing w:val="-4"/>
              </w:rPr>
              <w:t> </w:t>
            </w:r>
            <w:r>
              <w:rPr>
                <w:rFonts w:cs="Arial"/>
                <w:color w:val="0D0D0D" w:themeColor="text1" w:themeTint="F2"/>
                <w:spacing w:val="-4"/>
              </w:rPr>
              <w:t>tis</w:t>
            </w:r>
            <w:r w:rsidR="00A14BA8">
              <w:rPr>
                <w:rFonts w:cs="Arial"/>
                <w:color w:val="0D0D0D" w:themeColor="text1" w:themeTint="F2"/>
                <w:spacing w:val="-4"/>
              </w:rPr>
              <w:t>íc</w:t>
            </w:r>
            <w:r>
              <w:rPr>
                <w:rFonts w:cs="Arial"/>
                <w:color w:val="0D0D0D" w:themeColor="text1" w:themeTint="F2"/>
                <w:spacing w:val="-4"/>
              </w:rPr>
              <w:t>). Tři čtvrtiny z</w:t>
            </w:r>
            <w:r w:rsidR="00A14BA8">
              <w:rPr>
                <w:rFonts w:cs="Arial"/>
                <w:color w:val="0D0D0D" w:themeColor="text1" w:themeTint="F2"/>
                <w:spacing w:val="-4"/>
              </w:rPr>
              <w:t> </w:t>
            </w:r>
            <w:r>
              <w:rPr>
                <w:rFonts w:cs="Arial"/>
                <w:color w:val="0D0D0D" w:themeColor="text1" w:themeTint="F2"/>
                <w:spacing w:val="-4"/>
              </w:rPr>
              <w:t>něj připadal</w:t>
            </w:r>
            <w:r w:rsidR="00A14BA8">
              <w:rPr>
                <w:rFonts w:cs="Arial"/>
                <w:color w:val="0D0D0D" w:themeColor="text1" w:themeTint="F2"/>
                <w:spacing w:val="-4"/>
              </w:rPr>
              <w:t>y</w:t>
            </w:r>
            <w:r>
              <w:rPr>
                <w:rFonts w:cs="Arial"/>
                <w:color w:val="0D0D0D" w:themeColor="text1" w:themeTint="F2"/>
                <w:spacing w:val="-4"/>
              </w:rPr>
              <w:t xml:space="preserve"> na místa s minimální kvalifikací (na něž postačovalo základní vzdělání). Z pohledu odvětví přibylo nejvíce míst ve zpracovatelském průmyslu (+17</w:t>
            </w:r>
            <w:r w:rsidR="00A14BA8">
              <w:rPr>
                <w:rFonts w:cs="Arial"/>
                <w:color w:val="0D0D0D" w:themeColor="text1" w:themeTint="F2"/>
                <w:spacing w:val="-4"/>
              </w:rPr>
              <w:t> </w:t>
            </w:r>
            <w:r>
              <w:rPr>
                <w:rFonts w:cs="Arial"/>
                <w:color w:val="0D0D0D" w:themeColor="text1" w:themeTint="F2"/>
                <w:spacing w:val="-4"/>
              </w:rPr>
              <w:t>tis</w:t>
            </w:r>
            <w:r w:rsidR="00A14BA8">
              <w:rPr>
                <w:rFonts w:cs="Arial"/>
                <w:color w:val="0D0D0D" w:themeColor="text1" w:themeTint="F2"/>
                <w:spacing w:val="-4"/>
              </w:rPr>
              <w:t>íc</w:t>
            </w:r>
            <w:r>
              <w:rPr>
                <w:rFonts w:cs="Arial"/>
                <w:color w:val="0D0D0D" w:themeColor="text1" w:themeTint="F2"/>
                <w:spacing w:val="-4"/>
              </w:rPr>
              <w:t>). Na jedno volné místo tak připadalo jen 1,4 uchazeče, nejméně od poloviny 90.</w:t>
            </w:r>
            <w:r w:rsidR="00A14BA8">
              <w:rPr>
                <w:rFonts w:cs="Arial"/>
                <w:color w:val="0D0D0D" w:themeColor="text1" w:themeTint="F2"/>
                <w:spacing w:val="-4"/>
              </w:rPr>
              <w:t> </w:t>
            </w:r>
            <w:r>
              <w:rPr>
                <w:rFonts w:cs="Arial"/>
                <w:color w:val="0D0D0D" w:themeColor="text1" w:themeTint="F2"/>
                <w:spacing w:val="-4"/>
              </w:rPr>
              <w:t xml:space="preserve">let. Šance na pracovní uplatnění se meziročně </w:t>
            </w:r>
            <w:r>
              <w:rPr>
                <w:rFonts w:cs="Arial"/>
                <w:color w:val="0D0D0D" w:themeColor="text1" w:themeTint="F2"/>
                <w:spacing w:val="-4"/>
              </w:rPr>
              <w:lastRenderedPageBreak/>
              <w:t>v průměru téměř zdvojnásobila. Nabídka míst nad počtem registrovaných uchazečů o práci převažovala již téměř ve třetině okresů, z pohledu kvalifikací to platilo pro řemeslníky, opraváře</w:t>
            </w:r>
            <w:r w:rsidRPr="001639F9">
              <w:rPr>
                <w:rFonts w:cs="Arial"/>
                <w:color w:val="0D0D0D" w:themeColor="text1" w:themeTint="F2"/>
                <w:spacing w:val="-4"/>
              </w:rPr>
              <w:t xml:space="preserve"> </w:t>
            </w:r>
            <w:r>
              <w:rPr>
                <w:rFonts w:cs="Arial"/>
                <w:color w:val="0D0D0D" w:themeColor="text1" w:themeTint="F2"/>
                <w:spacing w:val="-4"/>
              </w:rPr>
              <w:t>či montéry i obsluhu strojů</w:t>
            </w:r>
            <w:r w:rsidRPr="001639F9">
              <w:rPr>
                <w:rFonts w:cs="Arial"/>
                <w:color w:val="0D0D0D" w:themeColor="text1" w:themeTint="F2"/>
                <w:spacing w:val="-4"/>
              </w:rPr>
              <w:t xml:space="preserve"> a zařízení</w:t>
            </w:r>
            <w:r>
              <w:rPr>
                <w:rFonts w:cs="Arial"/>
                <w:color w:val="0D0D0D" w:themeColor="text1" w:themeTint="F2"/>
                <w:spacing w:val="-4"/>
              </w:rPr>
              <w:t xml:space="preserve">. Zaměstnavatelé mohou mít při současném dynamickém růstu mezd značné problémy při obsazování těchto pozic. </w:t>
            </w:r>
            <w:r w:rsidRPr="00E61FDD">
              <w:rPr>
                <w:rFonts w:cs="Arial"/>
                <w:color w:val="0D0D0D" w:themeColor="text1" w:themeTint="F2"/>
                <w:spacing w:val="-4"/>
              </w:rPr>
              <w:t xml:space="preserve">Pokračující pokles nezaměstnanosti dále </w:t>
            </w:r>
            <w:r w:rsidRPr="00C90DBE">
              <w:rPr>
                <w:rFonts w:cs="Arial"/>
                <w:color w:val="0D0D0D" w:themeColor="text1" w:themeTint="F2"/>
                <w:spacing w:val="-4"/>
              </w:rPr>
              <w:t>redukoval zdroje využitelné pracovní síly.</w:t>
            </w:r>
            <w:r>
              <w:rPr>
                <w:rFonts w:cs="Arial"/>
                <w:color w:val="0D0D0D" w:themeColor="text1" w:themeTint="F2"/>
                <w:spacing w:val="-4"/>
              </w:rPr>
              <w:t xml:space="preserve"> Na významu tak stoupá i skupina</w:t>
            </w:r>
            <w:r w:rsidRPr="00E61FDD">
              <w:rPr>
                <w:rFonts w:cs="Arial"/>
                <w:color w:val="0D0D0D" w:themeColor="text1" w:themeTint="F2"/>
                <w:spacing w:val="-4"/>
              </w:rPr>
              <w:t xml:space="preserve"> neaktivních osob, které uváděly, že by chtěly pracovat</w:t>
            </w:r>
            <w:r>
              <w:rPr>
                <w:rFonts w:cs="Arial"/>
                <w:color w:val="0D0D0D" w:themeColor="text1" w:themeTint="F2"/>
                <w:spacing w:val="-4"/>
              </w:rPr>
              <w:t>, ale práci aktivně nehledaly. Ve 3</w:t>
            </w:r>
            <w:r w:rsidR="005723B7">
              <w:rPr>
                <w:rFonts w:cs="Arial"/>
                <w:color w:val="0D0D0D" w:themeColor="text1" w:themeTint="F2"/>
                <w:spacing w:val="-4"/>
              </w:rPr>
              <w:t>. čtvrtletí</w:t>
            </w:r>
            <w:r>
              <w:rPr>
                <w:rFonts w:cs="Arial"/>
                <w:color w:val="0D0D0D" w:themeColor="text1" w:themeTint="F2"/>
                <w:spacing w:val="-4"/>
              </w:rPr>
              <w:t xml:space="preserve"> šlo o</w:t>
            </w:r>
            <w:r w:rsidR="00A14BA8">
              <w:rPr>
                <w:rFonts w:cs="Arial"/>
                <w:color w:val="0D0D0D" w:themeColor="text1" w:themeTint="F2"/>
                <w:spacing w:val="-4"/>
              </w:rPr>
              <w:t> </w:t>
            </w:r>
            <w:r>
              <w:rPr>
                <w:rFonts w:cs="Arial"/>
                <w:color w:val="0D0D0D" w:themeColor="text1" w:themeTint="F2"/>
                <w:spacing w:val="-4"/>
              </w:rPr>
              <w:t>121</w:t>
            </w:r>
            <w:r w:rsidR="00A14BA8">
              <w:rPr>
                <w:rFonts w:cs="Arial"/>
                <w:color w:val="0D0D0D" w:themeColor="text1" w:themeTint="F2"/>
                <w:spacing w:val="-4"/>
              </w:rPr>
              <w:t> </w:t>
            </w:r>
            <w:r>
              <w:rPr>
                <w:rFonts w:cs="Arial"/>
                <w:color w:val="0D0D0D" w:themeColor="text1" w:themeTint="F2"/>
                <w:spacing w:val="-4"/>
              </w:rPr>
              <w:t>tis</w:t>
            </w:r>
            <w:r w:rsidR="00A14BA8">
              <w:rPr>
                <w:rFonts w:cs="Arial"/>
                <w:color w:val="0D0D0D" w:themeColor="text1" w:themeTint="F2"/>
                <w:spacing w:val="-4"/>
              </w:rPr>
              <w:t>íc</w:t>
            </w:r>
            <w:r>
              <w:rPr>
                <w:rFonts w:cs="Arial"/>
                <w:color w:val="0D0D0D" w:themeColor="text1" w:themeTint="F2"/>
                <w:spacing w:val="-4"/>
              </w:rPr>
              <w:t xml:space="preserve"> osob</w:t>
            </w:r>
            <w:r>
              <w:rPr>
                <w:rStyle w:val="Znakapoznpodarou"/>
                <w:color w:val="0D0D0D" w:themeColor="text1" w:themeTint="F2"/>
                <w:spacing w:val="-4"/>
              </w:rPr>
              <w:footnoteReference w:id="33"/>
            </w:r>
            <w:r>
              <w:rPr>
                <w:rFonts w:cs="Arial"/>
                <w:color w:val="0D0D0D" w:themeColor="text1" w:themeTint="F2"/>
                <w:spacing w:val="-4"/>
              </w:rPr>
              <w:t>, jejich četnost se na rozdíl od nezaměstnaných redukovala pomalu (za poslední čtyři roky o osminu).</w:t>
            </w:r>
          </w:p>
        </w:tc>
      </w:tr>
    </w:tbl>
    <w:p w:rsidR="005C419C" w:rsidRPr="00814E7D" w:rsidRDefault="005C419C" w:rsidP="005C419C">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5C419C" w:rsidRPr="00AA4A76" w:rsidTr="00F66CA8">
        <w:trPr>
          <w:trHeight w:val="145"/>
        </w:trPr>
        <w:tc>
          <w:tcPr>
            <w:tcW w:w="1021" w:type="pct"/>
            <w:shd w:val="clear" w:color="auto" w:fill="auto"/>
          </w:tcPr>
          <w:p w:rsidR="005C419C" w:rsidRPr="00AA4A76" w:rsidRDefault="005C419C" w:rsidP="00F66CA8">
            <w:pPr>
              <w:spacing w:line="240" w:lineRule="auto"/>
              <w:jc w:val="center"/>
              <w:rPr>
                <w:color w:val="000000"/>
                <w:szCs w:val="20"/>
              </w:rPr>
            </w:pPr>
          </w:p>
        </w:tc>
        <w:tc>
          <w:tcPr>
            <w:tcW w:w="145" w:type="pct"/>
          </w:tcPr>
          <w:p w:rsidR="005C419C" w:rsidRPr="00AA4A76" w:rsidRDefault="005C419C" w:rsidP="00F66CA8">
            <w:pPr>
              <w:pStyle w:val="Textpoznpodarou"/>
              <w:jc w:val="both"/>
              <w:rPr>
                <w:highlight w:val="yellow"/>
              </w:rPr>
            </w:pPr>
          </w:p>
        </w:tc>
        <w:tc>
          <w:tcPr>
            <w:tcW w:w="572" w:type="pct"/>
          </w:tcPr>
          <w:p w:rsidR="005C419C" w:rsidRPr="00AA4A76" w:rsidRDefault="005C419C" w:rsidP="00F66CA8">
            <w:pPr>
              <w:pStyle w:val="Textpoznpodarou"/>
              <w:jc w:val="both"/>
              <w:rPr>
                <w:highlight w:val="yellow"/>
              </w:rPr>
            </w:pPr>
            <w:r>
              <w:rPr>
                <w:color w:val="000000"/>
              </w:rPr>
              <w:t>Graf č. 17</w:t>
            </w:r>
          </w:p>
        </w:tc>
        <w:tc>
          <w:tcPr>
            <w:tcW w:w="3262" w:type="pct"/>
          </w:tcPr>
          <w:p w:rsidR="005C419C" w:rsidRPr="00495185" w:rsidRDefault="005C419C" w:rsidP="00F66CA8">
            <w:pPr>
              <w:pStyle w:val="Textpoznpodarou"/>
              <w:rPr>
                <w:b/>
                <w:spacing w:val="-2"/>
                <w:lang w:eastAsia="en-US"/>
              </w:rPr>
            </w:pPr>
            <w:r>
              <w:rPr>
                <w:b/>
                <w:spacing w:val="-2"/>
                <w:lang w:eastAsia="en-US"/>
              </w:rPr>
              <w:t>Průměrná mzda, mzdový medián</w:t>
            </w:r>
            <w:r w:rsidRPr="00886A8F">
              <w:rPr>
                <w:b/>
                <w:spacing w:val="-2"/>
                <w:lang w:eastAsia="en-US"/>
              </w:rPr>
              <w:t xml:space="preserve"> </w:t>
            </w:r>
            <w:r w:rsidRPr="00582DA0">
              <w:rPr>
                <w:spacing w:val="-6"/>
                <w:lang w:eastAsia="en-US"/>
              </w:rPr>
              <w:t>(</w:t>
            </w:r>
            <w:r>
              <w:rPr>
                <w:spacing w:val="-6"/>
                <w:lang w:eastAsia="en-US"/>
              </w:rPr>
              <w:t xml:space="preserve">na </w:t>
            </w:r>
            <w:r w:rsidRPr="00582DA0">
              <w:rPr>
                <w:spacing w:val="-6"/>
                <w:lang w:eastAsia="en-US"/>
              </w:rPr>
              <w:t>přepo</w:t>
            </w:r>
            <w:r>
              <w:rPr>
                <w:spacing w:val="-6"/>
                <w:lang w:eastAsia="en-US"/>
              </w:rPr>
              <w:t xml:space="preserve">čtené počty zaměstnanců, </w:t>
            </w:r>
            <w:r w:rsidRPr="00E62A33">
              <w:rPr>
                <w:spacing w:val="-2"/>
              </w:rPr>
              <w:t>meziročně</w:t>
            </w:r>
            <w:r w:rsidRPr="00E62A33">
              <w:rPr>
                <w:bCs/>
                <w:spacing w:val="-2"/>
              </w:rPr>
              <w:t xml:space="preserve"> v</w:t>
            </w:r>
            <w:r w:rsidR="005723B7">
              <w:rPr>
                <w:bCs/>
                <w:spacing w:val="-2"/>
              </w:rPr>
              <w:t> %</w:t>
            </w:r>
            <w:r w:rsidRPr="00E62A33">
              <w:rPr>
                <w:bCs/>
                <w:spacing w:val="-2"/>
              </w:rPr>
              <w:t>)</w:t>
            </w:r>
            <w:r>
              <w:rPr>
                <w:bCs/>
                <w:spacing w:val="-2"/>
              </w:rPr>
              <w:t xml:space="preserve"> a </w:t>
            </w:r>
            <w:r w:rsidRPr="00495185">
              <w:rPr>
                <w:b/>
                <w:bCs/>
                <w:spacing w:val="-2"/>
              </w:rPr>
              <w:t>produktivita práce</w:t>
            </w:r>
            <w:r>
              <w:rPr>
                <w:bCs/>
                <w:spacing w:val="-2"/>
              </w:rPr>
              <w:t xml:space="preserve"> (</w:t>
            </w:r>
            <w:r w:rsidRPr="00E62A33">
              <w:rPr>
                <w:spacing w:val="-2"/>
              </w:rPr>
              <w:t>meziročně</w:t>
            </w:r>
            <w:r w:rsidRPr="00E62A33">
              <w:rPr>
                <w:bCs/>
                <w:spacing w:val="-2"/>
              </w:rPr>
              <w:t xml:space="preserve"> v</w:t>
            </w:r>
            <w:r w:rsidR="005723B7">
              <w:rPr>
                <w:bCs/>
                <w:spacing w:val="-2"/>
              </w:rPr>
              <w:t> %</w:t>
            </w:r>
            <w:r w:rsidRPr="00E62A33">
              <w:rPr>
                <w:bCs/>
                <w:spacing w:val="-2"/>
              </w:rPr>
              <w:t>)</w:t>
            </w:r>
          </w:p>
        </w:tc>
      </w:tr>
      <w:tr w:rsidR="005C419C" w:rsidRPr="00AA4A76" w:rsidTr="00F66CA8">
        <w:trPr>
          <w:trHeight w:val="145"/>
        </w:trPr>
        <w:tc>
          <w:tcPr>
            <w:tcW w:w="1021" w:type="pct"/>
            <w:shd w:val="clear" w:color="auto" w:fill="auto"/>
          </w:tcPr>
          <w:p w:rsidR="005C419C" w:rsidRPr="006D3F53" w:rsidRDefault="005C419C" w:rsidP="00F66CA8">
            <w:pPr>
              <w:spacing w:line="240" w:lineRule="auto"/>
              <w:rPr>
                <w:color w:val="000000"/>
                <w:sz w:val="16"/>
                <w:szCs w:val="16"/>
                <w:highlight w:val="yellow"/>
              </w:rPr>
            </w:pPr>
          </w:p>
        </w:tc>
        <w:tc>
          <w:tcPr>
            <w:tcW w:w="145" w:type="pct"/>
          </w:tcPr>
          <w:p w:rsidR="005C419C" w:rsidRPr="00A74192" w:rsidRDefault="005C419C" w:rsidP="00F66CA8">
            <w:pPr>
              <w:pStyle w:val="Textpoznpodarou"/>
              <w:jc w:val="both"/>
            </w:pPr>
          </w:p>
        </w:tc>
        <w:tc>
          <w:tcPr>
            <w:tcW w:w="3834" w:type="pct"/>
            <w:gridSpan w:val="2"/>
          </w:tcPr>
          <w:p w:rsidR="005C419C" w:rsidRDefault="005C419C" w:rsidP="00F66CA8">
            <w:pPr>
              <w:pStyle w:val="Textpoznpodarou"/>
              <w:ind w:left="-124"/>
              <w:jc w:val="both"/>
              <w:rPr>
                <w:sz w:val="16"/>
                <w:szCs w:val="16"/>
              </w:rPr>
            </w:pPr>
            <w:r w:rsidRPr="002820CD">
              <w:rPr>
                <w:noProof/>
                <w:sz w:val="16"/>
                <w:szCs w:val="16"/>
              </w:rPr>
              <w:drawing>
                <wp:inline distT="0" distB="0" distL="0" distR="0">
                  <wp:extent cx="4738255" cy="3556659"/>
                  <wp:effectExtent l="0" t="0" r="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C419C" w:rsidRPr="00535F78" w:rsidRDefault="005C419C" w:rsidP="00F66CA8">
            <w:pPr>
              <w:pStyle w:val="Textpoznpodarou"/>
              <w:rPr>
                <w:sz w:val="14"/>
                <w:szCs w:val="14"/>
              </w:rPr>
            </w:pPr>
            <w:r>
              <w:rPr>
                <w:rFonts w:cs="Arial"/>
                <w:sz w:val="14"/>
                <w:szCs w:val="14"/>
              </w:rPr>
              <w:t>*Produktivita práce v národním hospodářství udává podíl sezónně neočištěného HDP a celkové zaměstnanosti (v pojetí národních účtů).                                                                         Zdroj: ČSÚ (podniková statistika, národní účty)</w:t>
            </w:r>
          </w:p>
        </w:tc>
      </w:tr>
    </w:tbl>
    <w:p w:rsidR="005C419C" w:rsidRPr="002120C8" w:rsidRDefault="005C419C" w:rsidP="005C419C">
      <w:pPr>
        <w:pStyle w:val="Textpoznpodarou"/>
        <w:jc w:val="both"/>
        <w:rPr>
          <w:rFonts w:cs="Arial"/>
          <w:color w:val="000000"/>
          <w:spacing w:val="-2"/>
          <w:sz w:val="14"/>
          <w:szCs w:val="14"/>
        </w:rPr>
      </w:pPr>
    </w:p>
    <w:tbl>
      <w:tblPr>
        <w:tblW w:w="4995" w:type="pct"/>
        <w:tblInd w:w="108" w:type="dxa"/>
        <w:tblLayout w:type="fixed"/>
        <w:tblLook w:val="00A0"/>
      </w:tblPr>
      <w:tblGrid>
        <w:gridCol w:w="2000"/>
        <w:gridCol w:w="284"/>
        <w:gridCol w:w="7560"/>
      </w:tblGrid>
      <w:tr w:rsidR="005C419C" w:rsidRPr="00AD0FC0" w:rsidTr="00F66CA8">
        <w:trPr>
          <w:trHeight w:val="145"/>
        </w:trPr>
        <w:tc>
          <w:tcPr>
            <w:tcW w:w="1016" w:type="pct"/>
            <w:shd w:val="clear" w:color="auto" w:fill="auto"/>
          </w:tcPr>
          <w:p w:rsidR="005C419C" w:rsidRDefault="005C419C" w:rsidP="00F66CA8">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Sílící napětí na pracovním trhu se odráželo v dynamickém růstu mezd.</w:t>
            </w: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Relativně nejvíce si polepšili zaměstnanci v odvětvích s nejnižší mzdovou úrovní, v absolutním vyjádření pak v odvětví zdravotní a sociální péče.</w:t>
            </w: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p>
          <w:p w:rsidR="005C419C" w:rsidRDefault="005C419C" w:rsidP="00F66CA8">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Tempo růstu reálných mezd dosáhlo v úhrnu za 1. až 3</w:t>
            </w:r>
            <w:r w:rsidR="005723B7">
              <w:rPr>
                <w:rFonts w:cs="Arial"/>
                <w:bCs/>
                <w:iCs/>
                <w:color w:val="0D0D0D" w:themeColor="text1" w:themeTint="F2"/>
                <w:spacing w:val="-2"/>
                <w:sz w:val="16"/>
                <w:szCs w:val="16"/>
              </w:rPr>
              <w:t>. čtvrtletí</w:t>
            </w:r>
            <w:r>
              <w:rPr>
                <w:rFonts w:cs="Arial"/>
                <w:bCs/>
                <w:iCs/>
                <w:color w:val="0D0D0D" w:themeColor="text1" w:themeTint="F2"/>
                <w:spacing w:val="-2"/>
                <w:sz w:val="16"/>
                <w:szCs w:val="16"/>
              </w:rPr>
              <w:t xml:space="preserve"> desetiletého maxima.</w:t>
            </w:r>
          </w:p>
          <w:p w:rsidR="005C419C" w:rsidRPr="00F4351C" w:rsidRDefault="005C419C" w:rsidP="00F66CA8">
            <w:pPr>
              <w:spacing w:line="240" w:lineRule="auto"/>
              <w:rPr>
                <w:rFonts w:cs="Arial"/>
                <w:bCs/>
                <w:iCs/>
                <w:color w:val="0D0D0D" w:themeColor="text1" w:themeTint="F2"/>
                <w:spacing w:val="-2"/>
                <w:sz w:val="16"/>
                <w:szCs w:val="16"/>
              </w:rPr>
            </w:pPr>
          </w:p>
        </w:tc>
        <w:tc>
          <w:tcPr>
            <w:tcW w:w="144" w:type="pct"/>
          </w:tcPr>
          <w:p w:rsidR="005C419C" w:rsidRPr="00807B25" w:rsidRDefault="005C419C" w:rsidP="00F66CA8">
            <w:pPr>
              <w:pStyle w:val="Textpoznpodarou"/>
              <w:jc w:val="both"/>
              <w:rPr>
                <w:rFonts w:cs="Arial"/>
                <w:color w:val="0D0D0D" w:themeColor="text1" w:themeTint="F2"/>
                <w:spacing w:val="-4"/>
              </w:rPr>
            </w:pPr>
          </w:p>
        </w:tc>
        <w:tc>
          <w:tcPr>
            <w:tcW w:w="3840" w:type="pct"/>
          </w:tcPr>
          <w:p w:rsidR="005C419C" w:rsidRPr="00F416CD" w:rsidRDefault="005C419C" w:rsidP="00F66CA8">
            <w:pPr>
              <w:pStyle w:val="Textpoznpodarou"/>
              <w:jc w:val="both"/>
              <w:rPr>
                <w:rFonts w:cs="Arial"/>
                <w:color w:val="0D0D0D" w:themeColor="text1" w:themeTint="F2"/>
                <w:spacing w:val="-4"/>
              </w:rPr>
            </w:pPr>
            <w:r>
              <w:rPr>
                <w:rFonts w:cs="Arial"/>
                <w:color w:val="0D0D0D" w:themeColor="text1" w:themeTint="F2"/>
                <w:spacing w:val="-4"/>
              </w:rPr>
              <w:t>Meziroční růst</w:t>
            </w:r>
            <w:r w:rsidRPr="009262A9">
              <w:rPr>
                <w:rFonts w:cs="Arial"/>
                <w:color w:val="0D0D0D" w:themeColor="text1" w:themeTint="F2"/>
                <w:spacing w:val="-4"/>
              </w:rPr>
              <w:t xml:space="preserve"> průměrných nominálních </w:t>
            </w:r>
            <w:r>
              <w:rPr>
                <w:rFonts w:cs="Arial"/>
                <w:color w:val="0D0D0D" w:themeColor="text1" w:themeTint="F2"/>
                <w:spacing w:val="-4"/>
              </w:rPr>
              <w:t>mezd se po skokovém navýšení ve 2</w:t>
            </w:r>
            <w:r w:rsidR="005723B7">
              <w:rPr>
                <w:rFonts w:cs="Arial"/>
                <w:color w:val="0D0D0D" w:themeColor="text1" w:themeTint="F2"/>
                <w:spacing w:val="-4"/>
              </w:rPr>
              <w:t>. čtvrtletí</w:t>
            </w:r>
            <w:r>
              <w:rPr>
                <w:rFonts w:cs="Arial"/>
                <w:color w:val="0D0D0D" w:themeColor="text1" w:themeTint="F2"/>
                <w:spacing w:val="-4"/>
              </w:rPr>
              <w:t xml:space="preserve"> (+7,6</w:t>
            </w:r>
            <w:r w:rsidR="005723B7">
              <w:rPr>
                <w:rFonts w:cs="Arial"/>
                <w:color w:val="0D0D0D" w:themeColor="text1" w:themeTint="F2"/>
                <w:spacing w:val="-4"/>
              </w:rPr>
              <w:t> %</w:t>
            </w:r>
            <w:r>
              <w:rPr>
                <w:rFonts w:cs="Arial"/>
                <w:color w:val="0D0D0D" w:themeColor="text1" w:themeTint="F2"/>
                <w:spacing w:val="-4"/>
              </w:rPr>
              <w:t>) v následujícím kvartále mírně zvolnil (+6,8</w:t>
            </w:r>
            <w:r w:rsidR="005723B7">
              <w:rPr>
                <w:rFonts w:cs="Arial"/>
                <w:color w:val="0D0D0D" w:themeColor="text1" w:themeTint="F2"/>
                <w:spacing w:val="-4"/>
              </w:rPr>
              <w:t> %</w:t>
            </w:r>
            <w:r>
              <w:rPr>
                <w:rFonts w:cs="Arial"/>
                <w:color w:val="0D0D0D" w:themeColor="text1" w:themeTint="F2"/>
                <w:spacing w:val="-4"/>
              </w:rPr>
              <w:t xml:space="preserve">). Dynamický růst mezd odrážel sílící napětí na pracovním trhu, byl však ovlivněn i administrativními vlivy (opakovaným navýšením minimální mzdy, růstem platů v odvětvích s dominancí státu). Dokládají to mzdová tempa </w:t>
            </w:r>
            <w:r w:rsidRPr="00FF761D">
              <w:rPr>
                <w:rFonts w:cs="Arial"/>
                <w:color w:val="0D0D0D" w:themeColor="text1" w:themeTint="F2"/>
                <w:spacing w:val="-4"/>
              </w:rPr>
              <w:t>v odvětví ubytování, stravování a pohostinství (+10,3</w:t>
            </w:r>
            <w:r w:rsidR="005723B7" w:rsidRPr="00FF761D">
              <w:rPr>
                <w:rFonts w:cs="Arial"/>
                <w:color w:val="0D0D0D" w:themeColor="text1" w:themeTint="F2"/>
                <w:spacing w:val="-4"/>
              </w:rPr>
              <w:t> %</w:t>
            </w:r>
            <w:r w:rsidRPr="00FF761D">
              <w:rPr>
                <w:rFonts w:cs="Arial"/>
                <w:color w:val="0D0D0D" w:themeColor="text1" w:themeTint="F2"/>
                <w:spacing w:val="-4"/>
              </w:rPr>
              <w:t xml:space="preserve"> ve 3</w:t>
            </w:r>
            <w:r w:rsidR="005723B7" w:rsidRPr="00FF761D">
              <w:rPr>
                <w:rFonts w:cs="Arial"/>
                <w:color w:val="0D0D0D" w:themeColor="text1" w:themeTint="F2"/>
                <w:spacing w:val="-4"/>
              </w:rPr>
              <w:t>. čtvrtletí</w:t>
            </w:r>
            <w:r w:rsidRPr="00FF761D">
              <w:rPr>
                <w:rFonts w:cs="Arial"/>
                <w:color w:val="0D0D0D" w:themeColor="text1" w:themeTint="F2"/>
                <w:spacing w:val="-4"/>
              </w:rPr>
              <w:t>), kulturní, zábavní a rekreační činnost</w:t>
            </w:r>
            <w:r w:rsidR="00FF761D" w:rsidRPr="00FF761D">
              <w:rPr>
                <w:rFonts w:cs="Arial"/>
                <w:color w:val="0D0D0D" w:themeColor="text1" w:themeTint="F2"/>
                <w:spacing w:val="-4"/>
              </w:rPr>
              <w:t>i</w:t>
            </w:r>
            <w:r w:rsidRPr="00FF761D">
              <w:rPr>
                <w:rFonts w:cs="Arial"/>
                <w:color w:val="0D0D0D" w:themeColor="text1" w:themeTint="F2"/>
                <w:spacing w:val="-4"/>
              </w:rPr>
              <w:t xml:space="preserve"> (+9,1</w:t>
            </w:r>
            <w:r w:rsidR="005723B7" w:rsidRPr="00FF761D">
              <w:rPr>
                <w:rFonts w:cs="Arial"/>
                <w:color w:val="0D0D0D" w:themeColor="text1" w:themeTint="F2"/>
                <w:spacing w:val="-4"/>
              </w:rPr>
              <w:t> %</w:t>
            </w:r>
            <w:r w:rsidRPr="00FF761D">
              <w:rPr>
                <w:rFonts w:cs="Arial"/>
                <w:color w:val="0D0D0D" w:themeColor="text1" w:themeTint="F2"/>
                <w:spacing w:val="-4"/>
              </w:rPr>
              <w:t>) či administrativní a</w:t>
            </w:r>
            <w:r w:rsidR="00A06788" w:rsidRPr="00FF761D">
              <w:rPr>
                <w:rFonts w:cs="Arial"/>
                <w:color w:val="0D0D0D" w:themeColor="text1" w:themeTint="F2"/>
                <w:spacing w:val="-4"/>
              </w:rPr>
              <w:t> </w:t>
            </w:r>
            <w:r w:rsidRPr="00FF761D">
              <w:rPr>
                <w:rFonts w:cs="Arial"/>
                <w:color w:val="0D0D0D" w:themeColor="text1" w:themeTint="F2"/>
                <w:spacing w:val="-4"/>
              </w:rPr>
              <w:t>podpůrn</w:t>
            </w:r>
            <w:r w:rsidR="00FF761D" w:rsidRPr="00FF761D">
              <w:rPr>
                <w:rFonts w:cs="Arial"/>
                <w:color w:val="0D0D0D" w:themeColor="text1" w:themeTint="F2"/>
                <w:spacing w:val="-4"/>
              </w:rPr>
              <w:t>é</w:t>
            </w:r>
            <w:r w:rsidRPr="00FF761D">
              <w:rPr>
                <w:rFonts w:cs="Arial"/>
                <w:color w:val="0D0D0D" w:themeColor="text1" w:themeTint="F2"/>
                <w:spacing w:val="-4"/>
              </w:rPr>
              <w:t xml:space="preserve"> činnost</w:t>
            </w:r>
            <w:r w:rsidR="00FF761D" w:rsidRPr="00FF761D">
              <w:rPr>
                <w:rFonts w:cs="Arial"/>
                <w:color w:val="0D0D0D" w:themeColor="text1" w:themeTint="F2"/>
                <w:spacing w:val="-4"/>
              </w:rPr>
              <w:t>i</w:t>
            </w:r>
            <w:r>
              <w:rPr>
                <w:rFonts w:cs="Arial"/>
                <w:color w:val="0D0D0D" w:themeColor="text1" w:themeTint="F2"/>
                <w:spacing w:val="-4"/>
              </w:rPr>
              <w:t xml:space="preserve"> (+8,1</w:t>
            </w:r>
            <w:r w:rsidR="005723B7">
              <w:rPr>
                <w:rFonts w:cs="Arial"/>
                <w:color w:val="0D0D0D" w:themeColor="text1" w:themeTint="F2"/>
                <w:spacing w:val="-4"/>
              </w:rPr>
              <w:t> %</w:t>
            </w:r>
            <w:r>
              <w:rPr>
                <w:rFonts w:cs="Arial"/>
                <w:color w:val="0D0D0D" w:themeColor="text1" w:themeTint="F2"/>
                <w:spacing w:val="-4"/>
              </w:rPr>
              <w:t>). Absolutně nejvíce si ale polepšili zaměstnanci ve zdravotní a sociální péči (+2,7</w:t>
            </w:r>
            <w:r w:rsidR="00A06788">
              <w:rPr>
                <w:rFonts w:cs="Arial"/>
                <w:color w:val="0D0D0D" w:themeColor="text1" w:themeTint="F2"/>
                <w:spacing w:val="-4"/>
              </w:rPr>
              <w:t> </w:t>
            </w:r>
            <w:r>
              <w:rPr>
                <w:rFonts w:cs="Arial"/>
                <w:color w:val="0D0D0D" w:themeColor="text1" w:themeTint="F2"/>
                <w:spacing w:val="-4"/>
              </w:rPr>
              <w:t>tis. korun), jejichž průměrná mzda tak poprvé přesáhla 30tis</w:t>
            </w:r>
            <w:r w:rsidR="00A06788">
              <w:rPr>
                <w:rFonts w:cs="Arial"/>
                <w:color w:val="0D0D0D" w:themeColor="text1" w:themeTint="F2"/>
                <w:spacing w:val="-4"/>
              </w:rPr>
              <w:t>ícovou</w:t>
            </w:r>
            <w:r>
              <w:rPr>
                <w:rFonts w:cs="Arial"/>
                <w:color w:val="0D0D0D" w:themeColor="text1" w:themeTint="F2"/>
                <w:spacing w:val="-4"/>
              </w:rPr>
              <w:t xml:space="preserve"> hranici. Ve zpracovatelském průmyslu se výše i dynamika mezd od úrovně celé ekonomiky téměř neodlišovala. Této úrovni se ale postupně blížily mzdy v dopravě a skladování, jejichž tempo od počátku roku zrychlovalo (na 8,0</w:t>
            </w:r>
            <w:r w:rsidR="005723B7">
              <w:rPr>
                <w:rFonts w:cs="Arial"/>
                <w:color w:val="0D0D0D" w:themeColor="text1" w:themeTint="F2"/>
                <w:spacing w:val="-4"/>
              </w:rPr>
              <w:t> %</w:t>
            </w:r>
            <w:r>
              <w:rPr>
                <w:rFonts w:cs="Arial"/>
                <w:color w:val="0D0D0D" w:themeColor="text1" w:themeTint="F2"/>
                <w:spacing w:val="-4"/>
              </w:rPr>
              <w:t>), mírně nadprůměrně přitom rostlo také v letech 2015 a 2016. Relativně střídmě posílily mzdy v tradičně nejlépe postavených odvětvích – peněžnictví a pojišťovnictví (2,8</w:t>
            </w:r>
            <w:r w:rsidR="005723B7">
              <w:rPr>
                <w:rFonts w:cs="Arial"/>
                <w:color w:val="0D0D0D" w:themeColor="text1" w:themeTint="F2"/>
                <w:spacing w:val="-4"/>
              </w:rPr>
              <w:t> %</w:t>
            </w:r>
            <w:r>
              <w:rPr>
                <w:rFonts w:cs="Arial"/>
                <w:color w:val="0D0D0D" w:themeColor="text1" w:themeTint="F2"/>
                <w:spacing w:val="-4"/>
              </w:rPr>
              <w:t xml:space="preserve">) a informačních a komunikačních </w:t>
            </w:r>
            <w:proofErr w:type="gramStart"/>
            <w:r>
              <w:rPr>
                <w:rFonts w:cs="Arial"/>
                <w:color w:val="0D0D0D" w:themeColor="text1" w:themeTint="F2"/>
                <w:spacing w:val="-4"/>
              </w:rPr>
              <w:t>činnostech</w:t>
            </w:r>
            <w:proofErr w:type="gramEnd"/>
            <w:r>
              <w:rPr>
                <w:rFonts w:cs="Arial"/>
                <w:color w:val="0D0D0D" w:themeColor="text1" w:themeTint="F2"/>
                <w:spacing w:val="-4"/>
              </w:rPr>
              <w:t xml:space="preserve"> (+3,4</w:t>
            </w:r>
            <w:r w:rsidR="005723B7">
              <w:rPr>
                <w:rFonts w:cs="Arial"/>
                <w:color w:val="0D0D0D" w:themeColor="text1" w:themeTint="F2"/>
                <w:spacing w:val="-4"/>
              </w:rPr>
              <w:t> %</w:t>
            </w:r>
            <w:r>
              <w:rPr>
                <w:rFonts w:cs="Arial"/>
                <w:color w:val="0D0D0D" w:themeColor="text1" w:themeTint="F2"/>
                <w:spacing w:val="-4"/>
              </w:rPr>
              <w:t>, kde však docházelo také k dynamickému růstu zaměstnanosti). Pokračovalo mírné snižování mzdových diferencí – patrné na úrovni odvětví, ale i regionů. Nejvyššími tempy rostly ve 3</w:t>
            </w:r>
            <w:r w:rsidR="005723B7">
              <w:rPr>
                <w:rFonts w:cs="Arial"/>
                <w:color w:val="0D0D0D" w:themeColor="text1" w:themeTint="F2"/>
                <w:spacing w:val="-4"/>
              </w:rPr>
              <w:t>. čtvrtletí</w:t>
            </w:r>
            <w:r>
              <w:rPr>
                <w:rFonts w:cs="Arial"/>
                <w:color w:val="0D0D0D" w:themeColor="text1" w:themeTint="F2"/>
                <w:spacing w:val="-4"/>
              </w:rPr>
              <w:t xml:space="preserve"> průměrné mzdy v Karlovarském kraji (+8,6</w:t>
            </w:r>
            <w:r w:rsidR="005723B7">
              <w:rPr>
                <w:rFonts w:cs="Arial"/>
                <w:color w:val="0D0D0D" w:themeColor="text1" w:themeTint="F2"/>
                <w:spacing w:val="-4"/>
              </w:rPr>
              <w:t> %</w:t>
            </w:r>
            <w:r>
              <w:rPr>
                <w:rFonts w:cs="Arial"/>
                <w:color w:val="0D0D0D" w:themeColor="text1" w:themeTint="F2"/>
                <w:spacing w:val="-4"/>
              </w:rPr>
              <w:t>), nejméně v Praze (+4,8</w:t>
            </w:r>
            <w:r w:rsidR="005723B7">
              <w:rPr>
                <w:rFonts w:cs="Arial"/>
                <w:color w:val="0D0D0D" w:themeColor="text1" w:themeTint="F2"/>
                <w:spacing w:val="-4"/>
              </w:rPr>
              <w:t> %</w:t>
            </w:r>
            <w:r>
              <w:rPr>
                <w:rFonts w:cs="Arial"/>
                <w:color w:val="0D0D0D" w:themeColor="text1" w:themeTint="F2"/>
                <w:spacing w:val="-4"/>
              </w:rPr>
              <w:t xml:space="preserve">). Objem vyplacených mezd (zohledňující i vývoj zaměstnanosti) dosáhl maxima ve středních Čechách, na opačném pólu zůstávalo po celý rok </w:t>
            </w:r>
            <w:proofErr w:type="spellStart"/>
            <w:r>
              <w:rPr>
                <w:rFonts w:cs="Arial"/>
                <w:color w:val="0D0D0D" w:themeColor="text1" w:themeTint="F2"/>
                <w:spacing w:val="-4"/>
              </w:rPr>
              <w:t>Moravskoslezsko</w:t>
            </w:r>
            <w:proofErr w:type="spellEnd"/>
            <w:r>
              <w:rPr>
                <w:rFonts w:cs="Arial"/>
                <w:color w:val="0D0D0D" w:themeColor="text1" w:themeTint="F2"/>
                <w:spacing w:val="-4"/>
              </w:rPr>
              <w:t>. Navzdory sílící inflaci se kupní síla mezd meziročně zvýšila. V úhrnu za 1 až 3</w:t>
            </w:r>
            <w:r w:rsidR="005723B7">
              <w:rPr>
                <w:rFonts w:cs="Arial"/>
                <w:color w:val="0D0D0D" w:themeColor="text1" w:themeTint="F2"/>
                <w:spacing w:val="-4"/>
              </w:rPr>
              <w:t>. čtvrtletí</w:t>
            </w:r>
            <w:r>
              <w:rPr>
                <w:rFonts w:cs="Arial"/>
                <w:color w:val="0D0D0D" w:themeColor="text1" w:themeTint="F2"/>
                <w:spacing w:val="-4"/>
              </w:rPr>
              <w:t xml:space="preserve"> meziročně posílila o 4,1</w:t>
            </w:r>
            <w:r w:rsidR="005723B7">
              <w:rPr>
                <w:rFonts w:cs="Arial"/>
                <w:color w:val="0D0D0D" w:themeColor="text1" w:themeTint="F2"/>
                <w:spacing w:val="-4"/>
              </w:rPr>
              <w:t> %</w:t>
            </w:r>
            <w:r>
              <w:rPr>
                <w:rFonts w:cs="Arial"/>
                <w:color w:val="0D0D0D" w:themeColor="text1" w:themeTint="F2"/>
                <w:spacing w:val="-4"/>
              </w:rPr>
              <w:t xml:space="preserve"> a dosáhla desetiletého maxima. Dynamika reálných mezd letos podobně jako v loňském roce předbíhala růst produktivity práce a negativně se odrazila na vývoji jednotkových mzdových nákladů.</w:t>
            </w:r>
          </w:p>
        </w:tc>
      </w:tr>
    </w:tbl>
    <w:p w:rsidR="0036710C" w:rsidRPr="0036710C" w:rsidRDefault="0036710C" w:rsidP="00D94859">
      <w:pPr>
        <w:rPr>
          <w:sz w:val="2"/>
          <w:szCs w:val="2"/>
          <w:lang w:eastAsia="ar-SA"/>
        </w:rPr>
      </w:pPr>
    </w:p>
    <w:p w:rsidR="00DD0726" w:rsidRPr="00A74192" w:rsidRDefault="00DD0726" w:rsidP="00DD0726">
      <w:pPr>
        <w:pStyle w:val="Nadpis1"/>
        <w:numPr>
          <w:ilvl w:val="0"/>
          <w:numId w:val="12"/>
        </w:numPr>
        <w:ind w:left="709"/>
        <w:jc w:val="both"/>
      </w:pPr>
      <w:bookmarkStart w:id="16" w:name="_Toc469299935"/>
      <w:bookmarkStart w:id="17" w:name="_Toc501441382"/>
      <w:r>
        <w:lastRenderedPageBreak/>
        <w:t>M</w:t>
      </w:r>
      <w:r w:rsidRPr="00A74192">
        <w:t>ěnové podmínky</w:t>
      </w:r>
      <w:bookmarkEnd w:id="16"/>
      <w:bookmarkEnd w:id="17"/>
    </w:p>
    <w:tbl>
      <w:tblPr>
        <w:tblW w:w="4995" w:type="pct"/>
        <w:tblInd w:w="108" w:type="dxa"/>
        <w:tblLayout w:type="fixed"/>
        <w:tblLook w:val="00A0"/>
      </w:tblPr>
      <w:tblGrid>
        <w:gridCol w:w="2000"/>
        <w:gridCol w:w="284"/>
        <w:gridCol w:w="1118"/>
        <w:gridCol w:w="6442"/>
      </w:tblGrid>
      <w:tr w:rsidR="00D85D55" w:rsidRPr="00A74192" w:rsidTr="001076CA">
        <w:trPr>
          <w:trHeight w:val="145"/>
        </w:trPr>
        <w:tc>
          <w:tcPr>
            <w:tcW w:w="1016" w:type="pct"/>
          </w:tcPr>
          <w:p w:rsidR="00D85D55" w:rsidRPr="006D5608" w:rsidRDefault="00D85D55" w:rsidP="00333134">
            <w:pPr>
              <w:spacing w:line="240" w:lineRule="auto"/>
              <w:rPr>
                <w:color w:val="000000" w:themeColor="text1"/>
                <w:sz w:val="16"/>
                <w:szCs w:val="16"/>
                <w:highlight w:val="yellow"/>
              </w:rPr>
            </w:pPr>
            <w:r w:rsidRPr="0070256C">
              <w:rPr>
                <w:color w:val="000000" w:themeColor="text1"/>
                <w:sz w:val="16"/>
                <w:szCs w:val="16"/>
              </w:rPr>
              <w:t>Ve 3</w:t>
            </w:r>
            <w:r w:rsidR="005723B7">
              <w:rPr>
                <w:color w:val="000000" w:themeColor="text1"/>
                <w:sz w:val="16"/>
                <w:szCs w:val="16"/>
              </w:rPr>
              <w:t>. čtvrtletí</w:t>
            </w:r>
            <w:r w:rsidRPr="0070256C">
              <w:rPr>
                <w:color w:val="000000" w:themeColor="text1"/>
                <w:sz w:val="16"/>
                <w:szCs w:val="16"/>
              </w:rPr>
              <w:t xml:space="preserve"> došlo k první změně </w:t>
            </w:r>
            <w:proofErr w:type="spellStart"/>
            <w:r w:rsidRPr="0070256C">
              <w:rPr>
                <w:color w:val="000000" w:themeColor="text1"/>
                <w:sz w:val="16"/>
                <w:szCs w:val="16"/>
              </w:rPr>
              <w:t>měnověpolitických</w:t>
            </w:r>
            <w:proofErr w:type="spellEnd"/>
            <w:r w:rsidRPr="0070256C">
              <w:rPr>
                <w:color w:val="000000" w:themeColor="text1"/>
                <w:sz w:val="16"/>
                <w:szCs w:val="16"/>
              </w:rPr>
              <w:t xml:space="preserve"> úrokových </w:t>
            </w:r>
            <w:r>
              <w:rPr>
                <w:color w:val="000000" w:themeColor="text1"/>
                <w:sz w:val="16"/>
                <w:szCs w:val="16"/>
              </w:rPr>
              <w:t>sazeb</w:t>
            </w:r>
            <w:r w:rsidRPr="0070256C">
              <w:rPr>
                <w:color w:val="000000" w:themeColor="text1"/>
                <w:sz w:val="16"/>
                <w:szCs w:val="16"/>
              </w:rPr>
              <w:t xml:space="preserve"> od roku 2012. </w:t>
            </w:r>
          </w:p>
        </w:tc>
        <w:tc>
          <w:tcPr>
            <w:tcW w:w="144" w:type="pct"/>
          </w:tcPr>
          <w:p w:rsidR="00D85D55" w:rsidRPr="003E6E0D" w:rsidRDefault="00D85D55" w:rsidP="00333134">
            <w:pPr>
              <w:pStyle w:val="Textpoznpodarou"/>
              <w:jc w:val="both"/>
            </w:pPr>
          </w:p>
        </w:tc>
        <w:tc>
          <w:tcPr>
            <w:tcW w:w="3840" w:type="pct"/>
            <w:gridSpan w:val="2"/>
          </w:tcPr>
          <w:p w:rsidR="00D85D55" w:rsidRDefault="00D85D55" w:rsidP="00333134">
            <w:pPr>
              <w:pStyle w:val="Textpoznpodarou"/>
              <w:jc w:val="both"/>
              <w:rPr>
                <w:sz w:val="16"/>
                <w:szCs w:val="16"/>
              </w:rPr>
            </w:pPr>
            <w:r>
              <w:t>Po výrazné změně nastavení měnové politiky, kterou bylo opuštění kurzového závazku v</w:t>
            </w:r>
            <w:r w:rsidR="00CE65E7">
              <w:t xml:space="preserve">e </w:t>
            </w:r>
            <w:r>
              <w:t>2</w:t>
            </w:r>
            <w:r w:rsidR="005723B7">
              <w:t>. čtvrtletí</w:t>
            </w:r>
            <w:r>
              <w:t xml:space="preserve"> roku 2017, ČNB obnovila využití konvenčních nástrojů monetární politiky. Klíčovou událostí 3</w:t>
            </w:r>
            <w:r w:rsidR="005723B7">
              <w:t>. čtvrtletí</w:t>
            </w:r>
            <w:r>
              <w:t xml:space="preserve"> ve vztahu k měnové politice bylo zvýšení </w:t>
            </w:r>
            <w:proofErr w:type="spellStart"/>
            <w:r>
              <w:t>měnověpolitických</w:t>
            </w:r>
            <w:proofErr w:type="spellEnd"/>
            <w:r>
              <w:t xml:space="preserve"> sazeb. Na počátku srpna se bankovní rada rozhodla zvýšit dvoutýdenní </w:t>
            </w:r>
            <w:proofErr w:type="spellStart"/>
            <w:r>
              <w:t>repo</w:t>
            </w:r>
            <w:proofErr w:type="spellEnd"/>
            <w:r>
              <w:t xml:space="preserve"> sazbu z 0,05</w:t>
            </w:r>
            <w:r w:rsidR="005723B7">
              <w:t> %</w:t>
            </w:r>
            <w:r>
              <w:t xml:space="preserve"> na 0,25</w:t>
            </w:r>
            <w:r w:rsidR="005723B7">
              <w:t> %</w:t>
            </w:r>
            <w:r>
              <w:t xml:space="preserve"> a lombardní sazbu z 0,25</w:t>
            </w:r>
            <w:r w:rsidR="005723B7">
              <w:t> %</w:t>
            </w:r>
            <w:r>
              <w:t xml:space="preserve"> na 0,50</w:t>
            </w:r>
            <w:r w:rsidR="005723B7">
              <w:t> %</w:t>
            </w:r>
            <w:r>
              <w:t>. Šlo o</w:t>
            </w:r>
            <w:r w:rsidR="00CE65E7">
              <w:t> </w:t>
            </w:r>
            <w:r>
              <w:t>první změnu od listopadu 2012, kdy ČNB sazby snížila na</w:t>
            </w:r>
            <w:r w:rsidR="00CE65E7">
              <w:t xml:space="preserve"> </w:t>
            </w:r>
            <w:r>
              <w:t>tzv.</w:t>
            </w:r>
            <w:r w:rsidR="00CE65E7">
              <w:t> </w:t>
            </w:r>
            <w:r>
              <w:t>technickou nulu</w:t>
            </w:r>
            <w:r w:rsidR="00CE65E7">
              <w:t>,</w:t>
            </w:r>
            <w:r>
              <w:t xml:space="preserve"> a první zvýšení sazeb od února 2008. Kurz koruny vůči euru se ve </w:t>
            </w:r>
            <w:r w:rsidR="00CE65E7">
              <w:t>3. </w:t>
            </w:r>
            <w:r>
              <w:t>čtvrtletí zásadně neměnil. Po většinu sledovaného období fluktuoval mezi 26,00 a 26,20 korunami za euro a dolní hranici prolomil jen dvakrát. Nejprve se tak stalo 3.</w:t>
            </w:r>
            <w:r w:rsidR="00191678">
              <w:t> </w:t>
            </w:r>
            <w:r>
              <w:t>srpna v očekávání zvýšení úrokových sazeb (v následujících dnech došlo k oslabení až na hodnotu 26,16</w:t>
            </w:r>
            <w:r w:rsidR="00191678">
              <w:t> </w:t>
            </w:r>
            <w:r>
              <w:t>korun</w:t>
            </w:r>
            <w:r w:rsidR="00191678">
              <w:t>y</w:t>
            </w:r>
            <w:r>
              <w:t xml:space="preserve"> za euro) a podruhé 29.</w:t>
            </w:r>
            <w:r w:rsidR="00191678">
              <w:t> </w:t>
            </w:r>
            <w:r>
              <w:t>září. Peněžní zásoba v průběhu 3</w:t>
            </w:r>
            <w:r w:rsidR="005723B7">
              <w:t>. čtvrtletí</w:t>
            </w:r>
            <w:r>
              <w:t xml:space="preserve"> meziročně rostla více než 12% tempem. Oproti 2</w:t>
            </w:r>
            <w:r w:rsidR="005723B7">
              <w:t>. čtvrtletí</w:t>
            </w:r>
            <w:r>
              <w:t xml:space="preserve"> vzrostlo množství peněz o</w:t>
            </w:r>
            <w:r w:rsidR="00191678">
              <w:t> </w:t>
            </w:r>
            <w:r>
              <w:t>2,1</w:t>
            </w:r>
            <w:r w:rsidR="005723B7">
              <w:t> %</w:t>
            </w:r>
            <w:r>
              <w:t>, nezopakoval se tak 6,7% nárůst z 1</w:t>
            </w:r>
            <w:r w:rsidR="005723B7">
              <w:t>. čtvrtletí</w:t>
            </w:r>
            <w:r>
              <w:t>. Dynamiku růstu peněžní zásoby tradičně určovalo oběživo a</w:t>
            </w:r>
            <w:r w:rsidR="00191678">
              <w:t> </w:t>
            </w:r>
            <w:r>
              <w:t xml:space="preserve">jednodenní vklady. Zajímavostí je vývoj objemu </w:t>
            </w:r>
            <w:proofErr w:type="spellStart"/>
            <w:r>
              <w:t>repo</w:t>
            </w:r>
            <w:proofErr w:type="spellEnd"/>
            <w:r>
              <w:t xml:space="preserve"> operací, které jsou jinak v peněžní zásobě marginální. Od počátku roku dochází k prudkému nárůstu jejich objemu. Již v únoru bylo překonáno původní m</w:t>
            </w:r>
            <w:r w:rsidR="00B30737">
              <w:t>aximum z prosince 2013 (42,6</w:t>
            </w:r>
            <w:r w:rsidR="006D164C">
              <w:rPr>
                <w:rFonts w:cs="Arial"/>
                <w:spacing w:val="-2"/>
              </w:rPr>
              <w:t> mld.</w:t>
            </w:r>
            <w:r>
              <w:t xml:space="preserve">) a ke konci září dosahoval objem </w:t>
            </w:r>
            <w:proofErr w:type="spellStart"/>
            <w:r>
              <w:t>repo</w:t>
            </w:r>
            <w:proofErr w:type="spellEnd"/>
            <w:r>
              <w:t xml:space="preserve"> operací 109,2</w:t>
            </w:r>
            <w:r w:rsidR="006D164C">
              <w:t> mld.</w:t>
            </w:r>
            <w:r>
              <w:t xml:space="preserve"> korun a tvořil 2,6</w:t>
            </w:r>
            <w:r w:rsidR="005723B7">
              <w:t> %</w:t>
            </w:r>
            <w:r>
              <w:t xml:space="preserve"> peněžní zásoby (v září 2016 to bylo 0,4</w:t>
            </w:r>
            <w:r w:rsidR="005723B7">
              <w:t> %</w:t>
            </w:r>
            <w:r>
              <w:t>).</w:t>
            </w:r>
          </w:p>
          <w:p w:rsidR="00D85D55" w:rsidRPr="00F001E1" w:rsidRDefault="00D85D55" w:rsidP="00333134">
            <w:pPr>
              <w:pStyle w:val="Textpoznpodarou"/>
              <w:jc w:val="both"/>
              <w:rPr>
                <w:sz w:val="16"/>
                <w:szCs w:val="16"/>
              </w:rPr>
            </w:pPr>
          </w:p>
        </w:tc>
      </w:tr>
      <w:tr w:rsidR="00D85D55" w:rsidRPr="00A74192" w:rsidTr="001076CA">
        <w:trPr>
          <w:trHeight w:val="145"/>
        </w:trPr>
        <w:tc>
          <w:tcPr>
            <w:tcW w:w="1016" w:type="pct"/>
            <w:shd w:val="clear" w:color="auto" w:fill="auto"/>
          </w:tcPr>
          <w:p w:rsidR="00D85D55" w:rsidRPr="006D5608" w:rsidRDefault="00D85D55" w:rsidP="00333134">
            <w:pPr>
              <w:spacing w:line="240" w:lineRule="auto"/>
              <w:rPr>
                <w:color w:val="000000" w:themeColor="text1"/>
                <w:sz w:val="16"/>
                <w:szCs w:val="16"/>
                <w:highlight w:val="yellow"/>
              </w:rPr>
            </w:pPr>
            <w:r w:rsidRPr="0070256C">
              <w:rPr>
                <w:color w:val="000000" w:themeColor="text1"/>
                <w:sz w:val="16"/>
                <w:szCs w:val="16"/>
              </w:rPr>
              <w:t xml:space="preserve">Na </w:t>
            </w:r>
            <w:r>
              <w:rPr>
                <w:color w:val="000000" w:themeColor="text1"/>
                <w:sz w:val="16"/>
                <w:szCs w:val="16"/>
              </w:rPr>
              <w:t xml:space="preserve">navýšení </w:t>
            </w:r>
            <w:r w:rsidRPr="0070256C">
              <w:rPr>
                <w:color w:val="000000" w:themeColor="text1"/>
                <w:sz w:val="16"/>
                <w:szCs w:val="16"/>
              </w:rPr>
              <w:t xml:space="preserve">okamžitě reagovaly tržní </w:t>
            </w:r>
            <w:r>
              <w:rPr>
                <w:color w:val="000000" w:themeColor="text1"/>
                <w:sz w:val="16"/>
                <w:szCs w:val="16"/>
              </w:rPr>
              <w:t>úrokové míry.</w:t>
            </w:r>
          </w:p>
        </w:tc>
        <w:tc>
          <w:tcPr>
            <w:tcW w:w="144" w:type="pct"/>
          </w:tcPr>
          <w:p w:rsidR="00D85D55" w:rsidRPr="003E6E0D" w:rsidRDefault="00D85D55" w:rsidP="00333134">
            <w:pPr>
              <w:pStyle w:val="Textpoznpodarou"/>
              <w:jc w:val="both"/>
            </w:pPr>
          </w:p>
        </w:tc>
        <w:tc>
          <w:tcPr>
            <w:tcW w:w="3840" w:type="pct"/>
            <w:gridSpan w:val="2"/>
          </w:tcPr>
          <w:p w:rsidR="00D85D55" w:rsidRDefault="00D85D55" w:rsidP="00333134">
            <w:pPr>
              <w:pStyle w:val="Textpoznpodarou"/>
              <w:jc w:val="both"/>
              <w:rPr>
                <w:sz w:val="16"/>
                <w:szCs w:val="16"/>
              </w:rPr>
            </w:pPr>
            <w:r>
              <w:t xml:space="preserve">Zvýšení </w:t>
            </w:r>
            <w:proofErr w:type="spellStart"/>
            <w:r>
              <w:t>měnověpolitických</w:t>
            </w:r>
            <w:proofErr w:type="spellEnd"/>
            <w:r>
              <w:t xml:space="preserve"> sazeb mělo okamžitý dopad na tržní úrokové míry, které od konce roku 2008 téměř nepřetržitě klesaly. Nepatrné zvýšení hodnoty sazeb PRIBOR bylo patrné již od dubna, ale až v srpnu začaly sazby jasně růst. Tříměsíční PRIBOR se zvýšil z červnových 0,3</w:t>
            </w:r>
            <w:r w:rsidR="005723B7">
              <w:t> %</w:t>
            </w:r>
            <w:r>
              <w:t xml:space="preserve"> na 0,46</w:t>
            </w:r>
            <w:r w:rsidR="005723B7">
              <w:t> %</w:t>
            </w:r>
            <w:r>
              <w:t xml:space="preserve"> v září (a růst se nezastavil). Roční PRIBOR vzrostl z 0,46</w:t>
            </w:r>
            <w:r w:rsidR="005723B7">
              <w:t> %</w:t>
            </w:r>
            <w:r>
              <w:t xml:space="preserve"> na 0,64</w:t>
            </w:r>
            <w:r w:rsidR="005723B7">
              <w:t> %</w:t>
            </w:r>
            <w:r>
              <w:t>. Naopak u výnosů na státních dluhopisech, které se obecně zvyšovaly v 1. kvartálu, nedocházelo během 2. a 3</w:t>
            </w:r>
            <w:r w:rsidR="005723B7">
              <w:t>. čtvrtletí</w:t>
            </w:r>
            <w:r>
              <w:t xml:space="preserve"> k výrazným změnám.</w:t>
            </w:r>
          </w:p>
          <w:p w:rsidR="00D85D55" w:rsidRPr="005B1995" w:rsidRDefault="00D85D55" w:rsidP="00333134">
            <w:pPr>
              <w:pStyle w:val="Textpoznpodarou"/>
              <w:jc w:val="both"/>
              <w:rPr>
                <w:sz w:val="16"/>
                <w:szCs w:val="16"/>
              </w:rPr>
            </w:pPr>
          </w:p>
        </w:tc>
      </w:tr>
      <w:tr w:rsidR="00DD0726" w:rsidRPr="00A74192" w:rsidTr="001076CA">
        <w:trPr>
          <w:trHeight w:val="145"/>
        </w:trPr>
        <w:tc>
          <w:tcPr>
            <w:tcW w:w="1016" w:type="pct"/>
            <w:shd w:val="clear" w:color="auto" w:fill="auto"/>
          </w:tcPr>
          <w:p w:rsidR="00DD0726" w:rsidRPr="005D2208" w:rsidRDefault="00DD0726" w:rsidP="006C3DC1">
            <w:pPr>
              <w:spacing w:line="240" w:lineRule="auto"/>
              <w:rPr>
                <w:color w:val="000000" w:themeColor="text1"/>
                <w:sz w:val="16"/>
                <w:szCs w:val="16"/>
              </w:rPr>
            </w:pPr>
          </w:p>
        </w:tc>
        <w:tc>
          <w:tcPr>
            <w:tcW w:w="144" w:type="pct"/>
          </w:tcPr>
          <w:p w:rsidR="00DD0726" w:rsidRPr="003E6E0D" w:rsidRDefault="00DD0726" w:rsidP="006C3DC1">
            <w:pPr>
              <w:pStyle w:val="Textpoznpodarou"/>
              <w:jc w:val="both"/>
            </w:pPr>
          </w:p>
        </w:tc>
        <w:tc>
          <w:tcPr>
            <w:tcW w:w="568" w:type="pct"/>
          </w:tcPr>
          <w:p w:rsidR="00DD0726" w:rsidRDefault="00DD0726" w:rsidP="006C3DC1">
            <w:pPr>
              <w:pStyle w:val="Textpoznpodarou"/>
              <w:jc w:val="both"/>
            </w:pPr>
            <w:r>
              <w:t>Graf č. 18</w:t>
            </w:r>
          </w:p>
        </w:tc>
        <w:tc>
          <w:tcPr>
            <w:tcW w:w="3272" w:type="pct"/>
          </w:tcPr>
          <w:p w:rsidR="00DD0726" w:rsidRDefault="00DD0726" w:rsidP="006C3DC1">
            <w:pPr>
              <w:pStyle w:val="Textpoznpodarou"/>
              <w:jc w:val="both"/>
            </w:pPr>
            <w:r w:rsidRPr="00AA4A76">
              <w:rPr>
                <w:b/>
              </w:rPr>
              <w:t xml:space="preserve">Tržní úrokové sazby </w:t>
            </w:r>
            <w:r w:rsidRPr="00AA4A76">
              <w:t>(v</w:t>
            </w:r>
            <w:r w:rsidR="005723B7">
              <w:t> %</w:t>
            </w:r>
            <w:r w:rsidRPr="00AA4A76">
              <w:t>)</w:t>
            </w:r>
          </w:p>
        </w:tc>
      </w:tr>
      <w:tr w:rsidR="00DD0726" w:rsidRPr="00A74192" w:rsidTr="001076CA">
        <w:trPr>
          <w:trHeight w:val="145"/>
        </w:trPr>
        <w:tc>
          <w:tcPr>
            <w:tcW w:w="1016" w:type="pct"/>
            <w:shd w:val="clear" w:color="auto" w:fill="auto"/>
          </w:tcPr>
          <w:p w:rsidR="00DD0726" w:rsidRPr="005D2208" w:rsidRDefault="00DD0726" w:rsidP="006C3DC1">
            <w:pPr>
              <w:spacing w:line="240" w:lineRule="auto"/>
              <w:rPr>
                <w:color w:val="000000" w:themeColor="text1"/>
                <w:sz w:val="16"/>
                <w:szCs w:val="16"/>
              </w:rPr>
            </w:pPr>
          </w:p>
        </w:tc>
        <w:tc>
          <w:tcPr>
            <w:tcW w:w="144" w:type="pct"/>
          </w:tcPr>
          <w:p w:rsidR="00DD0726" w:rsidRPr="003E6E0D" w:rsidRDefault="00DD0726" w:rsidP="006C3DC1">
            <w:pPr>
              <w:pStyle w:val="Textpoznpodarou"/>
              <w:jc w:val="both"/>
            </w:pPr>
          </w:p>
        </w:tc>
        <w:tc>
          <w:tcPr>
            <w:tcW w:w="3840" w:type="pct"/>
            <w:gridSpan w:val="2"/>
          </w:tcPr>
          <w:p w:rsidR="00DD0726" w:rsidRDefault="00D85D55" w:rsidP="006C3DC1">
            <w:pPr>
              <w:pStyle w:val="Textpoznpodarou"/>
              <w:jc w:val="right"/>
              <w:rPr>
                <w:sz w:val="14"/>
                <w:szCs w:val="14"/>
              </w:rPr>
            </w:pPr>
            <w:r w:rsidRPr="00D85D55">
              <w:rPr>
                <w:noProof/>
              </w:rPr>
              <w:drawing>
                <wp:inline distT="0" distB="0" distL="0" distR="0">
                  <wp:extent cx="4737600" cy="3553200"/>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DD0726" w:rsidRPr="00DE1460">
              <w:rPr>
                <w:sz w:val="14"/>
                <w:szCs w:val="14"/>
              </w:rPr>
              <w:t xml:space="preserve"> Zdroj: ČNB</w:t>
            </w:r>
          </w:p>
          <w:p w:rsidR="00DD0726" w:rsidRPr="00351222" w:rsidRDefault="00DD0726" w:rsidP="006C3DC1">
            <w:pPr>
              <w:pStyle w:val="Textpoznpodarou"/>
              <w:jc w:val="right"/>
              <w:rPr>
                <w:sz w:val="14"/>
                <w:szCs w:val="14"/>
              </w:rPr>
            </w:pPr>
          </w:p>
        </w:tc>
      </w:tr>
      <w:tr w:rsidR="00D85D55" w:rsidRPr="00A74192" w:rsidTr="001076CA">
        <w:trPr>
          <w:trHeight w:val="145"/>
        </w:trPr>
        <w:tc>
          <w:tcPr>
            <w:tcW w:w="1016" w:type="pct"/>
            <w:shd w:val="clear" w:color="auto" w:fill="auto"/>
          </w:tcPr>
          <w:p w:rsidR="00D85D55" w:rsidRPr="006D5608" w:rsidRDefault="00D85D55" w:rsidP="00333134">
            <w:pPr>
              <w:spacing w:line="240" w:lineRule="auto"/>
              <w:rPr>
                <w:color w:val="000000" w:themeColor="text1"/>
                <w:sz w:val="16"/>
                <w:szCs w:val="16"/>
                <w:highlight w:val="yellow"/>
              </w:rPr>
            </w:pPr>
            <w:r w:rsidRPr="0070256C">
              <w:rPr>
                <w:color w:val="000000" w:themeColor="text1"/>
                <w:sz w:val="16"/>
                <w:szCs w:val="16"/>
              </w:rPr>
              <w:t>Sazby na vkladech zůstaly na téměř nulové úrovni.</w:t>
            </w:r>
          </w:p>
        </w:tc>
        <w:tc>
          <w:tcPr>
            <w:tcW w:w="144" w:type="pct"/>
          </w:tcPr>
          <w:p w:rsidR="00D85D55" w:rsidRPr="003E6E0D" w:rsidRDefault="00D85D55" w:rsidP="00333134">
            <w:pPr>
              <w:pStyle w:val="Textpoznpodarou"/>
              <w:jc w:val="both"/>
              <w:rPr>
                <w:highlight w:val="yellow"/>
              </w:rPr>
            </w:pPr>
          </w:p>
        </w:tc>
        <w:tc>
          <w:tcPr>
            <w:tcW w:w="3840" w:type="pct"/>
            <w:gridSpan w:val="2"/>
          </w:tcPr>
          <w:p w:rsidR="00D85D55" w:rsidRDefault="00D85D55" w:rsidP="00333134">
            <w:pPr>
              <w:pStyle w:val="Textpoznpodarou"/>
              <w:jc w:val="both"/>
              <w:rPr>
                <w:sz w:val="16"/>
                <w:szCs w:val="16"/>
              </w:rPr>
            </w:pPr>
            <w:r>
              <w:t>Měnící se podmínky na mezibankovním trhu zatím neměly dopad na úrokové sazby na vkladech. Průměrné úročení běžných vkladů pro domácnosti činilo 0,04</w:t>
            </w:r>
            <w:r w:rsidR="005723B7">
              <w:t> %</w:t>
            </w:r>
            <w:r>
              <w:t>, pro nefinanční podniky kleslo na 0,02</w:t>
            </w:r>
            <w:r w:rsidR="005723B7">
              <w:t> %</w:t>
            </w:r>
            <w:r>
              <w:t>. Jistý posun se dal vysledovat u vkladů s</w:t>
            </w:r>
            <w:r w:rsidR="007E6A5B">
              <w:t> </w:t>
            </w:r>
            <w:r>
              <w:t xml:space="preserve">dohodnutou splatností pro domácnosti – průměrná úroková sazba na </w:t>
            </w:r>
            <w:r>
              <w:lastRenderedPageBreak/>
              <w:t>nich sice celkově klesla pod 0,50</w:t>
            </w:r>
            <w:r w:rsidR="005723B7">
              <w:t> %</w:t>
            </w:r>
            <w:r>
              <w:t>, bylo to však způsobeno výrazným propadem úročení vkladů se splatností do 1</w:t>
            </w:r>
            <w:r w:rsidR="007E6A5B">
              <w:t> </w:t>
            </w:r>
            <w:proofErr w:type="gramStart"/>
            <w:r>
              <w:t>roku (z 1,0</w:t>
            </w:r>
            <w:proofErr w:type="gramEnd"/>
            <w:r w:rsidR="005723B7">
              <w:t> %</w:t>
            </w:r>
            <w:r>
              <w:t xml:space="preserve"> v dubnu na 0,3</w:t>
            </w:r>
            <w:r w:rsidR="007E6A5B">
              <w:t> %</w:t>
            </w:r>
            <w:r>
              <w:t xml:space="preserve"> v září). Úroky na vkladech se splatností nad 1</w:t>
            </w:r>
            <w:r w:rsidR="007E6A5B">
              <w:t> </w:t>
            </w:r>
            <w:r>
              <w:t>rok ve 3</w:t>
            </w:r>
            <w:r w:rsidR="005723B7">
              <w:t>. čtvrtletí</w:t>
            </w:r>
            <w:r>
              <w:t xml:space="preserve"> rostly. Pro nefinanční podniky se úročení termínovaných vklad</w:t>
            </w:r>
            <w:r w:rsidR="007E6A5B">
              <w:t>ů</w:t>
            </w:r>
            <w:r>
              <w:t xml:space="preserve"> prakticky neměnilo a zůstalo na úrovni běžných účtů, tedy prakticky na nule.</w:t>
            </w:r>
          </w:p>
          <w:p w:rsidR="00D85D55" w:rsidRPr="00554C8E" w:rsidRDefault="00D85D55" w:rsidP="00333134">
            <w:pPr>
              <w:pStyle w:val="Textpoznpodarou"/>
              <w:jc w:val="both"/>
              <w:rPr>
                <w:sz w:val="16"/>
                <w:szCs w:val="16"/>
              </w:rPr>
            </w:pPr>
          </w:p>
        </w:tc>
      </w:tr>
      <w:tr w:rsidR="00D85D55" w:rsidRPr="00A74192" w:rsidTr="001076CA">
        <w:trPr>
          <w:trHeight w:val="145"/>
        </w:trPr>
        <w:tc>
          <w:tcPr>
            <w:tcW w:w="1016" w:type="pct"/>
            <w:shd w:val="clear" w:color="auto" w:fill="auto"/>
          </w:tcPr>
          <w:p w:rsidR="00D85D55" w:rsidRPr="005D2208" w:rsidRDefault="00D85D55" w:rsidP="00333134">
            <w:pPr>
              <w:spacing w:line="240" w:lineRule="auto"/>
              <w:rPr>
                <w:color w:val="000000" w:themeColor="text1"/>
                <w:sz w:val="16"/>
                <w:szCs w:val="16"/>
              </w:rPr>
            </w:pPr>
            <w:r>
              <w:rPr>
                <w:color w:val="000000" w:themeColor="text1"/>
                <w:sz w:val="16"/>
                <w:szCs w:val="16"/>
              </w:rPr>
              <w:lastRenderedPageBreak/>
              <w:t>Sazby úvěrů přestaly klesat již na přelomu let 2016 a 2017. Nyní je patrná tendence k růstu.</w:t>
            </w:r>
          </w:p>
        </w:tc>
        <w:tc>
          <w:tcPr>
            <w:tcW w:w="144" w:type="pct"/>
          </w:tcPr>
          <w:p w:rsidR="00D85D55" w:rsidRPr="003E6E0D" w:rsidRDefault="00D85D55" w:rsidP="00333134">
            <w:pPr>
              <w:pStyle w:val="Textpoznpodarou"/>
              <w:jc w:val="both"/>
              <w:rPr>
                <w:highlight w:val="yellow"/>
              </w:rPr>
            </w:pPr>
          </w:p>
        </w:tc>
        <w:tc>
          <w:tcPr>
            <w:tcW w:w="3840" w:type="pct"/>
            <w:gridSpan w:val="2"/>
          </w:tcPr>
          <w:p w:rsidR="00D85D55" w:rsidRDefault="00D85D55" w:rsidP="00333134">
            <w:pPr>
              <w:pStyle w:val="Textpoznpodarou"/>
              <w:jc w:val="both"/>
              <w:rPr>
                <w:sz w:val="16"/>
                <w:szCs w:val="16"/>
              </w:rPr>
            </w:pPr>
            <w:r>
              <w:t>Sazby úvěrů poskytovaných domácnostem se neměnily nijak dramaticky a</w:t>
            </w:r>
            <w:r w:rsidR="007E6A5B">
              <w:t> </w:t>
            </w:r>
            <w:r>
              <w:t>spíše navázaly na předchozí vývoj. Průměr úrokových sazeb úvěrů na spotřebu se tak držel pod 10%</w:t>
            </w:r>
            <w:r w:rsidR="007E6A5B">
              <w:t> </w:t>
            </w:r>
            <w:r>
              <w:t>hranicí, kterou prolomil letos v únoru. Z pohledu ekonomické stability podstatnější úroky úvěrů na bydlení byly ve 3</w:t>
            </w:r>
            <w:r w:rsidR="005723B7">
              <w:t>. čtvrtletí</w:t>
            </w:r>
            <w:r>
              <w:t xml:space="preserve"> mírně vyšší než v předchozích obdobích. Rostly totiž sazby úvěrů s nejčastěji poskytovanou fixací, tedy od 1</w:t>
            </w:r>
            <w:r w:rsidR="006801D6">
              <w:t> </w:t>
            </w:r>
            <w:r>
              <w:t>roku do 5</w:t>
            </w:r>
            <w:r w:rsidR="006801D6">
              <w:t> </w:t>
            </w:r>
            <w:r>
              <w:t>let (+0,04</w:t>
            </w:r>
            <w:r w:rsidR="00CE0849">
              <w:t> p. </w:t>
            </w:r>
            <w:proofErr w:type="spellStart"/>
            <w:r w:rsidR="00CE0849">
              <w:t>b</w:t>
            </w:r>
            <w:proofErr w:type="spellEnd"/>
            <w:r w:rsidR="00CE0849">
              <w:t>.</w:t>
            </w:r>
            <w:r>
              <w:t xml:space="preserve"> </w:t>
            </w:r>
            <w:proofErr w:type="gramStart"/>
            <w:r>
              <w:t>za</w:t>
            </w:r>
            <w:proofErr w:type="gramEnd"/>
            <w:r>
              <w:t xml:space="preserve"> 3</w:t>
            </w:r>
            <w:r w:rsidR="005723B7">
              <w:t>. čtvrtletí</w:t>
            </w:r>
            <w:r>
              <w:t>, +0,06</w:t>
            </w:r>
            <w:r w:rsidR="00CE0849">
              <w:t> p. </w:t>
            </w:r>
            <w:proofErr w:type="spellStart"/>
            <w:r w:rsidR="00CE0849">
              <w:t>b</w:t>
            </w:r>
            <w:proofErr w:type="spellEnd"/>
            <w:r w:rsidR="00CE0849">
              <w:t>.</w:t>
            </w:r>
            <w:r>
              <w:t xml:space="preserve"> od konce roku 2016). Úvěry s fixací od 5 do 10</w:t>
            </w:r>
            <w:r w:rsidR="006801D6">
              <w:t> </w:t>
            </w:r>
            <w:r>
              <w:t>let, jejichž úročení v minulém roce kleslo pod 2</w:t>
            </w:r>
            <w:r w:rsidR="005723B7">
              <w:t> %</w:t>
            </w:r>
            <w:r>
              <w:t>, byly v září průměrně úročeny 2,17</w:t>
            </w:r>
            <w:r w:rsidR="005723B7">
              <w:t> %</w:t>
            </w:r>
            <w:r>
              <w:t>. Naopak výrazně se zlepšily podmínky u nejkratší fixace do 1</w:t>
            </w:r>
            <w:r w:rsidR="006801D6">
              <w:t> </w:t>
            </w:r>
            <w:r>
              <w:t>roku (</w:t>
            </w:r>
            <w:r w:rsidR="006801D6">
              <w:t>–</w:t>
            </w:r>
            <w:r>
              <w:t>0,14</w:t>
            </w:r>
            <w:r w:rsidR="00CE0849">
              <w:t> p. </w:t>
            </w:r>
            <w:proofErr w:type="spellStart"/>
            <w:r w:rsidR="00CE0849">
              <w:t>b</w:t>
            </w:r>
            <w:proofErr w:type="spellEnd"/>
            <w:r w:rsidR="00CE0849">
              <w:t>.</w:t>
            </w:r>
            <w:r>
              <w:t xml:space="preserve"> </w:t>
            </w:r>
            <w:proofErr w:type="gramStart"/>
            <w:r>
              <w:t>za</w:t>
            </w:r>
            <w:proofErr w:type="gramEnd"/>
            <w:r>
              <w:t xml:space="preserve"> 3</w:t>
            </w:r>
            <w:r w:rsidR="005723B7">
              <w:t>. čtvrtletí</w:t>
            </w:r>
            <w:r>
              <w:t>) i s tou nejdelší nad 10</w:t>
            </w:r>
            <w:r w:rsidR="006801D6">
              <w:t> </w:t>
            </w:r>
            <w:r>
              <w:t>let (</w:t>
            </w:r>
            <w:r w:rsidR="006801D6">
              <w:t>–</w:t>
            </w:r>
            <w:r>
              <w:t>0,13</w:t>
            </w:r>
            <w:r w:rsidR="00CE0849">
              <w:t> p. </w:t>
            </w:r>
            <w:proofErr w:type="spellStart"/>
            <w:r w:rsidR="00CE0849">
              <w:t>b</w:t>
            </w:r>
            <w:proofErr w:type="spellEnd"/>
            <w:r w:rsidR="00CE0849">
              <w:t>.</w:t>
            </w:r>
            <w:r>
              <w:t xml:space="preserve"> za 3</w:t>
            </w:r>
            <w:r w:rsidR="005723B7">
              <w:t>. čtvrtletí</w:t>
            </w:r>
            <w:r>
              <w:t>). Podobný vývoj mělo úročení úvěrů firem. Od srpna minulého roku je u nich patrný růstový trend, který se ve 3</w:t>
            </w:r>
            <w:r w:rsidR="005723B7">
              <w:t>. čtvrtletí</w:t>
            </w:r>
            <w:r>
              <w:t xml:space="preserve"> 2017 zastavil. Zvýšení sazeb je však velmi mírné a pohybuje se v řádu desetin</w:t>
            </w:r>
            <w:r w:rsidR="00CE0849">
              <w:t> p. </w:t>
            </w:r>
            <w:proofErr w:type="spellStart"/>
            <w:r w:rsidR="00CE0849">
              <w:t>b</w:t>
            </w:r>
            <w:proofErr w:type="spellEnd"/>
            <w:r w:rsidR="00CE0849">
              <w:t>.</w:t>
            </w:r>
            <w:r>
              <w:t xml:space="preserve"> Bližší pohled ukazuje, že určující jsou sazby úvěrů nad 30</w:t>
            </w:r>
            <w:r w:rsidR="006801D6">
              <w:t> </w:t>
            </w:r>
            <w:r>
              <w:t>mil. korun. Ty zůstávají nejnižší, ale růstový trend je zde jasně patrný (1,35</w:t>
            </w:r>
            <w:r w:rsidR="005723B7">
              <w:t> %</w:t>
            </w:r>
            <w:r>
              <w:t xml:space="preserve"> v srpnu minulého roku, 1,65</w:t>
            </w:r>
            <w:r w:rsidR="005723B7">
              <w:t> %</w:t>
            </w:r>
            <w:r>
              <w:t xml:space="preserve"> v lednu 2017 a 1,83</w:t>
            </w:r>
            <w:r w:rsidR="005723B7">
              <w:t> %</w:t>
            </w:r>
            <w:r>
              <w:t xml:space="preserve"> v září).</w:t>
            </w:r>
          </w:p>
          <w:p w:rsidR="00D85D55" w:rsidRPr="001143B8" w:rsidRDefault="00D85D55" w:rsidP="00333134">
            <w:pPr>
              <w:pStyle w:val="Textpoznpodarou"/>
              <w:jc w:val="both"/>
              <w:rPr>
                <w:sz w:val="16"/>
                <w:szCs w:val="16"/>
              </w:rPr>
            </w:pPr>
          </w:p>
        </w:tc>
      </w:tr>
      <w:tr w:rsidR="00D85D55" w:rsidRPr="00A74192" w:rsidTr="001076CA">
        <w:trPr>
          <w:trHeight w:val="145"/>
        </w:trPr>
        <w:tc>
          <w:tcPr>
            <w:tcW w:w="1016" w:type="pct"/>
            <w:shd w:val="clear" w:color="auto" w:fill="auto"/>
          </w:tcPr>
          <w:p w:rsidR="00D85D55" w:rsidRPr="00977D8C" w:rsidRDefault="00D85D55" w:rsidP="00333134">
            <w:pPr>
              <w:spacing w:line="240" w:lineRule="auto"/>
              <w:rPr>
                <w:color w:val="000000" w:themeColor="text1"/>
                <w:sz w:val="16"/>
                <w:szCs w:val="16"/>
                <w:highlight w:val="yellow"/>
              </w:rPr>
            </w:pPr>
            <w:r w:rsidRPr="0070256C">
              <w:rPr>
                <w:color w:val="000000" w:themeColor="text1"/>
                <w:sz w:val="16"/>
                <w:szCs w:val="16"/>
              </w:rPr>
              <w:t>Domácnosti si i nadále půjčovaly na spotřebu i</w:t>
            </w:r>
            <w:r w:rsidR="00D0103D">
              <w:rPr>
                <w:color w:val="000000" w:themeColor="text1"/>
                <w:sz w:val="16"/>
                <w:szCs w:val="16"/>
              </w:rPr>
              <w:t> </w:t>
            </w:r>
            <w:r w:rsidRPr="0070256C">
              <w:rPr>
                <w:color w:val="000000" w:themeColor="text1"/>
                <w:sz w:val="16"/>
                <w:szCs w:val="16"/>
              </w:rPr>
              <w:t>bydlení. U hypotečních úvěrů rostl objem poskytnutých půjček, stagnuje však počet nových smluv.</w:t>
            </w:r>
          </w:p>
        </w:tc>
        <w:tc>
          <w:tcPr>
            <w:tcW w:w="144" w:type="pct"/>
          </w:tcPr>
          <w:p w:rsidR="00D85D55" w:rsidRPr="00977D8C" w:rsidRDefault="00D85D55" w:rsidP="00333134">
            <w:pPr>
              <w:pStyle w:val="Textpoznpodarou"/>
              <w:jc w:val="both"/>
              <w:rPr>
                <w:sz w:val="16"/>
                <w:szCs w:val="16"/>
              </w:rPr>
            </w:pPr>
          </w:p>
        </w:tc>
        <w:tc>
          <w:tcPr>
            <w:tcW w:w="3840" w:type="pct"/>
            <w:gridSpan w:val="2"/>
          </w:tcPr>
          <w:p w:rsidR="00D85D55" w:rsidRDefault="00D85D55" w:rsidP="00333134">
            <w:pPr>
              <w:pStyle w:val="Textpoznpodarou"/>
              <w:jc w:val="both"/>
              <w:rPr>
                <w:sz w:val="16"/>
                <w:szCs w:val="16"/>
              </w:rPr>
            </w:pPr>
            <w:r>
              <w:t>Pokračoval nárůst objemu úvěrů poskytnutých domácnostem. Od ledna do září roku 2017 vzrostl o</w:t>
            </w:r>
            <w:r w:rsidR="00D0103D">
              <w:t> </w:t>
            </w:r>
            <w:r>
              <w:t>79,8</w:t>
            </w:r>
            <w:r w:rsidR="006D164C">
              <w:t> mld.</w:t>
            </w:r>
            <w:r>
              <w:t xml:space="preserve"> korun, což je o</w:t>
            </w:r>
            <w:r w:rsidR="00D0103D">
              <w:t> </w:t>
            </w:r>
            <w:r>
              <w:t>13,6</w:t>
            </w:r>
            <w:r w:rsidR="006D164C">
              <w:t> mld.</w:t>
            </w:r>
            <w:r>
              <w:t xml:space="preserve"> více než ve stejném období předchozího roku. Většinu tohoto nárůstu tvořily hypoteční úvěry (69,4</w:t>
            </w:r>
            <w:r w:rsidR="006D164C">
              <w:t> mld.</w:t>
            </w:r>
            <w:r>
              <w:t>), což je meziročně o</w:t>
            </w:r>
            <w:r w:rsidR="00D0103D">
              <w:t> </w:t>
            </w:r>
            <w:r>
              <w:t>17,6</w:t>
            </w:r>
            <w:r w:rsidR="006D164C">
              <w:t> mld.</w:t>
            </w:r>
            <w:r>
              <w:t xml:space="preserve"> více. Pohled na počet nových smluv (dostupný jen za 1. pololetí) však ukazuje na možný útlum. V 1</w:t>
            </w:r>
            <w:r w:rsidR="005723B7">
              <w:t>. čtvrtletí</w:t>
            </w:r>
            <w:r>
              <w:t xml:space="preserve"> se ještě počet nových smluv meziročně zvýšil, ve 2</w:t>
            </w:r>
            <w:r w:rsidR="005723B7">
              <w:t>. čtvrtletí</w:t>
            </w:r>
            <w:r>
              <w:t xml:space="preserve"> již došlo k poklesu. V obou kvartálech se přitom objem poskytnutých hypoték meziročně zvyšoval. Možným vysvětlením jsou silně rostoucí ceny nemovitostí, které se promítají i do výše úvěrů a zároveň snižují dostupnost vlastního bydlení. Naopak objem poskytnutých spotřebních úvěrů rostl pomaleji než v minulém roce. Z dat není přímo patrné, že by domácnosti ve větší míře využívaly spotřební úvěry jako doplněk ke klasickým hypotékám. Celkové zadlužení domácností k 30.</w:t>
            </w:r>
            <w:r w:rsidR="00D0103D">
              <w:t> </w:t>
            </w:r>
            <w:r>
              <w:t>9. dosahovalo 1</w:t>
            </w:r>
            <w:r w:rsidR="00D0103D">
              <w:t> </w:t>
            </w:r>
            <w:r>
              <w:t>566,0</w:t>
            </w:r>
            <w:r w:rsidR="006D164C">
              <w:t> mld.</w:t>
            </w:r>
            <w:r>
              <w:t xml:space="preserve"> korun a zadlužení kvůli bydlení tvořilo 72,1</w:t>
            </w:r>
            <w:r w:rsidR="005723B7">
              <w:t> %</w:t>
            </w:r>
            <w:r>
              <w:t xml:space="preserve"> (v září 2016 to bylo 70,9</w:t>
            </w:r>
            <w:r w:rsidR="005723B7">
              <w:t> %</w:t>
            </w:r>
            <w:r>
              <w:t>).</w:t>
            </w:r>
          </w:p>
          <w:p w:rsidR="00D85D55" w:rsidRPr="00BD7DC6" w:rsidRDefault="00D85D55" w:rsidP="00333134">
            <w:pPr>
              <w:pStyle w:val="Textpoznpodarou"/>
              <w:jc w:val="both"/>
              <w:rPr>
                <w:sz w:val="16"/>
                <w:szCs w:val="16"/>
              </w:rPr>
            </w:pPr>
          </w:p>
        </w:tc>
      </w:tr>
      <w:tr w:rsidR="00D85D55" w:rsidRPr="00A74192" w:rsidTr="001076CA">
        <w:trPr>
          <w:trHeight w:val="145"/>
        </w:trPr>
        <w:tc>
          <w:tcPr>
            <w:tcW w:w="1016" w:type="pct"/>
            <w:shd w:val="clear" w:color="auto" w:fill="auto"/>
          </w:tcPr>
          <w:p w:rsidR="00D85D55" w:rsidRPr="00977D8C" w:rsidRDefault="00D85D55" w:rsidP="00333134">
            <w:pPr>
              <w:spacing w:line="240" w:lineRule="auto"/>
              <w:rPr>
                <w:color w:val="000000" w:themeColor="text1"/>
                <w:sz w:val="16"/>
                <w:szCs w:val="16"/>
              </w:rPr>
            </w:pPr>
            <w:r>
              <w:rPr>
                <w:color w:val="000000" w:themeColor="text1"/>
                <w:sz w:val="16"/>
                <w:szCs w:val="16"/>
              </w:rPr>
              <w:t>Podniky si stále pořizují úvěry v cizích měnách.</w:t>
            </w:r>
          </w:p>
        </w:tc>
        <w:tc>
          <w:tcPr>
            <w:tcW w:w="144" w:type="pct"/>
          </w:tcPr>
          <w:p w:rsidR="00D85D55" w:rsidRPr="00977D8C" w:rsidRDefault="00D85D55" w:rsidP="00333134">
            <w:pPr>
              <w:pStyle w:val="Textpoznpodarou"/>
              <w:jc w:val="both"/>
              <w:rPr>
                <w:sz w:val="16"/>
                <w:szCs w:val="16"/>
              </w:rPr>
            </w:pPr>
          </w:p>
        </w:tc>
        <w:tc>
          <w:tcPr>
            <w:tcW w:w="3840" w:type="pct"/>
            <w:gridSpan w:val="2"/>
          </w:tcPr>
          <w:p w:rsidR="00D85D55" w:rsidRDefault="00D85D55" w:rsidP="00333134">
            <w:pPr>
              <w:pStyle w:val="Textpoznpodarou"/>
              <w:jc w:val="both"/>
              <w:rPr>
                <w:sz w:val="16"/>
                <w:szCs w:val="16"/>
              </w:rPr>
            </w:pPr>
            <w:r>
              <w:t xml:space="preserve">Nefinanční podniky stále v široké míře využívaly úvěrové financování. </w:t>
            </w:r>
            <w:proofErr w:type="gramStart"/>
            <w:r>
              <w:t>Ke</w:t>
            </w:r>
            <w:proofErr w:type="gramEnd"/>
            <w:r>
              <w:t xml:space="preserve"> 30.</w:t>
            </w:r>
            <w:r w:rsidR="00D0103D">
              <w:t> </w:t>
            </w:r>
            <w:r>
              <w:t>9. činil objem úvěrů poskytnutých tomuto sektoru 1</w:t>
            </w:r>
            <w:r w:rsidR="00D0103D">
              <w:t> </w:t>
            </w:r>
            <w:r>
              <w:t>043,2</w:t>
            </w:r>
            <w:r w:rsidR="006D164C">
              <w:t> mld.</w:t>
            </w:r>
            <w:r>
              <w:t xml:space="preserve"> korun. V porovnání s rokem 2016 však lze pozorovat zpomalení tempa růstu objemu poskytnutých úvěrů. Z pohledu doby splatnosti nejrychleji rostl objem střednědobých úvěrů. Naopak dlouhodobých úvěrů, jejichž objem v minulém roce narůstal i</w:t>
            </w:r>
            <w:r w:rsidR="00D0103D">
              <w:t> </w:t>
            </w:r>
            <w:r>
              <w:t>více než dvouciferným tempem, přibývalo pomaleji. Trend posledních let – nárůst objemu úvěrů v</w:t>
            </w:r>
            <w:r w:rsidR="00D0103D">
              <w:t> </w:t>
            </w:r>
            <w:r>
              <w:t>cizí měně – pokračoval poměrně silně i po dubnovém ukončení intervencí. Podobně jako v předchozích čtvrtletích platí, že nárůst objemu úvěrů nefinančním podnikům se soustředí do půjček v cizí měně (</w:t>
            </w:r>
            <w:proofErr w:type="gramStart"/>
            <w:r>
              <w:t>ke</w:t>
            </w:r>
            <w:proofErr w:type="gramEnd"/>
            <w:r>
              <w:t xml:space="preserve"> 30.</w:t>
            </w:r>
            <w:r w:rsidR="00D0103D">
              <w:t> </w:t>
            </w:r>
            <w:r>
              <w:t>9. tvořily tyto úvěry 29,6</w:t>
            </w:r>
            <w:r w:rsidR="005723B7">
              <w:t> %</w:t>
            </w:r>
            <w:r>
              <w:t xml:space="preserve"> z celkového objemu). Zároveň je však vidět, ž</w:t>
            </w:r>
            <w:r w:rsidR="00B30737">
              <w:t>e se od dubna zrychlil nárůst u</w:t>
            </w:r>
            <w:r w:rsidR="00B30737" w:rsidRPr="00F66CA8">
              <w:rPr>
                <w:rFonts w:cs="Arial"/>
                <w:spacing w:val="-2"/>
              </w:rPr>
              <w:t> </w:t>
            </w:r>
            <w:r>
              <w:t>krátkodobých úvěrů a</w:t>
            </w:r>
            <w:r w:rsidR="00D0103D">
              <w:t> </w:t>
            </w:r>
            <w:r>
              <w:t>zpomalil se růs</w:t>
            </w:r>
            <w:r w:rsidR="00B30737">
              <w:t>t objemu u</w:t>
            </w:r>
            <w:r w:rsidR="00D0103D">
              <w:t> </w:t>
            </w:r>
            <w:r w:rsidR="00B30737">
              <w:t>dlouhodobých úvěrů a</w:t>
            </w:r>
            <w:r w:rsidR="00B30737" w:rsidRPr="00F66CA8">
              <w:rPr>
                <w:rFonts w:cs="Arial"/>
                <w:spacing w:val="-2"/>
              </w:rPr>
              <w:t> </w:t>
            </w:r>
            <w:r>
              <w:t>pohledávek.</w:t>
            </w:r>
          </w:p>
          <w:p w:rsidR="00D85D55" w:rsidRPr="0072413F" w:rsidRDefault="00D85D55" w:rsidP="00333134">
            <w:pPr>
              <w:pStyle w:val="Textpoznpodarou"/>
              <w:jc w:val="both"/>
              <w:rPr>
                <w:sz w:val="16"/>
                <w:szCs w:val="16"/>
              </w:rPr>
            </w:pPr>
          </w:p>
        </w:tc>
      </w:tr>
      <w:tr w:rsidR="00D85D55" w:rsidRPr="00A74192" w:rsidTr="001076CA">
        <w:trPr>
          <w:trHeight w:val="145"/>
        </w:trPr>
        <w:tc>
          <w:tcPr>
            <w:tcW w:w="1016" w:type="pct"/>
            <w:shd w:val="clear" w:color="auto" w:fill="auto"/>
          </w:tcPr>
          <w:p w:rsidR="00D85D55" w:rsidRPr="00977D8C" w:rsidRDefault="00D85D55" w:rsidP="00333134">
            <w:pPr>
              <w:spacing w:line="240" w:lineRule="auto"/>
              <w:rPr>
                <w:color w:val="000000" w:themeColor="text1"/>
                <w:sz w:val="16"/>
                <w:szCs w:val="16"/>
                <w:highlight w:val="yellow"/>
              </w:rPr>
            </w:pPr>
            <w:r w:rsidRPr="0070256C">
              <w:rPr>
                <w:color w:val="000000" w:themeColor="text1"/>
                <w:sz w:val="16"/>
                <w:szCs w:val="16"/>
              </w:rPr>
              <w:t>Zvyšující se podíl úvěrů v cizích měnách se projevil při posílení koruny.</w:t>
            </w:r>
          </w:p>
        </w:tc>
        <w:tc>
          <w:tcPr>
            <w:tcW w:w="144" w:type="pct"/>
          </w:tcPr>
          <w:p w:rsidR="00D85D55" w:rsidRPr="00977D8C" w:rsidRDefault="00D85D55" w:rsidP="00333134">
            <w:pPr>
              <w:pStyle w:val="Textpoznpodarou"/>
              <w:jc w:val="both"/>
              <w:rPr>
                <w:sz w:val="16"/>
                <w:szCs w:val="16"/>
                <w:highlight w:val="yellow"/>
              </w:rPr>
            </w:pPr>
          </w:p>
        </w:tc>
        <w:tc>
          <w:tcPr>
            <w:tcW w:w="3840" w:type="pct"/>
            <w:gridSpan w:val="2"/>
          </w:tcPr>
          <w:p w:rsidR="00D85D55" w:rsidRDefault="00D85D55" w:rsidP="00333134">
            <w:pPr>
              <w:pStyle w:val="Textpoznpodarou"/>
              <w:jc w:val="both"/>
            </w:pPr>
            <w:r>
              <w:t xml:space="preserve">Největší podíl úvěrů z pohledu odvětví měly </w:t>
            </w:r>
            <w:proofErr w:type="gramStart"/>
            <w:r>
              <w:t>ke</w:t>
            </w:r>
            <w:proofErr w:type="gramEnd"/>
            <w:r>
              <w:t xml:space="preserve"> 30.</w:t>
            </w:r>
            <w:r w:rsidR="00C34AEA">
              <w:t> </w:t>
            </w:r>
            <w:r>
              <w:t>9. činnosti v oblasti nemovitostí. Od dubna do července však pokles</w:t>
            </w:r>
            <w:r w:rsidR="00B30737">
              <w:t>l objem úvěrů v tomto odvětví o</w:t>
            </w:r>
            <w:r w:rsidR="00B30737" w:rsidRPr="00F66CA8">
              <w:rPr>
                <w:rFonts w:cs="Arial"/>
                <w:spacing w:val="-2"/>
              </w:rPr>
              <w:t> </w:t>
            </w:r>
            <w:r>
              <w:t>16,7</w:t>
            </w:r>
            <w:r w:rsidR="006D164C">
              <w:t> mld.</w:t>
            </w:r>
            <w:r>
              <w:t xml:space="preserve"> korun, což se projevilo i na zpomalení meziročního tempa nárůstu. Patrně jde však o</w:t>
            </w:r>
            <w:r w:rsidR="00C34AEA">
              <w:t> </w:t>
            </w:r>
            <w:r>
              <w:t>vliv posíleného kurzu. Zlo</w:t>
            </w:r>
            <w:r w:rsidR="00B30737">
              <w:t>m se projevil i</w:t>
            </w:r>
            <w:r w:rsidR="00C34AEA">
              <w:t> </w:t>
            </w:r>
            <w:r w:rsidR="00B30737">
              <w:t>u</w:t>
            </w:r>
            <w:r w:rsidR="00C34AEA">
              <w:t> </w:t>
            </w:r>
            <w:r w:rsidR="00B30737">
              <w:t>peněžnictví a</w:t>
            </w:r>
            <w:r w:rsidR="00B30737" w:rsidRPr="00F66CA8">
              <w:rPr>
                <w:rFonts w:cs="Arial"/>
                <w:spacing w:val="-2"/>
              </w:rPr>
              <w:t> </w:t>
            </w:r>
            <w:r>
              <w:t>pojišťovnictví, kde se objem úvěrů mezi prosincem 2016 a dubnem skokově zvýšil o 44,2</w:t>
            </w:r>
            <w:r w:rsidR="006D164C">
              <w:t> mld.</w:t>
            </w:r>
            <w:r>
              <w:t xml:space="preserve"> korun (17,5% nárůst). Po slabém roku 2016 se oživila aktivita ve zpracovatelském průmyslu, silnou meziroční dynamiku mají i</w:t>
            </w:r>
            <w:r w:rsidR="00C34AEA">
              <w:t> </w:t>
            </w:r>
            <w:r>
              <w:t>úvěry v odvětví doprav</w:t>
            </w:r>
            <w:r w:rsidR="00163A99">
              <w:t>a</w:t>
            </w:r>
            <w:r>
              <w:t xml:space="preserve"> a</w:t>
            </w:r>
            <w:r w:rsidR="00C34AEA">
              <w:t> </w:t>
            </w:r>
            <w:r>
              <w:t>skladování. Naopak během ledna až září klesal objem úvěrů v informačních a komunikačních činnostech.</w:t>
            </w:r>
          </w:p>
          <w:p w:rsidR="00D85D55" w:rsidRDefault="00D85D55" w:rsidP="00333134">
            <w:pPr>
              <w:pStyle w:val="Textpoznpodarou"/>
              <w:jc w:val="both"/>
            </w:pPr>
          </w:p>
          <w:p w:rsidR="00D85D55" w:rsidRPr="0072413F" w:rsidRDefault="00D85D55" w:rsidP="00333134">
            <w:pPr>
              <w:pStyle w:val="Textpoznpodarou"/>
              <w:jc w:val="both"/>
            </w:pPr>
          </w:p>
        </w:tc>
      </w:tr>
    </w:tbl>
    <w:p w:rsidR="00BF7F08" w:rsidRPr="0011365A" w:rsidRDefault="00F853A5" w:rsidP="00DD0726">
      <w:pPr>
        <w:pStyle w:val="Nadpis1"/>
        <w:numPr>
          <w:ilvl w:val="0"/>
          <w:numId w:val="12"/>
        </w:numPr>
        <w:ind w:left="709"/>
        <w:jc w:val="both"/>
      </w:pPr>
      <w:bookmarkStart w:id="18" w:name="_Toc501441383"/>
      <w:r w:rsidRPr="00A74192">
        <w:lastRenderedPageBreak/>
        <w:t>Státní rozpočet</w:t>
      </w:r>
      <w:bookmarkEnd w:id="18"/>
    </w:p>
    <w:tbl>
      <w:tblPr>
        <w:tblW w:w="4995" w:type="pct"/>
        <w:tblInd w:w="108" w:type="dxa"/>
        <w:tblLayout w:type="fixed"/>
        <w:tblLook w:val="00A0"/>
      </w:tblPr>
      <w:tblGrid>
        <w:gridCol w:w="2000"/>
        <w:gridCol w:w="284"/>
        <w:gridCol w:w="7560"/>
      </w:tblGrid>
      <w:tr w:rsidR="00490B20" w:rsidRPr="00F06A1D" w:rsidTr="00876058">
        <w:trPr>
          <w:trHeight w:val="145"/>
        </w:trPr>
        <w:tc>
          <w:tcPr>
            <w:tcW w:w="1016" w:type="pct"/>
            <w:shd w:val="clear" w:color="auto" w:fill="auto"/>
          </w:tcPr>
          <w:p w:rsidR="00490B20" w:rsidRPr="00D607C1" w:rsidRDefault="00490B20" w:rsidP="00876058">
            <w:pPr>
              <w:spacing w:line="240" w:lineRule="auto"/>
              <w:rPr>
                <w:rFonts w:cs="Arial"/>
                <w:color w:val="0D0D0D" w:themeColor="text1" w:themeTint="F2"/>
                <w:spacing w:val="-4"/>
                <w:sz w:val="16"/>
                <w:szCs w:val="16"/>
              </w:rPr>
            </w:pPr>
            <w:r>
              <w:rPr>
                <w:rFonts w:cs="Arial"/>
                <w:color w:val="0D0D0D" w:themeColor="text1" w:themeTint="F2"/>
                <w:spacing w:val="-4"/>
                <w:sz w:val="16"/>
                <w:szCs w:val="16"/>
              </w:rPr>
              <w:t>Přebytek SR byl za tři čtvrtletí meziročně výrazně slabší, přesto šlo o druhý nejlepší výsledek za posledních deset let.</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DF5BC7" w:rsidRDefault="00490B20" w:rsidP="00876058">
            <w:pPr>
              <w:pStyle w:val="Textpoznpodarou"/>
              <w:jc w:val="both"/>
              <w:rPr>
                <w:rFonts w:cs="Arial"/>
                <w:color w:val="0D0D0D" w:themeColor="text1" w:themeTint="F2"/>
                <w:spacing w:val="-4"/>
              </w:rPr>
            </w:pPr>
            <w:r w:rsidRPr="00DF5BC7">
              <w:rPr>
                <w:rFonts w:cs="Arial"/>
                <w:color w:val="0D0D0D" w:themeColor="text1" w:themeTint="F2"/>
                <w:spacing w:val="-4"/>
              </w:rPr>
              <w:t>Za tři letošní čtvrtletí dosáhl státní rozpočet (SR)</w:t>
            </w:r>
            <w:r w:rsidRPr="00DF5BC7">
              <w:rPr>
                <w:rStyle w:val="Znakapoznpodarou"/>
                <w:color w:val="0D0D0D" w:themeColor="text1" w:themeTint="F2"/>
                <w:spacing w:val="-4"/>
              </w:rPr>
              <w:footnoteReference w:id="34"/>
            </w:r>
            <w:r w:rsidRPr="00DF5BC7">
              <w:rPr>
                <w:rFonts w:cs="Arial"/>
                <w:color w:val="0D0D0D" w:themeColor="text1" w:themeTint="F2"/>
                <w:spacing w:val="-4"/>
              </w:rPr>
              <w:t xml:space="preserve"> přebytku 17,4</w:t>
            </w:r>
            <w:r w:rsidR="006D164C">
              <w:rPr>
                <w:rFonts w:cs="Arial"/>
                <w:color w:val="0D0D0D" w:themeColor="text1" w:themeTint="F2"/>
                <w:spacing w:val="-4"/>
              </w:rPr>
              <w:t> mld.</w:t>
            </w:r>
            <w:r w:rsidRPr="00DF5BC7">
              <w:rPr>
                <w:rFonts w:cs="Arial"/>
                <w:color w:val="0D0D0D" w:themeColor="text1" w:themeTint="F2"/>
                <w:spacing w:val="-4"/>
              </w:rPr>
              <w:t xml:space="preserve"> korun. Přestože výše kladného salda byla </w:t>
            </w:r>
            <w:r w:rsidR="00D64583">
              <w:rPr>
                <w:rFonts w:cs="Arial"/>
                <w:color w:val="0D0D0D" w:themeColor="text1" w:themeTint="F2"/>
                <w:spacing w:val="-4"/>
              </w:rPr>
              <w:t>o</w:t>
            </w:r>
            <w:r w:rsidRPr="00DF5BC7">
              <w:rPr>
                <w:rFonts w:cs="Arial"/>
                <w:color w:val="0D0D0D" w:themeColor="text1" w:themeTint="F2"/>
                <w:spacing w:val="-4"/>
              </w:rPr>
              <w:t>proti stejnému období loňského roku pouze pětinová, šlo zároveň o druhý nejpříznivější výsledek za posledních deset let. Ke kladnému saldu přispěl letos především vývoj ve 3</w:t>
            </w:r>
            <w:r w:rsidR="005723B7">
              <w:rPr>
                <w:rFonts w:cs="Arial"/>
                <w:color w:val="0D0D0D" w:themeColor="text1" w:themeTint="F2"/>
                <w:spacing w:val="-4"/>
              </w:rPr>
              <w:t>. čtvrtletí</w:t>
            </w:r>
            <w:r w:rsidRPr="00DF5BC7">
              <w:rPr>
                <w:rFonts w:cs="Arial"/>
                <w:color w:val="0D0D0D" w:themeColor="text1" w:themeTint="F2"/>
                <w:spacing w:val="-4"/>
              </w:rPr>
              <w:t>, stát však hospodařil s</w:t>
            </w:r>
            <w:r>
              <w:rPr>
                <w:rFonts w:cs="Arial"/>
                <w:color w:val="0D0D0D" w:themeColor="text1" w:themeTint="F2"/>
                <w:spacing w:val="-4"/>
              </w:rPr>
              <w:t xml:space="preserve"> </w:t>
            </w:r>
            <w:r w:rsidRPr="00DF5BC7">
              <w:rPr>
                <w:rFonts w:cs="Arial"/>
                <w:color w:val="0D0D0D" w:themeColor="text1" w:themeTint="F2"/>
                <w:spacing w:val="-4"/>
              </w:rPr>
              <w:t>mírným přebytkem i v první čtvrtině roku. Výši salda po celý rok podstatně ovlivňoval sílící hospodářský růst, jakož i pomalý náběh čerpání evropských fondů. Saldo</w:t>
            </w:r>
            <w:r w:rsidR="00CF58ED">
              <w:rPr>
                <w:rFonts w:cs="Arial"/>
                <w:color w:val="0D0D0D" w:themeColor="text1" w:themeTint="F2"/>
                <w:spacing w:val="-4"/>
              </w:rPr>
              <w:t> </w:t>
            </w:r>
            <w:r w:rsidRPr="00DF5BC7">
              <w:rPr>
                <w:rFonts w:cs="Arial"/>
                <w:color w:val="0D0D0D" w:themeColor="text1" w:themeTint="F2"/>
                <w:spacing w:val="-4"/>
              </w:rPr>
              <w:t>SR</w:t>
            </w:r>
            <w:r>
              <w:rPr>
                <w:rFonts w:cs="Arial"/>
                <w:color w:val="0D0D0D" w:themeColor="text1" w:themeTint="F2"/>
                <w:spacing w:val="-4"/>
              </w:rPr>
              <w:t>,</w:t>
            </w:r>
            <w:r w:rsidRPr="00DF5BC7">
              <w:rPr>
                <w:rFonts w:cs="Arial"/>
                <w:color w:val="0D0D0D" w:themeColor="text1" w:themeTint="F2"/>
                <w:spacing w:val="-4"/>
              </w:rPr>
              <w:t xml:space="preserve"> tvořící klíčovou složku deficitu či přebytku </w:t>
            </w:r>
            <w:r>
              <w:rPr>
                <w:rFonts w:cs="Arial"/>
                <w:color w:val="0D0D0D" w:themeColor="text1" w:themeTint="F2"/>
                <w:spacing w:val="-4"/>
              </w:rPr>
              <w:t xml:space="preserve">hospodaření </w:t>
            </w:r>
            <w:r w:rsidRPr="00DF5BC7">
              <w:rPr>
                <w:rFonts w:cs="Arial"/>
                <w:color w:val="0D0D0D" w:themeColor="text1" w:themeTint="F2"/>
                <w:spacing w:val="-4"/>
              </w:rPr>
              <w:t>sektoru vládních institucí</w:t>
            </w:r>
            <w:r>
              <w:rPr>
                <w:rFonts w:cs="Arial"/>
                <w:color w:val="0D0D0D" w:themeColor="text1" w:themeTint="F2"/>
                <w:spacing w:val="-4"/>
              </w:rPr>
              <w:t>,</w:t>
            </w:r>
            <w:r w:rsidRPr="00DF5BC7">
              <w:rPr>
                <w:rFonts w:cs="Arial"/>
                <w:color w:val="0D0D0D" w:themeColor="text1" w:themeTint="F2"/>
                <w:spacing w:val="-4"/>
              </w:rPr>
              <w:t xml:space="preserve"> činilo za tři čtvrtletí ve vztahu k</w:t>
            </w:r>
            <w:r w:rsidRPr="00DF5BC7">
              <w:rPr>
                <w:color w:val="0D0D0D" w:themeColor="text1" w:themeTint="F2"/>
                <w:spacing w:val="-4"/>
              </w:rPr>
              <w:t> </w:t>
            </w:r>
            <w:r w:rsidRPr="00DF5BC7">
              <w:rPr>
                <w:rFonts w:cs="Arial"/>
                <w:color w:val="000000" w:themeColor="text1"/>
                <w:spacing w:val="-4"/>
              </w:rPr>
              <w:t>nominálnímu HDP +0,5</w:t>
            </w:r>
            <w:r w:rsidR="005723B7">
              <w:rPr>
                <w:rFonts w:cs="Arial"/>
                <w:color w:val="000000" w:themeColor="text1"/>
                <w:spacing w:val="-4"/>
              </w:rPr>
              <w:t> %</w:t>
            </w:r>
            <w:r w:rsidRPr="00DF5BC7">
              <w:rPr>
                <w:rFonts w:cs="Arial"/>
                <w:color w:val="000000" w:themeColor="text1"/>
                <w:spacing w:val="-4"/>
              </w:rPr>
              <w:t xml:space="preserve"> (o rok dříve +2,3</w:t>
            </w:r>
            <w:r w:rsidR="005723B7">
              <w:rPr>
                <w:rFonts w:cs="Arial"/>
                <w:color w:val="000000" w:themeColor="text1"/>
                <w:spacing w:val="-4"/>
              </w:rPr>
              <w:t> %</w:t>
            </w:r>
            <w:r w:rsidRPr="00DF5BC7">
              <w:rPr>
                <w:rFonts w:cs="Arial"/>
                <w:color w:val="000000" w:themeColor="text1"/>
                <w:spacing w:val="-4"/>
              </w:rPr>
              <w:t>).</w:t>
            </w:r>
          </w:p>
          <w:p w:rsidR="00490B20" w:rsidRPr="001633B4" w:rsidRDefault="00490B20" w:rsidP="00876058">
            <w:pPr>
              <w:pStyle w:val="Textpoznpodarou"/>
              <w:jc w:val="both"/>
              <w:rPr>
                <w:rFonts w:cs="Arial"/>
                <w:color w:val="0D0D0D" w:themeColor="text1" w:themeTint="F2"/>
                <w:spacing w:val="-3"/>
                <w:sz w:val="15"/>
                <w:szCs w:val="15"/>
              </w:rPr>
            </w:pPr>
          </w:p>
        </w:tc>
      </w:tr>
      <w:tr w:rsidR="00490B20" w:rsidRPr="0094422D" w:rsidTr="00876058">
        <w:trPr>
          <w:trHeight w:val="145"/>
        </w:trPr>
        <w:tc>
          <w:tcPr>
            <w:tcW w:w="1016" w:type="pct"/>
            <w:shd w:val="clear" w:color="auto" w:fill="auto"/>
          </w:tcPr>
          <w:p w:rsidR="00490B20" w:rsidRDefault="00490B20" w:rsidP="00876058">
            <w:pPr>
              <w:spacing w:line="240" w:lineRule="auto"/>
              <w:rPr>
                <w:rFonts w:cs="Arial"/>
                <w:color w:val="0D0D0D" w:themeColor="text1" w:themeTint="F2"/>
                <w:spacing w:val="-4"/>
                <w:sz w:val="16"/>
                <w:szCs w:val="16"/>
              </w:rPr>
            </w:pPr>
            <w:r w:rsidRPr="0053582D">
              <w:rPr>
                <w:rFonts w:cs="Arial"/>
                <w:color w:val="0D0D0D" w:themeColor="text1" w:themeTint="F2"/>
                <w:spacing w:val="-4"/>
                <w:sz w:val="16"/>
                <w:szCs w:val="16"/>
              </w:rPr>
              <w:t>Výpadek příjmů</w:t>
            </w:r>
            <w:r>
              <w:rPr>
                <w:rFonts w:cs="Arial"/>
                <w:color w:val="0D0D0D" w:themeColor="text1" w:themeTint="F2"/>
                <w:spacing w:val="-4"/>
                <w:sz w:val="16"/>
                <w:szCs w:val="16"/>
              </w:rPr>
              <w:t xml:space="preserve"> z EU vázaných na nové programové období</w:t>
            </w:r>
            <w:r w:rsidRPr="0053582D">
              <w:rPr>
                <w:rFonts w:cs="Arial"/>
                <w:color w:val="0D0D0D" w:themeColor="text1" w:themeTint="F2"/>
                <w:spacing w:val="-4"/>
                <w:sz w:val="16"/>
                <w:szCs w:val="16"/>
              </w:rPr>
              <w:t xml:space="preserve"> byl vlivem nízkého</w:t>
            </w:r>
            <w:r>
              <w:rPr>
                <w:rFonts w:cs="Arial"/>
                <w:color w:val="0D0D0D" w:themeColor="text1" w:themeTint="F2"/>
                <w:spacing w:val="-4"/>
                <w:sz w:val="16"/>
                <w:szCs w:val="16"/>
              </w:rPr>
              <w:t xml:space="preserve"> čerpání v loňském i letošním roce hlubší než rozpočtová očekávání.</w:t>
            </w:r>
          </w:p>
          <w:p w:rsidR="00490B20" w:rsidRPr="0053582D" w:rsidRDefault="00490B20" w:rsidP="00876058">
            <w:pPr>
              <w:spacing w:line="240" w:lineRule="auto"/>
              <w:rPr>
                <w:rFonts w:cs="Arial"/>
                <w:color w:val="0D0D0D" w:themeColor="text1" w:themeTint="F2"/>
                <w:spacing w:val="-2"/>
                <w:sz w:val="16"/>
                <w:szCs w:val="16"/>
              </w:rPr>
            </w:pP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spacing w:val="-4"/>
              </w:rPr>
            </w:pPr>
            <w:r w:rsidRPr="00986E18">
              <w:rPr>
                <w:rFonts w:cs="Arial"/>
                <w:color w:val="000000" w:themeColor="text1"/>
                <w:spacing w:val="-4"/>
              </w:rPr>
              <w:t>Celkové příjmy SR se za tři čtvrtletí meziročně snížily o</w:t>
            </w:r>
            <w:r w:rsidR="00CF58ED">
              <w:rPr>
                <w:rFonts w:cs="Arial"/>
                <w:color w:val="000000" w:themeColor="text1"/>
                <w:spacing w:val="-4"/>
              </w:rPr>
              <w:t> </w:t>
            </w:r>
            <w:r w:rsidRPr="00986E18">
              <w:rPr>
                <w:rFonts w:cs="Arial"/>
                <w:color w:val="000000" w:themeColor="text1"/>
                <w:spacing w:val="-4"/>
              </w:rPr>
              <w:t>2,6</w:t>
            </w:r>
            <w:r w:rsidR="005723B7">
              <w:rPr>
                <w:rFonts w:cs="Arial"/>
                <w:color w:val="000000" w:themeColor="text1"/>
                <w:spacing w:val="-4"/>
              </w:rPr>
              <w:t> %</w:t>
            </w:r>
            <w:r w:rsidRPr="00986E18">
              <w:rPr>
                <w:rFonts w:cs="Arial"/>
                <w:color w:val="000000" w:themeColor="text1"/>
                <w:spacing w:val="-4"/>
              </w:rPr>
              <w:t>, neboť svižný růst daňových příjmů vč.</w:t>
            </w:r>
            <w:r w:rsidR="00CF58ED">
              <w:rPr>
                <w:rFonts w:cs="Arial"/>
                <w:color w:val="000000" w:themeColor="text1"/>
                <w:spacing w:val="-4"/>
              </w:rPr>
              <w:t> </w:t>
            </w:r>
            <w:r w:rsidRPr="00986E18">
              <w:rPr>
                <w:rFonts w:cs="Arial"/>
                <w:color w:val="000000" w:themeColor="text1"/>
                <w:spacing w:val="-4"/>
              </w:rPr>
              <w:t xml:space="preserve">pojistného </w:t>
            </w:r>
            <w:r>
              <w:rPr>
                <w:rFonts w:cs="Arial"/>
                <w:color w:val="000000" w:themeColor="text1"/>
                <w:spacing w:val="-4"/>
              </w:rPr>
              <w:t>(+56</w:t>
            </w:r>
            <w:r w:rsidR="006D164C">
              <w:rPr>
                <w:rFonts w:cs="Arial"/>
                <w:color w:val="000000" w:themeColor="text1"/>
                <w:spacing w:val="-4"/>
              </w:rPr>
              <w:t> mld.</w:t>
            </w:r>
            <w:r w:rsidRPr="00986E18">
              <w:rPr>
                <w:rFonts w:cs="Arial"/>
                <w:color w:val="000000" w:themeColor="text1"/>
                <w:spacing w:val="-4"/>
              </w:rPr>
              <w:t xml:space="preserve"> korun) nestačil plně kompenzovat </w:t>
            </w:r>
            <w:r>
              <w:rPr>
                <w:rFonts w:cs="Arial"/>
                <w:color w:val="000000" w:themeColor="text1"/>
                <w:spacing w:val="-4"/>
              </w:rPr>
              <w:t>„</w:t>
            </w:r>
            <w:r w:rsidRPr="00986E18">
              <w:rPr>
                <w:rFonts w:cs="Arial"/>
                <w:color w:val="000000" w:themeColor="text1"/>
                <w:spacing w:val="-4"/>
              </w:rPr>
              <w:t>výpadek</w:t>
            </w:r>
            <w:r>
              <w:rPr>
                <w:rFonts w:cs="Arial"/>
                <w:color w:val="000000" w:themeColor="text1"/>
                <w:spacing w:val="-4"/>
              </w:rPr>
              <w:t>“</w:t>
            </w:r>
            <w:r w:rsidRPr="00986E18">
              <w:rPr>
                <w:rFonts w:cs="Arial"/>
                <w:color w:val="000000" w:themeColor="text1"/>
                <w:spacing w:val="-4"/>
              </w:rPr>
              <w:t xml:space="preserve"> prostředků přijatých od</w:t>
            </w:r>
            <w:r w:rsidR="00CF58ED">
              <w:rPr>
                <w:rFonts w:cs="Arial"/>
                <w:color w:val="000000" w:themeColor="text1"/>
                <w:spacing w:val="-4"/>
              </w:rPr>
              <w:t> </w:t>
            </w:r>
            <w:r w:rsidRPr="00986E18">
              <w:rPr>
                <w:rFonts w:cs="Arial"/>
                <w:color w:val="000000" w:themeColor="text1"/>
                <w:spacing w:val="-4"/>
              </w:rPr>
              <w:t xml:space="preserve">EU </w:t>
            </w:r>
            <w:r>
              <w:rPr>
                <w:rFonts w:cs="Arial"/>
                <w:color w:val="000000" w:themeColor="text1"/>
                <w:spacing w:val="-4"/>
              </w:rPr>
              <w:t>(</w:t>
            </w:r>
            <w:r w:rsidRPr="00986E18">
              <w:rPr>
                <w:rFonts w:cs="Arial"/>
                <w:color w:val="000000" w:themeColor="text1"/>
                <w:spacing w:val="-4"/>
              </w:rPr>
              <w:t>o</w:t>
            </w:r>
            <w:r w:rsidR="00CF58ED">
              <w:rPr>
                <w:rFonts w:cs="Arial"/>
                <w:color w:val="000000" w:themeColor="text1"/>
                <w:spacing w:val="-4"/>
              </w:rPr>
              <w:t> </w:t>
            </w:r>
            <w:r w:rsidRPr="00986E18">
              <w:rPr>
                <w:rFonts w:cs="Arial"/>
                <w:color w:val="000000" w:themeColor="text1"/>
                <w:spacing w:val="-4"/>
              </w:rPr>
              <w:t>83,6</w:t>
            </w:r>
            <w:r w:rsidR="006D164C">
              <w:rPr>
                <w:rFonts w:cs="Arial"/>
                <w:color w:val="000000" w:themeColor="text1"/>
                <w:spacing w:val="-4"/>
              </w:rPr>
              <w:t> mld.</w:t>
            </w:r>
            <w:r w:rsidRPr="00986E18">
              <w:rPr>
                <w:rFonts w:cs="Arial"/>
                <w:color w:val="000000" w:themeColor="text1"/>
                <w:spacing w:val="-4"/>
              </w:rPr>
              <w:t xml:space="preserve"> korun, na 61,5</w:t>
            </w:r>
            <w:r w:rsidR="006D164C">
              <w:rPr>
                <w:rFonts w:cs="Arial"/>
                <w:color w:val="000000" w:themeColor="text1"/>
                <w:spacing w:val="-4"/>
              </w:rPr>
              <w:t> mld.</w:t>
            </w:r>
            <w:r w:rsidRPr="00986E18">
              <w:rPr>
                <w:rFonts w:cs="Arial"/>
                <w:color w:val="000000" w:themeColor="text1"/>
                <w:spacing w:val="-4"/>
              </w:rPr>
              <w:t>).</w:t>
            </w:r>
            <w:r w:rsidRPr="00986E18">
              <w:rPr>
                <w:rFonts w:cs="Arial"/>
                <w:color w:val="0D0D0D" w:themeColor="text1" w:themeTint="F2"/>
                <w:spacing w:val="-4"/>
              </w:rPr>
              <w:t xml:space="preserve"> Tento propad lze vysvětlit </w:t>
            </w:r>
            <w:r>
              <w:rPr>
                <w:rFonts w:cs="Arial"/>
                <w:color w:val="0D0D0D" w:themeColor="text1" w:themeTint="F2"/>
                <w:spacing w:val="-4"/>
              </w:rPr>
              <w:t xml:space="preserve">jednak </w:t>
            </w:r>
            <w:r w:rsidRPr="00986E18">
              <w:rPr>
                <w:rFonts w:cs="Arial"/>
                <w:color w:val="0D0D0D" w:themeColor="text1" w:themeTint="F2"/>
                <w:spacing w:val="-4"/>
              </w:rPr>
              <w:t>tím, že drtivá většina loňských příjmů z EU byla ještě váz</w:t>
            </w:r>
            <w:r w:rsidR="00CF58ED">
              <w:rPr>
                <w:rFonts w:cs="Arial"/>
                <w:color w:val="0D0D0D" w:themeColor="text1" w:themeTint="F2"/>
                <w:spacing w:val="-4"/>
              </w:rPr>
              <w:t>ána</w:t>
            </w:r>
            <w:r w:rsidRPr="00986E18">
              <w:rPr>
                <w:rFonts w:cs="Arial"/>
                <w:color w:val="0D0D0D" w:themeColor="text1" w:themeTint="F2"/>
                <w:spacing w:val="-4"/>
              </w:rPr>
              <w:t xml:space="preserve"> na </w:t>
            </w:r>
            <w:r w:rsidRPr="00986E18">
              <w:rPr>
                <w:spacing w:val="-4"/>
              </w:rPr>
              <w:t>programové období 2007 až 2013</w:t>
            </w:r>
            <w:r>
              <w:rPr>
                <w:spacing w:val="-4"/>
              </w:rPr>
              <w:t>,</w:t>
            </w:r>
            <w:r w:rsidRPr="00986E18">
              <w:rPr>
                <w:spacing w:val="-4"/>
              </w:rPr>
              <w:t xml:space="preserve"> a </w:t>
            </w:r>
            <w:r>
              <w:rPr>
                <w:spacing w:val="-4"/>
              </w:rPr>
              <w:t xml:space="preserve">rovněž </w:t>
            </w:r>
            <w:r w:rsidRPr="00986E18">
              <w:rPr>
                <w:spacing w:val="-4"/>
              </w:rPr>
              <w:t>pomalým loňským i</w:t>
            </w:r>
            <w:r w:rsidR="00DC53D9">
              <w:rPr>
                <w:rFonts w:cs="Arial"/>
                <w:color w:val="0D0D0D" w:themeColor="text1" w:themeTint="F2"/>
                <w:spacing w:val="-4"/>
              </w:rPr>
              <w:t xml:space="preserve"> </w:t>
            </w:r>
            <w:r w:rsidRPr="00986E18">
              <w:rPr>
                <w:spacing w:val="-4"/>
              </w:rPr>
              <w:t>letošním náběhem čerpání prostředků v novém programovém období. Pří</w:t>
            </w:r>
            <w:r>
              <w:rPr>
                <w:spacing w:val="-4"/>
              </w:rPr>
              <w:t xml:space="preserve">znivý ekonomický vývoj se </w:t>
            </w:r>
            <w:r w:rsidRPr="00986E18">
              <w:rPr>
                <w:spacing w:val="-4"/>
              </w:rPr>
              <w:t>odrážel v </w:t>
            </w:r>
            <w:proofErr w:type="gramStart"/>
            <w:r w:rsidRPr="00986E18">
              <w:rPr>
                <w:spacing w:val="-4"/>
              </w:rPr>
              <w:t>7%</w:t>
            </w:r>
            <w:proofErr w:type="gramEnd"/>
            <w:r w:rsidRPr="00986E18">
              <w:rPr>
                <w:spacing w:val="-4"/>
              </w:rPr>
              <w:t xml:space="preserve"> růstu celostátního výběru všech daňových </w:t>
            </w:r>
            <w:r>
              <w:rPr>
                <w:spacing w:val="-4"/>
              </w:rPr>
              <w:t>příjmů. V</w:t>
            </w:r>
            <w:r w:rsidRPr="00986E18">
              <w:rPr>
                <w:spacing w:val="-4"/>
              </w:rPr>
              <w:t xml:space="preserve">e stejném období loňského roku však dosahovalo </w:t>
            </w:r>
            <w:r>
              <w:rPr>
                <w:spacing w:val="-4"/>
              </w:rPr>
              <w:t xml:space="preserve">jeho </w:t>
            </w:r>
            <w:r w:rsidRPr="00986E18">
              <w:rPr>
                <w:spacing w:val="-4"/>
              </w:rPr>
              <w:t>meziroční tempo téměř 9</w:t>
            </w:r>
            <w:r w:rsidR="005723B7">
              <w:rPr>
                <w:spacing w:val="-4"/>
              </w:rPr>
              <w:t> %</w:t>
            </w:r>
            <w:r w:rsidRPr="00986E18">
              <w:rPr>
                <w:spacing w:val="-4"/>
              </w:rPr>
              <w:t>.</w:t>
            </w:r>
            <w:r>
              <w:rPr>
                <w:spacing w:val="-4"/>
              </w:rPr>
              <w:t xml:space="preserve"> Za mírným zpomalením</w:t>
            </w:r>
            <w:r w:rsidRPr="00986E18">
              <w:rPr>
                <w:spacing w:val="-4"/>
              </w:rPr>
              <w:t xml:space="preserve"> stála letos slábnoucí dynamika výběru </w:t>
            </w:r>
            <w:proofErr w:type="spellStart"/>
            <w:r w:rsidRPr="00986E18">
              <w:rPr>
                <w:spacing w:val="-4"/>
              </w:rPr>
              <w:t>korporátní</w:t>
            </w:r>
            <w:proofErr w:type="spellEnd"/>
            <w:r w:rsidRPr="00986E18">
              <w:rPr>
                <w:spacing w:val="-4"/>
              </w:rPr>
              <w:t xml:space="preserve"> daně, a to především během letního období. </w:t>
            </w:r>
          </w:p>
          <w:p w:rsidR="00490B20" w:rsidRPr="00986E18" w:rsidRDefault="00490B20" w:rsidP="00876058">
            <w:pPr>
              <w:pStyle w:val="Textpoznpodarou"/>
              <w:jc w:val="both"/>
              <w:rPr>
                <w:rFonts w:cs="Arial"/>
                <w:color w:val="000000" w:themeColor="text1"/>
                <w:spacing w:val="-4"/>
                <w:sz w:val="15"/>
                <w:szCs w:val="15"/>
              </w:rPr>
            </w:pPr>
          </w:p>
        </w:tc>
      </w:tr>
      <w:tr w:rsidR="00490B20" w:rsidRPr="00F06A1D" w:rsidTr="00876058">
        <w:trPr>
          <w:trHeight w:val="145"/>
        </w:trPr>
        <w:tc>
          <w:tcPr>
            <w:tcW w:w="1016" w:type="pct"/>
            <w:shd w:val="clear" w:color="auto" w:fill="auto"/>
          </w:tcPr>
          <w:p w:rsidR="00490B20" w:rsidRDefault="00490B20" w:rsidP="00876058">
            <w:pPr>
              <w:spacing w:line="240" w:lineRule="auto"/>
              <w:rPr>
                <w:rFonts w:cs="Arial"/>
                <w:color w:val="0D0D0D" w:themeColor="text1" w:themeTint="F2"/>
                <w:spacing w:val="-4"/>
                <w:sz w:val="16"/>
                <w:szCs w:val="16"/>
              </w:rPr>
            </w:pPr>
            <w:r>
              <w:rPr>
                <w:rFonts w:cs="Arial"/>
                <w:color w:val="0D0D0D" w:themeColor="text1" w:themeTint="F2"/>
                <w:spacing w:val="-4"/>
                <w:sz w:val="16"/>
                <w:szCs w:val="16"/>
              </w:rPr>
              <w:t>Tempo výběru DPH se ve srovnání s loňským rokem výrazně zvýšilo a rozhodující měrou přispělo k navýšení všech daňových příjmů SR.</w:t>
            </w:r>
          </w:p>
          <w:p w:rsidR="00490B20" w:rsidRPr="00D607C1" w:rsidRDefault="00490B20" w:rsidP="00876058">
            <w:pPr>
              <w:spacing w:line="240" w:lineRule="auto"/>
              <w:rPr>
                <w:rFonts w:cs="Arial"/>
                <w:color w:val="0D0D0D" w:themeColor="text1" w:themeTint="F2"/>
                <w:spacing w:val="-4"/>
                <w:sz w:val="16"/>
                <w:szCs w:val="16"/>
              </w:rPr>
            </w:pPr>
            <w:r>
              <w:rPr>
                <w:rFonts w:cs="Arial"/>
                <w:color w:val="0D0D0D" w:themeColor="text1" w:themeTint="F2"/>
                <w:spacing w:val="-4"/>
                <w:sz w:val="16"/>
                <w:szCs w:val="16"/>
              </w:rPr>
              <w:t xml:space="preserve"> </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rFonts w:cs="Arial"/>
                <w:color w:val="0D0D0D" w:themeColor="text1" w:themeTint="F2"/>
                <w:spacing w:val="-4"/>
              </w:rPr>
            </w:pPr>
            <w:r w:rsidRPr="00986E18">
              <w:rPr>
                <w:rFonts w:cs="Arial"/>
                <w:color w:val="0D0D0D" w:themeColor="text1" w:themeTint="F2"/>
                <w:spacing w:val="-4"/>
              </w:rPr>
              <w:t>K růstu daňových příjmů SR přisp</w:t>
            </w:r>
            <w:r>
              <w:rPr>
                <w:rFonts w:cs="Arial"/>
                <w:color w:val="0D0D0D" w:themeColor="text1" w:themeTint="F2"/>
                <w:spacing w:val="-4"/>
              </w:rPr>
              <w:t xml:space="preserve">ěl letos (na rozdíl od </w:t>
            </w:r>
            <w:r w:rsidRPr="00986E18">
              <w:rPr>
                <w:rFonts w:cs="Arial"/>
                <w:color w:val="0D0D0D" w:themeColor="text1" w:themeTint="F2"/>
                <w:spacing w:val="-4"/>
              </w:rPr>
              <w:t>roku</w:t>
            </w:r>
            <w:r>
              <w:rPr>
                <w:rFonts w:cs="Arial"/>
                <w:color w:val="0D0D0D" w:themeColor="text1" w:themeTint="F2"/>
                <w:spacing w:val="-4"/>
              </w:rPr>
              <w:t xml:space="preserve"> 2016</w:t>
            </w:r>
            <w:r w:rsidRPr="00986E18">
              <w:rPr>
                <w:rFonts w:cs="Arial"/>
                <w:color w:val="0D0D0D" w:themeColor="text1" w:themeTint="F2"/>
                <w:spacing w:val="-4"/>
              </w:rPr>
              <w:t>) nejvíce rostoucí výběr DPH. Ten meziročně posílil o 9,7</w:t>
            </w:r>
            <w:r w:rsidR="005723B7">
              <w:rPr>
                <w:rFonts w:cs="Arial"/>
                <w:color w:val="0D0D0D" w:themeColor="text1" w:themeTint="F2"/>
                <w:spacing w:val="-4"/>
              </w:rPr>
              <w:t> %</w:t>
            </w:r>
            <w:r w:rsidRPr="00986E18">
              <w:rPr>
                <w:rStyle w:val="Znakapoznpodarou"/>
                <w:color w:val="000000" w:themeColor="text1"/>
                <w:spacing w:val="-4"/>
              </w:rPr>
              <w:footnoteReference w:id="35"/>
            </w:r>
            <w:r w:rsidRPr="00986E18">
              <w:rPr>
                <w:rFonts w:cs="Arial"/>
                <w:color w:val="0D0D0D" w:themeColor="text1" w:themeTint="F2"/>
                <w:spacing w:val="-4"/>
              </w:rPr>
              <w:t>, na úrovni všech veřejných rozpočtů pak o</w:t>
            </w:r>
            <w:r w:rsidRPr="00986E18">
              <w:rPr>
                <w:spacing w:val="-4"/>
              </w:rPr>
              <w:t> </w:t>
            </w:r>
            <w:r w:rsidRPr="00986E18">
              <w:rPr>
                <w:rFonts w:cs="Arial"/>
                <w:color w:val="0D0D0D" w:themeColor="text1" w:themeTint="F2"/>
                <w:spacing w:val="-4"/>
              </w:rPr>
              <w:t>10,6</w:t>
            </w:r>
            <w:r w:rsidR="005723B7">
              <w:rPr>
                <w:rFonts w:cs="Arial"/>
                <w:color w:val="0D0D0D" w:themeColor="text1" w:themeTint="F2"/>
                <w:spacing w:val="-4"/>
              </w:rPr>
              <w:t> %</w:t>
            </w:r>
            <w:r w:rsidRPr="00986E18">
              <w:rPr>
                <w:rFonts w:cs="Arial"/>
                <w:color w:val="0D0D0D" w:themeColor="text1" w:themeTint="F2"/>
                <w:spacing w:val="-4"/>
              </w:rPr>
              <w:t xml:space="preserve"> (o</w:t>
            </w:r>
            <w:r w:rsidR="00CF58ED">
              <w:rPr>
                <w:rFonts w:cs="Arial"/>
                <w:color w:val="0D0D0D" w:themeColor="text1" w:themeTint="F2"/>
                <w:spacing w:val="-4"/>
              </w:rPr>
              <w:t> </w:t>
            </w:r>
            <w:r w:rsidRPr="00986E18">
              <w:rPr>
                <w:rFonts w:cs="Arial"/>
                <w:color w:val="0D0D0D" w:themeColor="text1" w:themeTint="F2"/>
                <w:spacing w:val="-4"/>
              </w:rPr>
              <w:t>rok dříve o</w:t>
            </w:r>
            <w:r w:rsidR="00CF58ED">
              <w:rPr>
                <w:rFonts w:cs="Arial"/>
                <w:color w:val="0D0D0D" w:themeColor="text1" w:themeTint="F2"/>
                <w:spacing w:val="-4"/>
              </w:rPr>
              <w:t> </w:t>
            </w:r>
            <w:r w:rsidRPr="00986E18">
              <w:rPr>
                <w:rFonts w:cs="Arial"/>
                <w:color w:val="0D0D0D" w:themeColor="text1" w:themeTint="F2"/>
                <w:spacing w:val="-4"/>
              </w:rPr>
              <w:t>necelých 6</w:t>
            </w:r>
            <w:r w:rsidR="005723B7">
              <w:rPr>
                <w:rFonts w:cs="Arial"/>
                <w:color w:val="0D0D0D" w:themeColor="text1" w:themeTint="F2"/>
                <w:spacing w:val="-4"/>
              </w:rPr>
              <w:t> %</w:t>
            </w:r>
            <w:r w:rsidRPr="00986E18">
              <w:rPr>
                <w:rFonts w:cs="Arial"/>
                <w:color w:val="0D0D0D" w:themeColor="text1" w:themeTint="F2"/>
                <w:spacing w:val="-4"/>
              </w:rPr>
              <w:t>). Na zrychleném růstu se podílel především příznivý vývoj inkasa ve 2</w:t>
            </w:r>
            <w:r w:rsidR="005723B7">
              <w:rPr>
                <w:rFonts w:cs="Arial"/>
                <w:color w:val="0D0D0D" w:themeColor="text1" w:themeTint="F2"/>
                <w:spacing w:val="-4"/>
              </w:rPr>
              <w:t>. čtvrtletí</w:t>
            </w:r>
            <w:r w:rsidRPr="00986E18">
              <w:rPr>
                <w:rFonts w:cs="Arial"/>
                <w:color w:val="0D0D0D" w:themeColor="text1" w:themeTint="F2"/>
                <w:spacing w:val="-4"/>
              </w:rPr>
              <w:t xml:space="preserve">. Ve výběru DPH se primárně odrážel růst </w:t>
            </w:r>
            <w:r w:rsidRPr="00986E18">
              <w:rPr>
                <w:rFonts w:cs="Arial"/>
                <w:color w:val="000000" w:themeColor="text1"/>
                <w:spacing w:val="-4"/>
              </w:rPr>
              <w:t xml:space="preserve">výdajů na konečnou spotřebu. Ten dosáhl v nominálním vyjádření u domácností za </w:t>
            </w:r>
            <w:r>
              <w:rPr>
                <w:rFonts w:cs="Arial"/>
                <w:color w:val="000000" w:themeColor="text1"/>
                <w:spacing w:val="-4"/>
              </w:rPr>
              <w:t xml:space="preserve">první </w:t>
            </w:r>
            <w:r w:rsidRPr="00986E18">
              <w:rPr>
                <w:rFonts w:cs="Arial"/>
                <w:color w:val="000000" w:themeColor="text1"/>
                <w:spacing w:val="-4"/>
              </w:rPr>
              <w:t xml:space="preserve">tři čtvrtletí meziročně </w:t>
            </w:r>
            <w:r>
              <w:rPr>
                <w:rFonts w:cs="Arial"/>
                <w:color w:val="000000" w:themeColor="text1"/>
                <w:spacing w:val="-4"/>
              </w:rPr>
              <w:t>6,</w:t>
            </w:r>
            <w:r w:rsidRPr="00781871">
              <w:rPr>
                <w:rFonts w:cs="Arial"/>
                <w:color w:val="000000" w:themeColor="text1"/>
                <w:spacing w:val="-4"/>
              </w:rPr>
              <w:t>3</w:t>
            </w:r>
            <w:r w:rsidR="005723B7">
              <w:rPr>
                <w:rFonts w:cs="Arial"/>
                <w:color w:val="000000" w:themeColor="text1"/>
                <w:spacing w:val="-4"/>
              </w:rPr>
              <w:t> %</w:t>
            </w:r>
            <w:r w:rsidRPr="00781871">
              <w:rPr>
                <w:rFonts w:cs="Arial"/>
                <w:color w:val="000000" w:themeColor="text1"/>
                <w:spacing w:val="-4"/>
              </w:rPr>
              <w:t>, u vládních institucí 5,1</w:t>
            </w:r>
            <w:r w:rsidR="00CF58ED">
              <w:rPr>
                <w:rFonts w:cs="Arial"/>
                <w:color w:val="000000" w:themeColor="text1"/>
                <w:spacing w:val="-4"/>
              </w:rPr>
              <w:t> </w:t>
            </w:r>
            <w:r w:rsidRPr="00781871">
              <w:rPr>
                <w:rFonts w:cs="Arial"/>
                <w:color w:val="000000" w:themeColor="text1"/>
                <w:spacing w:val="-4"/>
              </w:rPr>
              <w:t>%.</w:t>
            </w:r>
            <w:r w:rsidRPr="00986E18">
              <w:rPr>
                <w:rFonts w:cs="Arial"/>
                <w:color w:val="000000" w:themeColor="text1"/>
                <w:spacing w:val="-4"/>
              </w:rPr>
              <w:t xml:space="preserve"> Skutečnost, že výběr DPH letos (na rozdíl od loňského roku) předčil </w:t>
            </w:r>
            <w:r>
              <w:rPr>
                <w:rFonts w:cs="Arial"/>
                <w:color w:val="000000" w:themeColor="text1"/>
                <w:spacing w:val="-4"/>
              </w:rPr>
              <w:t>rozpočtová očekávání, byla</w:t>
            </w:r>
            <w:r w:rsidRPr="00986E18">
              <w:rPr>
                <w:rFonts w:cs="Arial"/>
                <w:color w:val="000000" w:themeColor="text1"/>
                <w:spacing w:val="-4"/>
              </w:rPr>
              <w:t xml:space="preserve"> ovlivněna i</w:t>
            </w:r>
            <w:r w:rsidRPr="00986E18">
              <w:rPr>
                <w:spacing w:val="-4"/>
              </w:rPr>
              <w:t> </w:t>
            </w:r>
            <w:r w:rsidRPr="00986E18">
              <w:rPr>
                <w:rFonts w:cs="Arial"/>
                <w:color w:val="000000" w:themeColor="text1"/>
                <w:spacing w:val="-4"/>
              </w:rPr>
              <w:t>přesunem některých aktivit z šedé ekonomiky vlivem nedávných opatření zavedených na straně výběru daně. Řádově menší</w:t>
            </w:r>
            <w:r>
              <w:rPr>
                <w:rFonts w:cs="Arial"/>
                <w:color w:val="000000" w:themeColor="text1"/>
                <w:spacing w:val="-4"/>
              </w:rPr>
              <w:t xml:space="preserve"> (ale naopak negativní)</w:t>
            </w:r>
            <w:r w:rsidRPr="00986E18">
              <w:rPr>
                <w:rFonts w:cs="Arial"/>
                <w:color w:val="000000" w:themeColor="text1"/>
                <w:spacing w:val="-4"/>
              </w:rPr>
              <w:t xml:space="preserve"> dopad na inkaso mělo snížení sazby DPH v dílčích oblastech (stravovací služby, </w:t>
            </w:r>
            <w:r w:rsidRPr="00986E18">
              <w:rPr>
                <w:spacing w:val="-4"/>
              </w:rPr>
              <w:t>noviny a</w:t>
            </w:r>
            <w:r w:rsidRPr="00986E18">
              <w:rPr>
                <w:rFonts w:cs="Arial"/>
                <w:color w:val="000000" w:themeColor="text1"/>
                <w:spacing w:val="-4"/>
              </w:rPr>
              <w:t> </w:t>
            </w:r>
            <w:r w:rsidRPr="00986E18">
              <w:rPr>
                <w:spacing w:val="-4"/>
              </w:rPr>
              <w:t>časopisy).</w:t>
            </w:r>
          </w:p>
          <w:p w:rsidR="00490B20" w:rsidRPr="00986E18" w:rsidRDefault="00490B20" w:rsidP="00876058">
            <w:pPr>
              <w:pStyle w:val="Textpoznpodarou"/>
              <w:jc w:val="both"/>
              <w:rPr>
                <w:rFonts w:cs="Arial"/>
                <w:color w:val="0D0D0D" w:themeColor="text1" w:themeTint="F2"/>
                <w:spacing w:val="-4"/>
                <w:sz w:val="15"/>
                <w:szCs w:val="15"/>
              </w:rPr>
            </w:pPr>
          </w:p>
        </w:tc>
      </w:tr>
      <w:tr w:rsidR="00490B20" w:rsidRPr="0094422D" w:rsidTr="00876058">
        <w:trPr>
          <w:trHeight w:val="145"/>
        </w:trPr>
        <w:tc>
          <w:tcPr>
            <w:tcW w:w="1016" w:type="pct"/>
            <w:shd w:val="clear" w:color="auto" w:fill="auto"/>
          </w:tcPr>
          <w:p w:rsidR="00490B20" w:rsidRPr="00967629" w:rsidRDefault="00490B20" w:rsidP="00876058">
            <w:pPr>
              <w:spacing w:line="240" w:lineRule="auto"/>
              <w:rPr>
                <w:rFonts w:cs="Arial"/>
                <w:color w:val="0D0D0D" w:themeColor="text1" w:themeTint="F2"/>
                <w:spacing w:val="-2"/>
                <w:sz w:val="16"/>
                <w:szCs w:val="16"/>
              </w:rPr>
            </w:pPr>
            <w:r w:rsidRPr="00967629">
              <w:rPr>
                <w:rFonts w:cs="Arial"/>
                <w:bCs/>
                <w:iCs/>
                <w:color w:val="0D0D0D" w:themeColor="text1" w:themeTint="F2"/>
                <w:sz w:val="16"/>
                <w:szCs w:val="16"/>
              </w:rPr>
              <w:t>Inkaso daní z minerálních olejů během roku 2017 zrychlovalo svůj růst</w:t>
            </w:r>
            <w:r>
              <w:rPr>
                <w:rFonts w:cs="Arial"/>
                <w:bCs/>
                <w:iCs/>
                <w:color w:val="0D0D0D" w:themeColor="text1" w:themeTint="F2"/>
                <w:sz w:val="16"/>
                <w:szCs w:val="16"/>
              </w:rPr>
              <w:t xml:space="preserve"> a k vyššímu výběru všech spotřebních daní tak </w:t>
            </w:r>
            <w:r w:rsidRPr="00967629">
              <w:rPr>
                <w:rFonts w:cs="Arial"/>
                <w:bCs/>
                <w:iCs/>
                <w:color w:val="0D0D0D" w:themeColor="text1" w:themeTint="F2"/>
                <w:sz w:val="16"/>
                <w:szCs w:val="16"/>
              </w:rPr>
              <w:t>přispělo nej</w:t>
            </w:r>
            <w:r>
              <w:rPr>
                <w:rFonts w:cs="Arial"/>
                <w:bCs/>
                <w:iCs/>
                <w:color w:val="0D0D0D" w:themeColor="text1" w:themeTint="F2"/>
                <w:sz w:val="16"/>
                <w:szCs w:val="16"/>
              </w:rPr>
              <w:t>více.</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spacing w:val="-4"/>
              </w:rPr>
            </w:pPr>
            <w:r w:rsidRPr="00986E18">
              <w:rPr>
                <w:rFonts w:cs="Arial"/>
                <w:color w:val="000000" w:themeColor="text1"/>
                <w:spacing w:val="-4"/>
              </w:rPr>
              <w:t>Ze všech spotřebních daní získal SR letos meziročně o</w:t>
            </w:r>
            <w:r w:rsidR="00723581">
              <w:rPr>
                <w:rFonts w:cs="Arial"/>
                <w:color w:val="000000" w:themeColor="text1"/>
                <w:spacing w:val="-4"/>
              </w:rPr>
              <w:t> </w:t>
            </w:r>
            <w:r w:rsidRPr="00986E18">
              <w:rPr>
                <w:rFonts w:cs="Arial"/>
                <w:color w:val="000000" w:themeColor="text1"/>
                <w:spacing w:val="-4"/>
              </w:rPr>
              <w:t>3,0</w:t>
            </w:r>
            <w:r w:rsidR="005723B7">
              <w:rPr>
                <w:rFonts w:cs="Arial"/>
                <w:color w:val="000000" w:themeColor="text1"/>
                <w:spacing w:val="-4"/>
              </w:rPr>
              <w:t> %</w:t>
            </w:r>
            <w:r w:rsidRPr="00986E18">
              <w:rPr>
                <w:rFonts w:cs="Arial"/>
                <w:color w:val="000000" w:themeColor="text1"/>
                <w:spacing w:val="-4"/>
              </w:rPr>
              <w:t xml:space="preserve"> více. Podobným tempem posílilo v 1. až 3</w:t>
            </w:r>
            <w:r w:rsidR="005723B7">
              <w:rPr>
                <w:rFonts w:cs="Arial"/>
                <w:color w:val="000000" w:themeColor="text1"/>
                <w:spacing w:val="-4"/>
              </w:rPr>
              <w:t>. čtvrtletí</w:t>
            </w:r>
            <w:r w:rsidRPr="00986E18">
              <w:rPr>
                <w:rFonts w:cs="Arial"/>
                <w:color w:val="000000" w:themeColor="text1"/>
                <w:spacing w:val="-4"/>
              </w:rPr>
              <w:t xml:space="preserve"> </w:t>
            </w:r>
            <w:r>
              <w:rPr>
                <w:rFonts w:cs="Arial"/>
                <w:color w:val="000000" w:themeColor="text1"/>
                <w:spacing w:val="-4"/>
              </w:rPr>
              <w:t>i</w:t>
            </w:r>
            <w:r w:rsidRPr="00986E18">
              <w:rPr>
                <w:rFonts w:cs="Arial"/>
                <w:color w:val="000000" w:themeColor="text1"/>
                <w:spacing w:val="-4"/>
              </w:rPr>
              <w:t xml:space="preserve"> inkaso dvou nejvýznamnějších </w:t>
            </w:r>
            <w:r>
              <w:rPr>
                <w:rFonts w:cs="Arial"/>
                <w:color w:val="000000" w:themeColor="text1"/>
                <w:spacing w:val="-4"/>
              </w:rPr>
              <w:t>pod</w:t>
            </w:r>
            <w:r w:rsidRPr="00986E18">
              <w:rPr>
                <w:rFonts w:cs="Arial"/>
                <w:color w:val="000000" w:themeColor="text1"/>
                <w:spacing w:val="-4"/>
              </w:rPr>
              <w:t>skupin – daně z minerálních olejů a daně z tabákových výrobků. Výběr daně z tabákových výrobků přitom ještě v 1.</w:t>
            </w:r>
            <w:r w:rsidR="00723581">
              <w:rPr>
                <w:rFonts w:cs="Arial"/>
                <w:color w:val="000000" w:themeColor="text1"/>
                <w:spacing w:val="-4"/>
              </w:rPr>
              <w:t> </w:t>
            </w:r>
            <w:r w:rsidRPr="00986E18">
              <w:rPr>
                <w:rFonts w:cs="Arial"/>
                <w:color w:val="000000" w:themeColor="text1"/>
                <w:spacing w:val="-4"/>
              </w:rPr>
              <w:t xml:space="preserve">pololetí meziročně stagnoval, neboť dočasně působící </w:t>
            </w:r>
            <w:r w:rsidRPr="00986E18">
              <w:rPr>
                <w:rFonts w:cs="Arial"/>
                <w:color w:val="0D0D0D" w:themeColor="text1" w:themeTint="F2"/>
                <w:spacing w:val="-4"/>
              </w:rPr>
              <w:t>administrativní vlivy</w:t>
            </w:r>
            <w:r w:rsidRPr="00986E18">
              <w:rPr>
                <w:rStyle w:val="Znakapoznpodarou"/>
                <w:color w:val="0D0D0D" w:themeColor="text1" w:themeTint="F2"/>
                <w:spacing w:val="-4"/>
              </w:rPr>
              <w:footnoteReference w:id="36"/>
            </w:r>
            <w:r w:rsidRPr="00986E18">
              <w:rPr>
                <w:rFonts w:cs="Arial"/>
                <w:color w:val="0D0D0D" w:themeColor="text1" w:themeTint="F2"/>
                <w:spacing w:val="-4"/>
              </w:rPr>
              <w:t xml:space="preserve"> převýšily efekt </w:t>
            </w:r>
            <w:r w:rsidRPr="00986E18">
              <w:rPr>
                <w:spacing w:val="-4"/>
              </w:rPr>
              <w:t>nárůstu sazeb této daně. Výběr daně z minerálních olejů odrážel rostoucí dopravní výkony, resp.</w:t>
            </w:r>
            <w:r w:rsidR="00723581">
              <w:rPr>
                <w:spacing w:val="-4"/>
              </w:rPr>
              <w:t> </w:t>
            </w:r>
            <w:r w:rsidRPr="00986E18">
              <w:rPr>
                <w:spacing w:val="-4"/>
              </w:rPr>
              <w:t>vyšší spotřebu zejména motorové nafty a</w:t>
            </w:r>
            <w:r w:rsidRPr="00986E18">
              <w:rPr>
                <w:rFonts w:cs="Arial"/>
                <w:color w:val="000000" w:themeColor="text1"/>
                <w:spacing w:val="-4"/>
              </w:rPr>
              <w:t> </w:t>
            </w:r>
            <w:r w:rsidRPr="00986E18">
              <w:rPr>
                <w:spacing w:val="-4"/>
              </w:rPr>
              <w:t>leteckého petroleje. V průběhu roku se zvyšovalo tempo reálných tržeb za maloobchodní prodej pohonných hmot (v</w:t>
            </w:r>
            <w:r w:rsidR="00723581">
              <w:rPr>
                <w:spacing w:val="-4"/>
              </w:rPr>
              <w:t> </w:t>
            </w:r>
            <w:r w:rsidRPr="00986E18">
              <w:rPr>
                <w:spacing w:val="-4"/>
              </w:rPr>
              <w:t>1</w:t>
            </w:r>
            <w:r w:rsidR="005723B7">
              <w:rPr>
                <w:spacing w:val="-4"/>
              </w:rPr>
              <w:t>. čtvrtletí</w:t>
            </w:r>
            <w:r w:rsidRPr="00986E18">
              <w:rPr>
                <w:spacing w:val="-4"/>
              </w:rPr>
              <w:t xml:space="preserve"> +3,4</w:t>
            </w:r>
            <w:r w:rsidR="005723B7">
              <w:rPr>
                <w:spacing w:val="-4"/>
              </w:rPr>
              <w:t> %</w:t>
            </w:r>
            <w:r w:rsidRPr="00986E18">
              <w:rPr>
                <w:spacing w:val="-4"/>
              </w:rPr>
              <w:t>, ve 3</w:t>
            </w:r>
            <w:r w:rsidR="005723B7">
              <w:rPr>
                <w:spacing w:val="-4"/>
              </w:rPr>
              <w:t>. čtvrtletí</w:t>
            </w:r>
            <w:r w:rsidRPr="00986E18">
              <w:rPr>
                <w:spacing w:val="-4"/>
              </w:rPr>
              <w:t xml:space="preserve"> +6,2</w:t>
            </w:r>
            <w:r w:rsidR="005723B7">
              <w:rPr>
                <w:spacing w:val="-4"/>
              </w:rPr>
              <w:t> %</w:t>
            </w:r>
            <w:r w:rsidRPr="00986E18">
              <w:rPr>
                <w:spacing w:val="-4"/>
              </w:rPr>
              <w:t xml:space="preserve">). Dílčí negativní vliv </w:t>
            </w:r>
            <w:r>
              <w:rPr>
                <w:spacing w:val="-4"/>
              </w:rPr>
              <w:t xml:space="preserve">na výběr daně </w:t>
            </w:r>
            <w:r w:rsidRPr="00986E18">
              <w:rPr>
                <w:spacing w:val="-4"/>
              </w:rPr>
              <w:t>mělo naopak zavedení tzv.</w:t>
            </w:r>
            <w:r w:rsidR="00723581">
              <w:rPr>
                <w:spacing w:val="-4"/>
              </w:rPr>
              <w:t> </w:t>
            </w:r>
            <w:r w:rsidRPr="00986E18">
              <w:rPr>
                <w:spacing w:val="-4"/>
              </w:rPr>
              <w:t>zelené nafty i pro živočišnou prvovýrobu.</w:t>
            </w:r>
          </w:p>
          <w:p w:rsidR="00490B20" w:rsidRPr="00986E18" w:rsidRDefault="00490B20" w:rsidP="00876058">
            <w:pPr>
              <w:pStyle w:val="Textpoznpodarou"/>
              <w:jc w:val="both"/>
              <w:rPr>
                <w:rFonts w:cs="Arial"/>
                <w:color w:val="000000" w:themeColor="text1"/>
                <w:spacing w:val="-4"/>
                <w:sz w:val="15"/>
                <w:szCs w:val="15"/>
              </w:rPr>
            </w:pPr>
          </w:p>
        </w:tc>
      </w:tr>
      <w:tr w:rsidR="00490B20" w:rsidRPr="00751FC1" w:rsidTr="00876058">
        <w:trPr>
          <w:trHeight w:val="145"/>
        </w:trPr>
        <w:tc>
          <w:tcPr>
            <w:tcW w:w="1016" w:type="pct"/>
            <w:shd w:val="clear" w:color="auto" w:fill="auto"/>
          </w:tcPr>
          <w:p w:rsidR="00490B20" w:rsidRPr="00A87766" w:rsidRDefault="00490B20" w:rsidP="00876058">
            <w:pPr>
              <w:spacing w:line="240" w:lineRule="auto"/>
              <w:rPr>
                <w:rFonts w:cs="Arial"/>
                <w:bCs/>
                <w:iCs/>
                <w:color w:val="0D0D0D" w:themeColor="text1" w:themeTint="F2"/>
                <w:sz w:val="16"/>
                <w:szCs w:val="16"/>
              </w:rPr>
            </w:pPr>
            <w:r w:rsidRPr="00A87766">
              <w:rPr>
                <w:rFonts w:cs="Arial"/>
                <w:bCs/>
                <w:iCs/>
                <w:color w:val="0D0D0D" w:themeColor="text1" w:themeTint="F2"/>
                <w:sz w:val="16"/>
                <w:szCs w:val="16"/>
              </w:rPr>
              <w:t xml:space="preserve">Celostátní výběr </w:t>
            </w:r>
            <w:proofErr w:type="spellStart"/>
            <w:r w:rsidRPr="00A87766">
              <w:rPr>
                <w:rFonts w:cs="Arial"/>
                <w:bCs/>
                <w:iCs/>
                <w:color w:val="0D0D0D" w:themeColor="text1" w:themeTint="F2"/>
                <w:sz w:val="16"/>
                <w:szCs w:val="16"/>
              </w:rPr>
              <w:t>korporátní</w:t>
            </w:r>
            <w:proofErr w:type="spellEnd"/>
            <w:r w:rsidRPr="00A87766">
              <w:rPr>
                <w:rFonts w:cs="Arial"/>
                <w:bCs/>
                <w:iCs/>
                <w:color w:val="0D0D0D" w:themeColor="text1" w:themeTint="F2"/>
                <w:sz w:val="16"/>
                <w:szCs w:val="16"/>
              </w:rPr>
              <w:t xml:space="preserve"> daně ve 3</w:t>
            </w:r>
            <w:r w:rsidR="005723B7">
              <w:rPr>
                <w:rFonts w:cs="Arial"/>
                <w:bCs/>
                <w:iCs/>
                <w:color w:val="0D0D0D" w:themeColor="text1" w:themeTint="F2"/>
                <w:sz w:val="16"/>
                <w:szCs w:val="16"/>
              </w:rPr>
              <w:t>. čtvrtletí</w:t>
            </w:r>
            <w:r w:rsidRPr="00A87766">
              <w:rPr>
                <w:rFonts w:cs="Arial"/>
                <w:bCs/>
                <w:iCs/>
                <w:color w:val="0D0D0D" w:themeColor="text1" w:themeTint="F2"/>
                <w:sz w:val="16"/>
                <w:szCs w:val="16"/>
              </w:rPr>
              <w:t xml:space="preserve"> poprvé po čtyřech letech poklesl.</w:t>
            </w:r>
          </w:p>
          <w:p w:rsidR="00490B20" w:rsidRPr="00A87766" w:rsidRDefault="00490B20" w:rsidP="00876058">
            <w:pPr>
              <w:spacing w:line="240" w:lineRule="auto"/>
              <w:rPr>
                <w:rFonts w:cs="Arial"/>
                <w:bCs/>
                <w:iCs/>
                <w:color w:val="0D0D0D" w:themeColor="text1" w:themeTint="F2"/>
                <w:sz w:val="16"/>
                <w:szCs w:val="16"/>
              </w:rPr>
            </w:pPr>
          </w:p>
          <w:p w:rsidR="00490B20" w:rsidRDefault="00490B20" w:rsidP="00876058">
            <w:pPr>
              <w:spacing w:line="240" w:lineRule="auto"/>
              <w:rPr>
                <w:rFonts w:cs="Arial"/>
                <w:bCs/>
                <w:iCs/>
                <w:color w:val="0D0D0D" w:themeColor="text1" w:themeTint="F2"/>
                <w:sz w:val="16"/>
                <w:szCs w:val="16"/>
              </w:rPr>
            </w:pPr>
          </w:p>
          <w:p w:rsidR="00490B20" w:rsidRPr="00A87766" w:rsidRDefault="00490B20" w:rsidP="00876058">
            <w:pPr>
              <w:spacing w:line="240" w:lineRule="auto"/>
              <w:rPr>
                <w:rFonts w:cs="Arial"/>
                <w:bCs/>
                <w:iCs/>
                <w:color w:val="0D0D0D" w:themeColor="text1" w:themeTint="F2"/>
                <w:sz w:val="16"/>
                <w:szCs w:val="16"/>
              </w:rPr>
            </w:pPr>
          </w:p>
          <w:p w:rsidR="00490B20" w:rsidRPr="00A87766" w:rsidRDefault="00490B20" w:rsidP="00876058">
            <w:pPr>
              <w:spacing w:line="240" w:lineRule="auto"/>
              <w:rPr>
                <w:rFonts w:cs="Arial"/>
                <w:bCs/>
                <w:iCs/>
                <w:color w:val="0D0D0D" w:themeColor="text1" w:themeTint="F2"/>
                <w:sz w:val="16"/>
                <w:szCs w:val="16"/>
              </w:rPr>
            </w:pPr>
          </w:p>
          <w:p w:rsidR="00490B20" w:rsidRPr="00A7478D" w:rsidRDefault="00490B20" w:rsidP="00876058">
            <w:pPr>
              <w:spacing w:line="240" w:lineRule="auto"/>
              <w:rPr>
                <w:rFonts w:cs="Arial"/>
                <w:bCs/>
                <w:iCs/>
                <w:color w:val="0D0D0D" w:themeColor="text1" w:themeTint="F2"/>
                <w:spacing w:val="-2"/>
                <w:sz w:val="16"/>
                <w:szCs w:val="16"/>
              </w:rPr>
            </w:pPr>
            <w:r w:rsidRPr="00A87766">
              <w:rPr>
                <w:rFonts w:cs="Arial"/>
                <w:bCs/>
                <w:iCs/>
                <w:color w:val="0D0D0D" w:themeColor="text1" w:themeTint="F2"/>
                <w:sz w:val="16"/>
                <w:szCs w:val="16"/>
              </w:rPr>
              <w:t xml:space="preserve">Naopak </w:t>
            </w:r>
            <w:r w:rsidRPr="00A87766">
              <w:rPr>
                <w:rFonts w:cs="Arial"/>
                <w:bCs/>
                <w:iCs/>
                <w:color w:val="0D0D0D" w:themeColor="text1" w:themeTint="F2"/>
                <w:spacing w:val="-2"/>
                <w:sz w:val="16"/>
                <w:szCs w:val="16"/>
              </w:rPr>
              <w:t>inkaso daně z příjmů fyzických osob ze závislé činnosti nadále zrychlovalo, neboť těžilo z příznivé situace na pracovním trhu.</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spacing w:val="-4"/>
              </w:rPr>
            </w:pPr>
            <w:r w:rsidRPr="00E12BB3">
              <w:rPr>
                <w:spacing w:val="-4"/>
              </w:rPr>
              <w:t xml:space="preserve">Tempo růstu </w:t>
            </w:r>
            <w:r>
              <w:rPr>
                <w:spacing w:val="-4"/>
              </w:rPr>
              <w:t xml:space="preserve">výběru </w:t>
            </w:r>
            <w:proofErr w:type="spellStart"/>
            <w:r>
              <w:rPr>
                <w:spacing w:val="-4"/>
              </w:rPr>
              <w:t>korporátní</w:t>
            </w:r>
            <w:proofErr w:type="spellEnd"/>
            <w:r>
              <w:rPr>
                <w:spacing w:val="-4"/>
              </w:rPr>
              <w:t xml:space="preserve"> daně</w:t>
            </w:r>
            <w:r w:rsidRPr="00E12BB3">
              <w:rPr>
                <w:spacing w:val="-4"/>
              </w:rPr>
              <w:t xml:space="preserve"> v p</w:t>
            </w:r>
            <w:r>
              <w:rPr>
                <w:spacing w:val="-4"/>
              </w:rPr>
              <w:t>růběhu roku 2017 sláblo a ve</w:t>
            </w:r>
            <w:r w:rsidRPr="00E12BB3">
              <w:rPr>
                <w:spacing w:val="-4"/>
              </w:rPr>
              <w:t xml:space="preserve"> 3</w:t>
            </w:r>
            <w:r w:rsidR="005723B7">
              <w:rPr>
                <w:spacing w:val="-4"/>
              </w:rPr>
              <w:t>. čtvrtletí</w:t>
            </w:r>
            <w:r w:rsidRPr="00E12BB3">
              <w:rPr>
                <w:spacing w:val="-4"/>
              </w:rPr>
              <w:t xml:space="preserve"> již bylo celostátní inkaso nižší než ve stejném období loňského roku. Šlo o</w:t>
            </w:r>
            <w:r w:rsidR="00723581">
              <w:rPr>
                <w:spacing w:val="-4"/>
              </w:rPr>
              <w:t> </w:t>
            </w:r>
            <w:r w:rsidRPr="00E12BB3">
              <w:rPr>
                <w:spacing w:val="-4"/>
              </w:rPr>
              <w:t xml:space="preserve">první meziroční pokles od konce roku 2013. </w:t>
            </w:r>
            <w:r>
              <w:rPr>
                <w:spacing w:val="-4"/>
              </w:rPr>
              <w:t>V úhrnu za 1. až 3</w:t>
            </w:r>
            <w:r w:rsidR="005723B7">
              <w:rPr>
                <w:spacing w:val="-4"/>
              </w:rPr>
              <w:t>. čtvrtletí</w:t>
            </w:r>
            <w:r>
              <w:rPr>
                <w:spacing w:val="-4"/>
              </w:rPr>
              <w:t xml:space="preserve"> inkaso stagnovalo. </w:t>
            </w:r>
            <w:r w:rsidRPr="00E12BB3">
              <w:rPr>
                <w:rFonts w:cs="Arial"/>
                <w:color w:val="0D0D0D" w:themeColor="text1" w:themeTint="F2"/>
                <w:spacing w:val="-4"/>
              </w:rPr>
              <w:t xml:space="preserve">V letošním </w:t>
            </w:r>
            <w:r>
              <w:rPr>
                <w:rFonts w:cs="Arial"/>
                <w:color w:val="0D0D0D" w:themeColor="text1" w:themeTint="F2"/>
                <w:spacing w:val="-4"/>
              </w:rPr>
              <w:t>výběru daně</w:t>
            </w:r>
            <w:r w:rsidRPr="00E12BB3">
              <w:rPr>
                <w:rFonts w:cs="Arial"/>
                <w:color w:val="0D0D0D" w:themeColor="text1" w:themeTint="F2"/>
                <w:spacing w:val="-4"/>
              </w:rPr>
              <w:t xml:space="preserve"> se již ve větší míře začíná projevovat mírně klesající ziskovost podniků z let 2016 (a</w:t>
            </w:r>
            <w:r w:rsidR="00723581">
              <w:rPr>
                <w:rFonts w:cs="Arial"/>
                <w:color w:val="0D0D0D" w:themeColor="text1" w:themeTint="F2"/>
                <w:spacing w:val="-4"/>
              </w:rPr>
              <w:t> </w:t>
            </w:r>
            <w:r w:rsidRPr="00E12BB3">
              <w:rPr>
                <w:rFonts w:cs="Arial"/>
                <w:color w:val="0D0D0D" w:themeColor="text1" w:themeTint="F2"/>
                <w:spacing w:val="-4"/>
              </w:rPr>
              <w:t>zčásti i</w:t>
            </w:r>
            <w:r w:rsidR="00723581">
              <w:rPr>
                <w:rFonts w:cs="Arial"/>
                <w:color w:val="0D0D0D" w:themeColor="text1" w:themeTint="F2"/>
                <w:spacing w:val="-4"/>
              </w:rPr>
              <w:t> </w:t>
            </w:r>
            <w:r w:rsidRPr="00E12BB3">
              <w:rPr>
                <w:rFonts w:cs="Arial"/>
                <w:color w:val="0D0D0D" w:themeColor="text1" w:themeTint="F2"/>
                <w:spacing w:val="-4"/>
              </w:rPr>
              <w:t xml:space="preserve">2017), především vlivem sílících mzdových nákladů. </w:t>
            </w:r>
            <w:r>
              <w:rPr>
                <w:rFonts w:cs="Arial"/>
                <w:color w:val="0D0D0D" w:themeColor="text1" w:themeTint="F2"/>
                <w:spacing w:val="-4"/>
              </w:rPr>
              <w:t>Naopak ve výběru</w:t>
            </w:r>
            <w:r w:rsidRPr="00E12BB3">
              <w:rPr>
                <w:rFonts w:cs="Arial"/>
                <w:color w:val="0D0D0D" w:themeColor="text1" w:themeTint="F2"/>
                <w:spacing w:val="-4"/>
              </w:rPr>
              <w:t xml:space="preserve"> daně z příjmů fyzických osob (DPFO) ze závislé činnosti se vývoj na trhu práce projevoval </w:t>
            </w:r>
            <w:r>
              <w:rPr>
                <w:rFonts w:cs="Arial"/>
                <w:color w:val="0D0D0D" w:themeColor="text1" w:themeTint="F2"/>
                <w:spacing w:val="-4"/>
              </w:rPr>
              <w:t xml:space="preserve">nadále </w:t>
            </w:r>
            <w:r w:rsidRPr="00E12BB3">
              <w:rPr>
                <w:rFonts w:cs="Arial"/>
                <w:color w:val="0D0D0D" w:themeColor="text1" w:themeTint="F2"/>
                <w:spacing w:val="-4"/>
              </w:rPr>
              <w:t xml:space="preserve">pozitivně. </w:t>
            </w:r>
            <w:r w:rsidRPr="00E12BB3">
              <w:rPr>
                <w:spacing w:val="-4"/>
              </w:rPr>
              <w:t>Rekordní počet pracuj</w:t>
            </w:r>
            <w:r>
              <w:rPr>
                <w:spacing w:val="-4"/>
              </w:rPr>
              <w:t>ících, sílící mzdový růst, vč.</w:t>
            </w:r>
            <w:r w:rsidR="00723581">
              <w:rPr>
                <w:spacing w:val="-4"/>
              </w:rPr>
              <w:t> </w:t>
            </w:r>
            <w:r>
              <w:rPr>
                <w:spacing w:val="-4"/>
              </w:rPr>
              <w:t xml:space="preserve">navyšování minimální mzdy, se </w:t>
            </w:r>
            <w:r w:rsidRPr="00E12BB3">
              <w:rPr>
                <w:spacing w:val="-4"/>
              </w:rPr>
              <w:t>v 1.</w:t>
            </w:r>
            <w:r w:rsidRPr="009F23BE">
              <w:rPr>
                <w:rFonts w:cs="Arial"/>
                <w:color w:val="0D0D0D" w:themeColor="text1" w:themeTint="F2"/>
                <w:spacing w:val="-4"/>
              </w:rPr>
              <w:t> </w:t>
            </w:r>
            <w:r w:rsidRPr="00E12BB3">
              <w:rPr>
                <w:spacing w:val="-4"/>
              </w:rPr>
              <w:t>až 3</w:t>
            </w:r>
            <w:r w:rsidR="005723B7">
              <w:rPr>
                <w:spacing w:val="-4"/>
              </w:rPr>
              <w:t>. čtvrtletí</w:t>
            </w:r>
            <w:r w:rsidRPr="00E12BB3">
              <w:rPr>
                <w:spacing w:val="-4"/>
              </w:rPr>
              <w:t xml:space="preserve"> odrazily </w:t>
            </w:r>
            <w:r>
              <w:rPr>
                <w:spacing w:val="-4"/>
              </w:rPr>
              <w:t>v bezmála 13%</w:t>
            </w:r>
            <w:r w:rsidR="00723581">
              <w:rPr>
                <w:spacing w:val="-4"/>
              </w:rPr>
              <w:t> </w:t>
            </w:r>
            <w:r>
              <w:rPr>
                <w:spacing w:val="-4"/>
              </w:rPr>
              <w:t>růstu</w:t>
            </w:r>
            <w:r w:rsidRPr="00E12BB3">
              <w:rPr>
                <w:spacing w:val="-4"/>
              </w:rPr>
              <w:t xml:space="preserve"> výběru této daně (dosáhl obdobného </w:t>
            </w:r>
            <w:r w:rsidRPr="00E12BB3">
              <w:rPr>
                <w:spacing w:val="-5"/>
              </w:rPr>
              <w:t xml:space="preserve">tempa jako v konjunkturním roce 2007). Sílící růst ekonomiky stimuloval i podnikatelskou </w:t>
            </w:r>
            <w:r>
              <w:rPr>
                <w:spacing w:val="-4"/>
              </w:rPr>
              <w:t>aktivitu a</w:t>
            </w:r>
            <w:r w:rsidR="00723581">
              <w:rPr>
                <w:spacing w:val="-4"/>
              </w:rPr>
              <w:t> </w:t>
            </w:r>
            <w:r>
              <w:rPr>
                <w:spacing w:val="-4"/>
              </w:rPr>
              <w:t>projevil se vyšším výběrem</w:t>
            </w:r>
            <w:r w:rsidRPr="00E12BB3">
              <w:rPr>
                <w:spacing w:val="-4"/>
              </w:rPr>
              <w:t xml:space="preserve"> </w:t>
            </w:r>
            <w:r w:rsidRPr="00E12BB3">
              <w:rPr>
                <w:rFonts w:cs="Arial"/>
                <w:spacing w:val="-4"/>
              </w:rPr>
              <w:t>DPFO ze samostatné výdělečné činnosti (+0,5</w:t>
            </w:r>
            <w:r w:rsidR="006D164C">
              <w:rPr>
                <w:rFonts w:cs="Arial"/>
                <w:spacing w:val="-4"/>
              </w:rPr>
              <w:t> mld.</w:t>
            </w:r>
            <w:r w:rsidRPr="00E12BB3">
              <w:rPr>
                <w:rFonts w:cs="Arial"/>
                <w:spacing w:val="-4"/>
              </w:rPr>
              <w:t xml:space="preserve"> korun, v loňském 1. až 3</w:t>
            </w:r>
            <w:r w:rsidR="005723B7">
              <w:rPr>
                <w:rFonts w:cs="Arial"/>
                <w:spacing w:val="-4"/>
              </w:rPr>
              <w:t>. čtvrtletí</w:t>
            </w:r>
            <w:r w:rsidRPr="00E12BB3">
              <w:rPr>
                <w:rFonts w:cs="Arial"/>
                <w:spacing w:val="-4"/>
              </w:rPr>
              <w:t xml:space="preserve"> však +4,0</w:t>
            </w:r>
            <w:r w:rsidR="006D164C">
              <w:rPr>
                <w:rFonts w:cs="Arial"/>
                <w:spacing w:val="-4"/>
              </w:rPr>
              <w:t> mld.</w:t>
            </w:r>
            <w:r w:rsidRPr="00E12BB3">
              <w:rPr>
                <w:rFonts w:cs="Arial"/>
                <w:spacing w:val="-4"/>
              </w:rPr>
              <w:t xml:space="preserve"> korun). Naopak o</w:t>
            </w:r>
            <w:r w:rsidRPr="00E12BB3">
              <w:rPr>
                <w:spacing w:val="-5"/>
              </w:rPr>
              <w:t> </w:t>
            </w:r>
            <w:r w:rsidRPr="00E12BB3">
              <w:rPr>
                <w:rFonts w:cs="Arial"/>
                <w:spacing w:val="-4"/>
              </w:rPr>
              <w:t>2,5</w:t>
            </w:r>
            <w:r w:rsidR="005723B7">
              <w:rPr>
                <w:rFonts w:cs="Arial"/>
                <w:spacing w:val="-4"/>
              </w:rPr>
              <w:t> %</w:t>
            </w:r>
            <w:r w:rsidRPr="00E12BB3">
              <w:rPr>
                <w:rFonts w:cs="Arial"/>
                <w:spacing w:val="-4"/>
              </w:rPr>
              <w:t xml:space="preserve"> se letos snížilo inkaso DPFO z kapitálových výnosů. Ve slabších tempech se odrážely nejen přetrvávající nízké úrokové sazby vkladů, ale zejména </w:t>
            </w:r>
            <w:r w:rsidRPr="00E12BB3">
              <w:rPr>
                <w:spacing w:val="-4"/>
              </w:rPr>
              <w:t>legislativní změna související s osvobozením daně u </w:t>
            </w:r>
            <w:proofErr w:type="spellStart"/>
            <w:r w:rsidRPr="00E12BB3">
              <w:rPr>
                <w:spacing w:val="-4"/>
              </w:rPr>
              <w:t>výsluhového</w:t>
            </w:r>
            <w:proofErr w:type="spellEnd"/>
            <w:r w:rsidRPr="00E12BB3">
              <w:rPr>
                <w:spacing w:val="-4"/>
              </w:rPr>
              <w:t xml:space="preserve"> nároku ozbrojených složek.</w:t>
            </w:r>
          </w:p>
        </w:tc>
      </w:tr>
    </w:tbl>
    <w:p w:rsidR="00490B20" w:rsidRPr="00E12BB3" w:rsidRDefault="00490B20" w:rsidP="00490B20">
      <w:pPr>
        <w:pStyle w:val="Textpoznpodarou"/>
        <w:jc w:val="both"/>
        <w:rPr>
          <w:rFonts w:cs="Arial"/>
          <w:color w:val="000000"/>
          <w:spacing w:val="-2"/>
          <w:sz w:val="4"/>
          <w:szCs w:val="4"/>
        </w:rPr>
      </w:pPr>
    </w:p>
    <w:tbl>
      <w:tblPr>
        <w:tblW w:w="4963" w:type="pct"/>
        <w:tblInd w:w="108" w:type="dxa"/>
        <w:tblLayout w:type="fixed"/>
        <w:tblLook w:val="00A0"/>
      </w:tblPr>
      <w:tblGrid>
        <w:gridCol w:w="1997"/>
        <w:gridCol w:w="284"/>
        <w:gridCol w:w="1119"/>
        <w:gridCol w:w="6381"/>
      </w:tblGrid>
      <w:tr w:rsidR="00490B20" w:rsidRPr="00AA4A76" w:rsidTr="00876058">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2" w:type="pct"/>
          </w:tcPr>
          <w:p w:rsidR="00490B20" w:rsidRPr="00AA4A76" w:rsidRDefault="00490B20" w:rsidP="00876058">
            <w:pPr>
              <w:pStyle w:val="Textpoznpodarou"/>
              <w:jc w:val="both"/>
              <w:rPr>
                <w:highlight w:val="yellow"/>
              </w:rPr>
            </w:pPr>
            <w:r>
              <w:rPr>
                <w:color w:val="000000"/>
              </w:rPr>
              <w:t xml:space="preserve">Graf </w:t>
            </w:r>
            <w:r w:rsidR="008549C5">
              <w:rPr>
                <w:color w:val="000000"/>
              </w:rPr>
              <w:t>č. </w:t>
            </w:r>
            <w:r w:rsidR="00FF761D">
              <w:rPr>
                <w:color w:val="000000"/>
              </w:rPr>
              <w:t>19</w:t>
            </w:r>
          </w:p>
        </w:tc>
        <w:tc>
          <w:tcPr>
            <w:tcW w:w="3262" w:type="pct"/>
          </w:tcPr>
          <w:p w:rsidR="00490B20" w:rsidRDefault="00490B20" w:rsidP="00876058">
            <w:pPr>
              <w:spacing w:line="240" w:lineRule="auto"/>
              <w:rPr>
                <w:rFonts w:cs="Arial"/>
                <w:bCs/>
              </w:rPr>
            </w:pP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sidR="005723B7">
              <w:rPr>
                <w:bCs/>
                <w:spacing w:val="-2"/>
              </w:rPr>
              <w:t> %</w:t>
            </w:r>
            <w:r w:rsidRPr="00E62A33">
              <w:rPr>
                <w:bCs/>
                <w:spacing w:val="-2"/>
              </w:rPr>
              <w:t>)</w:t>
            </w:r>
            <w:r>
              <w:rPr>
                <w:rFonts w:cs="Arial"/>
                <w:bCs/>
              </w:rPr>
              <w:t xml:space="preserve"> </w:t>
            </w:r>
          </w:p>
          <w:p w:rsidR="00490B20" w:rsidRPr="0007324C" w:rsidRDefault="00490B20" w:rsidP="00876058">
            <w:pPr>
              <w:spacing w:line="240" w:lineRule="auto"/>
              <w:rPr>
                <w:rFonts w:cs="Arial"/>
                <w:b/>
                <w:bCs/>
              </w:rPr>
            </w:pPr>
            <w:r>
              <w:rPr>
                <w:rFonts w:cs="Arial"/>
                <w:b/>
                <w:bCs/>
              </w:rPr>
              <w:t>a saldo státního rozpočtu</w:t>
            </w:r>
            <w:r>
              <w:t xml:space="preserve"> </w:t>
            </w:r>
            <w:r>
              <w:rPr>
                <w:rFonts w:cs="Arial"/>
                <w:bCs/>
              </w:rPr>
              <w:t>(v</w:t>
            </w:r>
            <w:r w:rsidR="006D164C">
              <w:rPr>
                <w:rFonts w:cs="Arial"/>
                <w:bCs/>
              </w:rPr>
              <w:t> mld.</w:t>
            </w:r>
            <w:r>
              <w:rPr>
                <w:rFonts w:cs="Arial"/>
                <w:bCs/>
              </w:rPr>
              <w:t xml:space="preserve"> korun) </w:t>
            </w:r>
            <w:r>
              <w:rPr>
                <w:rFonts w:cs="Arial"/>
                <w:b/>
                <w:bCs/>
              </w:rPr>
              <w:t>v 1. až 3</w:t>
            </w:r>
            <w:r w:rsidR="005723B7">
              <w:rPr>
                <w:rFonts w:cs="Arial"/>
                <w:b/>
                <w:bCs/>
              </w:rPr>
              <w:t>. čtvrtletí</w:t>
            </w:r>
            <w:r>
              <w:rPr>
                <w:rFonts w:cs="Arial"/>
                <w:b/>
                <w:bCs/>
              </w:rPr>
              <w:t>ch</w:t>
            </w:r>
            <w:r w:rsidRPr="006808C5">
              <w:rPr>
                <w:rFonts w:cs="Arial"/>
                <w:b/>
                <w:bCs/>
              </w:rPr>
              <w:t xml:space="preserve"> roku</w:t>
            </w:r>
          </w:p>
        </w:tc>
      </w:tr>
      <w:tr w:rsidR="00490B20" w:rsidRPr="00AA4A76" w:rsidTr="00876058">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3" w:type="pct"/>
            <w:gridSpan w:val="2"/>
          </w:tcPr>
          <w:p w:rsidR="00490B20" w:rsidRDefault="00490B20" w:rsidP="00876058">
            <w:pPr>
              <w:pStyle w:val="Textpoznpodarou"/>
              <w:ind w:left="-124"/>
              <w:jc w:val="both"/>
              <w:rPr>
                <w:sz w:val="16"/>
                <w:szCs w:val="16"/>
              </w:rPr>
            </w:pPr>
            <w:r w:rsidRPr="00A1193A">
              <w:rPr>
                <w:noProof/>
                <w:sz w:val="16"/>
                <w:szCs w:val="16"/>
              </w:rPr>
              <w:drawing>
                <wp:inline distT="0" distB="0" distL="0" distR="0">
                  <wp:extent cx="4752000" cy="3526757"/>
                  <wp:effectExtent l="19050" t="0" r="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90B20" w:rsidRPr="00535F78" w:rsidRDefault="00490B20" w:rsidP="00876058">
            <w:pPr>
              <w:pStyle w:val="Textpoznpodarou"/>
              <w:ind w:left="-124"/>
              <w:jc w:val="right"/>
              <w:rPr>
                <w:sz w:val="14"/>
                <w:szCs w:val="14"/>
              </w:rPr>
            </w:pPr>
            <w:r w:rsidRPr="00535F78">
              <w:rPr>
                <w:rFonts w:cs="Arial"/>
                <w:sz w:val="14"/>
                <w:szCs w:val="14"/>
              </w:rPr>
              <w:t>Zdroj: MF</w:t>
            </w:r>
          </w:p>
        </w:tc>
      </w:tr>
    </w:tbl>
    <w:p w:rsidR="00490B20" w:rsidRDefault="00490B20" w:rsidP="00490B20">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490B20" w:rsidRPr="00F06A1D" w:rsidTr="00876058">
        <w:trPr>
          <w:trHeight w:val="145"/>
        </w:trPr>
        <w:tc>
          <w:tcPr>
            <w:tcW w:w="1016" w:type="pct"/>
            <w:shd w:val="clear" w:color="auto" w:fill="auto"/>
          </w:tcPr>
          <w:p w:rsidR="00490B20" w:rsidRPr="001D63AA" w:rsidRDefault="00490B20" w:rsidP="00876058">
            <w:pPr>
              <w:spacing w:line="240" w:lineRule="auto"/>
              <w:rPr>
                <w:rFonts w:cs="Arial"/>
                <w:bCs/>
                <w:iCs/>
                <w:color w:val="0D0D0D" w:themeColor="text1" w:themeTint="F2"/>
                <w:spacing w:val="-2"/>
                <w:sz w:val="16"/>
                <w:szCs w:val="16"/>
              </w:rPr>
            </w:pPr>
            <w:r w:rsidRPr="001D63AA">
              <w:rPr>
                <w:rFonts w:cs="Arial"/>
                <w:color w:val="0D0D0D" w:themeColor="text1" w:themeTint="F2"/>
                <w:spacing w:val="-2"/>
                <w:sz w:val="16"/>
                <w:szCs w:val="16"/>
              </w:rPr>
              <w:t>Růst běžných výdajů SR probíhal na rozdíl od čerpání investic v souladu s rozpočtovým očekáváním.</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F23BE" w:rsidRDefault="00490B20" w:rsidP="00876058">
            <w:pPr>
              <w:pStyle w:val="Textpoznpodarou"/>
              <w:jc w:val="both"/>
              <w:rPr>
                <w:rFonts w:cs="Arial"/>
                <w:color w:val="0D0D0D" w:themeColor="text1" w:themeTint="F2"/>
                <w:spacing w:val="-4"/>
              </w:rPr>
            </w:pPr>
            <w:r w:rsidRPr="009F23BE">
              <w:rPr>
                <w:rFonts w:cs="Arial"/>
                <w:color w:val="0D0D0D" w:themeColor="text1" w:themeTint="F2"/>
                <w:spacing w:val="-4"/>
              </w:rPr>
              <w:t>Celkové výdaje SR za tři čtvrtletí meziročně posílily o 4,5</w:t>
            </w:r>
            <w:r w:rsidR="005723B7">
              <w:rPr>
                <w:rFonts w:cs="Arial"/>
                <w:color w:val="0D0D0D" w:themeColor="text1" w:themeTint="F2"/>
                <w:spacing w:val="-4"/>
              </w:rPr>
              <w:t> %</w:t>
            </w:r>
            <w:r w:rsidRPr="009F23BE">
              <w:rPr>
                <w:rFonts w:cs="Arial"/>
                <w:color w:val="0D0D0D" w:themeColor="text1" w:themeTint="F2"/>
                <w:spacing w:val="-4"/>
              </w:rPr>
              <w:t>. K růstu přispěly výhradně běžné výdaje, jejichž tempo bylo nejvyšší za posledních devět let (+6,0</w:t>
            </w:r>
            <w:r w:rsidR="005723B7">
              <w:rPr>
                <w:rFonts w:cs="Arial"/>
                <w:color w:val="0D0D0D" w:themeColor="text1" w:themeTint="F2"/>
                <w:spacing w:val="-4"/>
              </w:rPr>
              <w:t> %</w:t>
            </w:r>
            <w:r w:rsidRPr="009F23BE">
              <w:rPr>
                <w:rFonts w:cs="Arial"/>
                <w:color w:val="0D0D0D" w:themeColor="text1" w:themeTint="F2"/>
                <w:spacing w:val="-4"/>
              </w:rPr>
              <w:t xml:space="preserve">). Naopak kapitálové výdaje o pětinu poklesly. Jejich čerpání se </w:t>
            </w:r>
            <w:r>
              <w:rPr>
                <w:rFonts w:cs="Arial"/>
                <w:color w:val="0D0D0D" w:themeColor="text1" w:themeTint="F2"/>
                <w:spacing w:val="-4"/>
              </w:rPr>
              <w:t>tak navzdory mírnému zlepšení v</w:t>
            </w:r>
            <w:r w:rsidRPr="009F23BE">
              <w:rPr>
                <w:rFonts w:cs="Arial"/>
                <w:color w:val="0D0D0D" w:themeColor="text1" w:themeTint="F2"/>
                <w:spacing w:val="-4"/>
              </w:rPr>
              <w:t> letním období</w:t>
            </w:r>
            <w:r w:rsidRPr="009F23BE">
              <w:rPr>
                <w:rStyle w:val="Znakapoznpodarou"/>
                <w:color w:val="0D0D0D" w:themeColor="text1" w:themeTint="F2"/>
                <w:spacing w:val="-4"/>
              </w:rPr>
              <w:footnoteReference w:id="37"/>
            </w:r>
            <w:r>
              <w:rPr>
                <w:rFonts w:cs="Arial"/>
                <w:color w:val="0D0D0D" w:themeColor="text1" w:themeTint="F2"/>
                <w:spacing w:val="-4"/>
              </w:rPr>
              <w:t xml:space="preserve"> na rozdíl od běžných výdajů</w:t>
            </w:r>
            <w:r w:rsidRPr="009F23BE">
              <w:rPr>
                <w:rFonts w:cs="Arial"/>
                <w:color w:val="0D0D0D" w:themeColor="text1" w:themeTint="F2"/>
                <w:spacing w:val="-4"/>
              </w:rPr>
              <w:t xml:space="preserve"> stále výrazně odchylovalo od rozpočtových očekávání. Necelá polovina investic SR (19,7</w:t>
            </w:r>
            <w:r w:rsidR="006D164C">
              <w:rPr>
                <w:rFonts w:cs="Arial"/>
                <w:color w:val="0D0D0D" w:themeColor="text1" w:themeTint="F2"/>
                <w:spacing w:val="-4"/>
              </w:rPr>
              <w:t> mld.</w:t>
            </w:r>
            <w:r w:rsidRPr="009F23BE">
              <w:rPr>
                <w:rFonts w:cs="Arial"/>
                <w:color w:val="0D0D0D" w:themeColor="text1" w:themeTint="F2"/>
                <w:spacing w:val="-4"/>
              </w:rPr>
              <w:t xml:space="preserve"> korun) </w:t>
            </w:r>
            <w:r w:rsidRPr="009F23BE">
              <w:rPr>
                <w:rFonts w:cs="Arial"/>
                <w:color w:val="000000" w:themeColor="text1"/>
                <w:spacing w:val="-4"/>
              </w:rPr>
              <w:t>směřovala na financování společných programů ČR a EU</w:t>
            </w:r>
            <w:r w:rsidRPr="009F23BE">
              <w:rPr>
                <w:rStyle w:val="Znakapoznpodarou"/>
                <w:color w:val="000000" w:themeColor="text1"/>
                <w:spacing w:val="-4"/>
              </w:rPr>
              <w:footnoteReference w:id="38"/>
            </w:r>
            <w:r w:rsidRPr="009F23BE">
              <w:rPr>
                <w:rFonts w:cs="Arial"/>
                <w:color w:val="000000" w:themeColor="text1"/>
                <w:spacing w:val="-4"/>
              </w:rPr>
              <w:t>. Podíl investi</w:t>
            </w:r>
            <w:r>
              <w:rPr>
                <w:rFonts w:cs="Arial"/>
                <w:color w:val="000000" w:themeColor="text1"/>
                <w:spacing w:val="-4"/>
              </w:rPr>
              <w:t>c na celkových výdajích SR kles</w:t>
            </w:r>
            <w:r w:rsidRPr="009F23BE">
              <w:rPr>
                <w:rFonts w:cs="Arial"/>
                <w:color w:val="000000" w:themeColor="text1"/>
                <w:spacing w:val="-4"/>
              </w:rPr>
              <w:t>a</w:t>
            </w:r>
            <w:r>
              <w:rPr>
                <w:rFonts w:cs="Arial"/>
                <w:color w:val="000000" w:themeColor="text1"/>
                <w:spacing w:val="-4"/>
              </w:rPr>
              <w:t>l</w:t>
            </w:r>
            <w:r w:rsidRPr="009F23BE">
              <w:rPr>
                <w:rFonts w:cs="Arial"/>
                <w:color w:val="000000" w:themeColor="text1"/>
                <w:spacing w:val="-4"/>
              </w:rPr>
              <w:t xml:space="preserve"> již druhým</w:t>
            </w:r>
            <w:r>
              <w:rPr>
                <w:rFonts w:cs="Arial"/>
                <w:color w:val="000000" w:themeColor="text1"/>
                <w:spacing w:val="-4"/>
              </w:rPr>
              <w:t xml:space="preserve"> rokem v řadě a</w:t>
            </w:r>
            <w:r w:rsidRPr="009F23BE">
              <w:rPr>
                <w:rFonts w:cs="Arial"/>
                <w:color w:val="000000" w:themeColor="text1"/>
                <w:spacing w:val="-4"/>
              </w:rPr>
              <w:t xml:space="preserve"> činil pouze 4,5</w:t>
            </w:r>
            <w:r w:rsidR="005723B7">
              <w:rPr>
                <w:rFonts w:cs="Arial"/>
                <w:color w:val="0D0D0D" w:themeColor="text1" w:themeTint="F2"/>
                <w:spacing w:val="-4"/>
              </w:rPr>
              <w:t> %</w:t>
            </w:r>
            <w:r w:rsidRPr="009F23BE">
              <w:rPr>
                <w:rFonts w:cs="Arial"/>
                <w:color w:val="000000" w:themeColor="text1"/>
                <w:spacing w:val="-4"/>
              </w:rPr>
              <w:t>.</w:t>
            </w:r>
          </w:p>
          <w:p w:rsidR="00490B20" w:rsidRPr="00751FC1" w:rsidRDefault="00490B20" w:rsidP="00876058">
            <w:pPr>
              <w:pStyle w:val="Textpoznpodarou"/>
              <w:jc w:val="both"/>
              <w:rPr>
                <w:rFonts w:cs="Arial"/>
                <w:color w:val="0D0D0D" w:themeColor="text1" w:themeTint="F2"/>
                <w:spacing w:val="-2"/>
                <w:sz w:val="15"/>
                <w:szCs w:val="15"/>
              </w:rPr>
            </w:pPr>
          </w:p>
        </w:tc>
      </w:tr>
      <w:tr w:rsidR="00490B20" w:rsidRPr="0094422D" w:rsidTr="00876058">
        <w:trPr>
          <w:trHeight w:val="145"/>
        </w:trPr>
        <w:tc>
          <w:tcPr>
            <w:tcW w:w="1016" w:type="pct"/>
            <w:shd w:val="clear" w:color="auto" w:fill="auto"/>
          </w:tcPr>
          <w:p w:rsidR="00490B20" w:rsidRPr="00864037" w:rsidRDefault="00490B20" w:rsidP="00876058">
            <w:pPr>
              <w:spacing w:line="240" w:lineRule="auto"/>
              <w:rPr>
                <w:rFonts w:cs="Arial"/>
                <w:color w:val="0D0D0D" w:themeColor="text1" w:themeTint="F2"/>
                <w:spacing w:val="-4"/>
                <w:sz w:val="16"/>
                <w:szCs w:val="16"/>
              </w:rPr>
            </w:pPr>
            <w:r w:rsidRPr="00864037">
              <w:rPr>
                <w:rFonts w:cs="Arial"/>
                <w:color w:val="0D0D0D" w:themeColor="text1" w:themeTint="F2"/>
                <w:spacing w:val="-4"/>
                <w:sz w:val="16"/>
                <w:szCs w:val="16"/>
              </w:rPr>
              <w:t>K růstu běžných výdajů přispěly vyšší sociální dávky a výdaje na mzdy zaměstnanců v oblastech s dominancí státu.</w:t>
            </w: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bCs/>
                <w:iCs/>
                <w:color w:val="0D0D0D" w:themeColor="text1" w:themeTint="F2"/>
                <w:spacing w:val="-4"/>
                <w:sz w:val="16"/>
                <w:szCs w:val="16"/>
              </w:rPr>
            </w:pPr>
            <w:r w:rsidRPr="00864037">
              <w:rPr>
                <w:rFonts w:cs="Arial"/>
                <w:color w:val="0D0D0D" w:themeColor="text1" w:themeTint="F2"/>
                <w:spacing w:val="-4"/>
                <w:sz w:val="16"/>
                <w:szCs w:val="16"/>
              </w:rPr>
              <w:t>Čisté výdaje na státní dluh klesaly již čtvrtým rokem v řadě.</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Default="00490B20" w:rsidP="00876058">
            <w:pPr>
              <w:pStyle w:val="Textpoznpodarou"/>
              <w:jc w:val="both"/>
              <w:rPr>
                <w:rFonts w:cs="Arial"/>
                <w:color w:val="0D0D0D" w:themeColor="text1" w:themeTint="F2"/>
                <w:spacing w:val="-2"/>
              </w:rPr>
            </w:pPr>
            <w:r>
              <w:rPr>
                <w:rFonts w:cs="Arial"/>
                <w:color w:val="0D0D0D" w:themeColor="text1" w:themeTint="F2"/>
                <w:spacing w:val="-2"/>
              </w:rPr>
              <w:t xml:space="preserve">Růst běžných výdajů </w:t>
            </w:r>
            <w:r w:rsidRPr="009F23BE">
              <w:rPr>
                <w:rFonts w:cs="Arial"/>
                <w:color w:val="0D0D0D" w:themeColor="text1" w:themeTint="F2"/>
                <w:spacing w:val="-4"/>
              </w:rPr>
              <w:t>za tři čtvrtletí</w:t>
            </w:r>
            <w:r>
              <w:rPr>
                <w:rFonts w:cs="Arial"/>
                <w:color w:val="0D0D0D" w:themeColor="text1" w:themeTint="F2"/>
                <w:spacing w:val="-4"/>
              </w:rPr>
              <w:t xml:space="preserve"> </w:t>
            </w:r>
            <w:r>
              <w:rPr>
                <w:rFonts w:cs="Arial"/>
                <w:color w:val="0D0D0D" w:themeColor="text1" w:themeTint="F2"/>
                <w:spacing w:val="-2"/>
              </w:rPr>
              <w:t>(o 50,1</w:t>
            </w:r>
            <w:r w:rsidR="006D164C">
              <w:rPr>
                <w:rFonts w:cs="Arial"/>
                <w:color w:val="0D0D0D" w:themeColor="text1" w:themeTint="F2"/>
                <w:spacing w:val="-2"/>
              </w:rPr>
              <w:t> mld.</w:t>
            </w:r>
            <w:r>
              <w:rPr>
                <w:rFonts w:cs="Arial"/>
                <w:color w:val="0D0D0D" w:themeColor="text1" w:themeTint="F2"/>
                <w:spacing w:val="-2"/>
              </w:rPr>
              <w:t xml:space="preserve"> korun meziročně)</w:t>
            </w:r>
            <w:r>
              <w:rPr>
                <w:rFonts w:cs="Arial"/>
                <w:color w:val="0D0D0D" w:themeColor="text1" w:themeTint="F2"/>
                <w:spacing w:val="-4"/>
              </w:rPr>
              <w:t xml:space="preserve"> byl nejvíce ovlivněn </w:t>
            </w:r>
            <w:r w:rsidRPr="00751FC1">
              <w:rPr>
                <w:rFonts w:cs="Arial"/>
                <w:color w:val="000000" w:themeColor="text1"/>
                <w:spacing w:val="-2"/>
              </w:rPr>
              <w:t>váhově dominantní položk</w:t>
            </w:r>
            <w:r>
              <w:rPr>
                <w:rFonts w:cs="Arial"/>
                <w:color w:val="000000" w:themeColor="text1"/>
                <w:spacing w:val="-2"/>
              </w:rPr>
              <w:t>ou sociálních dávek (+13,9</w:t>
            </w:r>
            <w:r w:rsidR="006D164C">
              <w:rPr>
                <w:rFonts w:cs="Arial"/>
                <w:color w:val="000000" w:themeColor="text1"/>
                <w:spacing w:val="-2"/>
              </w:rPr>
              <w:t> mld.</w:t>
            </w:r>
            <w:r>
              <w:rPr>
                <w:rFonts w:cs="Arial"/>
                <w:color w:val="000000" w:themeColor="text1"/>
                <w:spacing w:val="-2"/>
              </w:rPr>
              <w:t xml:space="preserve">). K růstu však významně přispěly také </w:t>
            </w:r>
            <w:r>
              <w:rPr>
                <w:bCs/>
                <w:spacing w:val="-2"/>
                <w:szCs w:val="24"/>
              </w:rPr>
              <w:t>neinvestičních transfery</w:t>
            </w:r>
            <w:r w:rsidRPr="00751FC1">
              <w:rPr>
                <w:bCs/>
                <w:spacing w:val="-2"/>
                <w:szCs w:val="24"/>
              </w:rPr>
              <w:t xml:space="preserve"> veřejným rozpočtům územní úrovně</w:t>
            </w:r>
            <w:r>
              <w:rPr>
                <w:bCs/>
                <w:spacing w:val="-2"/>
                <w:szCs w:val="24"/>
              </w:rPr>
              <w:t>, jež meziročně posílily o</w:t>
            </w:r>
            <w:r w:rsidR="005931BF">
              <w:rPr>
                <w:bCs/>
                <w:spacing w:val="-2"/>
                <w:szCs w:val="24"/>
              </w:rPr>
              <w:t> </w:t>
            </w:r>
            <w:r>
              <w:rPr>
                <w:bCs/>
                <w:spacing w:val="-2"/>
                <w:szCs w:val="24"/>
              </w:rPr>
              <w:t>desetinu, resp.</w:t>
            </w:r>
            <w:r w:rsidR="005931BF">
              <w:rPr>
                <w:bCs/>
                <w:spacing w:val="-2"/>
                <w:szCs w:val="24"/>
              </w:rPr>
              <w:t> o </w:t>
            </w:r>
            <w:r>
              <w:rPr>
                <w:bCs/>
                <w:spacing w:val="-2"/>
                <w:szCs w:val="24"/>
              </w:rPr>
              <w:t>10,3</w:t>
            </w:r>
            <w:r w:rsidR="006D164C">
              <w:rPr>
                <w:bCs/>
                <w:spacing w:val="-2"/>
                <w:szCs w:val="24"/>
              </w:rPr>
              <w:t> mld.</w:t>
            </w:r>
            <w:r>
              <w:rPr>
                <w:bCs/>
                <w:spacing w:val="-2"/>
                <w:szCs w:val="24"/>
              </w:rPr>
              <w:t xml:space="preserve"> korun. V těchto výdajích se promítal především růst výdělků pracovníků v regionálním školství</w:t>
            </w:r>
            <w:r>
              <w:rPr>
                <w:rStyle w:val="Znakapoznpodarou"/>
                <w:bCs/>
                <w:spacing w:val="-2"/>
                <w:szCs w:val="24"/>
              </w:rPr>
              <w:footnoteReference w:id="39"/>
            </w:r>
            <w:r>
              <w:rPr>
                <w:bCs/>
                <w:spacing w:val="-2"/>
                <w:szCs w:val="24"/>
              </w:rPr>
              <w:t>. Navýšení bylo patrné také u výdajů na platy státních zaměstnanců (+8,4</w:t>
            </w:r>
            <w:r w:rsidR="005723B7">
              <w:rPr>
                <w:bCs/>
                <w:spacing w:val="-2"/>
                <w:szCs w:val="24"/>
              </w:rPr>
              <w:t> %</w:t>
            </w:r>
            <w:r>
              <w:rPr>
                <w:bCs/>
                <w:spacing w:val="-2"/>
                <w:szCs w:val="24"/>
              </w:rPr>
              <w:t>, o</w:t>
            </w:r>
            <w:r w:rsidR="005931BF">
              <w:rPr>
                <w:bCs/>
                <w:spacing w:val="-2"/>
                <w:szCs w:val="24"/>
              </w:rPr>
              <w:t> </w:t>
            </w:r>
            <w:r>
              <w:rPr>
                <w:bCs/>
                <w:spacing w:val="-2"/>
                <w:szCs w:val="24"/>
              </w:rPr>
              <w:t>rok dříve +3,8</w:t>
            </w:r>
            <w:r w:rsidR="005723B7">
              <w:rPr>
                <w:bCs/>
                <w:spacing w:val="-2"/>
                <w:szCs w:val="24"/>
              </w:rPr>
              <w:t> %</w:t>
            </w:r>
            <w:r>
              <w:rPr>
                <w:bCs/>
                <w:spacing w:val="-2"/>
                <w:szCs w:val="24"/>
              </w:rPr>
              <w:t>). O</w:t>
            </w:r>
            <w:r w:rsidR="005931BF">
              <w:rPr>
                <w:bCs/>
                <w:spacing w:val="-2"/>
                <w:szCs w:val="24"/>
              </w:rPr>
              <w:t> </w:t>
            </w:r>
            <w:r>
              <w:rPr>
                <w:bCs/>
                <w:spacing w:val="-2"/>
                <w:szCs w:val="24"/>
              </w:rPr>
              <w:t>více než čtvrtinu vzrostl meziročně objem neinvestičních transferů podnikatelským subjektům. Tyto transfery z významné části souvisejí s podporou obnovitelných zdrojů energie. Z váhově významnějších položek vydal SR méně jen na neinvestiční transfery státním fondům a také na státní dluh (v</w:t>
            </w:r>
            <w:r w:rsidR="005931BF">
              <w:rPr>
                <w:bCs/>
                <w:spacing w:val="-2"/>
                <w:szCs w:val="24"/>
              </w:rPr>
              <w:t> </w:t>
            </w:r>
            <w:r>
              <w:rPr>
                <w:bCs/>
                <w:spacing w:val="-2"/>
                <w:szCs w:val="24"/>
              </w:rPr>
              <w:t>obou případech vždy o</w:t>
            </w:r>
            <w:r w:rsidR="005931BF">
              <w:rPr>
                <w:bCs/>
                <w:spacing w:val="-2"/>
                <w:szCs w:val="24"/>
              </w:rPr>
              <w:t> </w:t>
            </w:r>
            <w:r>
              <w:rPr>
                <w:bCs/>
                <w:spacing w:val="-2"/>
                <w:szCs w:val="24"/>
              </w:rPr>
              <w:t>necelé 4</w:t>
            </w:r>
            <w:r w:rsidR="006D164C">
              <w:rPr>
                <w:bCs/>
                <w:spacing w:val="-2"/>
                <w:szCs w:val="24"/>
              </w:rPr>
              <w:t> mld.</w:t>
            </w:r>
            <w:r>
              <w:rPr>
                <w:bCs/>
                <w:spacing w:val="-2"/>
                <w:szCs w:val="24"/>
              </w:rPr>
              <w:t xml:space="preserve"> korun). Čisté výdaje na státní dluh dosáhly za tři čtvrtletí 33,8</w:t>
            </w:r>
            <w:r w:rsidR="006D164C">
              <w:rPr>
                <w:bCs/>
                <w:spacing w:val="-2"/>
                <w:szCs w:val="24"/>
              </w:rPr>
              <w:t> mld.</w:t>
            </w:r>
            <w:r>
              <w:rPr>
                <w:bCs/>
                <w:spacing w:val="-2"/>
                <w:szCs w:val="24"/>
              </w:rPr>
              <w:t xml:space="preserve"> korun a</w:t>
            </w:r>
            <w:r w:rsidRPr="009F23BE">
              <w:rPr>
                <w:rFonts w:cs="Arial"/>
                <w:color w:val="0D0D0D" w:themeColor="text1" w:themeTint="F2"/>
                <w:spacing w:val="-4"/>
              </w:rPr>
              <w:t> </w:t>
            </w:r>
            <w:r>
              <w:rPr>
                <w:bCs/>
                <w:spacing w:val="-2"/>
                <w:szCs w:val="24"/>
              </w:rPr>
              <w:t>klesaly již čtvrtým rokem v řadě, v úhrnu tak byly nižší o 24</w:t>
            </w:r>
            <w:r w:rsidR="005723B7">
              <w:rPr>
                <w:bCs/>
                <w:spacing w:val="-2"/>
                <w:szCs w:val="24"/>
              </w:rPr>
              <w:t> %</w:t>
            </w:r>
            <w:r>
              <w:rPr>
                <w:bCs/>
                <w:spacing w:val="-2"/>
                <w:szCs w:val="24"/>
              </w:rPr>
              <w:t>. Za poklesem stály nižší úrokové sazby na trhu se státními dluhopisy a také slabší výpůjční potřeba státu (vlivem zlepšování salda hospodaření</w:t>
            </w:r>
            <w:r w:rsidR="005931BF">
              <w:rPr>
                <w:bCs/>
                <w:spacing w:val="-2"/>
                <w:szCs w:val="24"/>
              </w:rPr>
              <w:t> </w:t>
            </w:r>
            <w:r>
              <w:rPr>
                <w:bCs/>
                <w:spacing w:val="-2"/>
                <w:szCs w:val="24"/>
              </w:rPr>
              <w:t xml:space="preserve">SR). </w:t>
            </w:r>
          </w:p>
          <w:p w:rsidR="00490B20" w:rsidRPr="00BB4331" w:rsidRDefault="00490B20" w:rsidP="00876058">
            <w:pPr>
              <w:pStyle w:val="Textpoznpodarou"/>
              <w:jc w:val="both"/>
              <w:rPr>
                <w:rFonts w:cs="Arial"/>
                <w:color w:val="0D0D0D" w:themeColor="text1" w:themeTint="F2"/>
                <w:spacing w:val="-2"/>
                <w:sz w:val="15"/>
                <w:szCs w:val="15"/>
              </w:rPr>
            </w:pPr>
          </w:p>
        </w:tc>
      </w:tr>
      <w:tr w:rsidR="00490B20" w:rsidRPr="00F06A1D" w:rsidTr="00876058">
        <w:trPr>
          <w:trHeight w:val="145"/>
        </w:trPr>
        <w:tc>
          <w:tcPr>
            <w:tcW w:w="1016" w:type="pct"/>
            <w:shd w:val="clear" w:color="auto" w:fill="auto"/>
          </w:tcPr>
          <w:p w:rsidR="00490B20" w:rsidRPr="00697C49" w:rsidRDefault="00490B20" w:rsidP="00876058">
            <w:pPr>
              <w:spacing w:line="240" w:lineRule="auto"/>
              <w:rPr>
                <w:rFonts w:cs="Arial"/>
                <w:bCs/>
                <w:iCs/>
                <w:color w:val="0D0D0D" w:themeColor="text1" w:themeTint="F2"/>
                <w:spacing w:val="-4"/>
                <w:sz w:val="16"/>
                <w:szCs w:val="16"/>
              </w:rPr>
            </w:pPr>
            <w:r w:rsidRPr="00697C49">
              <w:rPr>
                <w:rFonts w:cs="Arial"/>
                <w:bCs/>
                <w:iCs/>
                <w:color w:val="0D0D0D" w:themeColor="text1" w:themeTint="F2"/>
                <w:spacing w:val="-4"/>
                <w:sz w:val="16"/>
                <w:szCs w:val="16"/>
              </w:rPr>
              <w:t xml:space="preserve">Přestože výdaje na důchody rostly nejsilněji za posledních šest let, deficit salda důchodového účtu se zredukoval na </w:t>
            </w:r>
            <w:r w:rsidRPr="00697C49">
              <w:rPr>
                <w:rFonts w:cs="Arial"/>
                <w:bCs/>
                <w:iCs/>
                <w:color w:val="0D0D0D" w:themeColor="text1" w:themeTint="F2"/>
                <w:spacing w:val="-4"/>
                <w:sz w:val="16"/>
                <w:szCs w:val="16"/>
              </w:rPr>
              <w:lastRenderedPageBreak/>
              <w:t>nejnižší hodnotu po roce 2008.</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AF0863" w:rsidRDefault="00490B20" w:rsidP="00876058">
            <w:pPr>
              <w:pStyle w:val="Textpoznpodarou"/>
              <w:jc w:val="both"/>
              <w:rPr>
                <w:rFonts w:cs="Arial"/>
                <w:color w:val="0D0D0D" w:themeColor="text1" w:themeTint="F2"/>
                <w:spacing w:val="-2"/>
              </w:rPr>
            </w:pPr>
            <w:r>
              <w:rPr>
                <w:rFonts w:cs="Arial"/>
                <w:color w:val="0D0D0D" w:themeColor="text1" w:themeTint="F2"/>
                <w:spacing w:val="-2"/>
              </w:rPr>
              <w:t>Na sociální dávky směřovalo v 1. až 3</w:t>
            </w:r>
            <w:r w:rsidR="005723B7">
              <w:rPr>
                <w:rFonts w:cs="Arial"/>
                <w:color w:val="0D0D0D" w:themeColor="text1" w:themeTint="F2"/>
                <w:spacing w:val="-2"/>
              </w:rPr>
              <w:t>. čtvrtletí</w:t>
            </w:r>
            <w:r>
              <w:rPr>
                <w:rFonts w:cs="Arial"/>
                <w:color w:val="0D0D0D" w:themeColor="text1" w:themeTint="F2"/>
                <w:spacing w:val="-2"/>
              </w:rPr>
              <w:t xml:space="preserve"> 43,0</w:t>
            </w:r>
            <w:r w:rsidR="005723B7">
              <w:rPr>
                <w:rFonts w:cs="Arial"/>
                <w:color w:val="0D0D0D" w:themeColor="text1" w:themeTint="F2"/>
                <w:spacing w:val="-2"/>
              </w:rPr>
              <w:t> %</w:t>
            </w:r>
            <w:r>
              <w:rPr>
                <w:rFonts w:cs="Arial"/>
                <w:color w:val="0D0D0D" w:themeColor="text1" w:themeTint="F2"/>
                <w:spacing w:val="-2"/>
              </w:rPr>
              <w:t xml:space="preserve"> veškerých výdajů</w:t>
            </w:r>
            <w:r w:rsidR="005931BF">
              <w:rPr>
                <w:rFonts w:cs="Arial"/>
                <w:color w:val="0D0D0D" w:themeColor="text1" w:themeTint="F2"/>
                <w:spacing w:val="-2"/>
              </w:rPr>
              <w:t> </w:t>
            </w:r>
            <w:r>
              <w:rPr>
                <w:rFonts w:cs="Arial"/>
                <w:color w:val="0D0D0D" w:themeColor="text1" w:themeTint="F2"/>
                <w:spacing w:val="-2"/>
              </w:rPr>
              <w:t>SR (meziročně o 0,4</w:t>
            </w:r>
            <w:r w:rsidR="00CE0849">
              <w:rPr>
                <w:rFonts w:cs="Arial"/>
                <w:color w:val="0D0D0D" w:themeColor="text1" w:themeTint="F2"/>
                <w:spacing w:val="-2"/>
              </w:rPr>
              <w:t> p. </w:t>
            </w:r>
            <w:proofErr w:type="spellStart"/>
            <w:r w:rsidR="00CE0849">
              <w:rPr>
                <w:rFonts w:cs="Arial"/>
                <w:color w:val="0D0D0D" w:themeColor="text1" w:themeTint="F2"/>
                <w:spacing w:val="-2"/>
              </w:rPr>
              <w:t>b</w:t>
            </w:r>
            <w:proofErr w:type="spellEnd"/>
            <w:r w:rsidR="00CE0849">
              <w:rPr>
                <w:rFonts w:cs="Arial"/>
                <w:color w:val="0D0D0D" w:themeColor="text1" w:themeTint="F2"/>
                <w:spacing w:val="-2"/>
              </w:rPr>
              <w:t>.</w:t>
            </w:r>
            <w:r>
              <w:rPr>
                <w:rFonts w:cs="Arial"/>
                <w:color w:val="0D0D0D" w:themeColor="text1" w:themeTint="F2"/>
                <w:spacing w:val="-2"/>
              </w:rPr>
              <w:t xml:space="preserve"> </w:t>
            </w:r>
            <w:proofErr w:type="gramStart"/>
            <w:r>
              <w:rPr>
                <w:rFonts w:cs="Arial"/>
                <w:color w:val="0D0D0D" w:themeColor="text1" w:themeTint="F2"/>
                <w:spacing w:val="-2"/>
              </w:rPr>
              <w:t>méně</w:t>
            </w:r>
            <w:proofErr w:type="gramEnd"/>
            <w:r>
              <w:rPr>
                <w:rFonts w:cs="Arial"/>
                <w:color w:val="0D0D0D" w:themeColor="text1" w:themeTint="F2"/>
                <w:spacing w:val="-2"/>
              </w:rPr>
              <w:t>). V rámci sociálních dávek tvořily více než tři čtvrtiny výdaje na důchody, jejichž tempo se zvyšovalo již čtvrtým rokem v řadě (až na 4,1</w:t>
            </w:r>
            <w:r w:rsidR="005723B7">
              <w:rPr>
                <w:bCs/>
                <w:spacing w:val="-2"/>
                <w:szCs w:val="24"/>
              </w:rPr>
              <w:t> %</w:t>
            </w:r>
            <w:r>
              <w:rPr>
                <w:rFonts w:cs="Arial"/>
                <w:color w:val="0D0D0D" w:themeColor="text1" w:themeTint="F2"/>
                <w:spacing w:val="-2"/>
              </w:rPr>
              <w:t xml:space="preserve">). V rostoucím tempu se letos projevil vliv </w:t>
            </w:r>
            <w:r w:rsidRPr="00751FC1">
              <w:rPr>
                <w:rFonts w:cs="Arial"/>
                <w:color w:val="0D0D0D" w:themeColor="text1" w:themeTint="F2"/>
                <w:spacing w:val="-4"/>
              </w:rPr>
              <w:t xml:space="preserve">nové legislativní úpravy umožňující </w:t>
            </w:r>
            <w:r w:rsidRPr="00751FC1">
              <w:rPr>
                <w:rFonts w:cs="Arial"/>
                <w:color w:val="0D0D0D" w:themeColor="text1" w:themeTint="F2"/>
                <w:spacing w:val="-4"/>
              </w:rPr>
              <w:lastRenderedPageBreak/>
              <w:t>zvýšit důchody nad rámec standardní valorizace.</w:t>
            </w:r>
            <w:r>
              <w:rPr>
                <w:rFonts w:cs="Arial"/>
                <w:color w:val="0D0D0D" w:themeColor="text1" w:themeTint="F2"/>
                <w:spacing w:val="-4"/>
              </w:rPr>
              <w:t xml:space="preserve"> Naopak jen minimální vliv na objem výdajů měl počet příjemců důchodů (+0,1</w:t>
            </w:r>
            <w:r w:rsidR="005723B7">
              <w:rPr>
                <w:rFonts w:cs="Arial"/>
                <w:color w:val="0D0D0D" w:themeColor="text1" w:themeTint="F2"/>
                <w:spacing w:val="-4"/>
              </w:rPr>
              <w:t> %</w:t>
            </w:r>
            <w:r>
              <w:rPr>
                <w:rFonts w:cs="Arial"/>
                <w:color w:val="0D0D0D" w:themeColor="text1" w:themeTint="F2"/>
                <w:spacing w:val="-4"/>
              </w:rPr>
              <w:t xml:space="preserve"> meziročně), neboť mírně vyšší četnost starobních důchodců (+0,4</w:t>
            </w:r>
            <w:r w:rsidR="005723B7">
              <w:rPr>
                <w:rFonts w:cs="Arial"/>
                <w:color w:val="0D0D0D" w:themeColor="text1" w:themeTint="F2"/>
                <w:spacing w:val="-4"/>
              </w:rPr>
              <w:t> %</w:t>
            </w:r>
            <w:r>
              <w:rPr>
                <w:rFonts w:cs="Arial"/>
                <w:color w:val="0D0D0D" w:themeColor="text1" w:themeTint="F2"/>
                <w:spacing w:val="-4"/>
              </w:rPr>
              <w:t>) byla kompenzována redukcí počtu</w:t>
            </w:r>
            <w:r w:rsidRPr="00751FC1">
              <w:rPr>
                <w:rFonts w:cs="Arial"/>
                <w:color w:val="0D0D0D" w:themeColor="text1" w:themeTint="F2"/>
                <w:spacing w:val="-4"/>
              </w:rPr>
              <w:t xml:space="preserve"> všech ostatních kategorií důchod</w:t>
            </w:r>
            <w:r>
              <w:rPr>
                <w:rFonts w:cs="Arial"/>
                <w:color w:val="0D0D0D" w:themeColor="text1" w:themeTint="F2"/>
                <w:spacing w:val="-4"/>
              </w:rPr>
              <w:t>c</w:t>
            </w:r>
            <w:r w:rsidRPr="00751FC1">
              <w:rPr>
                <w:rFonts w:cs="Arial"/>
                <w:color w:val="0D0D0D" w:themeColor="text1" w:themeTint="F2"/>
                <w:spacing w:val="-4"/>
              </w:rPr>
              <w:t>ů</w:t>
            </w:r>
            <w:r>
              <w:rPr>
                <w:rFonts w:cs="Arial"/>
                <w:color w:val="0D0D0D" w:themeColor="text1" w:themeTint="F2"/>
                <w:spacing w:val="-4"/>
              </w:rPr>
              <w:t xml:space="preserve">. Pokračoval pozitivní trend redukce </w:t>
            </w:r>
            <w:r w:rsidRPr="00751FC1">
              <w:rPr>
                <w:rFonts w:cs="Arial"/>
                <w:color w:val="0D0D0D" w:themeColor="text1" w:themeTint="F2"/>
                <w:spacing w:val="-4"/>
              </w:rPr>
              <w:t>deficit</w:t>
            </w:r>
            <w:r>
              <w:rPr>
                <w:rFonts w:cs="Arial"/>
                <w:color w:val="0D0D0D" w:themeColor="text1" w:themeTint="F2"/>
                <w:spacing w:val="-4"/>
              </w:rPr>
              <w:t>u</w:t>
            </w:r>
            <w:r w:rsidRPr="00751FC1">
              <w:rPr>
                <w:rFonts w:cs="Arial"/>
                <w:color w:val="0D0D0D" w:themeColor="text1" w:themeTint="F2"/>
                <w:spacing w:val="-4"/>
              </w:rPr>
              <w:t xml:space="preserve"> důchodového účtu</w:t>
            </w:r>
            <w:r w:rsidRPr="00751FC1">
              <w:rPr>
                <w:rStyle w:val="Znakapoznpodarou"/>
                <w:color w:val="0D0D0D" w:themeColor="text1" w:themeTint="F2"/>
                <w:spacing w:val="-4"/>
              </w:rPr>
              <w:footnoteReference w:id="40"/>
            </w:r>
            <w:r>
              <w:rPr>
                <w:rFonts w:cs="Arial"/>
                <w:color w:val="0D0D0D" w:themeColor="text1" w:themeTint="F2"/>
                <w:spacing w:val="-4"/>
              </w:rPr>
              <w:t>,</w:t>
            </w:r>
            <w:r w:rsidRPr="00751FC1">
              <w:rPr>
                <w:rFonts w:cs="Arial"/>
                <w:color w:val="0D0D0D" w:themeColor="text1" w:themeTint="F2"/>
                <w:spacing w:val="-4"/>
              </w:rPr>
              <w:t xml:space="preserve"> </w:t>
            </w:r>
            <w:r>
              <w:rPr>
                <w:rFonts w:cs="Arial"/>
                <w:color w:val="0D0D0D" w:themeColor="text1" w:themeTint="F2"/>
                <w:spacing w:val="-4"/>
              </w:rPr>
              <w:t>jenž za tři letošní čtvrtletí dosáhl necelých 4</w:t>
            </w:r>
            <w:r w:rsidR="006D164C">
              <w:rPr>
                <w:rFonts w:cs="Arial"/>
                <w:color w:val="0D0D0D" w:themeColor="text1" w:themeTint="F2"/>
                <w:spacing w:val="-4"/>
              </w:rPr>
              <w:t> mld.</w:t>
            </w:r>
            <w:r>
              <w:rPr>
                <w:rFonts w:cs="Arial"/>
                <w:color w:val="0D0D0D" w:themeColor="text1" w:themeTint="F2"/>
                <w:spacing w:val="-4"/>
              </w:rPr>
              <w:t xml:space="preserve"> </w:t>
            </w:r>
            <w:r w:rsidR="005931BF">
              <w:rPr>
                <w:rFonts w:cs="Arial"/>
                <w:color w:val="0D0D0D" w:themeColor="text1" w:themeTint="F2"/>
                <w:spacing w:val="-4"/>
              </w:rPr>
              <w:t>K</w:t>
            </w:r>
            <w:r>
              <w:rPr>
                <w:rFonts w:cs="Arial"/>
                <w:color w:val="0D0D0D" w:themeColor="text1" w:themeTint="F2"/>
                <w:spacing w:val="-4"/>
              </w:rPr>
              <w:t>orun</w:t>
            </w:r>
            <w:r w:rsidR="005931BF">
              <w:rPr>
                <w:rFonts w:cs="Arial"/>
                <w:color w:val="0D0D0D" w:themeColor="text1" w:themeTint="F2"/>
                <w:spacing w:val="-4"/>
              </w:rPr>
              <w:t>,</w:t>
            </w:r>
            <w:r>
              <w:rPr>
                <w:rFonts w:cs="Arial"/>
                <w:color w:val="0D0D0D" w:themeColor="text1" w:themeTint="F2"/>
                <w:spacing w:val="-4"/>
              </w:rPr>
              <w:t xml:space="preserve"> a byl tak nejnižší po roce 2008 (v samotném 3</w:t>
            </w:r>
            <w:r w:rsidR="005723B7">
              <w:rPr>
                <w:rFonts w:cs="Arial"/>
                <w:color w:val="0D0D0D" w:themeColor="text1" w:themeTint="F2"/>
                <w:spacing w:val="-4"/>
              </w:rPr>
              <w:t>. čtvrtletí</w:t>
            </w:r>
            <w:r>
              <w:rPr>
                <w:rFonts w:cs="Arial"/>
                <w:color w:val="0D0D0D" w:themeColor="text1" w:themeTint="F2"/>
                <w:spacing w:val="-4"/>
              </w:rPr>
              <w:t xml:space="preserve"> skončil dokonce mírným přebytkem ve výši necelých 3</w:t>
            </w:r>
            <w:r w:rsidR="006D164C">
              <w:rPr>
                <w:rFonts w:cs="Arial"/>
                <w:color w:val="0D0D0D" w:themeColor="text1" w:themeTint="F2"/>
                <w:spacing w:val="-4"/>
              </w:rPr>
              <w:t> mld.</w:t>
            </w:r>
            <w:r>
              <w:rPr>
                <w:rFonts w:cs="Arial"/>
                <w:color w:val="0D0D0D" w:themeColor="text1" w:themeTint="F2"/>
                <w:spacing w:val="-4"/>
              </w:rPr>
              <w:t xml:space="preserve"> korun). </w:t>
            </w:r>
            <w:r w:rsidR="005931BF">
              <w:rPr>
                <w:rFonts w:cs="Arial"/>
                <w:color w:val="0D0D0D" w:themeColor="text1" w:themeTint="F2"/>
                <w:spacing w:val="-4"/>
              </w:rPr>
              <w:t>Op</w:t>
            </w:r>
            <w:r>
              <w:rPr>
                <w:rFonts w:cs="Arial"/>
                <w:color w:val="0D0D0D" w:themeColor="text1" w:themeTint="F2"/>
                <w:spacing w:val="-4"/>
              </w:rPr>
              <w:t>roti stejnému období loňského roku bylo saldo příznivější o více než 10</w:t>
            </w:r>
            <w:r w:rsidR="006D164C">
              <w:rPr>
                <w:rFonts w:cs="Arial"/>
                <w:color w:val="0D0D0D" w:themeColor="text1" w:themeTint="F2"/>
                <w:spacing w:val="-4"/>
              </w:rPr>
              <w:t> mld.</w:t>
            </w:r>
            <w:r>
              <w:rPr>
                <w:rFonts w:cs="Arial"/>
                <w:color w:val="0D0D0D" w:themeColor="text1" w:themeTint="F2"/>
                <w:spacing w:val="-4"/>
              </w:rPr>
              <w:t xml:space="preserve"> korun. Klíčovou roli v tomto ohledu sehrál dynamický výběr pojistného, jenž odráží příznivou situaci na pracovním trhu. Tempo výběru pojistného na důchody se přitom v</w:t>
            </w:r>
            <w:r>
              <w:rPr>
                <w:bCs/>
                <w:spacing w:val="-2"/>
                <w:szCs w:val="24"/>
              </w:rPr>
              <w:t> </w:t>
            </w:r>
            <w:r>
              <w:rPr>
                <w:rFonts w:cs="Arial"/>
                <w:color w:val="0D0D0D" w:themeColor="text1" w:themeTint="F2"/>
                <w:spacing w:val="-4"/>
              </w:rPr>
              <w:t>průběhu roku 2017 nadále navyšovalo. V</w:t>
            </w:r>
            <w:r w:rsidR="005931BF">
              <w:rPr>
                <w:rFonts w:cs="Arial"/>
                <w:color w:val="0D0D0D" w:themeColor="text1" w:themeTint="F2"/>
                <w:spacing w:val="-4"/>
              </w:rPr>
              <w:t> </w:t>
            </w:r>
            <w:r>
              <w:rPr>
                <w:rFonts w:cs="Arial"/>
                <w:color w:val="0D0D0D" w:themeColor="text1" w:themeTint="F2"/>
                <w:spacing w:val="-4"/>
              </w:rPr>
              <w:t>1</w:t>
            </w:r>
            <w:r w:rsidR="005723B7">
              <w:rPr>
                <w:rFonts w:cs="Arial"/>
                <w:color w:val="0D0D0D" w:themeColor="text1" w:themeTint="F2"/>
                <w:spacing w:val="-4"/>
              </w:rPr>
              <w:t>.</w:t>
            </w:r>
            <w:r w:rsidR="005931BF">
              <w:rPr>
                <w:rFonts w:cs="Arial"/>
                <w:color w:val="0D0D0D" w:themeColor="text1" w:themeTint="F2"/>
                <w:spacing w:val="-4"/>
              </w:rPr>
              <w:t> </w:t>
            </w:r>
            <w:r w:rsidR="005723B7">
              <w:rPr>
                <w:rFonts w:cs="Arial"/>
                <w:color w:val="0D0D0D" w:themeColor="text1" w:themeTint="F2"/>
                <w:spacing w:val="-4"/>
              </w:rPr>
              <w:t>čtvrtletí</w:t>
            </w:r>
            <w:r>
              <w:rPr>
                <w:rFonts w:cs="Arial"/>
                <w:color w:val="0D0D0D" w:themeColor="text1" w:themeTint="F2"/>
                <w:spacing w:val="-4"/>
              </w:rPr>
              <w:t xml:space="preserve"> činilo meziročně 6,6</w:t>
            </w:r>
            <w:r w:rsidR="005723B7">
              <w:rPr>
                <w:rFonts w:cs="Arial"/>
                <w:color w:val="0D0D0D" w:themeColor="text1" w:themeTint="F2"/>
                <w:spacing w:val="-4"/>
              </w:rPr>
              <w:t> %</w:t>
            </w:r>
            <w:r>
              <w:rPr>
                <w:rFonts w:cs="Arial"/>
                <w:color w:val="0D0D0D" w:themeColor="text1" w:themeTint="F2"/>
                <w:spacing w:val="-4"/>
              </w:rPr>
              <w:t>, ve 3</w:t>
            </w:r>
            <w:r w:rsidR="005723B7">
              <w:rPr>
                <w:rFonts w:cs="Arial"/>
                <w:color w:val="0D0D0D" w:themeColor="text1" w:themeTint="F2"/>
                <w:spacing w:val="-4"/>
              </w:rPr>
              <w:t>. čtvrtletí</w:t>
            </w:r>
            <w:r>
              <w:rPr>
                <w:rFonts w:cs="Arial"/>
                <w:color w:val="0D0D0D" w:themeColor="text1" w:themeTint="F2"/>
                <w:spacing w:val="-4"/>
              </w:rPr>
              <w:t xml:space="preserve"> již vysokých 8,2</w:t>
            </w:r>
            <w:r w:rsidR="005723B7">
              <w:rPr>
                <w:rFonts w:cs="Arial"/>
                <w:color w:val="0D0D0D" w:themeColor="text1" w:themeTint="F2"/>
                <w:spacing w:val="-4"/>
              </w:rPr>
              <w:t> %</w:t>
            </w:r>
            <w:r>
              <w:rPr>
                <w:rFonts w:cs="Arial"/>
                <w:color w:val="0D0D0D" w:themeColor="text1" w:themeTint="F2"/>
                <w:spacing w:val="-4"/>
              </w:rPr>
              <w:t xml:space="preserve">. </w:t>
            </w:r>
          </w:p>
        </w:tc>
      </w:tr>
    </w:tbl>
    <w:p w:rsidR="00490B20" w:rsidRDefault="00490B20" w:rsidP="00490B20">
      <w:pPr>
        <w:pStyle w:val="Textpoznpodarou"/>
        <w:jc w:val="both"/>
        <w:rPr>
          <w:rFonts w:cs="Arial"/>
          <w:color w:val="000000"/>
          <w:spacing w:val="-2"/>
          <w:sz w:val="15"/>
          <w:szCs w:val="15"/>
        </w:rPr>
      </w:pPr>
    </w:p>
    <w:tbl>
      <w:tblPr>
        <w:tblW w:w="4963" w:type="pct"/>
        <w:tblInd w:w="108" w:type="dxa"/>
        <w:tblLayout w:type="fixed"/>
        <w:tblCellMar>
          <w:left w:w="57" w:type="dxa"/>
          <w:right w:w="0" w:type="dxa"/>
        </w:tblCellMar>
        <w:tblLook w:val="00A0"/>
      </w:tblPr>
      <w:tblGrid>
        <w:gridCol w:w="1965"/>
        <w:gridCol w:w="279"/>
        <w:gridCol w:w="1103"/>
        <w:gridCol w:w="6276"/>
      </w:tblGrid>
      <w:tr w:rsidR="00490B20" w:rsidRPr="00AA4A76" w:rsidTr="001356FC">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3" w:type="pct"/>
          </w:tcPr>
          <w:p w:rsidR="00490B20" w:rsidRPr="00177BD8" w:rsidRDefault="00490B20" w:rsidP="00876058">
            <w:pPr>
              <w:pStyle w:val="Textpoznpodarou"/>
              <w:jc w:val="both"/>
              <w:rPr>
                <w:spacing w:val="-4"/>
                <w:highlight w:val="yellow"/>
              </w:rPr>
            </w:pPr>
            <w:r>
              <w:rPr>
                <w:color w:val="000000"/>
                <w:spacing w:val="-4"/>
              </w:rPr>
              <w:t>Graf</w:t>
            </w:r>
            <w:r w:rsidR="00A36226">
              <w:rPr>
                <w:color w:val="000000"/>
                <w:spacing w:val="-4"/>
              </w:rPr>
              <w:t xml:space="preserve"> </w:t>
            </w:r>
            <w:r w:rsidR="00CC21A6">
              <w:rPr>
                <w:color w:val="000000"/>
                <w:spacing w:val="-4"/>
              </w:rPr>
              <w:t>č. </w:t>
            </w:r>
            <w:r w:rsidRPr="00177BD8">
              <w:rPr>
                <w:color w:val="000000"/>
                <w:spacing w:val="-4"/>
              </w:rPr>
              <w:t>2</w:t>
            </w:r>
            <w:r w:rsidR="001356FC">
              <w:rPr>
                <w:color w:val="000000"/>
                <w:spacing w:val="-4"/>
              </w:rPr>
              <w:t>0</w:t>
            </w:r>
          </w:p>
        </w:tc>
        <w:tc>
          <w:tcPr>
            <w:tcW w:w="3261" w:type="pct"/>
          </w:tcPr>
          <w:p w:rsidR="00490B20" w:rsidRPr="001356FC" w:rsidRDefault="00490B20" w:rsidP="00876058">
            <w:pPr>
              <w:spacing w:line="240" w:lineRule="auto"/>
              <w:rPr>
                <w:rFonts w:cs="Arial"/>
                <w:b/>
                <w:bCs/>
                <w:spacing w:val="-4"/>
              </w:rPr>
            </w:pPr>
            <w:r w:rsidRPr="001356FC">
              <w:rPr>
                <w:rFonts w:cs="Arial"/>
                <w:b/>
                <w:bCs/>
                <w:spacing w:val="-4"/>
              </w:rPr>
              <w:t>Příjemci důchodů</w:t>
            </w:r>
            <w:r w:rsidRPr="001356FC">
              <w:rPr>
                <w:rFonts w:cs="Arial"/>
                <w:bCs/>
                <w:spacing w:val="-4"/>
              </w:rPr>
              <w:t>,</w:t>
            </w:r>
            <w:r w:rsidRPr="001356FC">
              <w:rPr>
                <w:rFonts w:cs="Arial"/>
                <w:b/>
                <w:bCs/>
                <w:spacing w:val="-4"/>
              </w:rPr>
              <w:t xml:space="preserve"> příjmy i výdaje na důchody ze SR </w:t>
            </w:r>
            <w:r w:rsidRPr="001356FC">
              <w:rPr>
                <w:rFonts w:cs="Arial"/>
                <w:bCs/>
                <w:spacing w:val="-4"/>
              </w:rPr>
              <w:t>(</w:t>
            </w:r>
            <w:r w:rsidRPr="001356FC">
              <w:rPr>
                <w:spacing w:val="-4"/>
              </w:rPr>
              <w:t>meziročně</w:t>
            </w:r>
            <w:r w:rsidRPr="001356FC">
              <w:rPr>
                <w:bCs/>
                <w:spacing w:val="-4"/>
              </w:rPr>
              <w:t xml:space="preserve"> v</w:t>
            </w:r>
            <w:r w:rsidR="005723B7" w:rsidRPr="001356FC">
              <w:rPr>
                <w:bCs/>
                <w:spacing w:val="-4"/>
              </w:rPr>
              <w:t> %</w:t>
            </w:r>
            <w:r w:rsidRPr="001356FC">
              <w:rPr>
                <w:bCs/>
                <w:spacing w:val="-4"/>
              </w:rPr>
              <w:t>)</w:t>
            </w:r>
            <w:r w:rsidRPr="001356FC">
              <w:rPr>
                <w:rFonts w:cs="Arial"/>
                <w:bCs/>
                <w:spacing w:val="-4"/>
              </w:rPr>
              <w:t xml:space="preserve"> </w:t>
            </w:r>
            <w:r w:rsidRPr="001356FC">
              <w:rPr>
                <w:rFonts w:cs="Arial"/>
                <w:b/>
                <w:bCs/>
                <w:spacing w:val="-4"/>
              </w:rPr>
              <w:t>a bilance důchodového účtu v 1. až 3</w:t>
            </w:r>
            <w:r w:rsidR="005723B7" w:rsidRPr="001356FC">
              <w:rPr>
                <w:rFonts w:cs="Arial"/>
                <w:b/>
                <w:bCs/>
                <w:spacing w:val="-4"/>
              </w:rPr>
              <w:t>. čtvrtletí</w:t>
            </w:r>
            <w:r w:rsidRPr="001356FC">
              <w:rPr>
                <w:rFonts w:cs="Arial"/>
                <w:b/>
                <w:bCs/>
                <w:spacing w:val="-4"/>
              </w:rPr>
              <w:t xml:space="preserve">ch roku </w:t>
            </w:r>
            <w:r w:rsidRPr="001356FC">
              <w:rPr>
                <w:rFonts w:cs="Arial"/>
                <w:bCs/>
                <w:spacing w:val="-4"/>
              </w:rPr>
              <w:t>(v</w:t>
            </w:r>
            <w:r w:rsidR="006D164C" w:rsidRPr="001356FC">
              <w:rPr>
                <w:rFonts w:cs="Arial"/>
                <w:bCs/>
                <w:spacing w:val="-4"/>
              </w:rPr>
              <w:t> mld.</w:t>
            </w:r>
            <w:r w:rsidRPr="001356FC">
              <w:rPr>
                <w:rFonts w:cs="Arial"/>
                <w:bCs/>
                <w:spacing w:val="-4"/>
              </w:rPr>
              <w:t xml:space="preserve"> korun)</w:t>
            </w:r>
          </w:p>
        </w:tc>
      </w:tr>
      <w:tr w:rsidR="00490B20" w:rsidRPr="00AA4A76" w:rsidTr="001356FC">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4" w:type="pct"/>
            <w:gridSpan w:val="2"/>
          </w:tcPr>
          <w:p w:rsidR="00490B20" w:rsidRDefault="0076536E" w:rsidP="00876058">
            <w:pPr>
              <w:pStyle w:val="Textpoznpodarou"/>
              <w:ind w:left="-124"/>
              <w:jc w:val="both"/>
              <w:rPr>
                <w:sz w:val="16"/>
                <w:szCs w:val="16"/>
              </w:rPr>
            </w:pPr>
            <w:r w:rsidRPr="0076536E">
              <w:rPr>
                <w:sz w:val="16"/>
                <w:szCs w:val="16"/>
              </w:rPr>
              <w:drawing>
                <wp:inline distT="0" distB="0" distL="0" distR="0">
                  <wp:extent cx="4752000" cy="3528000"/>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90B20" w:rsidRPr="006D67AC" w:rsidRDefault="0076536E" w:rsidP="00876058">
            <w:pPr>
              <w:autoSpaceDE w:val="0"/>
              <w:autoSpaceDN w:val="0"/>
              <w:adjustRightInd w:val="0"/>
              <w:spacing w:line="240" w:lineRule="auto"/>
              <w:rPr>
                <w:rFonts w:cs="Arial"/>
                <w:sz w:val="14"/>
                <w:szCs w:val="14"/>
              </w:rPr>
            </w:pPr>
            <w:r>
              <w:rPr>
                <w:rFonts w:cs="Arial"/>
                <w:sz w:val="14"/>
                <w:szCs w:val="14"/>
              </w:rPr>
              <w:t>*Jde o s</w:t>
            </w:r>
            <w:r w:rsidRPr="006D67AC">
              <w:rPr>
                <w:rFonts w:cs="Arial"/>
                <w:sz w:val="14"/>
                <w:szCs w:val="14"/>
              </w:rPr>
              <w:t>tarobní důchod přiznaný před dosažením důchodového v</w:t>
            </w:r>
            <w:r>
              <w:rPr>
                <w:rFonts w:cs="Arial"/>
                <w:sz w:val="14"/>
                <w:szCs w:val="14"/>
              </w:rPr>
              <w:t xml:space="preserve">ěku a krácený za předčasnost </w:t>
            </w:r>
            <w:r w:rsidRPr="006D67AC">
              <w:rPr>
                <w:rFonts w:cs="Arial"/>
                <w:sz w:val="14"/>
                <w:szCs w:val="14"/>
              </w:rPr>
              <w:t>po celou dobu pobí</w:t>
            </w:r>
            <w:r>
              <w:rPr>
                <w:rFonts w:cs="Arial"/>
                <w:sz w:val="14"/>
                <w:szCs w:val="14"/>
              </w:rPr>
              <w:t xml:space="preserve">rání důchodu.                                                                                                                                    </w:t>
            </w:r>
            <w:r w:rsidRPr="007E5880">
              <w:rPr>
                <w:sz w:val="14"/>
                <w:szCs w:val="14"/>
              </w:rPr>
              <w:t>Zdroj: MF, ČSSZ</w:t>
            </w:r>
          </w:p>
        </w:tc>
      </w:tr>
    </w:tbl>
    <w:p w:rsidR="00490B20" w:rsidRDefault="00490B20" w:rsidP="00490B20">
      <w:pPr>
        <w:pStyle w:val="Textpoznpodarou"/>
        <w:jc w:val="both"/>
        <w:rPr>
          <w:rFonts w:cs="Arial"/>
          <w:color w:val="000000"/>
          <w:spacing w:val="-2"/>
          <w:sz w:val="15"/>
          <w:szCs w:val="15"/>
        </w:rPr>
      </w:pPr>
    </w:p>
    <w:tbl>
      <w:tblPr>
        <w:tblW w:w="4995" w:type="pct"/>
        <w:tblInd w:w="108" w:type="dxa"/>
        <w:tblLayout w:type="fixed"/>
        <w:tblLook w:val="00A0"/>
      </w:tblPr>
      <w:tblGrid>
        <w:gridCol w:w="2000"/>
        <w:gridCol w:w="284"/>
        <w:gridCol w:w="7560"/>
      </w:tblGrid>
      <w:tr w:rsidR="00490B20" w:rsidRPr="00BB4331" w:rsidTr="00876058">
        <w:trPr>
          <w:trHeight w:val="145"/>
        </w:trPr>
        <w:tc>
          <w:tcPr>
            <w:tcW w:w="1016" w:type="pct"/>
            <w:shd w:val="clear" w:color="auto" w:fill="auto"/>
          </w:tcPr>
          <w:p w:rsidR="00490B20" w:rsidRPr="00901B97" w:rsidRDefault="00490B20" w:rsidP="00876058">
            <w:pPr>
              <w:spacing w:line="240" w:lineRule="auto"/>
              <w:rPr>
                <w:rFonts w:cs="Arial"/>
                <w:bCs/>
                <w:iCs/>
                <w:color w:val="0D0D0D" w:themeColor="text1" w:themeTint="F2"/>
                <w:spacing w:val="-2"/>
                <w:sz w:val="16"/>
                <w:szCs w:val="16"/>
              </w:rPr>
            </w:pPr>
            <w:r w:rsidRPr="00901B97">
              <w:rPr>
                <w:rFonts w:cs="Arial"/>
                <w:bCs/>
                <w:iCs/>
                <w:color w:val="0D0D0D" w:themeColor="text1" w:themeTint="F2"/>
                <w:spacing w:val="-2"/>
                <w:sz w:val="16"/>
                <w:szCs w:val="16"/>
              </w:rPr>
              <w:t xml:space="preserve">Pokračoval růst </w:t>
            </w:r>
            <w:r>
              <w:rPr>
                <w:rFonts w:cs="Arial"/>
                <w:bCs/>
                <w:iCs/>
                <w:color w:val="0D0D0D" w:themeColor="text1" w:themeTint="F2"/>
                <w:spacing w:val="-2"/>
                <w:sz w:val="16"/>
                <w:szCs w:val="16"/>
              </w:rPr>
              <w:t xml:space="preserve">objemu </w:t>
            </w:r>
            <w:r w:rsidRPr="00901B97">
              <w:rPr>
                <w:rFonts w:cs="Arial"/>
                <w:bCs/>
                <w:iCs/>
                <w:color w:val="0D0D0D" w:themeColor="text1" w:themeTint="F2"/>
                <w:spacing w:val="-2"/>
                <w:sz w:val="16"/>
                <w:szCs w:val="16"/>
              </w:rPr>
              <w:t>dávek nemocenského pojištění, legislativní úpravou posílily příspěvky na péči.</w:t>
            </w:r>
          </w:p>
          <w:p w:rsidR="00490B20" w:rsidRDefault="00490B20" w:rsidP="00876058">
            <w:pPr>
              <w:spacing w:line="240" w:lineRule="auto"/>
              <w:rPr>
                <w:rFonts w:cs="Arial"/>
                <w:bCs/>
                <w:iCs/>
                <w:color w:val="0D0D0D" w:themeColor="text1" w:themeTint="F2"/>
                <w:spacing w:val="-2"/>
                <w:sz w:val="16"/>
                <w:szCs w:val="16"/>
              </w:rPr>
            </w:pPr>
          </w:p>
          <w:p w:rsidR="00490B20" w:rsidRDefault="00490B20" w:rsidP="00876058">
            <w:pPr>
              <w:spacing w:line="240" w:lineRule="auto"/>
              <w:rPr>
                <w:rFonts w:cs="Arial"/>
                <w:bCs/>
                <w:iCs/>
                <w:color w:val="0D0D0D" w:themeColor="text1" w:themeTint="F2"/>
                <w:spacing w:val="-2"/>
                <w:sz w:val="16"/>
                <w:szCs w:val="16"/>
              </w:rPr>
            </w:pPr>
          </w:p>
          <w:p w:rsidR="00490B20" w:rsidRPr="00901B97" w:rsidRDefault="00490B20" w:rsidP="00876058">
            <w:pPr>
              <w:spacing w:line="240" w:lineRule="auto"/>
              <w:rPr>
                <w:rFonts w:cs="Arial"/>
                <w:bCs/>
                <w:iCs/>
                <w:color w:val="0D0D0D" w:themeColor="text1" w:themeTint="F2"/>
                <w:spacing w:val="-2"/>
                <w:sz w:val="16"/>
                <w:szCs w:val="16"/>
              </w:rPr>
            </w:pPr>
          </w:p>
          <w:p w:rsidR="00490B20" w:rsidRDefault="00490B20" w:rsidP="00876058">
            <w:pPr>
              <w:spacing w:line="240" w:lineRule="auto"/>
              <w:rPr>
                <w:rFonts w:cs="Arial"/>
                <w:bCs/>
                <w:iCs/>
                <w:color w:val="0D0D0D" w:themeColor="text1" w:themeTint="F2"/>
                <w:spacing w:val="-2"/>
                <w:sz w:val="16"/>
                <w:szCs w:val="16"/>
              </w:rPr>
            </w:pPr>
          </w:p>
          <w:p w:rsidR="00490B20" w:rsidRPr="00B7165E" w:rsidRDefault="00490B20" w:rsidP="00876058">
            <w:pPr>
              <w:spacing w:line="240" w:lineRule="auto"/>
              <w:rPr>
                <w:rFonts w:cs="Arial"/>
                <w:bCs/>
                <w:iCs/>
                <w:color w:val="0D0D0D" w:themeColor="text1" w:themeTint="F2"/>
                <w:spacing w:val="-4"/>
                <w:sz w:val="16"/>
                <w:szCs w:val="16"/>
              </w:rPr>
            </w:pPr>
          </w:p>
          <w:p w:rsidR="00490B20" w:rsidRPr="00D66F29" w:rsidRDefault="00490B20" w:rsidP="00876058">
            <w:pPr>
              <w:spacing w:line="240" w:lineRule="auto"/>
              <w:rPr>
                <w:rFonts w:cs="Arial"/>
                <w:bCs/>
                <w:iCs/>
                <w:color w:val="0D0D0D" w:themeColor="text1" w:themeTint="F2"/>
                <w:sz w:val="16"/>
                <w:szCs w:val="16"/>
              </w:rPr>
            </w:pPr>
            <w:r w:rsidRPr="00B7165E">
              <w:rPr>
                <w:rFonts w:cs="Arial"/>
                <w:bCs/>
                <w:iCs/>
                <w:color w:val="0D0D0D" w:themeColor="text1" w:themeTint="F2"/>
                <w:spacing w:val="-4"/>
                <w:sz w:val="16"/>
                <w:szCs w:val="16"/>
              </w:rPr>
              <w:t xml:space="preserve">Mírný růst výdajů na státní sociální podporu se po čtyřech letech zastavil. Stát vydal méně i na podporu nezaměstnaným, </w:t>
            </w:r>
            <w:r>
              <w:rPr>
                <w:rFonts w:cs="Arial"/>
                <w:bCs/>
                <w:iCs/>
                <w:color w:val="0D0D0D" w:themeColor="text1" w:themeTint="F2"/>
                <w:spacing w:val="-4"/>
                <w:sz w:val="16"/>
                <w:szCs w:val="16"/>
              </w:rPr>
              <w:t>výrazně větší úspory</w:t>
            </w:r>
            <w:r w:rsidRPr="00B7165E">
              <w:rPr>
                <w:rFonts w:cs="Arial"/>
                <w:bCs/>
                <w:iCs/>
                <w:color w:val="0D0D0D" w:themeColor="text1" w:themeTint="F2"/>
                <w:spacing w:val="-4"/>
                <w:sz w:val="16"/>
                <w:szCs w:val="16"/>
              </w:rPr>
              <w:t xml:space="preserve"> </w:t>
            </w:r>
            <w:r>
              <w:rPr>
                <w:rFonts w:cs="Arial"/>
                <w:bCs/>
                <w:iCs/>
                <w:color w:val="0D0D0D" w:themeColor="text1" w:themeTint="F2"/>
                <w:spacing w:val="-4"/>
                <w:sz w:val="16"/>
                <w:szCs w:val="16"/>
              </w:rPr>
              <w:t>bylo dosaženo</w:t>
            </w:r>
            <w:r w:rsidRPr="00B7165E">
              <w:rPr>
                <w:rFonts w:cs="Arial"/>
                <w:bCs/>
                <w:iCs/>
                <w:color w:val="0D0D0D" w:themeColor="text1" w:themeTint="F2"/>
                <w:spacing w:val="-4"/>
                <w:sz w:val="16"/>
                <w:szCs w:val="16"/>
              </w:rPr>
              <w:t xml:space="preserve"> u dávek hmotné nouze.</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255F1E" w:rsidRDefault="00490B20" w:rsidP="00876058">
            <w:pPr>
              <w:pStyle w:val="Textpoznpodarou"/>
              <w:jc w:val="both"/>
              <w:rPr>
                <w:spacing w:val="-4"/>
              </w:rPr>
            </w:pPr>
            <w:r>
              <w:rPr>
                <w:rFonts w:cs="Arial"/>
                <w:color w:val="0D0D0D" w:themeColor="text1" w:themeTint="F2"/>
                <w:spacing w:val="-4"/>
              </w:rPr>
              <w:t>Oproti důchodům se v</w:t>
            </w:r>
            <w:r w:rsidRPr="00751FC1">
              <w:rPr>
                <w:rFonts w:cs="Arial"/>
                <w:color w:val="0D0D0D" w:themeColor="text1" w:themeTint="F2"/>
                <w:spacing w:val="-4"/>
              </w:rPr>
              <w:t xml:space="preserve">ýdaje </w:t>
            </w:r>
            <w:r>
              <w:rPr>
                <w:rFonts w:cs="Arial"/>
                <w:color w:val="0D0D0D" w:themeColor="text1" w:themeTint="F2"/>
                <w:spacing w:val="-4"/>
              </w:rPr>
              <w:t xml:space="preserve">na </w:t>
            </w:r>
            <w:r w:rsidRPr="00F510CE">
              <w:rPr>
                <w:rFonts w:cs="Arial"/>
                <w:color w:val="0D0D0D" w:themeColor="text1" w:themeTint="F2"/>
                <w:spacing w:val="-4"/>
              </w:rPr>
              <w:t>ostatní sociální dávky</w:t>
            </w:r>
            <w:r>
              <w:rPr>
                <w:rFonts w:cs="Arial"/>
                <w:color w:val="0D0D0D" w:themeColor="text1" w:themeTint="F2"/>
                <w:spacing w:val="-4"/>
              </w:rPr>
              <w:t xml:space="preserve"> zvyšovaly zhruba polovičním tempem (+1,9</w:t>
            </w:r>
            <w:r w:rsidR="005723B7">
              <w:rPr>
                <w:rFonts w:cs="Arial"/>
                <w:color w:val="0D0D0D" w:themeColor="text1" w:themeTint="F2"/>
                <w:spacing w:val="-4"/>
              </w:rPr>
              <w:t> %</w:t>
            </w:r>
            <w:r>
              <w:rPr>
                <w:rFonts w:cs="Arial"/>
                <w:color w:val="0D0D0D" w:themeColor="text1" w:themeTint="F2"/>
                <w:spacing w:val="-4"/>
              </w:rPr>
              <w:t>, o rok dříve +2,2</w:t>
            </w:r>
            <w:r w:rsidR="005723B7">
              <w:rPr>
                <w:rFonts w:cs="Arial"/>
                <w:color w:val="0D0D0D" w:themeColor="text1" w:themeTint="F2"/>
                <w:spacing w:val="-4"/>
              </w:rPr>
              <w:t> %</w:t>
            </w:r>
            <w:r>
              <w:rPr>
                <w:rFonts w:cs="Arial"/>
                <w:color w:val="0D0D0D" w:themeColor="text1" w:themeTint="F2"/>
                <w:spacing w:val="-4"/>
              </w:rPr>
              <w:t>). Jejich růst byl v 1. až 3</w:t>
            </w:r>
            <w:r w:rsidR="005723B7">
              <w:rPr>
                <w:rFonts w:cs="Arial"/>
                <w:color w:val="0D0D0D" w:themeColor="text1" w:themeTint="F2"/>
                <w:spacing w:val="-4"/>
              </w:rPr>
              <w:t>. čtvrtletí</w:t>
            </w:r>
            <w:r>
              <w:rPr>
                <w:rFonts w:cs="Arial"/>
                <w:color w:val="0D0D0D" w:themeColor="text1" w:themeTint="F2"/>
                <w:spacing w:val="-4"/>
              </w:rPr>
              <w:t xml:space="preserve"> – podobně jako v předešlých dvou letech – nejvíce tažen výdaji</w:t>
            </w:r>
            <w:r w:rsidRPr="00751FC1">
              <w:rPr>
                <w:rFonts w:cs="Arial"/>
                <w:color w:val="0D0D0D" w:themeColor="text1" w:themeTint="F2"/>
                <w:spacing w:val="-4"/>
              </w:rPr>
              <w:t xml:space="preserve"> na </w:t>
            </w:r>
            <w:r w:rsidRPr="00751FC1">
              <w:rPr>
                <w:color w:val="000000" w:themeColor="text1"/>
                <w:spacing w:val="-4"/>
              </w:rPr>
              <w:t>dávky nemocenského pojištění</w:t>
            </w:r>
            <w:r>
              <w:rPr>
                <w:color w:val="000000" w:themeColor="text1"/>
                <w:spacing w:val="-4"/>
              </w:rPr>
              <w:t>. Ty souvisely jak s vyšším objem dávek nemocenské (+7,9</w:t>
            </w:r>
            <w:r w:rsidR="005723B7">
              <w:rPr>
                <w:color w:val="000000" w:themeColor="text1"/>
                <w:spacing w:val="-4"/>
              </w:rPr>
              <w:t> %</w:t>
            </w:r>
            <w:r>
              <w:rPr>
                <w:color w:val="000000" w:themeColor="text1"/>
                <w:spacing w:val="-4"/>
              </w:rPr>
              <w:t>), tak i</w:t>
            </w:r>
            <w:r w:rsidR="006F65A8">
              <w:rPr>
                <w:color w:val="000000" w:themeColor="text1"/>
                <w:spacing w:val="-4"/>
              </w:rPr>
              <w:t> s </w:t>
            </w:r>
            <w:r>
              <w:rPr>
                <w:spacing w:val="-4"/>
              </w:rPr>
              <w:t>vyšším</w:t>
            </w:r>
            <w:r w:rsidRPr="00751FC1">
              <w:rPr>
                <w:spacing w:val="-4"/>
              </w:rPr>
              <w:t xml:space="preserve"> čerpáním peněžité pomoci v</w:t>
            </w:r>
            <w:r>
              <w:rPr>
                <w:spacing w:val="-4"/>
              </w:rPr>
              <w:t> </w:t>
            </w:r>
            <w:r w:rsidRPr="00751FC1">
              <w:rPr>
                <w:spacing w:val="-4"/>
              </w:rPr>
              <w:t>mateřstv</w:t>
            </w:r>
            <w:r>
              <w:rPr>
                <w:spacing w:val="-4"/>
              </w:rPr>
              <w:t>í (+5,8</w:t>
            </w:r>
            <w:r w:rsidR="005723B7">
              <w:rPr>
                <w:spacing w:val="-4"/>
              </w:rPr>
              <w:t> %</w:t>
            </w:r>
            <w:r>
              <w:rPr>
                <w:spacing w:val="-4"/>
              </w:rPr>
              <w:t>). Více vydal SR také na příspěvcích na péči (pro dlouhodobě nemocné), jejichž růst zrychlil na 11</w:t>
            </w:r>
            <w:r w:rsidR="005723B7">
              <w:rPr>
                <w:spacing w:val="-4"/>
              </w:rPr>
              <w:t> %</w:t>
            </w:r>
            <w:r>
              <w:rPr>
                <w:spacing w:val="-4"/>
              </w:rPr>
              <w:t xml:space="preserve"> (z loňských 6</w:t>
            </w:r>
            <w:r w:rsidR="005723B7">
              <w:rPr>
                <w:spacing w:val="-4"/>
              </w:rPr>
              <w:t> %</w:t>
            </w:r>
            <w:r>
              <w:rPr>
                <w:spacing w:val="-4"/>
              </w:rPr>
              <w:t>)</w:t>
            </w:r>
            <w:r>
              <w:rPr>
                <w:rStyle w:val="Znakapoznpodarou"/>
                <w:spacing w:val="-4"/>
              </w:rPr>
              <w:footnoteReference w:id="41"/>
            </w:r>
            <w:r>
              <w:rPr>
                <w:spacing w:val="-4"/>
              </w:rPr>
              <w:t>. Na většině ostatních dávek se projevoval efekt hospodářského růstu, který zlepšil finanční situaci domácností. Již čtvrtým rokem v řadě ušetřil stát na podporách v nezaměstnanosti (za poslední rok 4,2</w:t>
            </w:r>
            <w:r w:rsidR="005723B7">
              <w:rPr>
                <w:spacing w:val="-4"/>
              </w:rPr>
              <w:t> %</w:t>
            </w:r>
            <w:r>
              <w:rPr>
                <w:spacing w:val="-4"/>
              </w:rPr>
              <w:t>)</w:t>
            </w:r>
            <w:r>
              <w:rPr>
                <w:rStyle w:val="Znakapoznpodarou"/>
                <w:spacing w:val="-4"/>
              </w:rPr>
              <w:footnoteReference w:id="42"/>
            </w:r>
            <w:r>
              <w:rPr>
                <w:spacing w:val="-4"/>
              </w:rPr>
              <w:t>. S větší intenzitou se redukoval objem dávek hmotné nouze (o pětinu, za tři roky o třetinu), a to jak u</w:t>
            </w:r>
            <w:r w:rsidR="009D182E">
              <w:rPr>
                <w:spacing w:val="-4"/>
              </w:rPr>
              <w:t> </w:t>
            </w:r>
            <w:r>
              <w:rPr>
                <w:spacing w:val="-4"/>
              </w:rPr>
              <w:t>doplatků na bydlení, tak u</w:t>
            </w:r>
            <w:r w:rsidR="009D182E">
              <w:rPr>
                <w:spacing w:val="-4"/>
              </w:rPr>
              <w:t> </w:t>
            </w:r>
            <w:r>
              <w:rPr>
                <w:spacing w:val="-4"/>
              </w:rPr>
              <w:t>příspěvků na živobytí. Váhově významná skupina dávek státní sociální podpory (SSP), která v předchozích čtyřech letech vykazovala mírný růst, o</w:t>
            </w:r>
            <w:r w:rsidR="009D182E">
              <w:rPr>
                <w:spacing w:val="-4"/>
              </w:rPr>
              <w:t> </w:t>
            </w:r>
            <w:r>
              <w:rPr>
                <w:spacing w:val="-4"/>
              </w:rPr>
              <w:t>1,2</w:t>
            </w:r>
            <w:r w:rsidR="005723B7">
              <w:rPr>
                <w:spacing w:val="-4"/>
              </w:rPr>
              <w:t> %</w:t>
            </w:r>
            <w:r>
              <w:rPr>
                <w:spacing w:val="-4"/>
              </w:rPr>
              <w:t xml:space="preserve"> poklesla. Stát tak meziročně vydal méně především na příspěvky na </w:t>
            </w:r>
            <w:proofErr w:type="gramStart"/>
            <w:r>
              <w:rPr>
                <w:spacing w:val="-4"/>
              </w:rPr>
              <w:t>bydlení (</w:t>
            </w:r>
            <w:r w:rsidR="009D182E">
              <w:rPr>
                <w:spacing w:val="-4"/>
              </w:rPr>
              <w:t>–</w:t>
            </w:r>
            <w:r>
              <w:rPr>
                <w:spacing w:val="-4"/>
              </w:rPr>
              <w:t>6,2</w:t>
            </w:r>
            <w:proofErr w:type="gramEnd"/>
            <w:r w:rsidR="005723B7">
              <w:rPr>
                <w:spacing w:val="-4"/>
              </w:rPr>
              <w:t> %</w:t>
            </w:r>
            <w:r>
              <w:rPr>
                <w:spacing w:val="-4"/>
              </w:rPr>
              <w:t>) a přídavky na dítě (</w:t>
            </w:r>
            <w:r w:rsidR="009D182E">
              <w:rPr>
                <w:spacing w:val="-4"/>
              </w:rPr>
              <w:t>–</w:t>
            </w:r>
            <w:r>
              <w:rPr>
                <w:spacing w:val="-4"/>
              </w:rPr>
              <w:t>10,6</w:t>
            </w:r>
            <w:r w:rsidR="005723B7">
              <w:rPr>
                <w:spacing w:val="-4"/>
              </w:rPr>
              <w:t> %</w:t>
            </w:r>
            <w:r>
              <w:rPr>
                <w:spacing w:val="-4"/>
              </w:rPr>
              <w:t>). Vzrostly naopak výdaje na rodičovské příspěvky (+1,6</w:t>
            </w:r>
            <w:r w:rsidR="005723B7">
              <w:rPr>
                <w:spacing w:val="-4"/>
              </w:rPr>
              <w:t> %</w:t>
            </w:r>
            <w:r>
              <w:rPr>
                <w:spacing w:val="-4"/>
              </w:rPr>
              <w:t>). Tato dávka však na rozdíl o</w:t>
            </w:r>
            <w:r w:rsidR="009D182E">
              <w:rPr>
                <w:spacing w:val="-4"/>
              </w:rPr>
              <w:t>d</w:t>
            </w:r>
            <w:r>
              <w:rPr>
                <w:spacing w:val="-4"/>
              </w:rPr>
              <w:t xml:space="preserve"> většiny ostatních dávek </w:t>
            </w:r>
            <w:r w:rsidR="00DF1FDA">
              <w:rPr>
                <w:spacing w:val="-4"/>
              </w:rPr>
              <w:t xml:space="preserve">SSP </w:t>
            </w:r>
            <w:r>
              <w:rPr>
                <w:spacing w:val="-4"/>
              </w:rPr>
              <w:t>není vázána na příjem rodiny a</w:t>
            </w:r>
            <w:r w:rsidR="009D182E">
              <w:rPr>
                <w:spacing w:val="-4"/>
              </w:rPr>
              <w:t> </w:t>
            </w:r>
            <w:r>
              <w:rPr>
                <w:spacing w:val="-4"/>
              </w:rPr>
              <w:t xml:space="preserve">její vývoj tak spíše odráží mírný růst plodnosti v posledních letech. </w:t>
            </w:r>
          </w:p>
        </w:tc>
      </w:tr>
    </w:tbl>
    <w:p w:rsidR="00490B20" w:rsidRPr="00126C70" w:rsidRDefault="00490B20" w:rsidP="00490B20">
      <w:pPr>
        <w:pStyle w:val="Textpoznpodarou"/>
        <w:jc w:val="both"/>
        <w:rPr>
          <w:rFonts w:cs="Arial"/>
          <w:color w:val="000000"/>
          <w:spacing w:val="-2"/>
          <w:sz w:val="10"/>
          <w:szCs w:val="10"/>
        </w:rPr>
      </w:pPr>
    </w:p>
    <w:tbl>
      <w:tblPr>
        <w:tblW w:w="4963" w:type="pct"/>
        <w:tblInd w:w="108" w:type="dxa"/>
        <w:tblLayout w:type="fixed"/>
        <w:tblLook w:val="00A0"/>
      </w:tblPr>
      <w:tblGrid>
        <w:gridCol w:w="1997"/>
        <w:gridCol w:w="284"/>
        <w:gridCol w:w="1119"/>
        <w:gridCol w:w="6381"/>
      </w:tblGrid>
      <w:tr w:rsidR="00490B20" w:rsidRPr="00AA4A76" w:rsidTr="00876058">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2" w:type="pct"/>
          </w:tcPr>
          <w:p w:rsidR="00490B20" w:rsidRPr="00AA4A76" w:rsidRDefault="00490B20" w:rsidP="00876058">
            <w:pPr>
              <w:pStyle w:val="Textpoznpodarou"/>
              <w:jc w:val="both"/>
              <w:rPr>
                <w:highlight w:val="yellow"/>
              </w:rPr>
            </w:pPr>
            <w:r>
              <w:rPr>
                <w:color w:val="000000"/>
              </w:rPr>
              <w:t xml:space="preserve">Graf </w:t>
            </w:r>
            <w:r w:rsidR="009D182E">
              <w:rPr>
                <w:color w:val="000000"/>
              </w:rPr>
              <w:t>č. </w:t>
            </w:r>
            <w:r>
              <w:rPr>
                <w:color w:val="000000"/>
              </w:rPr>
              <w:t>2</w:t>
            </w:r>
            <w:r w:rsidR="001356FC">
              <w:rPr>
                <w:color w:val="000000"/>
              </w:rPr>
              <w:t>1</w:t>
            </w:r>
          </w:p>
        </w:tc>
        <w:tc>
          <w:tcPr>
            <w:tcW w:w="3262" w:type="pct"/>
          </w:tcPr>
          <w:p w:rsidR="00490B20" w:rsidRDefault="00490B20" w:rsidP="00876058">
            <w:pPr>
              <w:spacing w:line="240" w:lineRule="auto"/>
              <w:rPr>
                <w:rFonts w:cs="Arial"/>
                <w:b/>
                <w:bCs/>
              </w:rPr>
            </w:pPr>
            <w:r>
              <w:rPr>
                <w:rFonts w:cs="Arial"/>
                <w:b/>
                <w:bCs/>
              </w:rPr>
              <w:t>Vybrané výdaje státního rozpočtu v 1. až 3</w:t>
            </w:r>
            <w:r w:rsidR="005723B7">
              <w:rPr>
                <w:rFonts w:cs="Arial"/>
                <w:b/>
                <w:bCs/>
              </w:rPr>
              <w:t>. čtvrtletí</w:t>
            </w:r>
            <w:r>
              <w:rPr>
                <w:rFonts w:cs="Arial"/>
                <w:b/>
                <w:bCs/>
              </w:rPr>
              <w:t>ch</w:t>
            </w:r>
            <w:r w:rsidRPr="006808C5">
              <w:rPr>
                <w:rFonts w:cs="Arial"/>
                <w:b/>
                <w:bCs/>
              </w:rPr>
              <w:t xml:space="preserve"> roku</w:t>
            </w:r>
            <w:r>
              <w:rPr>
                <w:rFonts w:cs="Arial"/>
                <w:b/>
                <w:bCs/>
              </w:rPr>
              <w:t xml:space="preserve"> </w:t>
            </w:r>
          </w:p>
          <w:p w:rsidR="00490B20" w:rsidRPr="0007324C" w:rsidRDefault="00490B20" w:rsidP="00876058">
            <w:pPr>
              <w:spacing w:line="240" w:lineRule="auto"/>
              <w:rPr>
                <w:rFonts w:cs="Arial"/>
                <w:b/>
                <w:bCs/>
              </w:rPr>
            </w:pPr>
            <w:r>
              <w:rPr>
                <w:rFonts w:cs="Arial"/>
                <w:bCs/>
              </w:rPr>
              <w:t>(</w:t>
            </w:r>
            <w:r w:rsidRPr="00DB06E9">
              <w:rPr>
                <w:rFonts w:cs="Arial"/>
                <w:bCs/>
              </w:rPr>
              <w:t>v</w:t>
            </w:r>
            <w:r w:rsidR="006D164C">
              <w:rPr>
                <w:rFonts w:cs="Arial"/>
                <w:bCs/>
              </w:rPr>
              <w:t> mld.</w:t>
            </w:r>
            <w:r w:rsidRPr="00DB06E9">
              <w:rPr>
                <w:rFonts w:cs="Arial"/>
                <w:bCs/>
              </w:rPr>
              <w:t xml:space="preserve"> korun</w:t>
            </w:r>
            <w:r>
              <w:rPr>
                <w:rFonts w:cs="Arial"/>
                <w:bCs/>
              </w:rPr>
              <w:t>)</w:t>
            </w:r>
          </w:p>
        </w:tc>
      </w:tr>
      <w:tr w:rsidR="00490B20" w:rsidRPr="00AA4A76" w:rsidTr="00876058">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3" w:type="pct"/>
            <w:gridSpan w:val="2"/>
          </w:tcPr>
          <w:p w:rsidR="00490B20" w:rsidRDefault="00490B20" w:rsidP="00876058">
            <w:pPr>
              <w:pStyle w:val="Textpoznpodarou"/>
              <w:ind w:left="-124"/>
              <w:jc w:val="both"/>
              <w:rPr>
                <w:sz w:val="16"/>
                <w:szCs w:val="16"/>
              </w:rPr>
            </w:pPr>
            <w:r w:rsidRPr="00585CF1">
              <w:rPr>
                <w:noProof/>
                <w:sz w:val="16"/>
                <w:szCs w:val="16"/>
              </w:rPr>
              <w:drawing>
                <wp:inline distT="0" distB="0" distL="0" distR="0">
                  <wp:extent cx="4752000" cy="3528000"/>
                  <wp:effectExtent l="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90B20" w:rsidRDefault="00490B20" w:rsidP="00876058">
            <w:pPr>
              <w:pStyle w:val="Textpoznpodarou"/>
              <w:rPr>
                <w:sz w:val="14"/>
                <w:szCs w:val="14"/>
              </w:rPr>
            </w:pPr>
            <w:r>
              <w:rPr>
                <w:sz w:val="14"/>
                <w:szCs w:val="14"/>
              </w:rPr>
              <w:t>*</w:t>
            </w:r>
            <w:r w:rsidR="009D182E">
              <w:rPr>
                <w:sz w:val="14"/>
                <w:szCs w:val="14"/>
              </w:rPr>
              <w:t xml:space="preserve"> v</w:t>
            </w:r>
            <w:r>
              <w:rPr>
                <w:sz w:val="14"/>
                <w:szCs w:val="14"/>
              </w:rPr>
              <w:t>č</w:t>
            </w:r>
            <w:r w:rsidR="009D182E">
              <w:rPr>
                <w:sz w:val="14"/>
                <w:szCs w:val="14"/>
              </w:rPr>
              <w:t>etně</w:t>
            </w:r>
            <w:r>
              <w:rPr>
                <w:sz w:val="14"/>
                <w:szCs w:val="14"/>
              </w:rPr>
              <w:t xml:space="preserve"> dávek pěstounské péče</w:t>
            </w:r>
          </w:p>
          <w:p w:rsidR="00490B20" w:rsidRPr="007E5880" w:rsidRDefault="00490B20" w:rsidP="00876058">
            <w:pPr>
              <w:pStyle w:val="Textpoznpodarou"/>
              <w:rPr>
                <w:sz w:val="14"/>
                <w:szCs w:val="14"/>
              </w:rPr>
            </w:pPr>
            <w:r>
              <w:rPr>
                <w:sz w:val="14"/>
                <w:szCs w:val="14"/>
              </w:rPr>
              <w:t>**</w:t>
            </w:r>
            <w:r w:rsidR="009D182E">
              <w:rPr>
                <w:sz w:val="14"/>
                <w:szCs w:val="14"/>
              </w:rPr>
              <w:t xml:space="preserve"> d</w:t>
            </w:r>
            <w:r w:rsidRPr="007E5880">
              <w:rPr>
                <w:sz w:val="14"/>
                <w:szCs w:val="14"/>
              </w:rPr>
              <w:t>ávky pomoci</w:t>
            </w:r>
            <w:r>
              <w:rPr>
                <w:sz w:val="14"/>
                <w:szCs w:val="14"/>
              </w:rPr>
              <w:t xml:space="preserve"> v hmot.</w:t>
            </w:r>
            <w:r w:rsidRPr="007E5880">
              <w:rPr>
                <w:sz w:val="14"/>
                <w:szCs w:val="14"/>
              </w:rPr>
              <w:t xml:space="preserve"> </w:t>
            </w:r>
            <w:r w:rsidR="009D182E">
              <w:rPr>
                <w:sz w:val="14"/>
                <w:szCs w:val="14"/>
              </w:rPr>
              <w:t>n</w:t>
            </w:r>
            <w:r w:rsidRPr="007E5880">
              <w:rPr>
                <w:sz w:val="14"/>
                <w:szCs w:val="14"/>
              </w:rPr>
              <w:t>ouzi,</w:t>
            </w:r>
            <w:r>
              <w:rPr>
                <w:sz w:val="14"/>
                <w:szCs w:val="14"/>
              </w:rPr>
              <w:t xml:space="preserve"> dávky osobám </w:t>
            </w:r>
            <w:proofErr w:type="gramStart"/>
            <w:r>
              <w:rPr>
                <w:sz w:val="14"/>
                <w:szCs w:val="14"/>
              </w:rPr>
              <w:t>se zdravot.</w:t>
            </w:r>
            <w:r w:rsidRPr="007E5880">
              <w:rPr>
                <w:sz w:val="14"/>
                <w:szCs w:val="14"/>
              </w:rPr>
              <w:t xml:space="preserve"> </w:t>
            </w:r>
            <w:r w:rsidR="009D182E">
              <w:rPr>
                <w:sz w:val="14"/>
                <w:szCs w:val="14"/>
              </w:rPr>
              <w:t>p</w:t>
            </w:r>
            <w:r w:rsidRPr="007E5880">
              <w:rPr>
                <w:sz w:val="14"/>
                <w:szCs w:val="14"/>
              </w:rPr>
              <w:t>ostižením</w:t>
            </w:r>
            <w:proofErr w:type="gramEnd"/>
            <w:r w:rsidRPr="007E5880">
              <w:rPr>
                <w:sz w:val="14"/>
                <w:szCs w:val="14"/>
              </w:rPr>
              <w:t xml:space="preserve">, příspěvek na péči dle zákona o </w:t>
            </w:r>
            <w:proofErr w:type="spellStart"/>
            <w:r w:rsidRPr="007E5880">
              <w:rPr>
                <w:sz w:val="14"/>
                <w:szCs w:val="14"/>
              </w:rPr>
              <w:t>soc</w:t>
            </w:r>
            <w:proofErr w:type="spellEnd"/>
            <w:r w:rsidRPr="007E5880">
              <w:rPr>
                <w:sz w:val="14"/>
                <w:szCs w:val="14"/>
              </w:rPr>
              <w:t>.</w:t>
            </w:r>
            <w:r>
              <w:rPr>
                <w:sz w:val="14"/>
                <w:szCs w:val="14"/>
              </w:rPr>
              <w:t xml:space="preserve"> službách</w:t>
            </w:r>
          </w:p>
          <w:p w:rsidR="00490B20" w:rsidRPr="007E5880" w:rsidRDefault="00490B20" w:rsidP="00876058">
            <w:pPr>
              <w:pStyle w:val="Textpoznpodarou"/>
              <w:rPr>
                <w:sz w:val="14"/>
                <w:szCs w:val="14"/>
              </w:rPr>
            </w:pPr>
            <w:r>
              <w:rPr>
                <w:sz w:val="14"/>
                <w:szCs w:val="14"/>
              </w:rPr>
              <w:t>*** bez úroků, záruk a ostatních</w:t>
            </w:r>
            <w:r w:rsidRPr="00C9521B">
              <w:rPr>
                <w:sz w:val="14"/>
                <w:szCs w:val="14"/>
              </w:rPr>
              <w:t xml:space="preserve"> finančních výdajů na státní </w:t>
            </w:r>
            <w:proofErr w:type="gramStart"/>
            <w:r w:rsidRPr="00C9521B">
              <w:rPr>
                <w:sz w:val="14"/>
                <w:szCs w:val="14"/>
              </w:rPr>
              <w:t>dluh</w:t>
            </w:r>
            <w:r>
              <w:rPr>
                <w:sz w:val="14"/>
                <w:szCs w:val="14"/>
              </w:rPr>
              <w:t xml:space="preserve">                          </w:t>
            </w:r>
            <w:r w:rsidRPr="00C9521B">
              <w:rPr>
                <w:sz w:val="14"/>
                <w:szCs w:val="14"/>
              </w:rPr>
              <w:t xml:space="preserve"> </w:t>
            </w:r>
            <w:r>
              <w:rPr>
                <w:sz w:val="14"/>
                <w:szCs w:val="14"/>
              </w:rPr>
              <w:t xml:space="preserve">                              </w:t>
            </w:r>
            <w:r>
              <w:rPr>
                <w:rFonts w:cs="Arial"/>
                <w:sz w:val="14"/>
                <w:szCs w:val="14"/>
              </w:rPr>
              <w:t>Zdroj</w:t>
            </w:r>
            <w:proofErr w:type="gramEnd"/>
            <w:r>
              <w:rPr>
                <w:rFonts w:cs="Arial"/>
                <w:sz w:val="14"/>
                <w:szCs w:val="14"/>
              </w:rPr>
              <w:t>: MF</w:t>
            </w:r>
            <w:r w:rsidRPr="007E5880">
              <w:rPr>
                <w:rFonts w:cs="Arial"/>
                <w:sz w:val="14"/>
                <w:szCs w:val="14"/>
              </w:rPr>
              <w:t>, MPSV</w:t>
            </w:r>
          </w:p>
        </w:tc>
      </w:tr>
    </w:tbl>
    <w:p w:rsidR="00490B20" w:rsidRDefault="00490B20" w:rsidP="00490B20">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490B20" w:rsidRPr="00AD0FC0" w:rsidTr="00876058">
        <w:trPr>
          <w:trHeight w:val="145"/>
        </w:trPr>
        <w:tc>
          <w:tcPr>
            <w:tcW w:w="1016" w:type="pct"/>
            <w:shd w:val="clear" w:color="auto" w:fill="auto"/>
          </w:tcPr>
          <w:p w:rsidR="00490B20" w:rsidRPr="00343DE4" w:rsidRDefault="00490B20" w:rsidP="00876058">
            <w:pPr>
              <w:spacing w:line="240" w:lineRule="auto"/>
              <w:rPr>
                <w:rFonts w:cs="Arial"/>
                <w:bCs/>
                <w:iCs/>
                <w:color w:val="0D0D0D" w:themeColor="text1" w:themeTint="F2"/>
                <w:sz w:val="16"/>
                <w:szCs w:val="16"/>
              </w:rPr>
            </w:pPr>
            <w:r>
              <w:rPr>
                <w:rFonts w:cs="Arial"/>
                <w:bCs/>
                <w:iCs/>
                <w:color w:val="0D0D0D" w:themeColor="text1" w:themeTint="F2"/>
                <w:sz w:val="16"/>
                <w:szCs w:val="16"/>
              </w:rPr>
              <w:t>Vývoj státního dluhu během prvních t</w:t>
            </w:r>
            <w:r w:rsidR="00B06EE1">
              <w:rPr>
                <w:rFonts w:cs="Arial"/>
                <w:bCs/>
                <w:iCs/>
                <w:color w:val="0D0D0D" w:themeColor="text1" w:themeTint="F2"/>
                <w:sz w:val="16"/>
                <w:szCs w:val="16"/>
              </w:rPr>
              <w:t>ří</w:t>
            </w:r>
            <w:r>
              <w:rPr>
                <w:rFonts w:cs="Arial"/>
                <w:bCs/>
                <w:iCs/>
                <w:color w:val="0D0D0D" w:themeColor="text1" w:themeTint="F2"/>
                <w:sz w:val="16"/>
                <w:szCs w:val="16"/>
              </w:rPr>
              <w:t xml:space="preserve"> čtvrtletí roku 2017 byl rozkolísaný. Jeho výše</w:t>
            </w:r>
            <w:r w:rsidRPr="00343DE4">
              <w:rPr>
                <w:rFonts w:cs="Arial"/>
                <w:bCs/>
                <w:iCs/>
                <w:color w:val="0D0D0D" w:themeColor="text1" w:themeTint="F2"/>
                <w:sz w:val="16"/>
                <w:szCs w:val="16"/>
              </w:rPr>
              <w:t xml:space="preserve"> se </w:t>
            </w:r>
            <w:r>
              <w:rPr>
                <w:rFonts w:cs="Arial"/>
                <w:bCs/>
                <w:iCs/>
                <w:color w:val="0D0D0D" w:themeColor="text1" w:themeTint="F2"/>
                <w:sz w:val="16"/>
                <w:szCs w:val="16"/>
              </w:rPr>
              <w:t>ve 3. kvartálu</w:t>
            </w:r>
            <w:r w:rsidRPr="00343DE4">
              <w:rPr>
                <w:rFonts w:cs="Arial"/>
                <w:bCs/>
                <w:iCs/>
                <w:color w:val="0D0D0D" w:themeColor="text1" w:themeTint="F2"/>
                <w:sz w:val="16"/>
                <w:szCs w:val="16"/>
              </w:rPr>
              <w:t xml:space="preserve"> vrátila na hodnotu blízkou konci loňského roku.</w:t>
            </w:r>
          </w:p>
          <w:p w:rsidR="00490B20" w:rsidRPr="00674567" w:rsidRDefault="00490B20" w:rsidP="00876058">
            <w:pPr>
              <w:spacing w:line="240" w:lineRule="auto"/>
              <w:rPr>
                <w:rFonts w:cs="Arial"/>
                <w:bCs/>
                <w:iCs/>
                <w:color w:val="0D0D0D" w:themeColor="text1" w:themeTint="F2"/>
                <w:sz w:val="16"/>
                <w:szCs w:val="16"/>
              </w:rPr>
            </w:pP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60203D" w:rsidRDefault="00490B20" w:rsidP="00876058">
            <w:pPr>
              <w:pStyle w:val="Textpoznpodarou"/>
              <w:jc w:val="both"/>
              <w:rPr>
                <w:color w:val="000000" w:themeColor="text1"/>
                <w:spacing w:val="-4"/>
              </w:rPr>
            </w:pPr>
            <w:r>
              <w:rPr>
                <w:rFonts w:cs="Arial"/>
                <w:color w:val="0D0D0D" w:themeColor="text1" w:themeTint="F2"/>
                <w:spacing w:val="-4"/>
              </w:rPr>
              <w:t>Státní dluh v průběhu roku 2017 značně kolísal. Během 1</w:t>
            </w:r>
            <w:r w:rsidR="005723B7">
              <w:rPr>
                <w:rFonts w:cs="Arial"/>
                <w:color w:val="0D0D0D" w:themeColor="text1" w:themeTint="F2"/>
                <w:spacing w:val="-4"/>
              </w:rPr>
              <w:t>. čtvrtletí</w:t>
            </w:r>
            <w:r>
              <w:rPr>
                <w:rFonts w:cs="Arial"/>
                <w:color w:val="0D0D0D" w:themeColor="text1" w:themeTint="F2"/>
                <w:spacing w:val="-4"/>
              </w:rPr>
              <w:t xml:space="preserve"> vystoupal na</w:t>
            </w:r>
            <w:r w:rsidRPr="00E06E17">
              <w:rPr>
                <w:spacing w:val="-2"/>
              </w:rPr>
              <w:t xml:space="preserve"> 1</w:t>
            </w:r>
            <w:r w:rsidR="00B06EE1">
              <w:rPr>
                <w:spacing w:val="-2"/>
              </w:rPr>
              <w:t> </w:t>
            </w:r>
            <w:r w:rsidRPr="00E06E17">
              <w:rPr>
                <w:spacing w:val="-2"/>
              </w:rPr>
              <w:t>789</w:t>
            </w:r>
            <w:r w:rsidR="00B06EE1">
              <w:rPr>
                <w:rFonts w:cs="Arial"/>
                <w:color w:val="0D0D0D" w:themeColor="text1" w:themeTint="F2"/>
                <w:spacing w:val="-4"/>
              </w:rPr>
              <w:t> </w:t>
            </w:r>
            <w:r w:rsidR="006D164C">
              <w:rPr>
                <w:rFonts w:cs="Arial"/>
                <w:color w:val="0D0D0D" w:themeColor="text1" w:themeTint="F2"/>
                <w:spacing w:val="-4"/>
              </w:rPr>
              <w:t>mld.</w:t>
            </w:r>
            <w:r w:rsidRPr="00E06E17">
              <w:rPr>
                <w:spacing w:val="-2"/>
              </w:rPr>
              <w:t xml:space="preserve"> korun a </w:t>
            </w:r>
            <w:r>
              <w:rPr>
                <w:spacing w:val="-2"/>
              </w:rPr>
              <w:t xml:space="preserve">zaznamenal nejrychlejší </w:t>
            </w:r>
            <w:proofErr w:type="spellStart"/>
            <w:r>
              <w:rPr>
                <w:spacing w:val="-2"/>
              </w:rPr>
              <w:t>mezičtvrtletní</w:t>
            </w:r>
            <w:proofErr w:type="spellEnd"/>
            <w:r>
              <w:rPr>
                <w:spacing w:val="-2"/>
              </w:rPr>
              <w:t xml:space="preserve"> růst od roku 2010 (+</w:t>
            </w:r>
            <w:r w:rsidRPr="00E06E17">
              <w:rPr>
                <w:rFonts w:cs="Arial"/>
                <w:spacing w:val="-2"/>
              </w:rPr>
              <w:t>11</w:t>
            </w:r>
            <w:r w:rsidR="005723B7">
              <w:rPr>
                <w:rFonts w:cs="Arial"/>
                <w:spacing w:val="-2"/>
              </w:rPr>
              <w:t> %</w:t>
            </w:r>
            <w:r>
              <w:rPr>
                <w:rFonts w:cs="Arial"/>
                <w:color w:val="0D0D0D" w:themeColor="text1" w:themeTint="F2"/>
                <w:spacing w:val="-4"/>
              </w:rPr>
              <w:t>)</w:t>
            </w:r>
            <w:r>
              <w:rPr>
                <w:spacing w:val="-2"/>
              </w:rPr>
              <w:t>. Toto krátkodobé navýšení souviselo se specifickou situac</w:t>
            </w:r>
            <w:r w:rsidR="00B06EE1">
              <w:rPr>
                <w:spacing w:val="-2"/>
              </w:rPr>
              <w:t>í</w:t>
            </w:r>
            <w:r>
              <w:rPr>
                <w:spacing w:val="-2"/>
              </w:rPr>
              <w:t xml:space="preserve"> na dluhopisovém trhu vlivem očekávání spojených s ukončením </w:t>
            </w:r>
            <w:r w:rsidRPr="00D77546">
              <w:rPr>
                <w:color w:val="000000" w:themeColor="text1"/>
                <w:spacing w:val="-4"/>
              </w:rPr>
              <w:t>režimu devizových</w:t>
            </w:r>
            <w:r>
              <w:rPr>
                <w:color w:val="000000" w:themeColor="text1"/>
                <w:spacing w:val="-4"/>
              </w:rPr>
              <w:t xml:space="preserve"> intervencí</w:t>
            </w:r>
            <w:r>
              <w:rPr>
                <w:rStyle w:val="Znakapoznpodarou"/>
                <w:color w:val="000000" w:themeColor="text1"/>
                <w:spacing w:val="-4"/>
              </w:rPr>
              <w:footnoteReference w:id="43"/>
            </w:r>
            <w:r>
              <w:rPr>
                <w:color w:val="000000" w:themeColor="text1"/>
                <w:spacing w:val="-4"/>
              </w:rPr>
              <w:t>. V následujících měsících se výše dluhu stabilizovala a ve 3</w:t>
            </w:r>
            <w:r w:rsidR="005723B7">
              <w:rPr>
                <w:color w:val="000000" w:themeColor="text1"/>
                <w:spacing w:val="-4"/>
              </w:rPr>
              <w:t>. čtvrtletí</w:t>
            </w:r>
            <w:r>
              <w:rPr>
                <w:color w:val="000000" w:themeColor="text1"/>
                <w:spacing w:val="-4"/>
              </w:rPr>
              <w:t xml:space="preserve"> se </w:t>
            </w:r>
            <w:r w:rsidR="005544FC">
              <w:rPr>
                <w:color w:val="000000" w:themeColor="text1"/>
                <w:spacing w:val="-4"/>
              </w:rPr>
              <w:t xml:space="preserve">již </w:t>
            </w:r>
            <w:r>
              <w:rPr>
                <w:color w:val="000000" w:themeColor="text1"/>
                <w:spacing w:val="-4"/>
              </w:rPr>
              <w:t>vrátila na úroveň blízkou konci loňského roku. Příčinou této výrazné redukce byl větší objem splátek dluhu vázaných na půjčky realizované po počátku roku. Státní dluh tak na konci září činil 1</w:t>
            </w:r>
            <w:r w:rsidR="005544FC">
              <w:rPr>
                <w:color w:val="000000" w:themeColor="text1"/>
                <w:spacing w:val="-4"/>
              </w:rPr>
              <w:t> </w:t>
            </w:r>
            <w:r>
              <w:rPr>
                <w:color w:val="000000" w:themeColor="text1"/>
                <w:spacing w:val="-4"/>
              </w:rPr>
              <w:t>610</w:t>
            </w:r>
            <w:r w:rsidR="005544FC">
              <w:rPr>
                <w:color w:val="000000" w:themeColor="text1"/>
                <w:spacing w:val="-4"/>
              </w:rPr>
              <w:t> </w:t>
            </w:r>
            <w:r w:rsidR="006D164C">
              <w:rPr>
                <w:color w:val="000000" w:themeColor="text1"/>
                <w:spacing w:val="-4"/>
              </w:rPr>
              <w:t>mld.</w:t>
            </w:r>
            <w:r>
              <w:rPr>
                <w:color w:val="000000" w:themeColor="text1"/>
                <w:spacing w:val="-4"/>
              </w:rPr>
              <w:t xml:space="preserve"> korun – šlo o nejnižší hodnotu od konce roku 2011. Přestože objem korunových dluhopisů v držbě nerezidentů se během 3</w:t>
            </w:r>
            <w:r w:rsidR="005723B7">
              <w:rPr>
                <w:color w:val="000000" w:themeColor="text1"/>
                <w:spacing w:val="-4"/>
              </w:rPr>
              <w:t>. čtvrtletí</w:t>
            </w:r>
            <w:r>
              <w:rPr>
                <w:color w:val="000000" w:themeColor="text1"/>
                <w:spacing w:val="-4"/>
              </w:rPr>
              <w:t xml:space="preserve"> snížil o</w:t>
            </w:r>
            <w:r>
              <w:rPr>
                <w:rFonts w:cs="Arial"/>
                <w:color w:val="0D0D0D" w:themeColor="text1" w:themeTint="F2"/>
                <w:spacing w:val="-4"/>
              </w:rPr>
              <w:t> </w:t>
            </w:r>
            <w:r>
              <w:rPr>
                <w:color w:val="000000" w:themeColor="text1"/>
                <w:spacing w:val="-4"/>
              </w:rPr>
              <w:t>bezmála 70</w:t>
            </w:r>
            <w:r w:rsidR="006D164C">
              <w:rPr>
                <w:color w:val="000000" w:themeColor="text1"/>
                <w:spacing w:val="-4"/>
              </w:rPr>
              <w:t> mld.</w:t>
            </w:r>
            <w:r>
              <w:rPr>
                <w:color w:val="000000" w:themeColor="text1"/>
                <w:spacing w:val="-4"/>
              </w:rPr>
              <w:t xml:space="preserve"> korun, jejich podíl nadále rostl a</w:t>
            </w:r>
            <w:r w:rsidR="005544FC">
              <w:rPr>
                <w:color w:val="000000" w:themeColor="text1"/>
                <w:spacing w:val="-4"/>
              </w:rPr>
              <w:t> </w:t>
            </w:r>
            <w:r>
              <w:rPr>
                <w:color w:val="000000" w:themeColor="text1"/>
                <w:spacing w:val="-4"/>
              </w:rPr>
              <w:t>na konci září dosáhl dosud rekordních 51,4</w:t>
            </w:r>
            <w:r w:rsidR="005723B7">
              <w:rPr>
                <w:color w:val="000000" w:themeColor="text1"/>
                <w:spacing w:val="-4"/>
              </w:rPr>
              <w:t> %</w:t>
            </w:r>
            <w:r>
              <w:rPr>
                <w:color w:val="000000" w:themeColor="text1"/>
                <w:spacing w:val="-4"/>
              </w:rPr>
              <w:t>.</w:t>
            </w:r>
            <w:r>
              <w:rPr>
                <w:rFonts w:cs="Arial"/>
                <w:color w:val="0D0D0D" w:themeColor="text1" w:themeTint="F2"/>
                <w:spacing w:val="-4"/>
              </w:rPr>
              <w:t xml:space="preserve"> Vnější dluh byl při absenci výpůjčních operací ovlivňován především kurzovými vlivy a relativně nízkým objemem splátek. Již více než tři roky přetrvával trend mírného poklesu dluhu, ten na konci 3</w:t>
            </w:r>
            <w:r w:rsidR="005723B7">
              <w:rPr>
                <w:rFonts w:cs="Arial"/>
                <w:color w:val="0D0D0D" w:themeColor="text1" w:themeTint="F2"/>
                <w:spacing w:val="-4"/>
              </w:rPr>
              <w:t>. čtvrtletí</w:t>
            </w:r>
            <w:r>
              <w:rPr>
                <w:rFonts w:cs="Arial"/>
                <w:color w:val="0D0D0D" w:themeColor="text1" w:themeTint="F2"/>
                <w:spacing w:val="-4"/>
              </w:rPr>
              <w:t xml:space="preserve"> 2017 činil 257</w:t>
            </w:r>
            <w:r w:rsidR="005544FC">
              <w:rPr>
                <w:rFonts w:cs="Arial"/>
                <w:color w:val="0D0D0D" w:themeColor="text1" w:themeTint="F2"/>
                <w:spacing w:val="-4"/>
              </w:rPr>
              <w:t> </w:t>
            </w:r>
            <w:r w:rsidR="006D164C">
              <w:rPr>
                <w:rFonts w:cs="Arial"/>
                <w:color w:val="0D0D0D" w:themeColor="text1" w:themeTint="F2"/>
                <w:spacing w:val="-4"/>
              </w:rPr>
              <w:t>mld.</w:t>
            </w:r>
            <w:r>
              <w:rPr>
                <w:rFonts w:cs="Arial"/>
                <w:color w:val="0D0D0D" w:themeColor="text1" w:themeTint="F2"/>
                <w:spacing w:val="-4"/>
              </w:rPr>
              <w:t xml:space="preserve"> korun (meziročně o 9,2</w:t>
            </w:r>
            <w:r w:rsidR="005723B7">
              <w:rPr>
                <w:rFonts w:cs="Arial"/>
                <w:color w:val="0D0D0D" w:themeColor="text1" w:themeTint="F2"/>
                <w:spacing w:val="-4"/>
              </w:rPr>
              <w:t> %</w:t>
            </w:r>
            <w:r>
              <w:rPr>
                <w:rFonts w:cs="Arial"/>
                <w:color w:val="0D0D0D" w:themeColor="text1" w:themeTint="F2"/>
                <w:spacing w:val="-4"/>
              </w:rPr>
              <w:t xml:space="preserve"> méně).</w:t>
            </w:r>
            <w:r w:rsidRPr="00D77546">
              <w:rPr>
                <w:rFonts w:cs="Arial"/>
                <w:spacing w:val="-4"/>
              </w:rPr>
              <w:t xml:space="preserve"> </w:t>
            </w:r>
            <w:r>
              <w:rPr>
                <w:rFonts w:cs="Arial"/>
                <w:spacing w:val="-4"/>
              </w:rPr>
              <w:t>V</w:t>
            </w:r>
            <w:r>
              <w:rPr>
                <w:color w:val="000000" w:themeColor="text1"/>
                <w:spacing w:val="-4"/>
              </w:rPr>
              <w:t>nější dluh</w:t>
            </w:r>
            <w:r w:rsidRPr="00D77546">
              <w:rPr>
                <w:color w:val="000000" w:themeColor="text1"/>
                <w:spacing w:val="-4"/>
              </w:rPr>
              <w:t xml:space="preserve"> </w:t>
            </w:r>
            <w:r>
              <w:rPr>
                <w:color w:val="000000" w:themeColor="text1"/>
                <w:spacing w:val="-4"/>
              </w:rPr>
              <w:t xml:space="preserve">se tak </w:t>
            </w:r>
            <w:r w:rsidRPr="00D77546">
              <w:rPr>
                <w:color w:val="000000" w:themeColor="text1"/>
                <w:spacing w:val="-4"/>
              </w:rPr>
              <w:t xml:space="preserve">na celkové zadluženosti státu </w:t>
            </w:r>
            <w:r>
              <w:rPr>
                <w:color w:val="000000" w:themeColor="text1"/>
                <w:spacing w:val="-4"/>
              </w:rPr>
              <w:t>podílel 16</w:t>
            </w:r>
            <w:r w:rsidR="005723B7">
              <w:rPr>
                <w:color w:val="000000" w:themeColor="text1"/>
                <w:spacing w:val="-4"/>
              </w:rPr>
              <w:t> %</w:t>
            </w:r>
            <w:r>
              <w:rPr>
                <w:color w:val="000000" w:themeColor="text1"/>
                <w:spacing w:val="-4"/>
              </w:rPr>
              <w:t xml:space="preserve"> a v rámci 3.</w:t>
            </w:r>
            <w:r w:rsidR="005544FC">
              <w:rPr>
                <w:color w:val="000000" w:themeColor="text1"/>
                <w:spacing w:val="-4"/>
              </w:rPr>
              <w:t> </w:t>
            </w:r>
            <w:r>
              <w:rPr>
                <w:color w:val="000000" w:themeColor="text1"/>
                <w:spacing w:val="-4"/>
              </w:rPr>
              <w:t>čt</w:t>
            </w:r>
            <w:r w:rsidR="005544FC">
              <w:rPr>
                <w:color w:val="000000" w:themeColor="text1"/>
                <w:spacing w:val="-4"/>
              </w:rPr>
              <w:t>vr</w:t>
            </w:r>
            <w:r>
              <w:rPr>
                <w:color w:val="000000" w:themeColor="text1"/>
                <w:spacing w:val="-4"/>
              </w:rPr>
              <w:t xml:space="preserve">tletí byl nejnižší za posledních deset let. </w:t>
            </w:r>
          </w:p>
          <w:p w:rsidR="00490B20" w:rsidRPr="00751FC1" w:rsidRDefault="00490B20" w:rsidP="00876058">
            <w:pPr>
              <w:pStyle w:val="Textpoznpodarou"/>
              <w:jc w:val="both"/>
              <w:rPr>
                <w:rFonts w:cs="Arial"/>
                <w:color w:val="0D0D0D" w:themeColor="text1" w:themeTint="F2"/>
                <w:spacing w:val="-4"/>
                <w:sz w:val="14"/>
                <w:szCs w:val="14"/>
              </w:rPr>
            </w:pPr>
          </w:p>
        </w:tc>
      </w:tr>
      <w:tr w:rsidR="00490B20" w:rsidRPr="00AD0FC0" w:rsidTr="00876058">
        <w:trPr>
          <w:trHeight w:val="145"/>
        </w:trPr>
        <w:tc>
          <w:tcPr>
            <w:tcW w:w="1016" w:type="pct"/>
            <w:shd w:val="clear" w:color="auto" w:fill="auto"/>
          </w:tcPr>
          <w:p w:rsidR="00490B20" w:rsidRPr="0043535F" w:rsidRDefault="00490B20" w:rsidP="00876058">
            <w:pPr>
              <w:spacing w:line="240" w:lineRule="auto"/>
              <w:rPr>
                <w:rFonts w:cs="Arial"/>
                <w:bCs/>
                <w:iCs/>
                <w:color w:val="0D0D0D" w:themeColor="text1" w:themeTint="F2"/>
                <w:spacing w:val="-4"/>
                <w:sz w:val="16"/>
                <w:szCs w:val="16"/>
              </w:rPr>
            </w:pPr>
            <w:r w:rsidRPr="0043535F">
              <w:rPr>
                <w:rFonts w:cs="Arial"/>
                <w:bCs/>
                <w:iCs/>
                <w:color w:val="0D0D0D" w:themeColor="text1" w:themeTint="F2"/>
                <w:spacing w:val="-4"/>
                <w:sz w:val="16"/>
                <w:szCs w:val="16"/>
              </w:rPr>
              <w:t>Zadluženost sektoru vládních institucí dosáhla na konci 1. pololetí 1</w:t>
            </w:r>
            <w:r w:rsidR="006D164C">
              <w:rPr>
                <w:rFonts w:cs="Arial"/>
                <w:bCs/>
                <w:iCs/>
                <w:color w:val="0D0D0D" w:themeColor="text1" w:themeTint="F2"/>
                <w:spacing w:val="-4"/>
                <w:sz w:val="16"/>
                <w:szCs w:val="16"/>
              </w:rPr>
              <w:t> </w:t>
            </w:r>
            <w:r w:rsidRPr="0043535F">
              <w:rPr>
                <w:rFonts w:cs="Arial"/>
                <w:bCs/>
                <w:iCs/>
                <w:color w:val="0D0D0D" w:themeColor="text1" w:themeTint="F2"/>
                <w:spacing w:val="-4"/>
                <w:sz w:val="16"/>
                <w:szCs w:val="16"/>
              </w:rPr>
              <w:t>923</w:t>
            </w:r>
            <w:r w:rsidR="006D164C">
              <w:rPr>
                <w:rFonts w:cs="Arial"/>
                <w:bCs/>
                <w:iCs/>
                <w:color w:val="0D0D0D" w:themeColor="text1" w:themeTint="F2"/>
                <w:spacing w:val="-4"/>
                <w:sz w:val="16"/>
                <w:szCs w:val="16"/>
              </w:rPr>
              <w:t> </w:t>
            </w:r>
            <w:r w:rsidRPr="0043535F">
              <w:rPr>
                <w:rFonts w:cs="Arial"/>
                <w:bCs/>
                <w:iCs/>
                <w:color w:val="0D0D0D" w:themeColor="text1" w:themeTint="F2"/>
                <w:spacing w:val="-4"/>
                <w:sz w:val="16"/>
                <w:szCs w:val="16"/>
              </w:rPr>
              <w:t>mld. korun. K </w:t>
            </w:r>
            <w:r>
              <w:rPr>
                <w:rFonts w:cs="Arial"/>
                <w:bCs/>
                <w:iCs/>
                <w:color w:val="0D0D0D" w:themeColor="text1" w:themeTint="F2"/>
                <w:spacing w:val="-4"/>
                <w:sz w:val="16"/>
                <w:szCs w:val="16"/>
              </w:rPr>
              <w:t>jejímu</w:t>
            </w:r>
            <w:r w:rsidRPr="0043535F">
              <w:rPr>
                <w:rFonts w:cs="Arial"/>
                <w:bCs/>
                <w:iCs/>
                <w:color w:val="0D0D0D" w:themeColor="text1" w:themeTint="F2"/>
                <w:spacing w:val="-4"/>
                <w:sz w:val="16"/>
                <w:szCs w:val="16"/>
              </w:rPr>
              <w:t xml:space="preserve"> růstu přispěly</w:t>
            </w:r>
            <w:r>
              <w:rPr>
                <w:rFonts w:cs="Arial"/>
                <w:bCs/>
                <w:iCs/>
                <w:color w:val="0D0D0D" w:themeColor="text1" w:themeTint="F2"/>
                <w:spacing w:val="-4"/>
                <w:sz w:val="16"/>
                <w:szCs w:val="16"/>
              </w:rPr>
              <w:t xml:space="preserve"> ústřední vládní</w:t>
            </w:r>
            <w:r w:rsidRPr="0043535F">
              <w:rPr>
                <w:rFonts w:cs="Arial"/>
                <w:bCs/>
                <w:iCs/>
                <w:color w:val="0D0D0D" w:themeColor="text1" w:themeTint="F2"/>
                <w:spacing w:val="-4"/>
                <w:sz w:val="16"/>
                <w:szCs w:val="16"/>
              </w:rPr>
              <w:t xml:space="preserve"> instituce, zadluženost obcí či krajů se </w:t>
            </w:r>
            <w:r>
              <w:rPr>
                <w:rFonts w:cs="Arial"/>
                <w:bCs/>
                <w:iCs/>
                <w:color w:val="0D0D0D" w:themeColor="text1" w:themeTint="F2"/>
                <w:spacing w:val="-4"/>
                <w:sz w:val="16"/>
                <w:szCs w:val="16"/>
              </w:rPr>
              <w:t xml:space="preserve">naopak </w:t>
            </w:r>
            <w:r w:rsidRPr="0043535F">
              <w:rPr>
                <w:rFonts w:cs="Arial"/>
                <w:bCs/>
                <w:iCs/>
                <w:color w:val="0D0D0D" w:themeColor="text1" w:themeTint="F2"/>
                <w:spacing w:val="-4"/>
                <w:sz w:val="16"/>
                <w:szCs w:val="16"/>
              </w:rPr>
              <w:t xml:space="preserve">meziročně snížila. </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43535F" w:rsidRDefault="00490B20" w:rsidP="00876058">
            <w:pPr>
              <w:pStyle w:val="Textpoznpodarou"/>
              <w:jc w:val="both"/>
              <w:rPr>
                <w:rFonts w:cs="Arial"/>
                <w:color w:val="0D0D0D" w:themeColor="text1" w:themeTint="F2"/>
                <w:spacing w:val="-4"/>
                <w:sz w:val="14"/>
                <w:szCs w:val="14"/>
              </w:rPr>
            </w:pPr>
            <w:r w:rsidRPr="0043535F">
              <w:rPr>
                <w:color w:val="000000" w:themeColor="text1"/>
                <w:spacing w:val="-4"/>
              </w:rPr>
              <w:t>Dluh</w:t>
            </w:r>
            <w:r w:rsidRPr="0043535F">
              <w:rPr>
                <w:color w:val="0D0D0D" w:themeColor="text1" w:themeTint="F2"/>
                <w:spacing w:val="-4"/>
              </w:rPr>
              <w:t xml:space="preserve"> sektoru vládních institucí (zohledňující</w:t>
            </w:r>
            <w:r w:rsidRPr="0043535F">
              <w:rPr>
                <w:color w:val="000000" w:themeColor="text1"/>
                <w:spacing w:val="-4"/>
              </w:rPr>
              <w:t xml:space="preserve"> i hospodaření územně správních celků či zdravotních pojišťoven) dosáhl dle aktuálních dat ČSÚ na konci 1.</w:t>
            </w:r>
            <w:r w:rsidR="005544FC">
              <w:rPr>
                <w:color w:val="000000" w:themeColor="text1"/>
                <w:spacing w:val="-4"/>
              </w:rPr>
              <w:t> </w:t>
            </w:r>
            <w:r w:rsidRPr="0043535F">
              <w:rPr>
                <w:color w:val="000000" w:themeColor="text1"/>
                <w:spacing w:val="-4"/>
              </w:rPr>
              <w:t>pololetí 2017</w:t>
            </w:r>
            <w:r w:rsidRPr="0043535F">
              <w:rPr>
                <w:rStyle w:val="Znakapoznpodarou"/>
                <w:color w:val="000000" w:themeColor="text1"/>
                <w:spacing w:val="-4"/>
              </w:rPr>
              <w:footnoteReference w:id="44"/>
            </w:r>
            <w:r w:rsidRPr="0043535F">
              <w:rPr>
                <w:color w:val="000000" w:themeColor="text1"/>
                <w:spacing w:val="-4"/>
              </w:rPr>
              <w:t xml:space="preserve"> výše 1 923</w:t>
            </w:r>
            <w:r w:rsidR="006D164C">
              <w:rPr>
                <w:color w:val="000000" w:themeColor="text1"/>
                <w:spacing w:val="-4"/>
              </w:rPr>
              <w:t> mld.</w:t>
            </w:r>
            <w:r w:rsidRPr="0043535F">
              <w:rPr>
                <w:color w:val="000000" w:themeColor="text1"/>
                <w:spacing w:val="-4"/>
              </w:rPr>
              <w:t xml:space="preserve"> korun a ve vztahu k HDP činil 39,4</w:t>
            </w:r>
            <w:r w:rsidR="005723B7">
              <w:rPr>
                <w:color w:val="000000" w:themeColor="text1"/>
                <w:spacing w:val="-4"/>
              </w:rPr>
              <w:t> %</w:t>
            </w:r>
            <w:r w:rsidRPr="0043535F">
              <w:rPr>
                <w:color w:val="000000" w:themeColor="text1"/>
                <w:spacing w:val="-4"/>
              </w:rPr>
              <w:t xml:space="preserve"> (meziročně o 0,1</w:t>
            </w:r>
            <w:r w:rsidR="00CE0849">
              <w:rPr>
                <w:color w:val="000000" w:themeColor="text1"/>
                <w:spacing w:val="-4"/>
              </w:rPr>
              <w:t> p. </w:t>
            </w:r>
            <w:proofErr w:type="spellStart"/>
            <w:r w:rsidR="00CE0849">
              <w:rPr>
                <w:color w:val="000000" w:themeColor="text1"/>
                <w:spacing w:val="-4"/>
              </w:rPr>
              <w:t>b</w:t>
            </w:r>
            <w:proofErr w:type="spellEnd"/>
            <w:r w:rsidR="00CE0849">
              <w:rPr>
                <w:color w:val="000000" w:themeColor="text1"/>
                <w:spacing w:val="-4"/>
              </w:rPr>
              <w:t>.</w:t>
            </w:r>
            <w:r w:rsidRPr="0043535F">
              <w:rPr>
                <w:color w:val="000000" w:themeColor="text1"/>
                <w:spacing w:val="-4"/>
              </w:rPr>
              <w:t xml:space="preserve"> </w:t>
            </w:r>
            <w:proofErr w:type="gramStart"/>
            <w:r w:rsidRPr="0043535F">
              <w:rPr>
                <w:color w:val="000000" w:themeColor="text1"/>
                <w:spacing w:val="-4"/>
              </w:rPr>
              <w:t>více</w:t>
            </w:r>
            <w:proofErr w:type="gramEnd"/>
            <w:r w:rsidRPr="0043535F">
              <w:rPr>
                <w:color w:val="000000" w:themeColor="text1"/>
                <w:spacing w:val="-4"/>
              </w:rPr>
              <w:t xml:space="preserve">). </w:t>
            </w:r>
            <w:r w:rsidRPr="0043535F">
              <w:rPr>
                <w:rFonts w:cs="Arial"/>
                <w:bCs/>
                <w:iCs/>
                <w:color w:val="0D0D0D" w:themeColor="text1" w:themeTint="F2"/>
                <w:spacing w:val="-4"/>
              </w:rPr>
              <w:t>Na růstu dluhu se podílely výhradně jen ústřední vládní instituce, neboť zadluženost především místních vládních institucí se meziročně snížila (i vlivem slabšího čerpání investic). Jen pět členů EU mělo na konci 1.</w:t>
            </w:r>
            <w:r w:rsidR="00C45380">
              <w:rPr>
                <w:rFonts w:cs="Arial"/>
                <w:bCs/>
                <w:iCs/>
                <w:color w:val="0D0D0D" w:themeColor="text1" w:themeTint="F2"/>
                <w:spacing w:val="-4"/>
              </w:rPr>
              <w:t> </w:t>
            </w:r>
            <w:r w:rsidRPr="0043535F">
              <w:rPr>
                <w:rFonts w:cs="Arial"/>
                <w:bCs/>
                <w:iCs/>
                <w:color w:val="0D0D0D" w:themeColor="text1" w:themeTint="F2"/>
                <w:spacing w:val="-4"/>
              </w:rPr>
              <w:t>pololetí relativní zadluženost nižší než ČR (ze starých členských zemí jen Dánsko). Ta meziročně klesla ve třech čtvrtinách států</w:t>
            </w:r>
            <w:r w:rsidR="00C45380">
              <w:rPr>
                <w:rFonts w:cs="Arial"/>
                <w:bCs/>
                <w:iCs/>
                <w:color w:val="0D0D0D" w:themeColor="text1" w:themeTint="F2"/>
                <w:spacing w:val="-4"/>
              </w:rPr>
              <w:t> </w:t>
            </w:r>
            <w:r w:rsidRPr="0043535F">
              <w:rPr>
                <w:rFonts w:cs="Arial"/>
                <w:bCs/>
                <w:iCs/>
                <w:color w:val="0D0D0D" w:themeColor="text1" w:themeTint="F2"/>
                <w:spacing w:val="-4"/>
              </w:rPr>
              <w:t>EU, v některých vysoce zadlužených ekonomikách se ale situace mírně zhoršila (Francie, Portugalsko). Zadluženost v</w:t>
            </w:r>
            <w:r w:rsidR="00C45380">
              <w:rPr>
                <w:rFonts w:cs="Arial"/>
                <w:bCs/>
                <w:iCs/>
                <w:color w:val="0D0D0D" w:themeColor="text1" w:themeTint="F2"/>
                <w:spacing w:val="-4"/>
              </w:rPr>
              <w:t> </w:t>
            </w:r>
            <w:r w:rsidRPr="0043535F">
              <w:rPr>
                <w:rFonts w:cs="Arial"/>
                <w:bCs/>
                <w:iCs/>
                <w:color w:val="0D0D0D" w:themeColor="text1" w:themeTint="F2"/>
                <w:spacing w:val="-4"/>
              </w:rPr>
              <w:t>celé</w:t>
            </w:r>
            <w:r w:rsidR="00C45380">
              <w:rPr>
                <w:rFonts w:cs="Arial"/>
                <w:bCs/>
                <w:iCs/>
                <w:color w:val="0D0D0D" w:themeColor="text1" w:themeTint="F2"/>
                <w:spacing w:val="-4"/>
              </w:rPr>
              <w:t> </w:t>
            </w:r>
            <w:r w:rsidRPr="0043535F">
              <w:rPr>
                <w:rFonts w:cs="Arial"/>
                <w:bCs/>
                <w:iCs/>
                <w:color w:val="0D0D0D" w:themeColor="text1" w:themeTint="F2"/>
                <w:spacing w:val="-4"/>
              </w:rPr>
              <w:t>EU se zlepšuje jen velmi pozvolna (za poslední tři roky z 87,1</w:t>
            </w:r>
            <w:r w:rsidR="005723B7">
              <w:rPr>
                <w:rFonts w:cs="Arial"/>
                <w:bCs/>
                <w:iCs/>
                <w:color w:val="0D0D0D" w:themeColor="text1" w:themeTint="F2"/>
                <w:spacing w:val="-4"/>
              </w:rPr>
              <w:t> %</w:t>
            </w:r>
            <w:r w:rsidRPr="0043535F">
              <w:rPr>
                <w:rFonts w:cs="Arial"/>
                <w:bCs/>
                <w:iCs/>
                <w:color w:val="0D0D0D" w:themeColor="text1" w:themeTint="F2"/>
                <w:spacing w:val="-4"/>
              </w:rPr>
              <w:t xml:space="preserve"> na 83,4</w:t>
            </w:r>
            <w:r w:rsidR="005723B7">
              <w:rPr>
                <w:rFonts w:cs="Arial"/>
                <w:bCs/>
                <w:iCs/>
                <w:color w:val="0D0D0D" w:themeColor="text1" w:themeTint="F2"/>
                <w:spacing w:val="-4"/>
              </w:rPr>
              <w:t> %</w:t>
            </w:r>
            <w:r w:rsidRPr="0043535F">
              <w:rPr>
                <w:rFonts w:cs="Arial"/>
                <w:bCs/>
                <w:iCs/>
                <w:color w:val="0D0D0D" w:themeColor="text1" w:themeTint="F2"/>
                <w:spacing w:val="-4"/>
              </w:rPr>
              <w:t xml:space="preserve"> HDP). Snížit </w:t>
            </w:r>
            <w:r>
              <w:rPr>
                <w:rFonts w:cs="Arial"/>
                <w:bCs/>
                <w:iCs/>
                <w:color w:val="0D0D0D" w:themeColor="text1" w:themeTint="F2"/>
                <w:spacing w:val="-4"/>
              </w:rPr>
              <w:t xml:space="preserve">svou </w:t>
            </w:r>
            <w:r w:rsidRPr="0043535F">
              <w:rPr>
                <w:rFonts w:cs="Arial"/>
                <w:bCs/>
                <w:iCs/>
                <w:color w:val="0D0D0D" w:themeColor="text1" w:themeTint="F2"/>
                <w:spacing w:val="-4"/>
              </w:rPr>
              <w:t>zadluženost na úroveň blízk</w:t>
            </w:r>
            <w:r w:rsidR="00C45380">
              <w:rPr>
                <w:rFonts w:cs="Arial"/>
                <w:bCs/>
                <w:iCs/>
                <w:color w:val="0D0D0D" w:themeColor="text1" w:themeTint="F2"/>
                <w:spacing w:val="-4"/>
              </w:rPr>
              <w:t>ou</w:t>
            </w:r>
            <w:r w:rsidRPr="0043535F">
              <w:rPr>
                <w:rFonts w:cs="Arial"/>
                <w:bCs/>
                <w:iCs/>
                <w:color w:val="0D0D0D" w:themeColor="text1" w:themeTint="F2"/>
                <w:spacing w:val="-4"/>
              </w:rPr>
              <w:t xml:space="preserve"> předkrizovému roku 2008</w:t>
            </w:r>
            <w:r>
              <w:rPr>
                <w:rFonts w:cs="Arial"/>
                <w:bCs/>
                <w:iCs/>
                <w:color w:val="0D0D0D" w:themeColor="text1" w:themeTint="F2"/>
                <w:spacing w:val="-4"/>
              </w:rPr>
              <w:t xml:space="preserve"> se dosud podařilo jen Německu</w:t>
            </w:r>
            <w:r w:rsidRPr="0043535F">
              <w:rPr>
                <w:rFonts w:cs="Arial"/>
                <w:bCs/>
                <w:iCs/>
                <w:color w:val="0D0D0D" w:themeColor="text1" w:themeTint="F2"/>
                <w:spacing w:val="-4"/>
              </w:rPr>
              <w:t xml:space="preserve"> (na 64,7</w:t>
            </w:r>
            <w:r w:rsidR="005723B7">
              <w:rPr>
                <w:rFonts w:cs="Arial"/>
                <w:bCs/>
                <w:iCs/>
                <w:color w:val="0D0D0D" w:themeColor="text1" w:themeTint="F2"/>
                <w:spacing w:val="-4"/>
              </w:rPr>
              <w:t> %</w:t>
            </w:r>
            <w:r w:rsidRPr="0043535F">
              <w:rPr>
                <w:rFonts w:cs="Arial"/>
                <w:bCs/>
                <w:iCs/>
                <w:color w:val="0D0D0D" w:themeColor="text1" w:themeTint="F2"/>
                <w:spacing w:val="-4"/>
              </w:rPr>
              <w:t xml:space="preserve"> na konci 1.</w:t>
            </w:r>
            <w:r w:rsidRPr="0043535F">
              <w:rPr>
                <w:color w:val="000000" w:themeColor="text1"/>
                <w:spacing w:val="-4"/>
              </w:rPr>
              <w:t> </w:t>
            </w:r>
            <w:r w:rsidRPr="0043535F">
              <w:rPr>
                <w:rFonts w:cs="Arial"/>
                <w:bCs/>
                <w:iCs/>
                <w:color w:val="0D0D0D" w:themeColor="text1" w:themeTint="F2"/>
                <w:spacing w:val="-4"/>
              </w:rPr>
              <w:t xml:space="preserve">pololetí 2017) a z </w:t>
            </w:r>
            <w:r>
              <w:rPr>
                <w:rFonts w:cs="Arial"/>
                <w:bCs/>
                <w:iCs/>
                <w:color w:val="0D0D0D" w:themeColor="text1" w:themeTint="F2"/>
                <w:spacing w:val="-4"/>
              </w:rPr>
              <w:t>malých ekonomik Maltě</w:t>
            </w:r>
            <w:r w:rsidRPr="0043535F">
              <w:rPr>
                <w:rFonts w:cs="Arial"/>
                <w:bCs/>
                <w:iCs/>
                <w:color w:val="0D0D0D" w:themeColor="text1" w:themeTint="F2"/>
                <w:spacing w:val="-4"/>
              </w:rPr>
              <w:t xml:space="preserve"> (56,8</w:t>
            </w:r>
            <w:r w:rsidR="005723B7">
              <w:rPr>
                <w:rFonts w:cs="Arial"/>
                <w:bCs/>
                <w:iCs/>
                <w:color w:val="0D0D0D" w:themeColor="text1" w:themeTint="F2"/>
                <w:spacing w:val="-4"/>
              </w:rPr>
              <w:t> %</w:t>
            </w:r>
            <w:r w:rsidRPr="0043535F">
              <w:rPr>
                <w:rFonts w:cs="Arial"/>
                <w:bCs/>
                <w:iCs/>
                <w:color w:val="0D0D0D" w:themeColor="text1" w:themeTint="F2"/>
                <w:spacing w:val="-4"/>
              </w:rPr>
              <w:t>).</w:t>
            </w:r>
          </w:p>
        </w:tc>
      </w:tr>
    </w:tbl>
    <w:p w:rsidR="00490B20" w:rsidRDefault="00490B20" w:rsidP="00490B20">
      <w:pPr>
        <w:pStyle w:val="Textpoznpodarou"/>
        <w:jc w:val="both"/>
        <w:rPr>
          <w:rFonts w:cs="Arial"/>
          <w:color w:val="000000"/>
          <w:sz w:val="15"/>
          <w:szCs w:val="15"/>
        </w:rPr>
      </w:pPr>
    </w:p>
    <w:tbl>
      <w:tblPr>
        <w:tblW w:w="4963" w:type="pct"/>
        <w:tblInd w:w="108" w:type="dxa"/>
        <w:tblLayout w:type="fixed"/>
        <w:tblLook w:val="00A0"/>
      </w:tblPr>
      <w:tblGrid>
        <w:gridCol w:w="1997"/>
        <w:gridCol w:w="284"/>
        <w:gridCol w:w="1119"/>
        <w:gridCol w:w="6381"/>
      </w:tblGrid>
      <w:tr w:rsidR="00490B20" w:rsidRPr="007E5880" w:rsidTr="00876058">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2" w:type="pct"/>
          </w:tcPr>
          <w:p w:rsidR="00490B20" w:rsidRPr="00AA4A76" w:rsidRDefault="00490B20" w:rsidP="00876058">
            <w:pPr>
              <w:pStyle w:val="Textpoznpodarou"/>
              <w:jc w:val="both"/>
              <w:rPr>
                <w:highlight w:val="yellow"/>
              </w:rPr>
            </w:pPr>
            <w:r>
              <w:rPr>
                <w:color w:val="000000"/>
              </w:rPr>
              <w:t xml:space="preserve">Graf </w:t>
            </w:r>
            <w:r w:rsidR="00C45380">
              <w:rPr>
                <w:color w:val="000000"/>
              </w:rPr>
              <w:t>č. </w:t>
            </w:r>
            <w:r>
              <w:rPr>
                <w:color w:val="000000"/>
              </w:rPr>
              <w:t>2</w:t>
            </w:r>
            <w:r w:rsidR="001356FC">
              <w:rPr>
                <w:color w:val="000000"/>
              </w:rPr>
              <w:t>2</w:t>
            </w:r>
          </w:p>
        </w:tc>
        <w:tc>
          <w:tcPr>
            <w:tcW w:w="3262" w:type="pct"/>
          </w:tcPr>
          <w:p w:rsidR="00490B20" w:rsidRPr="00C9521B" w:rsidRDefault="00490B20" w:rsidP="00876058">
            <w:pPr>
              <w:pStyle w:val="Textpoznpodarou"/>
              <w:rPr>
                <w:rFonts w:cs="Arial"/>
                <w:bCs/>
              </w:rPr>
            </w:pPr>
            <w:r w:rsidRPr="006808C5">
              <w:rPr>
                <w:rFonts w:cs="Arial"/>
                <w:b/>
                <w:bCs/>
              </w:rPr>
              <w:t>Struktura státního dluh</w:t>
            </w:r>
            <w:r w:rsidR="00C45380">
              <w:rPr>
                <w:rFonts w:cs="Arial"/>
                <w:b/>
                <w:bCs/>
              </w:rPr>
              <w:t>u</w:t>
            </w:r>
            <w:r w:rsidRPr="006808C5">
              <w:rPr>
                <w:rFonts w:cs="Arial"/>
                <w:b/>
                <w:bCs/>
              </w:rPr>
              <w:t xml:space="preserve"> ČR </w:t>
            </w:r>
            <w:r w:rsidRPr="006808C5">
              <w:rPr>
                <w:rFonts w:cs="Arial"/>
                <w:bCs/>
              </w:rPr>
              <w:t xml:space="preserve">(stav na konci </w:t>
            </w:r>
            <w:r>
              <w:rPr>
                <w:rFonts w:cs="Arial"/>
                <w:bCs/>
              </w:rPr>
              <w:t>3</w:t>
            </w:r>
            <w:r w:rsidR="005723B7">
              <w:rPr>
                <w:rFonts w:cs="Arial"/>
                <w:bCs/>
              </w:rPr>
              <w:t>. čtvrtletí</w:t>
            </w:r>
            <w:r>
              <w:rPr>
                <w:rFonts w:cs="Arial"/>
                <w:bCs/>
              </w:rPr>
              <w:t xml:space="preserve"> roku</w:t>
            </w:r>
            <w:r w:rsidRPr="006808C5">
              <w:rPr>
                <w:rFonts w:cs="Arial"/>
                <w:bCs/>
              </w:rPr>
              <w:t>, v</w:t>
            </w:r>
            <w:r w:rsidR="006D164C">
              <w:rPr>
                <w:rFonts w:cs="Arial"/>
                <w:bCs/>
              </w:rPr>
              <w:t> mld.</w:t>
            </w:r>
            <w:r w:rsidRPr="006808C5">
              <w:rPr>
                <w:rFonts w:cs="Arial"/>
                <w:bCs/>
              </w:rPr>
              <w:t xml:space="preserve"> korun</w:t>
            </w:r>
            <w:r w:rsidR="00C45380">
              <w:rPr>
                <w:rFonts w:cs="Arial"/>
                <w:bCs/>
              </w:rPr>
              <w:t>)</w:t>
            </w:r>
            <w:r>
              <w:rPr>
                <w:rFonts w:cs="Arial"/>
                <w:bCs/>
              </w:rPr>
              <w:t xml:space="preserve"> </w:t>
            </w:r>
            <w:r>
              <w:rPr>
                <w:rFonts w:cs="Arial"/>
                <w:b/>
                <w:bCs/>
              </w:rPr>
              <w:t>a čisté výdaje SR na státní dluh</w:t>
            </w:r>
            <w:r w:rsidRPr="006808C5">
              <w:rPr>
                <w:rFonts w:cs="Arial"/>
                <w:b/>
                <w:bCs/>
              </w:rPr>
              <w:t xml:space="preserve"> </w:t>
            </w:r>
            <w:r>
              <w:rPr>
                <w:rFonts w:cs="Arial"/>
                <w:bCs/>
              </w:rPr>
              <w:t>(úhrn za 1. až 3</w:t>
            </w:r>
            <w:r w:rsidR="005723B7">
              <w:rPr>
                <w:rFonts w:cs="Arial"/>
                <w:bCs/>
              </w:rPr>
              <w:t>. čtvrtletí</w:t>
            </w:r>
            <w:r>
              <w:rPr>
                <w:rFonts w:cs="Arial"/>
                <w:bCs/>
              </w:rPr>
              <w:t xml:space="preserve">, </w:t>
            </w:r>
            <w:r w:rsidRPr="00C45380">
              <w:rPr>
                <w:rFonts w:cs="Arial"/>
                <w:bCs/>
              </w:rPr>
              <w:t>v</w:t>
            </w:r>
            <w:r w:rsidR="006D164C" w:rsidRPr="00C45380">
              <w:rPr>
                <w:rFonts w:cs="Arial"/>
                <w:bCs/>
                <w:spacing w:val="-2"/>
              </w:rPr>
              <w:t> mld.</w:t>
            </w:r>
            <w:r w:rsidRPr="00C45380">
              <w:rPr>
                <w:rFonts w:cs="Arial"/>
                <w:bCs/>
              </w:rPr>
              <w:t xml:space="preserve"> korun,</w:t>
            </w:r>
            <w:r>
              <w:rPr>
                <w:rFonts w:cs="Arial"/>
                <w:bCs/>
              </w:rPr>
              <w:t xml:space="preserve"> pravá osa</w:t>
            </w:r>
            <w:r w:rsidRPr="006808C5">
              <w:rPr>
                <w:rFonts w:cs="Arial"/>
                <w:bCs/>
              </w:rPr>
              <w:t>)</w:t>
            </w:r>
          </w:p>
        </w:tc>
      </w:tr>
      <w:tr w:rsidR="00490B20" w:rsidRPr="006D67AC" w:rsidTr="00876058">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3" w:type="pct"/>
            <w:gridSpan w:val="2"/>
          </w:tcPr>
          <w:p w:rsidR="00490B20" w:rsidRDefault="00490B20" w:rsidP="00876058">
            <w:pPr>
              <w:pStyle w:val="Textpoznpodarou"/>
              <w:ind w:left="-124"/>
              <w:jc w:val="both"/>
              <w:rPr>
                <w:sz w:val="16"/>
                <w:szCs w:val="16"/>
              </w:rPr>
            </w:pPr>
            <w:r w:rsidRPr="00C9521B">
              <w:rPr>
                <w:noProof/>
                <w:sz w:val="16"/>
                <w:szCs w:val="16"/>
              </w:rPr>
              <w:drawing>
                <wp:inline distT="0" distB="0" distL="0" distR="0">
                  <wp:extent cx="4757384" cy="3528000"/>
                  <wp:effectExtent l="0" t="0" r="5116" b="0"/>
                  <wp:docPr id="4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90B20" w:rsidRPr="006D67AC" w:rsidRDefault="00490B20" w:rsidP="00876058">
            <w:pPr>
              <w:autoSpaceDE w:val="0"/>
              <w:autoSpaceDN w:val="0"/>
              <w:adjustRightInd w:val="0"/>
              <w:spacing w:line="240" w:lineRule="auto"/>
              <w:rPr>
                <w:rFonts w:cs="Arial"/>
                <w:sz w:val="14"/>
                <w:szCs w:val="14"/>
              </w:rPr>
            </w:pPr>
            <w:r>
              <w:rPr>
                <w:sz w:val="14"/>
                <w:szCs w:val="14"/>
              </w:rPr>
              <w:t>Pozn.: V čistých výdajích na státní dluh jsou započteny i příjmy rozpočtové kapitoly státní dluh.                     Zdroj: MF</w:t>
            </w:r>
          </w:p>
        </w:tc>
      </w:tr>
    </w:tbl>
    <w:p w:rsidR="008A03DE" w:rsidRPr="00CE7158" w:rsidRDefault="008A03DE" w:rsidP="00293553">
      <w:pPr>
        <w:pStyle w:val="Textpoznpodarou"/>
        <w:jc w:val="both"/>
        <w:rPr>
          <w:rFonts w:cs="Arial"/>
          <w:color w:val="000000"/>
          <w:sz w:val="10"/>
          <w:szCs w:val="10"/>
        </w:rPr>
      </w:pPr>
    </w:p>
    <w:sectPr w:rsidR="008A03DE" w:rsidRPr="00CE7158" w:rsidSect="00E83DAB">
      <w:headerReference w:type="even" r:id="rId35"/>
      <w:headerReference w:type="default" r:id="rId36"/>
      <w:footerReference w:type="even" r:id="rId37"/>
      <w:footerReference w:type="default" r:id="rId38"/>
      <w:type w:val="continuous"/>
      <w:pgSz w:w="11906" w:h="16838" w:code="9"/>
      <w:pgMar w:top="1134" w:right="1134" w:bottom="1418" w:left="1134"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BF40B" w15:done="0"/>
  <w15:commentEx w15:paraId="16C4E902" w15:done="0"/>
  <w15:commentEx w15:paraId="77D26CEC" w15:done="0"/>
  <w15:commentEx w15:paraId="5E0FE7F5" w15:done="0"/>
  <w15:commentEx w15:paraId="4A572DBB" w15:done="0"/>
  <w15:commentEx w15:paraId="51697760" w15:done="0"/>
  <w15:commentEx w15:paraId="5ED29711" w15:done="0"/>
  <w15:commentEx w15:paraId="52681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BF40B" w16cid:durableId="1DDEACCD"/>
  <w16cid:commentId w16cid:paraId="16C4E902" w16cid:durableId="1DDF6F04"/>
  <w16cid:commentId w16cid:paraId="77D26CEC" w16cid:durableId="1DDF596E"/>
  <w16cid:commentId w16cid:paraId="5E0FE7F5" w16cid:durableId="1DDF7C4B"/>
  <w16cid:commentId w16cid:paraId="4A572DBB" w16cid:durableId="1DDF8DFA"/>
  <w16cid:commentId w16cid:paraId="51697760" w16cid:durableId="1DDFC45F"/>
  <w16cid:commentId w16cid:paraId="5ED29711" w16cid:durableId="1DDFC9D1"/>
  <w16cid:commentId w16cid:paraId="52681086" w16cid:durableId="1DDFCB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EB" w:rsidRDefault="005F14EB" w:rsidP="00E71A58">
      <w:r>
        <w:separator/>
      </w:r>
    </w:p>
  </w:endnote>
  <w:endnote w:type="continuationSeparator" w:id="0">
    <w:p w:rsidR="005F14EB" w:rsidRDefault="005F14E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8"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4A6717" w:rsidRPr="00223E00" w:rsidRDefault="004A6717"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B6074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60748" w:rsidRPr="00223E00">
      <w:rPr>
        <w:rFonts w:ascii="Arial" w:hAnsi="Arial" w:cs="Arial"/>
        <w:sz w:val="16"/>
        <w:szCs w:val="16"/>
      </w:rPr>
      <w:fldChar w:fldCharType="separate"/>
    </w:r>
    <w:r w:rsidR="0076536E">
      <w:rPr>
        <w:rFonts w:ascii="Arial" w:hAnsi="Arial" w:cs="Arial"/>
        <w:noProof/>
        <w:sz w:val="16"/>
        <w:szCs w:val="16"/>
      </w:rPr>
      <w:t>3</w:t>
    </w:r>
    <w:r w:rsidR="00B60748"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B60748" w:rsidRPr="005A21E0">
      <w:rPr>
        <w:rFonts w:ascii="Arial" w:hAnsi="Arial" w:cs="Arial"/>
        <w:sz w:val="16"/>
        <w:szCs w:val="16"/>
      </w:rPr>
      <w:fldChar w:fldCharType="begin"/>
    </w:r>
    <w:r w:rsidRPr="005A21E0">
      <w:rPr>
        <w:rFonts w:ascii="Arial" w:hAnsi="Arial" w:cs="Arial"/>
        <w:sz w:val="16"/>
        <w:szCs w:val="16"/>
      </w:rPr>
      <w:instrText>PAGE   \* MERGEFORMAT</w:instrText>
    </w:r>
    <w:r w:rsidR="00B60748" w:rsidRPr="005A21E0">
      <w:rPr>
        <w:rFonts w:ascii="Arial" w:hAnsi="Arial" w:cs="Arial"/>
        <w:sz w:val="16"/>
        <w:szCs w:val="16"/>
      </w:rPr>
      <w:fldChar w:fldCharType="separate"/>
    </w:r>
    <w:r w:rsidR="0076536E">
      <w:rPr>
        <w:rFonts w:ascii="Arial" w:hAnsi="Arial" w:cs="Arial"/>
        <w:noProof/>
        <w:sz w:val="16"/>
        <w:szCs w:val="16"/>
      </w:rPr>
      <w:t>28</w:t>
    </w:r>
    <w:r w:rsidR="00B60748" w:rsidRPr="005A21E0">
      <w:rPr>
        <w:rFonts w:ascii="Arial" w:hAnsi="Arial" w:cs="Arial"/>
        <w:sz w:val="16"/>
        <w:szCs w:val="16"/>
      </w:rPr>
      <w:fldChar w:fldCharType="end"/>
    </w:r>
    <w:r>
      <w:rPr>
        <w:rFonts w:ascii="Arial" w:hAnsi="Arial" w:cs="Arial"/>
        <w:sz w:val="16"/>
        <w:szCs w:val="16"/>
      </w:rPr>
      <w:tab/>
      <w:t>2017</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4A6717" w:rsidRPr="00223E00" w:rsidRDefault="004A6717"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B6074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60748" w:rsidRPr="00223E00">
      <w:rPr>
        <w:rFonts w:ascii="Arial" w:hAnsi="Arial" w:cs="Arial"/>
        <w:sz w:val="16"/>
        <w:szCs w:val="16"/>
      </w:rPr>
      <w:fldChar w:fldCharType="separate"/>
    </w:r>
    <w:r w:rsidR="0076536E">
      <w:rPr>
        <w:rFonts w:ascii="Arial" w:hAnsi="Arial" w:cs="Arial"/>
        <w:noProof/>
        <w:sz w:val="16"/>
        <w:szCs w:val="16"/>
      </w:rPr>
      <w:t>29</w:t>
    </w:r>
    <w:r w:rsidR="00B60748"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EB" w:rsidRDefault="005F14EB" w:rsidP="00E71A58">
      <w:r>
        <w:separator/>
      </w:r>
    </w:p>
  </w:footnote>
  <w:footnote w:type="continuationSeparator" w:id="0">
    <w:p w:rsidR="005F14EB" w:rsidRDefault="005F14EB" w:rsidP="00E71A58">
      <w:r>
        <w:continuationSeparator/>
      </w:r>
    </w:p>
  </w:footnote>
  <w:footnote w:id="1">
    <w:p w:rsidR="004A6717" w:rsidRPr="0021507A" w:rsidRDefault="004A6717" w:rsidP="00BB6F86">
      <w:pPr>
        <w:pStyle w:val="Textpoznpodarou"/>
        <w:rPr>
          <w:sz w:val="16"/>
          <w:szCs w:val="16"/>
        </w:rPr>
      </w:pPr>
      <w:r w:rsidRPr="0021507A">
        <w:rPr>
          <w:rStyle w:val="Znakapoznpodarou"/>
          <w:sz w:val="16"/>
          <w:szCs w:val="16"/>
        </w:rPr>
        <w:footnoteRef/>
      </w:r>
      <w:r w:rsidRPr="0021507A">
        <w:rPr>
          <w:sz w:val="16"/>
          <w:szCs w:val="16"/>
        </w:rPr>
        <w:t xml:space="preserve"> Data o HDP, hrubé přidané hodnotě a jejich složkách jsou vyjádřena ve stálých cenách a v očištění o sezónní a kalendářní vlivy.</w:t>
      </w:r>
    </w:p>
  </w:footnote>
  <w:footnote w:id="2">
    <w:p w:rsidR="004A6717" w:rsidRPr="0021507A" w:rsidRDefault="004A6717" w:rsidP="009B25CE">
      <w:pPr>
        <w:pStyle w:val="Textpoznpodarou"/>
        <w:rPr>
          <w:sz w:val="16"/>
          <w:szCs w:val="16"/>
        </w:rPr>
      </w:pPr>
      <w:r w:rsidRPr="0021507A">
        <w:rPr>
          <w:rStyle w:val="Znakapoznpodarou"/>
          <w:sz w:val="16"/>
          <w:szCs w:val="16"/>
        </w:rPr>
        <w:footnoteRef/>
      </w:r>
      <w:r w:rsidRPr="0021507A">
        <w:rPr>
          <w:sz w:val="16"/>
          <w:szCs w:val="16"/>
        </w:rPr>
        <w:t xml:space="preserve"> Sezónně očištěné údaje v pojetí národních účtů.</w:t>
      </w:r>
    </w:p>
  </w:footnote>
  <w:footnote w:id="3">
    <w:p w:rsidR="004A6717" w:rsidRPr="00EF1EE3" w:rsidRDefault="004A6717" w:rsidP="00333134">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 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změny cen)</w:t>
      </w:r>
      <w:r w:rsidRPr="00EF1EE3">
        <w:rPr>
          <w:sz w:val="16"/>
          <w:szCs w:val="16"/>
        </w:rPr>
        <w:t xml:space="preserve"> a v očištění o sezónní a kalendářn</w:t>
      </w:r>
      <w:r>
        <w:rPr>
          <w:sz w:val="16"/>
          <w:szCs w:val="16"/>
        </w:rPr>
        <w:t>í vlivy. Údaje byly zveřejněny 1</w:t>
      </w:r>
      <w:r w:rsidRPr="00EF1EE3">
        <w:rPr>
          <w:sz w:val="16"/>
          <w:szCs w:val="16"/>
        </w:rPr>
        <w:t>.</w:t>
      </w:r>
      <w:r>
        <w:rPr>
          <w:sz w:val="16"/>
          <w:szCs w:val="16"/>
        </w:rPr>
        <w:t xml:space="preserve"> 12</w:t>
      </w:r>
      <w:r w:rsidRPr="00EF1EE3">
        <w:rPr>
          <w:sz w:val="16"/>
          <w:szCs w:val="16"/>
        </w:rPr>
        <w:t>. 201</w:t>
      </w:r>
      <w:r>
        <w:rPr>
          <w:sz w:val="16"/>
          <w:szCs w:val="16"/>
        </w:rPr>
        <w:t>7</w:t>
      </w:r>
      <w:r w:rsidRPr="00EF1EE3">
        <w:rPr>
          <w:sz w:val="16"/>
          <w:szCs w:val="16"/>
        </w:rPr>
        <w:t xml:space="preserve"> a 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10</w:t>
      </w:r>
      <w:r w:rsidRPr="00EF1EE3">
        <w:rPr>
          <w:sz w:val="16"/>
          <w:szCs w:val="16"/>
        </w:rPr>
        <w:t xml:space="preserve">. </w:t>
      </w:r>
      <w:r>
        <w:rPr>
          <w:sz w:val="16"/>
          <w:szCs w:val="16"/>
        </w:rPr>
        <w:t>1</w:t>
      </w:r>
      <w:r w:rsidRPr="00EF1EE3">
        <w:rPr>
          <w:sz w:val="16"/>
          <w:szCs w:val="16"/>
        </w:rPr>
        <w:t>. 201</w:t>
      </w:r>
      <w:r>
        <w:rPr>
          <w:sz w:val="16"/>
          <w:szCs w:val="16"/>
        </w:rPr>
        <w:t>8</w:t>
      </w:r>
      <w:r w:rsidRPr="00EF1EE3">
        <w:rPr>
          <w:sz w:val="16"/>
          <w:szCs w:val="16"/>
        </w:rPr>
        <w:t>.</w:t>
      </w:r>
    </w:p>
  </w:footnote>
  <w:footnote w:id="4">
    <w:p w:rsidR="004A6717" w:rsidRPr="00BB319F" w:rsidRDefault="004A6717" w:rsidP="00333134">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w:t>
      </w:r>
      <w:r>
        <w:rPr>
          <w:sz w:val="16"/>
          <w:szCs w:val="16"/>
        </w:rPr>
        <w:t xml:space="preserve"> </w:t>
      </w:r>
      <w:r w:rsidRPr="00BB319F">
        <w:rPr>
          <w:sz w:val="16"/>
          <w:szCs w:val="16"/>
        </w:rPr>
        <w:t>a Lucembursko.</w:t>
      </w:r>
      <w:r>
        <w:rPr>
          <w:sz w:val="16"/>
          <w:szCs w:val="16"/>
        </w:rPr>
        <w:t xml:space="preserve"> Data za Slovensko nejsou očištěna o kalendářní vlivy.</w:t>
      </w:r>
    </w:p>
  </w:footnote>
  <w:footnote w:id="5">
    <w:p w:rsidR="004A6717" w:rsidRPr="009C6EA8" w:rsidRDefault="004A6717" w:rsidP="00333134">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6">
    <w:p w:rsidR="004A6717" w:rsidRPr="007933CD" w:rsidRDefault="004A6717">
      <w:pPr>
        <w:pStyle w:val="Textpoznpodarou"/>
        <w:rPr>
          <w:sz w:val="16"/>
          <w:szCs w:val="16"/>
        </w:rPr>
      </w:pPr>
      <w:r w:rsidRPr="007933CD">
        <w:rPr>
          <w:rStyle w:val="Znakapoznpodarou"/>
          <w:sz w:val="16"/>
          <w:szCs w:val="16"/>
        </w:rPr>
        <w:footnoteRef/>
      </w:r>
      <w:r w:rsidRPr="007933CD">
        <w:rPr>
          <w:sz w:val="16"/>
          <w:szCs w:val="16"/>
        </w:rPr>
        <w:t xml:space="preserve"> Údaje o spotřebě domácností podle trvanlivosti statků nejsou sezónně očištěny.</w:t>
      </w:r>
    </w:p>
  </w:footnote>
  <w:footnote w:id="7">
    <w:p w:rsidR="004A6717" w:rsidRPr="009C6EA8" w:rsidRDefault="004A6717" w:rsidP="00333134">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8">
    <w:p w:rsidR="004A6717" w:rsidRDefault="004A6717" w:rsidP="00333134">
      <w:pPr>
        <w:pStyle w:val="Textpoznpodarou"/>
      </w:pPr>
      <w:r w:rsidRPr="009C6EA8">
        <w:rPr>
          <w:rStyle w:val="Znakapoznpodarou"/>
          <w:sz w:val="16"/>
          <w:szCs w:val="16"/>
        </w:rPr>
        <w:footnoteRef/>
      </w:r>
      <w:r w:rsidRPr="009C6EA8">
        <w:rPr>
          <w:sz w:val="16"/>
          <w:szCs w:val="16"/>
        </w:rPr>
        <w:t xml:space="preserve"> V pojetí národních účtů, sezónně očištěno</w:t>
      </w:r>
      <w:r w:rsidRPr="00004BA8">
        <w:rPr>
          <w:sz w:val="16"/>
        </w:rPr>
        <w:t>.</w:t>
      </w:r>
    </w:p>
  </w:footnote>
  <w:footnote w:id="9">
    <w:p w:rsidR="004A6717" w:rsidRPr="0021552C" w:rsidRDefault="004A6717" w:rsidP="00333134">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 xml:space="preserve">ata o 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0">
    <w:p w:rsidR="004A6717" w:rsidRPr="00831E4B" w:rsidRDefault="004A6717">
      <w:pPr>
        <w:pStyle w:val="Textpoznpodarou"/>
        <w:rPr>
          <w:sz w:val="16"/>
          <w:szCs w:val="16"/>
        </w:rPr>
      </w:pPr>
      <w:r w:rsidRPr="00831E4B">
        <w:rPr>
          <w:rStyle w:val="Znakapoznpodarou"/>
          <w:sz w:val="16"/>
          <w:szCs w:val="16"/>
        </w:rPr>
        <w:footnoteRef/>
      </w:r>
      <w:r w:rsidRPr="00831E4B">
        <w:rPr>
          <w:sz w:val="16"/>
          <w:szCs w:val="16"/>
        </w:rPr>
        <w:t xml:space="preserve"> V běžných i stálých cenách.</w:t>
      </w:r>
    </w:p>
  </w:footnote>
  <w:footnote w:id="11">
    <w:p w:rsidR="004A6717" w:rsidRPr="00167B30" w:rsidRDefault="004A6717" w:rsidP="00333134">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 dovoz v ocenění FOB/FOB)</w:t>
      </w:r>
      <w:r>
        <w:rPr>
          <w:sz w:val="16"/>
          <w:szCs w:val="16"/>
        </w:rPr>
        <w:t>.</w:t>
      </w:r>
    </w:p>
  </w:footnote>
  <w:footnote w:id="12">
    <w:p w:rsidR="004A6717" w:rsidRPr="00670182" w:rsidRDefault="004A6717" w:rsidP="005C419C">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Údaje o HPH jsou vyjádřeny ve stálých cenách a v očištění o sezónní a kalendářní vlivy.</w:t>
      </w:r>
    </w:p>
  </w:footnote>
  <w:footnote w:id="13">
    <w:p w:rsidR="004A6717" w:rsidRPr="00670182" w:rsidRDefault="004A6717" w:rsidP="005C419C">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Pr>
          <w:color w:val="0D0D0D" w:themeColor="text1" w:themeTint="F2"/>
          <w:spacing w:val="-2"/>
          <w:sz w:val="16"/>
          <w:szCs w:val="16"/>
        </w:rPr>
        <w:t xml:space="preserve"> Zahrnutá odvětví: těžba a dobývání, zpracovatelský průmysl, e</w:t>
      </w:r>
      <w:r w:rsidRPr="00670182">
        <w:rPr>
          <w:color w:val="0D0D0D" w:themeColor="text1" w:themeTint="F2"/>
          <w:spacing w:val="-2"/>
          <w:sz w:val="16"/>
          <w:szCs w:val="16"/>
        </w:rPr>
        <w:t>nergetika. Všechna meziroční tempa produkce (na úrovni odvětvových sekcí i oddílů) jsou očištěna o kalendářní vlivy.</w:t>
      </w:r>
    </w:p>
  </w:footnote>
  <w:footnote w:id="14">
    <w:p w:rsidR="004A6717" w:rsidRPr="00D629B0" w:rsidRDefault="004A6717" w:rsidP="005C419C">
      <w:pPr>
        <w:pStyle w:val="Textpoznpodarou"/>
        <w:jc w:val="both"/>
        <w:rPr>
          <w:spacing w:val="-2"/>
          <w:sz w:val="16"/>
          <w:szCs w:val="16"/>
        </w:rPr>
      </w:pPr>
      <w:r w:rsidRPr="00D629B0">
        <w:rPr>
          <w:rStyle w:val="Znakapoznpodarou"/>
          <w:spacing w:val="-2"/>
          <w:sz w:val="16"/>
          <w:szCs w:val="16"/>
        </w:rPr>
        <w:footnoteRef/>
      </w:r>
      <w:r w:rsidRPr="00D629B0">
        <w:rPr>
          <w:spacing w:val="-2"/>
          <w:sz w:val="16"/>
          <w:szCs w:val="16"/>
        </w:rPr>
        <w:t xml:space="preserve"> V </w:t>
      </w:r>
      <w:proofErr w:type="spellStart"/>
      <w:r w:rsidRPr="00D629B0">
        <w:rPr>
          <w:spacing w:val="-2"/>
          <w:sz w:val="16"/>
          <w:szCs w:val="16"/>
        </w:rPr>
        <w:t>mezičtvrtletním</w:t>
      </w:r>
      <w:proofErr w:type="spellEnd"/>
      <w:r w:rsidRPr="00D629B0">
        <w:rPr>
          <w:spacing w:val="-2"/>
          <w:sz w:val="16"/>
          <w:szCs w:val="16"/>
        </w:rPr>
        <w:t xml:space="preserve"> vyjádření průmyslová produkce po silných růstech v první polovině roku (+3,2</w:t>
      </w:r>
      <w:r>
        <w:rPr>
          <w:spacing w:val="-2"/>
          <w:sz w:val="16"/>
          <w:szCs w:val="16"/>
        </w:rPr>
        <w:t> %</w:t>
      </w:r>
      <w:r w:rsidRPr="00D629B0">
        <w:rPr>
          <w:spacing w:val="-2"/>
          <w:sz w:val="16"/>
          <w:szCs w:val="16"/>
        </w:rPr>
        <w:t>, +1,8</w:t>
      </w:r>
      <w:r>
        <w:rPr>
          <w:spacing w:val="-2"/>
          <w:sz w:val="16"/>
          <w:szCs w:val="16"/>
        </w:rPr>
        <w:t> %</w:t>
      </w:r>
      <w:r w:rsidRPr="00D629B0">
        <w:rPr>
          <w:spacing w:val="-2"/>
          <w:sz w:val="16"/>
          <w:szCs w:val="16"/>
        </w:rPr>
        <w:t>) ve 3</w:t>
      </w:r>
      <w:r>
        <w:rPr>
          <w:spacing w:val="-2"/>
          <w:sz w:val="16"/>
          <w:szCs w:val="16"/>
        </w:rPr>
        <w:t>. čtvrtletí</w:t>
      </w:r>
      <w:r w:rsidRPr="00D629B0">
        <w:rPr>
          <w:spacing w:val="-2"/>
          <w:sz w:val="16"/>
          <w:szCs w:val="16"/>
        </w:rPr>
        <w:t xml:space="preserve"> citelně </w:t>
      </w:r>
      <w:proofErr w:type="gramStart"/>
      <w:r w:rsidRPr="00D629B0">
        <w:rPr>
          <w:spacing w:val="-2"/>
          <w:sz w:val="16"/>
          <w:szCs w:val="16"/>
        </w:rPr>
        <w:t>zpomalila (</w:t>
      </w:r>
      <w:r>
        <w:rPr>
          <w:spacing w:val="-2"/>
          <w:sz w:val="16"/>
          <w:szCs w:val="16"/>
        </w:rPr>
        <w:t>–</w:t>
      </w:r>
      <w:r w:rsidRPr="00D629B0">
        <w:rPr>
          <w:spacing w:val="-2"/>
          <w:sz w:val="16"/>
          <w:szCs w:val="16"/>
        </w:rPr>
        <w:t>2,6</w:t>
      </w:r>
      <w:proofErr w:type="gramEnd"/>
      <w:r>
        <w:rPr>
          <w:spacing w:val="-2"/>
          <w:sz w:val="16"/>
          <w:szCs w:val="16"/>
        </w:rPr>
        <w:t> %</w:t>
      </w:r>
      <w:r w:rsidRPr="00D629B0">
        <w:rPr>
          <w:spacing w:val="-2"/>
          <w:sz w:val="16"/>
          <w:szCs w:val="16"/>
        </w:rPr>
        <w:t>). Obdobný průběh se ale vyskytl i v</w:t>
      </w:r>
      <w:r>
        <w:rPr>
          <w:spacing w:val="-2"/>
          <w:sz w:val="16"/>
          <w:szCs w:val="16"/>
        </w:rPr>
        <w:t xml:space="preserve"> rámci </w:t>
      </w:r>
      <w:r w:rsidRPr="00D629B0">
        <w:rPr>
          <w:spacing w:val="-2"/>
          <w:sz w:val="16"/>
          <w:szCs w:val="16"/>
        </w:rPr>
        <w:t xml:space="preserve">předchozích </w:t>
      </w:r>
      <w:r>
        <w:rPr>
          <w:spacing w:val="-2"/>
          <w:sz w:val="16"/>
          <w:szCs w:val="16"/>
        </w:rPr>
        <w:t>tří</w:t>
      </w:r>
      <w:r w:rsidRPr="00D629B0">
        <w:rPr>
          <w:spacing w:val="-2"/>
          <w:sz w:val="16"/>
          <w:szCs w:val="16"/>
        </w:rPr>
        <w:t xml:space="preserve"> </w:t>
      </w:r>
      <w:r>
        <w:rPr>
          <w:spacing w:val="-2"/>
          <w:sz w:val="16"/>
          <w:szCs w:val="16"/>
        </w:rPr>
        <w:t>let</w:t>
      </w:r>
      <w:r w:rsidRPr="00D629B0">
        <w:rPr>
          <w:spacing w:val="-2"/>
          <w:sz w:val="16"/>
          <w:szCs w:val="16"/>
        </w:rPr>
        <w:t xml:space="preserve"> a na meziroční dynamiku tak měl jen okrajový vliv. V samotném automobilovém průmyslu se tato skutečnost tak výrazně neprojevila</w:t>
      </w:r>
      <w:r>
        <w:rPr>
          <w:spacing w:val="-2"/>
          <w:sz w:val="16"/>
          <w:szCs w:val="16"/>
        </w:rPr>
        <w:t>,</w:t>
      </w:r>
      <w:r w:rsidRPr="00D629B0">
        <w:rPr>
          <w:spacing w:val="-2"/>
          <w:sz w:val="16"/>
          <w:szCs w:val="16"/>
        </w:rPr>
        <w:t xml:space="preserve"> a toto odvětví tak vykazovalo nepřetržitý růst již třináct </w:t>
      </w:r>
      <w:r>
        <w:rPr>
          <w:spacing w:val="-2"/>
          <w:sz w:val="16"/>
          <w:szCs w:val="16"/>
        </w:rPr>
        <w:t>čtvrtletí</w:t>
      </w:r>
      <w:r w:rsidRPr="00D629B0">
        <w:rPr>
          <w:spacing w:val="-2"/>
          <w:sz w:val="16"/>
          <w:szCs w:val="16"/>
        </w:rPr>
        <w:t xml:space="preserve"> v řadě.</w:t>
      </w:r>
    </w:p>
  </w:footnote>
  <w:footnote w:id="15">
    <w:p w:rsidR="004A6717" w:rsidRPr="00EC671E" w:rsidRDefault="004A6717" w:rsidP="005C419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Podle údajů Sdružení automobilového průmyslu bylo v</w:t>
      </w:r>
      <w:r>
        <w:rPr>
          <w:color w:val="0D0D0D" w:themeColor="text1" w:themeTint="F2"/>
          <w:sz w:val="16"/>
          <w:szCs w:val="16"/>
        </w:rPr>
        <w:t> </w:t>
      </w:r>
      <w:r w:rsidRPr="00EC671E">
        <w:rPr>
          <w:color w:val="0D0D0D" w:themeColor="text1" w:themeTint="F2"/>
          <w:sz w:val="16"/>
          <w:szCs w:val="16"/>
        </w:rPr>
        <w:t>Česku</w:t>
      </w:r>
      <w:r>
        <w:rPr>
          <w:color w:val="0D0D0D" w:themeColor="text1" w:themeTint="F2"/>
          <w:sz w:val="16"/>
          <w:szCs w:val="16"/>
        </w:rPr>
        <w:t xml:space="preserve"> od ledna do října roku 2017 vyrobeno 1 173</w:t>
      </w:r>
      <w:r w:rsidRPr="00EC671E">
        <w:rPr>
          <w:color w:val="0D0D0D" w:themeColor="text1" w:themeTint="F2"/>
          <w:sz w:val="16"/>
          <w:szCs w:val="16"/>
        </w:rPr>
        <w:t xml:space="preserve"> tis. oso</w:t>
      </w:r>
      <w:r>
        <w:rPr>
          <w:color w:val="0D0D0D" w:themeColor="text1" w:themeTint="F2"/>
          <w:sz w:val="16"/>
          <w:szCs w:val="16"/>
        </w:rPr>
        <w:t>bních automobilů, meziročně o 4,4 % více. Dařilo se i většině</w:t>
      </w:r>
      <w:r w:rsidRPr="00EC671E">
        <w:rPr>
          <w:color w:val="0D0D0D" w:themeColor="text1" w:themeTint="F2"/>
          <w:sz w:val="16"/>
          <w:szCs w:val="16"/>
        </w:rPr>
        <w:t xml:space="preserve"> výrobců ostatních druhů motorových vozidel.</w:t>
      </w:r>
    </w:p>
  </w:footnote>
  <w:footnote w:id="16">
    <w:p w:rsidR="004A6717" w:rsidRPr="006D2A22" w:rsidRDefault="004A6717" w:rsidP="005C419C">
      <w:pPr>
        <w:pStyle w:val="Textpoznpodarou"/>
        <w:rPr>
          <w:sz w:val="16"/>
          <w:szCs w:val="16"/>
        </w:rPr>
      </w:pPr>
      <w:r w:rsidRPr="006D2A22">
        <w:rPr>
          <w:rStyle w:val="Znakapoznpodarou"/>
          <w:sz w:val="16"/>
          <w:szCs w:val="16"/>
        </w:rPr>
        <w:footnoteRef/>
      </w:r>
      <w:r w:rsidRPr="006D2A22">
        <w:rPr>
          <w:sz w:val="16"/>
          <w:szCs w:val="16"/>
        </w:rPr>
        <w:t xml:space="preserve"> Produkce v chemickém průmyslu překonala úroveň před haváriemi (2</w:t>
      </w:r>
      <w:r>
        <w:rPr>
          <w:sz w:val="16"/>
          <w:szCs w:val="16"/>
        </w:rPr>
        <w:t>. čtvrtletí</w:t>
      </w:r>
      <w:r w:rsidRPr="006D2A22">
        <w:rPr>
          <w:sz w:val="16"/>
          <w:szCs w:val="16"/>
        </w:rPr>
        <w:t xml:space="preserve"> 2015) již na počátku roku 2017.</w:t>
      </w:r>
    </w:p>
  </w:footnote>
  <w:footnote w:id="17">
    <w:p w:rsidR="004A6717" w:rsidRPr="009C4BF8" w:rsidRDefault="004A6717" w:rsidP="005C419C">
      <w:pPr>
        <w:pStyle w:val="Textpoznpodarou"/>
        <w:jc w:val="both"/>
        <w:rPr>
          <w:sz w:val="16"/>
          <w:szCs w:val="16"/>
        </w:rPr>
      </w:pPr>
      <w:r w:rsidRPr="009C4BF8">
        <w:rPr>
          <w:rStyle w:val="Znakapoznpodarou"/>
          <w:sz w:val="16"/>
          <w:szCs w:val="16"/>
        </w:rPr>
        <w:footnoteRef/>
      </w:r>
      <w:r w:rsidRPr="009C4BF8">
        <w:rPr>
          <w:sz w:val="16"/>
          <w:szCs w:val="16"/>
        </w:rPr>
        <w:t xml:space="preserve"> Podílel se na tom především vysoký meziroční růst výroby elektřiny v září (+23</w:t>
      </w:r>
      <w:r>
        <w:rPr>
          <w:sz w:val="16"/>
          <w:szCs w:val="16"/>
        </w:rPr>
        <w:t> %</w:t>
      </w:r>
      <w:r w:rsidRPr="009C4BF8">
        <w:rPr>
          <w:sz w:val="16"/>
          <w:szCs w:val="16"/>
        </w:rPr>
        <w:t>). Ve 3</w:t>
      </w:r>
      <w:r>
        <w:rPr>
          <w:sz w:val="16"/>
          <w:szCs w:val="16"/>
        </w:rPr>
        <w:t>. čtvrtletí</w:t>
      </w:r>
      <w:r w:rsidRPr="009C4BF8">
        <w:rPr>
          <w:sz w:val="16"/>
          <w:szCs w:val="16"/>
        </w:rPr>
        <w:t xml:space="preserve"> 2017 posílila dle údajů Energetického regulačního úřadu celková výroba elektřiny</w:t>
      </w:r>
      <w:r>
        <w:rPr>
          <w:sz w:val="16"/>
          <w:szCs w:val="16"/>
        </w:rPr>
        <w:t xml:space="preserve"> v ČR</w:t>
      </w:r>
      <w:r w:rsidRPr="009C4BF8">
        <w:rPr>
          <w:sz w:val="16"/>
          <w:szCs w:val="16"/>
        </w:rPr>
        <w:t xml:space="preserve"> o 6</w:t>
      </w:r>
      <w:r>
        <w:rPr>
          <w:sz w:val="16"/>
          <w:szCs w:val="16"/>
        </w:rPr>
        <w:t> %</w:t>
      </w:r>
      <w:r w:rsidRPr="009C4BF8">
        <w:rPr>
          <w:sz w:val="16"/>
          <w:szCs w:val="16"/>
        </w:rPr>
        <w:t>, z toho v jaderných elektrárnách o 49</w:t>
      </w:r>
      <w:r>
        <w:rPr>
          <w:sz w:val="16"/>
          <w:szCs w:val="16"/>
        </w:rPr>
        <w:t> %</w:t>
      </w:r>
      <w:r w:rsidRPr="009C4BF8">
        <w:rPr>
          <w:sz w:val="16"/>
          <w:szCs w:val="16"/>
        </w:rPr>
        <w:t>.</w:t>
      </w:r>
    </w:p>
  </w:footnote>
  <w:footnote w:id="18">
    <w:p w:rsidR="004A6717" w:rsidRPr="00C82C44" w:rsidRDefault="004A6717" w:rsidP="005C419C">
      <w:pPr>
        <w:pStyle w:val="Textpoznpodarou"/>
        <w:jc w:val="both"/>
        <w:rPr>
          <w:spacing w:val="-3"/>
          <w:sz w:val="16"/>
          <w:szCs w:val="16"/>
        </w:rPr>
      </w:pPr>
      <w:r w:rsidRPr="00C82C44">
        <w:rPr>
          <w:rStyle w:val="Znakapoznpodarou"/>
          <w:spacing w:val="-3"/>
          <w:sz w:val="16"/>
          <w:szCs w:val="16"/>
        </w:rPr>
        <w:footnoteRef/>
      </w:r>
      <w:r w:rsidRPr="00C82C44">
        <w:rPr>
          <w:spacing w:val="-3"/>
          <w:sz w:val="16"/>
          <w:szCs w:val="16"/>
        </w:rPr>
        <w:t xml:space="preserve"> Dlouhodobě ale toto odvětví patří v rámci průmyslu k nejdynamičtějším. Za posledních devět let (resp. oproti konci konjunktury minulé dekády) se jeho produkce reálně zvýšila o 49</w:t>
      </w:r>
      <w:r>
        <w:rPr>
          <w:spacing w:val="-3"/>
          <w:sz w:val="16"/>
          <w:szCs w:val="16"/>
        </w:rPr>
        <w:t> %</w:t>
      </w:r>
      <w:r w:rsidRPr="00C82C44">
        <w:rPr>
          <w:spacing w:val="-3"/>
          <w:sz w:val="16"/>
          <w:szCs w:val="16"/>
        </w:rPr>
        <w:t>. Ve výrobě motorových vozidel se navýšila téměř na dvojnásobek, v celém průmyslu o 15</w:t>
      </w:r>
      <w:r>
        <w:rPr>
          <w:spacing w:val="-3"/>
          <w:sz w:val="16"/>
          <w:szCs w:val="16"/>
        </w:rPr>
        <w:t> %</w:t>
      </w:r>
      <w:r w:rsidRPr="00C82C44">
        <w:rPr>
          <w:spacing w:val="-3"/>
          <w:sz w:val="16"/>
          <w:szCs w:val="16"/>
        </w:rPr>
        <w:t>. Zhruba polovina (především menších) průmyslových oborů za touto úrovní stále zaostávala (především těžba a dobývání – o 33</w:t>
      </w:r>
      <w:r>
        <w:rPr>
          <w:spacing w:val="-3"/>
          <w:sz w:val="16"/>
          <w:szCs w:val="16"/>
        </w:rPr>
        <w:t> %</w:t>
      </w:r>
      <w:r w:rsidRPr="00C82C44">
        <w:rPr>
          <w:spacing w:val="-3"/>
          <w:sz w:val="16"/>
          <w:szCs w:val="16"/>
        </w:rPr>
        <w:t>).</w:t>
      </w:r>
    </w:p>
  </w:footnote>
  <w:footnote w:id="19">
    <w:p w:rsidR="004A6717" w:rsidRPr="00C82C44" w:rsidRDefault="004A6717" w:rsidP="005C419C">
      <w:pPr>
        <w:pStyle w:val="Textpoznpodarou"/>
        <w:jc w:val="both"/>
        <w:rPr>
          <w:spacing w:val="-2"/>
          <w:sz w:val="16"/>
          <w:szCs w:val="16"/>
        </w:rPr>
      </w:pPr>
      <w:r w:rsidRPr="00C82C44">
        <w:rPr>
          <w:rStyle w:val="Znakapoznpodarou"/>
          <w:spacing w:val="-2"/>
          <w:sz w:val="16"/>
          <w:szCs w:val="16"/>
        </w:rPr>
        <w:footnoteRef/>
      </w:r>
      <w:r w:rsidRPr="00C82C44">
        <w:rPr>
          <w:spacing w:val="-2"/>
          <w:sz w:val="16"/>
          <w:szCs w:val="16"/>
        </w:rPr>
        <w:t xml:space="preserve"> V odvětvovém oddíle ostatní těžba a dobývání (zahrnující</w:t>
      </w:r>
      <w:r>
        <w:rPr>
          <w:spacing w:val="-2"/>
          <w:sz w:val="16"/>
          <w:szCs w:val="16"/>
        </w:rPr>
        <w:t>m</w:t>
      </w:r>
      <w:r w:rsidRPr="00C82C44">
        <w:rPr>
          <w:spacing w:val="-2"/>
          <w:sz w:val="16"/>
          <w:szCs w:val="16"/>
        </w:rPr>
        <w:t xml:space="preserve"> např. dobývání kamene, písků a jílů) produkce i zaměstna</w:t>
      </w:r>
      <w:r>
        <w:rPr>
          <w:spacing w:val="-2"/>
          <w:sz w:val="16"/>
          <w:szCs w:val="16"/>
        </w:rPr>
        <w:t>nos</w:t>
      </w:r>
      <w:r w:rsidRPr="00C82C44">
        <w:rPr>
          <w:spacing w:val="-2"/>
          <w:sz w:val="16"/>
          <w:szCs w:val="16"/>
        </w:rPr>
        <w:t>t naopak mírně rostly. Na celkové produkci v těžbě a dobývání se však tento oddíl v roce 2016 podílel (dle údajů národních účtů) pouze čtvrtinou.</w:t>
      </w:r>
    </w:p>
  </w:footnote>
  <w:footnote w:id="20">
    <w:p w:rsidR="004A6717" w:rsidRPr="00745B8B" w:rsidRDefault="004A6717" w:rsidP="005C419C">
      <w:pPr>
        <w:pStyle w:val="Textpoznpodarou"/>
        <w:jc w:val="both"/>
        <w:rPr>
          <w:sz w:val="16"/>
          <w:szCs w:val="16"/>
        </w:rPr>
      </w:pPr>
      <w:r w:rsidRPr="00745B8B">
        <w:rPr>
          <w:rStyle w:val="Znakapoznpodarou"/>
          <w:sz w:val="16"/>
          <w:szCs w:val="16"/>
        </w:rPr>
        <w:footnoteRef/>
      </w:r>
      <w:r w:rsidRPr="00745B8B">
        <w:rPr>
          <w:sz w:val="16"/>
          <w:szCs w:val="16"/>
        </w:rPr>
        <w:t xml:space="preserve"> </w:t>
      </w:r>
      <w:r w:rsidRPr="00745B8B">
        <w:rPr>
          <w:color w:val="000000" w:themeColor="text1"/>
          <w:spacing w:val="-4"/>
          <w:sz w:val="16"/>
          <w:szCs w:val="16"/>
        </w:rPr>
        <w:t>Tento jev je vzhledem k silné a stále posilující exportní orientaci průmyslu v ČR poměrně vzácný. Naposledy se v podobném rozsahu vyskytl ve 2</w:t>
      </w:r>
      <w:r>
        <w:rPr>
          <w:color w:val="000000" w:themeColor="text1"/>
          <w:spacing w:val="-4"/>
          <w:sz w:val="16"/>
          <w:szCs w:val="16"/>
        </w:rPr>
        <w:t>. čtvrtletí</w:t>
      </w:r>
      <w:r w:rsidRPr="00745B8B">
        <w:rPr>
          <w:color w:val="000000" w:themeColor="text1"/>
          <w:spacing w:val="-4"/>
          <w:sz w:val="16"/>
          <w:szCs w:val="16"/>
        </w:rPr>
        <w:t xml:space="preserve"> 2009.</w:t>
      </w:r>
    </w:p>
  </w:footnote>
  <w:footnote w:id="21">
    <w:p w:rsidR="004A6717" w:rsidRPr="00EC671E" w:rsidRDefault="004A6717" w:rsidP="005C419C">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Průmyslové zakázky se sledují pouze ve vybraných oddílech CZ-NACE (13, 14, 17, 20 až 21, 24 až 30), které vyrábějí př</w:t>
      </w:r>
      <w:r>
        <w:rPr>
          <w:rFonts w:cs="Arial"/>
          <w:color w:val="0D0D0D" w:themeColor="text1" w:themeTint="F2"/>
          <w:sz w:val="16"/>
          <w:szCs w:val="16"/>
        </w:rPr>
        <w:t>evážně na zakázku, s del</w:t>
      </w:r>
      <w:r w:rsidRPr="00EC671E">
        <w:rPr>
          <w:rFonts w:cs="Arial"/>
          <w:color w:val="0D0D0D" w:themeColor="text1" w:themeTint="F2"/>
          <w:sz w:val="16"/>
          <w:szCs w:val="16"/>
        </w:rPr>
        <w:t>ším výrobním cyklem a s většími zásobami zakázek.</w:t>
      </w:r>
    </w:p>
  </w:footnote>
  <w:footnote w:id="22">
    <w:p w:rsidR="004A6717" w:rsidRPr="00D85B50" w:rsidRDefault="004A6717" w:rsidP="005C419C">
      <w:pPr>
        <w:pStyle w:val="Textpoznpodarou"/>
        <w:jc w:val="both"/>
        <w:rPr>
          <w:spacing w:val="-4"/>
          <w:sz w:val="16"/>
          <w:szCs w:val="16"/>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w:t>
      </w:r>
      <w:r>
        <w:rPr>
          <w:color w:val="0D0D0D" w:themeColor="text1" w:themeTint="F2"/>
          <w:spacing w:val="-4"/>
          <w:sz w:val="16"/>
          <w:szCs w:val="16"/>
        </w:rPr>
        <w:t>Všechny m</w:t>
      </w:r>
      <w:r w:rsidRPr="00D85B50">
        <w:rPr>
          <w:color w:val="0D0D0D" w:themeColor="text1" w:themeTint="F2"/>
          <w:spacing w:val="-4"/>
          <w:sz w:val="16"/>
          <w:szCs w:val="16"/>
        </w:rPr>
        <w:t>eziroční údaje o s</w:t>
      </w:r>
      <w:r>
        <w:rPr>
          <w:color w:val="0D0D0D" w:themeColor="text1" w:themeTint="F2"/>
          <w:spacing w:val="-4"/>
          <w:sz w:val="16"/>
          <w:szCs w:val="16"/>
        </w:rPr>
        <w:t>tavební produkci jsou očištěny</w:t>
      </w:r>
      <w:r w:rsidRPr="00D85B50">
        <w:rPr>
          <w:color w:val="0D0D0D" w:themeColor="text1" w:themeTint="F2"/>
          <w:spacing w:val="-4"/>
          <w:sz w:val="16"/>
          <w:szCs w:val="16"/>
        </w:rPr>
        <w:t xml:space="preserve"> o kalendářní vlivy</w:t>
      </w:r>
      <w:r>
        <w:rPr>
          <w:color w:val="0D0D0D" w:themeColor="text1" w:themeTint="F2"/>
          <w:spacing w:val="-4"/>
          <w:sz w:val="16"/>
          <w:szCs w:val="16"/>
        </w:rPr>
        <w:t>.</w:t>
      </w:r>
    </w:p>
  </w:footnote>
  <w:footnote w:id="23">
    <w:p w:rsidR="004A6717" w:rsidRPr="00720868" w:rsidRDefault="004A6717" w:rsidP="005C419C">
      <w:pPr>
        <w:pStyle w:val="Textpoznpodarou"/>
        <w:rPr>
          <w:sz w:val="16"/>
          <w:szCs w:val="16"/>
        </w:rPr>
      </w:pPr>
      <w:r w:rsidRPr="00720868">
        <w:rPr>
          <w:rStyle w:val="Znakapoznpodarou"/>
          <w:sz w:val="16"/>
          <w:szCs w:val="16"/>
        </w:rPr>
        <w:footnoteRef/>
      </w:r>
      <w:r w:rsidRPr="00720868">
        <w:rPr>
          <w:sz w:val="16"/>
          <w:szCs w:val="16"/>
        </w:rPr>
        <w:t xml:space="preserve"> V této kategorii bylo v 1. až 3</w:t>
      </w:r>
      <w:r>
        <w:rPr>
          <w:sz w:val="16"/>
          <w:szCs w:val="16"/>
        </w:rPr>
        <w:t>. čtvrtletí</w:t>
      </w:r>
      <w:r w:rsidRPr="00720868">
        <w:rPr>
          <w:sz w:val="16"/>
          <w:szCs w:val="16"/>
        </w:rPr>
        <w:t xml:space="preserve"> v celé ČR zahájeno pouze 255 bytů, nejméně ve dvacetileté historii sledování.</w:t>
      </w:r>
    </w:p>
  </w:footnote>
  <w:footnote w:id="24">
    <w:p w:rsidR="004A6717" w:rsidRPr="00A41E54" w:rsidRDefault="004A6717" w:rsidP="005C419C">
      <w:pPr>
        <w:pStyle w:val="Textpoznpodarou"/>
        <w:rPr>
          <w:sz w:val="16"/>
          <w:szCs w:val="16"/>
        </w:rPr>
      </w:pPr>
      <w:r w:rsidRPr="00A41E54">
        <w:rPr>
          <w:rStyle w:val="Znakapoznpodarou"/>
          <w:sz w:val="16"/>
          <w:szCs w:val="16"/>
        </w:rPr>
        <w:footnoteRef/>
      </w:r>
      <w:r w:rsidRPr="00A41E54">
        <w:rPr>
          <w:sz w:val="16"/>
          <w:szCs w:val="16"/>
        </w:rPr>
        <w:t xml:space="preserve"> Údaj zahrnuje pouze stavební podniky s 50 a více zaměstnanci.</w:t>
      </w:r>
    </w:p>
  </w:footnote>
  <w:footnote w:id="25">
    <w:p w:rsidR="004A6717" w:rsidRPr="000340BD" w:rsidRDefault="004A6717" w:rsidP="000340BD">
      <w:pPr>
        <w:spacing w:line="240" w:lineRule="auto"/>
        <w:jc w:val="both"/>
      </w:pPr>
      <w:r w:rsidRPr="004A26AF">
        <w:rPr>
          <w:rStyle w:val="Znakapoznpodarou"/>
          <w:color w:val="0D0D0D" w:themeColor="text1" w:themeTint="F2"/>
          <w:sz w:val="16"/>
          <w:szCs w:val="16"/>
        </w:rPr>
        <w:footnoteRef/>
      </w:r>
      <w:r>
        <w:rPr>
          <w:color w:val="0D0D0D" w:themeColor="text1" w:themeTint="F2"/>
          <w:sz w:val="16"/>
          <w:szCs w:val="16"/>
        </w:rPr>
        <w:t xml:space="preserve"> </w:t>
      </w:r>
      <w:r w:rsidR="000340BD" w:rsidRPr="004A26AF">
        <w:rPr>
          <w:color w:val="0D0D0D" w:themeColor="text1" w:themeTint="F2"/>
          <w:sz w:val="16"/>
          <w:szCs w:val="16"/>
        </w:rPr>
        <w:t>Bez obchodu, peněžnictví, poji</w:t>
      </w:r>
      <w:r w:rsidR="000340BD">
        <w:rPr>
          <w:color w:val="0D0D0D" w:themeColor="text1" w:themeTint="F2"/>
          <w:sz w:val="16"/>
          <w:szCs w:val="16"/>
        </w:rPr>
        <w:t>šťovnictví, vědy, výzkumu a veřejných</w:t>
      </w:r>
      <w:r w:rsidR="000340BD" w:rsidRPr="004A26AF">
        <w:rPr>
          <w:color w:val="0D0D0D" w:themeColor="text1" w:themeTint="F2"/>
          <w:sz w:val="16"/>
          <w:szCs w:val="16"/>
        </w:rPr>
        <w:t xml:space="preserve"> služeb. Všechny údaje za služby jsou</w:t>
      </w:r>
      <w:r w:rsidR="000340BD">
        <w:rPr>
          <w:color w:val="0D0D0D" w:themeColor="text1" w:themeTint="F2"/>
          <w:sz w:val="16"/>
          <w:szCs w:val="16"/>
        </w:rPr>
        <w:t xml:space="preserve"> ve stálých cenách, meziroční údaje jsou</w:t>
      </w:r>
      <w:r w:rsidR="000340BD" w:rsidRPr="004A26AF">
        <w:rPr>
          <w:color w:val="0D0D0D" w:themeColor="text1" w:themeTint="F2"/>
          <w:sz w:val="16"/>
          <w:szCs w:val="16"/>
        </w:rPr>
        <w:t xml:space="preserve"> očištěny o kalendářní vlivy</w:t>
      </w:r>
      <w:r w:rsidR="000340BD">
        <w:rPr>
          <w:color w:val="0D0D0D" w:themeColor="text1" w:themeTint="F2"/>
          <w:sz w:val="16"/>
          <w:szCs w:val="16"/>
        </w:rPr>
        <w:t xml:space="preserve">, </w:t>
      </w:r>
      <w:proofErr w:type="spellStart"/>
      <w:r w:rsidR="000340BD">
        <w:rPr>
          <w:color w:val="0D0D0D" w:themeColor="text1" w:themeTint="F2"/>
          <w:sz w:val="16"/>
          <w:szCs w:val="16"/>
        </w:rPr>
        <w:t>mezičtvrtletní</w:t>
      </w:r>
      <w:proofErr w:type="spellEnd"/>
      <w:r w:rsidR="000340BD">
        <w:rPr>
          <w:color w:val="0D0D0D" w:themeColor="text1" w:themeTint="F2"/>
          <w:sz w:val="16"/>
          <w:szCs w:val="16"/>
        </w:rPr>
        <w:t xml:space="preserve"> jsou očištěny o sezónní vlivy (včetně vlivu počtu pracovních dnů)</w:t>
      </w:r>
      <w:r w:rsidR="000340BD" w:rsidRPr="004A26AF">
        <w:rPr>
          <w:color w:val="0D0D0D" w:themeColor="text1" w:themeTint="F2"/>
          <w:sz w:val="16"/>
          <w:szCs w:val="16"/>
        </w:rPr>
        <w:t>.</w:t>
      </w:r>
    </w:p>
  </w:footnote>
  <w:footnote w:id="26">
    <w:p w:rsidR="004A6717" w:rsidRPr="00B7677D" w:rsidRDefault="004A6717" w:rsidP="005C419C">
      <w:pPr>
        <w:pStyle w:val="Textpoznpodarou"/>
        <w:rPr>
          <w:sz w:val="16"/>
          <w:szCs w:val="16"/>
        </w:rPr>
      </w:pPr>
      <w:r w:rsidRPr="00B7677D">
        <w:rPr>
          <w:rStyle w:val="Znakapoznpodarou"/>
          <w:sz w:val="16"/>
          <w:szCs w:val="16"/>
        </w:rPr>
        <w:footnoteRef/>
      </w:r>
      <w:r w:rsidRPr="00B7677D">
        <w:rPr>
          <w:sz w:val="16"/>
          <w:szCs w:val="16"/>
        </w:rPr>
        <w:t xml:space="preserve"> V</w:t>
      </w:r>
      <w:r>
        <w:rPr>
          <w:sz w:val="16"/>
          <w:szCs w:val="16"/>
        </w:rPr>
        <w:t>e v</w:t>
      </w:r>
      <w:r w:rsidRPr="00B7677D">
        <w:rPr>
          <w:sz w:val="16"/>
          <w:szCs w:val="16"/>
        </w:rPr>
        <w:t>ysok</w:t>
      </w:r>
      <w:r>
        <w:rPr>
          <w:sz w:val="16"/>
          <w:szCs w:val="16"/>
        </w:rPr>
        <w:t>ých</w:t>
      </w:r>
      <w:r w:rsidRPr="00B7677D">
        <w:rPr>
          <w:sz w:val="16"/>
          <w:szCs w:val="16"/>
        </w:rPr>
        <w:t xml:space="preserve"> tempech tržeb v roce 2017</w:t>
      </w:r>
      <w:r>
        <w:rPr>
          <w:sz w:val="16"/>
          <w:szCs w:val="16"/>
        </w:rPr>
        <w:t xml:space="preserve"> se mohl projevit i vliv přesunu některých aktivit z šedé ekonomiky v souvislosti s opatřeními zavedenými v předchozím roce na straně výběru daně.</w:t>
      </w:r>
      <w:r w:rsidRPr="00B7677D">
        <w:rPr>
          <w:sz w:val="16"/>
          <w:szCs w:val="16"/>
        </w:rPr>
        <w:t xml:space="preserve"> </w:t>
      </w:r>
    </w:p>
  </w:footnote>
  <w:footnote w:id="27">
    <w:p w:rsidR="004A6717" w:rsidRPr="00C60CAD" w:rsidRDefault="004A6717" w:rsidP="005C419C">
      <w:pPr>
        <w:pStyle w:val="Textpoznpodarou"/>
        <w:rPr>
          <w:sz w:val="16"/>
          <w:szCs w:val="16"/>
        </w:rPr>
      </w:pPr>
      <w:r w:rsidRPr="00C60CAD">
        <w:rPr>
          <w:rStyle w:val="Znakapoznpodarou"/>
          <w:sz w:val="16"/>
          <w:szCs w:val="16"/>
        </w:rPr>
        <w:footnoteRef/>
      </w:r>
      <w:r w:rsidRPr="00C60CAD">
        <w:rPr>
          <w:sz w:val="16"/>
          <w:szCs w:val="16"/>
        </w:rPr>
        <w:t xml:space="preserve"> Segmentu filmové distribuce se přitom dařilo. Počet návštěvníků kin v ČR vzrostl dle předběžných údajů Unie filmových distributorů za </w:t>
      </w:r>
      <w:r>
        <w:rPr>
          <w:sz w:val="16"/>
          <w:szCs w:val="16"/>
        </w:rPr>
        <w:t>prvních devět měsíců roku</w:t>
      </w:r>
      <w:r w:rsidRPr="00C60CAD">
        <w:rPr>
          <w:sz w:val="16"/>
          <w:szCs w:val="16"/>
        </w:rPr>
        <w:t xml:space="preserve"> </w:t>
      </w:r>
      <w:r>
        <w:rPr>
          <w:sz w:val="16"/>
          <w:szCs w:val="16"/>
        </w:rPr>
        <w:t xml:space="preserve">2017 </w:t>
      </w:r>
      <w:r w:rsidRPr="00C60CAD">
        <w:rPr>
          <w:sz w:val="16"/>
          <w:szCs w:val="16"/>
        </w:rPr>
        <w:t>o téměř 6</w:t>
      </w:r>
      <w:r>
        <w:rPr>
          <w:sz w:val="16"/>
          <w:szCs w:val="16"/>
        </w:rPr>
        <w:t> %</w:t>
      </w:r>
      <w:r w:rsidRPr="00C60CAD">
        <w:rPr>
          <w:sz w:val="16"/>
          <w:szCs w:val="16"/>
        </w:rPr>
        <w:t xml:space="preserve"> (na 11,2 mil. osob).</w:t>
      </w:r>
    </w:p>
  </w:footnote>
  <w:footnote w:id="28">
    <w:p w:rsidR="004A6717" w:rsidRPr="00544A98" w:rsidRDefault="004A6717" w:rsidP="005C419C">
      <w:pPr>
        <w:pStyle w:val="Textpoznpodarou"/>
        <w:rPr>
          <w:sz w:val="16"/>
          <w:szCs w:val="16"/>
        </w:rPr>
      </w:pPr>
      <w:r w:rsidRPr="00544A98">
        <w:rPr>
          <w:rStyle w:val="Znakapoznpodarou"/>
          <w:sz w:val="16"/>
          <w:szCs w:val="16"/>
        </w:rPr>
        <w:footnoteRef/>
      </w:r>
      <w:r w:rsidRPr="00544A98">
        <w:rPr>
          <w:sz w:val="16"/>
          <w:szCs w:val="16"/>
        </w:rPr>
        <w:t xml:space="preserve"> </w:t>
      </w:r>
      <w:r>
        <w:rPr>
          <w:sz w:val="16"/>
          <w:szCs w:val="16"/>
        </w:rPr>
        <w:t>Data nezahrnují motoristický segment</w:t>
      </w:r>
      <w:r w:rsidRPr="00544A98">
        <w:rPr>
          <w:sz w:val="16"/>
          <w:szCs w:val="16"/>
        </w:rPr>
        <w:t>. Údaje o maloobchodu jsou očištěny o kalendářní vlivy ve stálých cenách.</w:t>
      </w:r>
    </w:p>
  </w:footnote>
  <w:footnote w:id="29">
    <w:p w:rsidR="004A6717" w:rsidRPr="003279A7" w:rsidRDefault="004A6717" w:rsidP="00333134">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 včetně nákladů souvisejících s dopravou na hranice ČR. Dovoz</w:t>
      </w:r>
      <w:r>
        <w:rPr>
          <w:sz w:val="16"/>
          <w:szCs w:val="16"/>
        </w:rPr>
        <w:t xml:space="preserve"> uvedený níže v této kapitole</w:t>
      </w:r>
      <w:r w:rsidRPr="003279A7">
        <w:rPr>
          <w:sz w:val="16"/>
          <w:szCs w:val="16"/>
        </w:rPr>
        <w:t xml:space="preserve"> je v cenách CIF, tj. včetně nákladů souvisejících s dopravou v zahraničí na hranice ČR. Data jsou platná k </w:t>
      </w:r>
      <w:r>
        <w:rPr>
          <w:sz w:val="16"/>
          <w:szCs w:val="16"/>
        </w:rPr>
        <w:t>7</w:t>
      </w:r>
      <w:r w:rsidRPr="003279A7">
        <w:rPr>
          <w:sz w:val="16"/>
          <w:szCs w:val="16"/>
        </w:rPr>
        <w:t>.</w:t>
      </w:r>
      <w:r>
        <w:rPr>
          <w:sz w:val="16"/>
          <w:szCs w:val="16"/>
        </w:rPr>
        <w:t xml:space="preserve"> 12</w:t>
      </w:r>
      <w:r w:rsidRPr="003279A7">
        <w:rPr>
          <w:sz w:val="16"/>
          <w:szCs w:val="16"/>
        </w:rPr>
        <w:t>.</w:t>
      </w:r>
      <w:r>
        <w:rPr>
          <w:sz w:val="16"/>
          <w:szCs w:val="16"/>
        </w:rPr>
        <w:t xml:space="preserve"> 2017.</w:t>
      </w:r>
      <w:r w:rsidRPr="003279A7">
        <w:rPr>
          <w:sz w:val="16"/>
          <w:szCs w:val="16"/>
        </w:rPr>
        <w:t xml:space="preserve">  </w:t>
      </w:r>
    </w:p>
  </w:footnote>
  <w:footnote w:id="30">
    <w:p w:rsidR="004A6717" w:rsidRPr="00B4223A" w:rsidRDefault="004A6717" w:rsidP="005C419C">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31">
    <w:p w:rsidR="004A6717" w:rsidRPr="003161CA" w:rsidRDefault="004A6717" w:rsidP="005C419C">
      <w:pPr>
        <w:pStyle w:val="Textpoznpodarou"/>
        <w:jc w:val="both"/>
        <w:rPr>
          <w:spacing w:val="-3"/>
          <w:sz w:val="16"/>
          <w:szCs w:val="16"/>
        </w:rPr>
      </w:pPr>
      <w:r w:rsidRPr="003161CA">
        <w:rPr>
          <w:rStyle w:val="Znakapoznpodarou"/>
          <w:spacing w:val="-3"/>
          <w:sz w:val="16"/>
          <w:szCs w:val="16"/>
        </w:rPr>
        <w:footnoteRef/>
      </w:r>
      <w:r w:rsidRPr="003161CA">
        <w:rPr>
          <w:spacing w:val="-3"/>
          <w:sz w:val="16"/>
          <w:szCs w:val="16"/>
        </w:rPr>
        <w:t xml:space="preserve"> Zahrnuje </w:t>
      </w:r>
      <w:r w:rsidRPr="00CB5852">
        <w:rPr>
          <w:spacing w:val="-3"/>
          <w:sz w:val="16"/>
          <w:szCs w:val="16"/>
        </w:rPr>
        <w:t>odvětví: veřejná správa a</w:t>
      </w:r>
      <w:r w:rsidRPr="003161CA">
        <w:rPr>
          <w:spacing w:val="-3"/>
          <w:sz w:val="16"/>
          <w:szCs w:val="16"/>
        </w:rPr>
        <w:t xml:space="preserve"> obrana, vzdělávání, zdravotní a sociální péče.</w:t>
      </w:r>
    </w:p>
  </w:footnote>
  <w:footnote w:id="32">
    <w:p w:rsidR="004A6717" w:rsidRPr="00196B92" w:rsidRDefault="004A6717" w:rsidP="005C419C">
      <w:pPr>
        <w:pStyle w:val="Textpoznpodarou"/>
        <w:jc w:val="both"/>
        <w:rPr>
          <w:spacing w:val="-4"/>
          <w:sz w:val="16"/>
          <w:szCs w:val="16"/>
        </w:rPr>
      </w:pPr>
      <w:r w:rsidRPr="00196B92">
        <w:rPr>
          <w:rStyle w:val="Znakapoznpodarou"/>
          <w:spacing w:val="-4"/>
          <w:sz w:val="16"/>
          <w:szCs w:val="16"/>
        </w:rPr>
        <w:footnoteRef/>
      </w:r>
      <w:r w:rsidRPr="00196B92">
        <w:rPr>
          <w:spacing w:val="-4"/>
          <w:sz w:val="16"/>
          <w:szCs w:val="16"/>
        </w:rPr>
        <w:t xml:space="preserve"> Lze tak usuzovat z podrobnějších podnikových statistik, ve kterých jsou (na rozdíl </w:t>
      </w:r>
      <w:r>
        <w:rPr>
          <w:spacing w:val="-4"/>
          <w:sz w:val="16"/>
          <w:szCs w:val="16"/>
        </w:rPr>
        <w:t xml:space="preserve">od </w:t>
      </w:r>
      <w:r w:rsidRPr="00196B92">
        <w:rPr>
          <w:spacing w:val="-4"/>
          <w:sz w:val="16"/>
          <w:szCs w:val="16"/>
        </w:rPr>
        <w:t xml:space="preserve">národních účtů) všichni agenturní pracovníci zařazeni do </w:t>
      </w:r>
      <w:r w:rsidRPr="00FF761D">
        <w:rPr>
          <w:spacing w:val="-4"/>
          <w:sz w:val="16"/>
          <w:szCs w:val="16"/>
        </w:rPr>
        <w:t>odvětví administrativní a podpůrné činnosti. Zatímco na konci</w:t>
      </w:r>
      <w:r w:rsidRPr="00196B92">
        <w:rPr>
          <w:spacing w:val="-4"/>
          <w:sz w:val="16"/>
          <w:szCs w:val="16"/>
        </w:rPr>
        <w:t xml:space="preserve"> loňského roku ještě rostl v tomto odvětví počet zaměstnanců o 4,0</w:t>
      </w:r>
      <w:r>
        <w:rPr>
          <w:spacing w:val="-4"/>
          <w:sz w:val="16"/>
          <w:szCs w:val="16"/>
        </w:rPr>
        <w:t> %</w:t>
      </w:r>
      <w:r w:rsidRPr="00196B92">
        <w:rPr>
          <w:spacing w:val="-4"/>
          <w:sz w:val="16"/>
          <w:szCs w:val="16"/>
        </w:rPr>
        <w:t>, ve 2</w:t>
      </w:r>
      <w:r>
        <w:rPr>
          <w:spacing w:val="-4"/>
          <w:sz w:val="16"/>
          <w:szCs w:val="16"/>
        </w:rPr>
        <w:t>. čtvrtletí</w:t>
      </w:r>
      <w:r w:rsidRPr="00196B92">
        <w:rPr>
          <w:spacing w:val="-4"/>
          <w:sz w:val="16"/>
          <w:szCs w:val="16"/>
        </w:rPr>
        <w:t xml:space="preserve"> 2017 již jen o 1,3</w:t>
      </w:r>
      <w:r>
        <w:rPr>
          <w:spacing w:val="-4"/>
          <w:sz w:val="16"/>
          <w:szCs w:val="16"/>
        </w:rPr>
        <w:t> %,</w:t>
      </w:r>
      <w:r w:rsidRPr="00196B92">
        <w:rPr>
          <w:spacing w:val="-4"/>
          <w:sz w:val="16"/>
          <w:szCs w:val="16"/>
        </w:rPr>
        <w:t xml:space="preserve"> a ve 3</w:t>
      </w:r>
      <w:r>
        <w:rPr>
          <w:spacing w:val="-4"/>
          <w:sz w:val="16"/>
          <w:szCs w:val="16"/>
        </w:rPr>
        <w:t>. čtvrtletí</w:t>
      </w:r>
      <w:r w:rsidRPr="00196B92">
        <w:rPr>
          <w:spacing w:val="-4"/>
          <w:sz w:val="16"/>
          <w:szCs w:val="16"/>
        </w:rPr>
        <w:t xml:space="preserve"> se dokonce o 0,7</w:t>
      </w:r>
      <w:r>
        <w:rPr>
          <w:spacing w:val="-4"/>
          <w:sz w:val="16"/>
          <w:szCs w:val="16"/>
        </w:rPr>
        <w:t> %</w:t>
      </w:r>
      <w:r w:rsidRPr="00196B92">
        <w:rPr>
          <w:spacing w:val="-4"/>
          <w:sz w:val="16"/>
          <w:szCs w:val="16"/>
        </w:rPr>
        <w:t xml:space="preserve"> snížil (šlo o první meziroční pokles od konce ro</w:t>
      </w:r>
      <w:r>
        <w:rPr>
          <w:spacing w:val="-4"/>
          <w:sz w:val="16"/>
          <w:szCs w:val="16"/>
        </w:rPr>
        <w:t>k</w:t>
      </w:r>
      <w:r w:rsidRPr="00196B92">
        <w:rPr>
          <w:spacing w:val="-4"/>
          <w:sz w:val="16"/>
          <w:szCs w:val="16"/>
        </w:rPr>
        <w:t>u 2009). Naopak ve zpracovatelském průmyslu tempo zaměstnanosti</w:t>
      </w:r>
      <w:r>
        <w:rPr>
          <w:spacing w:val="-4"/>
          <w:sz w:val="16"/>
          <w:szCs w:val="16"/>
        </w:rPr>
        <w:t xml:space="preserve"> od počátku roku mírně rostlo </w:t>
      </w:r>
      <w:r w:rsidRPr="00196B92">
        <w:rPr>
          <w:spacing w:val="-4"/>
          <w:sz w:val="16"/>
          <w:szCs w:val="16"/>
        </w:rPr>
        <w:t>až na 1,9</w:t>
      </w:r>
      <w:r>
        <w:rPr>
          <w:spacing w:val="-4"/>
          <w:sz w:val="16"/>
          <w:szCs w:val="16"/>
        </w:rPr>
        <w:t> %</w:t>
      </w:r>
      <w:r w:rsidRPr="00196B92">
        <w:rPr>
          <w:spacing w:val="-4"/>
          <w:sz w:val="16"/>
          <w:szCs w:val="16"/>
        </w:rPr>
        <w:t xml:space="preserve"> </w:t>
      </w:r>
      <w:r w:rsidRPr="005F75FE">
        <w:rPr>
          <w:spacing w:val="-6"/>
          <w:sz w:val="16"/>
          <w:szCs w:val="16"/>
        </w:rPr>
        <w:t>(ve 3</w:t>
      </w:r>
      <w:r>
        <w:rPr>
          <w:spacing w:val="-6"/>
          <w:sz w:val="16"/>
          <w:szCs w:val="16"/>
        </w:rPr>
        <w:t>. čtvrtletí</w:t>
      </w:r>
      <w:r w:rsidRPr="005F75FE">
        <w:rPr>
          <w:spacing w:val="-6"/>
          <w:sz w:val="16"/>
          <w:szCs w:val="16"/>
        </w:rPr>
        <w:t>)</w:t>
      </w:r>
      <w:r w:rsidRPr="00196B92">
        <w:rPr>
          <w:spacing w:val="-4"/>
          <w:sz w:val="16"/>
          <w:szCs w:val="16"/>
        </w:rPr>
        <w:t xml:space="preserve"> a bl</w:t>
      </w:r>
      <w:r>
        <w:rPr>
          <w:spacing w:val="-4"/>
          <w:sz w:val="16"/>
          <w:szCs w:val="16"/>
        </w:rPr>
        <w:t>ížilo se</w:t>
      </w:r>
      <w:r w:rsidRPr="00196B92">
        <w:rPr>
          <w:spacing w:val="-4"/>
          <w:sz w:val="16"/>
          <w:szCs w:val="16"/>
        </w:rPr>
        <w:t xml:space="preserve"> hodnot</w:t>
      </w:r>
      <w:r>
        <w:rPr>
          <w:spacing w:val="-4"/>
          <w:sz w:val="16"/>
          <w:szCs w:val="16"/>
        </w:rPr>
        <w:t>ě v celé ekonomice.</w:t>
      </w:r>
    </w:p>
  </w:footnote>
  <w:footnote w:id="33">
    <w:p w:rsidR="004A6717" w:rsidRPr="00B17DDC" w:rsidRDefault="004A6717" w:rsidP="005C419C">
      <w:pPr>
        <w:pStyle w:val="Textpoznpodarou"/>
        <w:jc w:val="both"/>
        <w:rPr>
          <w:spacing w:val="-4"/>
          <w:sz w:val="16"/>
          <w:szCs w:val="16"/>
        </w:rPr>
      </w:pPr>
      <w:r w:rsidRPr="00B17DDC">
        <w:rPr>
          <w:rStyle w:val="Znakapoznpodarou"/>
          <w:spacing w:val="-4"/>
          <w:sz w:val="16"/>
          <w:szCs w:val="16"/>
        </w:rPr>
        <w:footnoteRef/>
      </w:r>
      <w:r w:rsidRPr="00B17DDC">
        <w:rPr>
          <w:spacing w:val="-4"/>
          <w:sz w:val="16"/>
          <w:szCs w:val="16"/>
        </w:rPr>
        <w:t xml:space="preserve"> Většinou </w:t>
      </w:r>
      <w:r>
        <w:rPr>
          <w:spacing w:val="-4"/>
          <w:sz w:val="16"/>
          <w:szCs w:val="16"/>
        </w:rPr>
        <w:t xml:space="preserve">však </w:t>
      </w:r>
      <w:r w:rsidRPr="00B17DDC">
        <w:rPr>
          <w:spacing w:val="-4"/>
          <w:sz w:val="16"/>
          <w:szCs w:val="16"/>
        </w:rPr>
        <w:t>šlo o osoby, které z různých důvodů do zaměstnání okamžitě nastoupit nemohly. Do dvou týdnů bylo potenciálním zaměstnavatelům k dispozici necelých 40</w:t>
      </w:r>
      <w:r>
        <w:rPr>
          <w:spacing w:val="-4"/>
          <w:sz w:val="16"/>
          <w:szCs w:val="16"/>
        </w:rPr>
        <w:t> </w:t>
      </w:r>
      <w:r w:rsidRPr="00B17DDC">
        <w:rPr>
          <w:spacing w:val="-4"/>
          <w:sz w:val="16"/>
          <w:szCs w:val="16"/>
        </w:rPr>
        <w:t>tis</w:t>
      </w:r>
      <w:r>
        <w:rPr>
          <w:spacing w:val="-4"/>
          <w:sz w:val="16"/>
          <w:szCs w:val="16"/>
        </w:rPr>
        <w:t>íc</w:t>
      </w:r>
      <w:r w:rsidRPr="00B17DDC">
        <w:rPr>
          <w:spacing w:val="-4"/>
          <w:sz w:val="16"/>
          <w:szCs w:val="16"/>
        </w:rPr>
        <w:t xml:space="preserve"> z nich. Podobně nízké počty byly naposledy vykázány v konjunkturním období minulé dekády.</w:t>
      </w:r>
    </w:p>
  </w:footnote>
  <w:footnote w:id="34">
    <w:p w:rsidR="004A6717" w:rsidRPr="005E3428" w:rsidRDefault="004A6717" w:rsidP="00490B20">
      <w:pPr>
        <w:pStyle w:val="Textpoznpodarou"/>
        <w:rPr>
          <w:sz w:val="16"/>
          <w:szCs w:val="16"/>
        </w:rPr>
      </w:pPr>
      <w:r w:rsidRPr="005E3428">
        <w:rPr>
          <w:rStyle w:val="Znakapoznpodarou"/>
          <w:sz w:val="16"/>
          <w:szCs w:val="16"/>
        </w:rPr>
        <w:footnoteRef/>
      </w:r>
      <w:r w:rsidRPr="005E3428">
        <w:rPr>
          <w:sz w:val="16"/>
          <w:szCs w:val="16"/>
        </w:rPr>
        <w:t xml:space="preserve"> Pokud není uvedeno jinak, vycház</w:t>
      </w:r>
      <w:r>
        <w:rPr>
          <w:sz w:val="16"/>
          <w:szCs w:val="16"/>
        </w:rPr>
        <w:t>ej</w:t>
      </w:r>
      <w:r w:rsidRPr="005E3428">
        <w:rPr>
          <w:sz w:val="16"/>
          <w:szCs w:val="16"/>
        </w:rPr>
        <w:t xml:space="preserve">í všechny údaje týkající se státního rozpočtu </w:t>
      </w:r>
      <w:r>
        <w:rPr>
          <w:rFonts w:cs="Arial"/>
          <w:color w:val="0D0D0D" w:themeColor="text1" w:themeTint="F2"/>
          <w:spacing w:val="-3"/>
          <w:sz w:val="16"/>
          <w:szCs w:val="16"/>
        </w:rPr>
        <w:t>z dat</w:t>
      </w:r>
      <w:r w:rsidRPr="005E3428">
        <w:rPr>
          <w:rFonts w:cs="Arial"/>
          <w:color w:val="0D0D0D" w:themeColor="text1" w:themeTint="F2"/>
          <w:spacing w:val="-3"/>
          <w:sz w:val="16"/>
          <w:szCs w:val="16"/>
        </w:rPr>
        <w:t xml:space="preserve"> Ministerstva financí o pokladním plnění.</w:t>
      </w:r>
      <w:r w:rsidRPr="005E3428">
        <w:rPr>
          <w:sz w:val="16"/>
          <w:szCs w:val="16"/>
        </w:rPr>
        <w:t xml:space="preserve"> </w:t>
      </w:r>
    </w:p>
  </w:footnote>
  <w:footnote w:id="35">
    <w:p w:rsidR="004A6717" w:rsidRPr="00E9220F" w:rsidRDefault="004A6717" w:rsidP="00490B20">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Od 1.</w:t>
      </w:r>
      <w:r>
        <w:rPr>
          <w:color w:val="0D0D0D" w:themeColor="text1" w:themeTint="F2"/>
          <w:spacing w:val="-2"/>
          <w:sz w:val="16"/>
          <w:szCs w:val="16"/>
        </w:rPr>
        <w:t xml:space="preserve"> 1. </w:t>
      </w:r>
      <w:r w:rsidRPr="00E9220F">
        <w:rPr>
          <w:color w:val="0D0D0D" w:themeColor="text1" w:themeTint="F2"/>
          <w:spacing w:val="-2"/>
          <w:sz w:val="16"/>
          <w:szCs w:val="16"/>
        </w:rPr>
        <w:t>2017 klesl změnou rozpočtového určení daní podíl SR na celostátním výnosu DPH ze 70,25</w:t>
      </w:r>
      <w:r>
        <w:rPr>
          <w:color w:val="0D0D0D" w:themeColor="text1" w:themeTint="F2"/>
          <w:spacing w:val="-2"/>
          <w:sz w:val="16"/>
          <w:szCs w:val="16"/>
        </w:rPr>
        <w:t> %</w:t>
      </w:r>
      <w:r w:rsidRPr="00E9220F">
        <w:rPr>
          <w:color w:val="0D0D0D" w:themeColor="text1" w:themeTint="F2"/>
          <w:spacing w:val="-2"/>
          <w:sz w:val="16"/>
          <w:szCs w:val="16"/>
        </w:rPr>
        <w:t xml:space="preserve"> na 69,68</w:t>
      </w:r>
      <w:r>
        <w:rPr>
          <w:color w:val="0D0D0D" w:themeColor="text1" w:themeTint="F2"/>
          <w:spacing w:val="-2"/>
          <w:sz w:val="16"/>
          <w:szCs w:val="16"/>
        </w:rPr>
        <w:t> %</w:t>
      </w:r>
      <w:r w:rsidRPr="00E9220F">
        <w:rPr>
          <w:color w:val="0D0D0D" w:themeColor="text1" w:themeTint="F2"/>
          <w:spacing w:val="-2"/>
          <w:sz w:val="16"/>
          <w:szCs w:val="16"/>
        </w:rPr>
        <w:t xml:space="preserve"> ve prospěch podílu obcí. Recipročně došlo k úpravě procentního podílu u výnosu daně z příjmu fyzických osob z přiznání, a to ve prospěch SR.</w:t>
      </w:r>
    </w:p>
  </w:footnote>
  <w:footnote w:id="36">
    <w:p w:rsidR="004A6717" w:rsidRPr="002A52AF" w:rsidRDefault="004A6717" w:rsidP="00490B20">
      <w:pPr>
        <w:pStyle w:val="Textpoznpodarou"/>
        <w:jc w:val="both"/>
        <w:rPr>
          <w:color w:val="0D0D0D" w:themeColor="text1" w:themeTint="F2"/>
          <w:sz w:val="16"/>
          <w:szCs w:val="16"/>
        </w:rPr>
      </w:pPr>
      <w:r w:rsidRPr="002A52AF">
        <w:rPr>
          <w:rStyle w:val="Znakapoznpodarou"/>
          <w:color w:val="0D0D0D" w:themeColor="text1" w:themeTint="F2"/>
          <w:sz w:val="16"/>
          <w:szCs w:val="16"/>
        </w:rPr>
        <w:footnoteRef/>
      </w:r>
      <w:r w:rsidRPr="002A52AF">
        <w:rPr>
          <w:color w:val="0D0D0D" w:themeColor="text1" w:themeTint="F2"/>
          <w:sz w:val="16"/>
          <w:szCs w:val="16"/>
        </w:rPr>
        <w:t xml:space="preserve"> Došlo k </w:t>
      </w:r>
      <w:r>
        <w:rPr>
          <w:rFonts w:cs="Arial"/>
          <w:color w:val="0D0D0D" w:themeColor="text1" w:themeTint="F2"/>
          <w:sz w:val="16"/>
          <w:szCs w:val="16"/>
        </w:rPr>
        <w:t xml:space="preserve">vrácení daně za </w:t>
      </w:r>
      <w:r w:rsidRPr="002A52AF">
        <w:rPr>
          <w:rFonts w:cs="Arial"/>
          <w:color w:val="0D0D0D" w:themeColor="text1" w:themeTint="F2"/>
          <w:sz w:val="16"/>
          <w:szCs w:val="16"/>
        </w:rPr>
        <w:t>cigaret</w:t>
      </w:r>
      <w:r>
        <w:rPr>
          <w:rFonts w:cs="Arial"/>
          <w:color w:val="0D0D0D" w:themeColor="text1" w:themeTint="F2"/>
          <w:sz w:val="16"/>
          <w:szCs w:val="16"/>
        </w:rPr>
        <w:t>y se starými obaly</w:t>
      </w:r>
      <w:r w:rsidRPr="002A52AF">
        <w:rPr>
          <w:rFonts w:cs="Arial"/>
          <w:color w:val="0D0D0D" w:themeColor="text1" w:themeTint="F2"/>
          <w:sz w:val="16"/>
          <w:szCs w:val="16"/>
        </w:rPr>
        <w:t>, jež bylo nutno stáhnout z oběhu.</w:t>
      </w:r>
      <w:r w:rsidRPr="002A52AF">
        <w:rPr>
          <w:color w:val="0D0D0D" w:themeColor="text1" w:themeTint="F2"/>
          <w:sz w:val="16"/>
          <w:szCs w:val="16"/>
        </w:rPr>
        <w:t xml:space="preserve"> Stažení cigaret souviselo s uvedením nových produktů </w:t>
      </w:r>
      <w:r>
        <w:rPr>
          <w:color w:val="0D0D0D" w:themeColor="text1" w:themeTint="F2"/>
          <w:sz w:val="16"/>
          <w:szCs w:val="16"/>
        </w:rPr>
        <w:t>(</w:t>
      </w:r>
      <w:r w:rsidRPr="002A52AF">
        <w:rPr>
          <w:color w:val="0D0D0D" w:themeColor="text1" w:themeTint="F2"/>
          <w:sz w:val="16"/>
          <w:szCs w:val="16"/>
        </w:rPr>
        <w:t>zatížených vyšší sazbou daně a obsahujících důslednější zdravotní varování</w:t>
      </w:r>
      <w:r>
        <w:rPr>
          <w:color w:val="0D0D0D" w:themeColor="text1" w:themeTint="F2"/>
          <w:sz w:val="16"/>
          <w:szCs w:val="16"/>
        </w:rPr>
        <w:t>)</w:t>
      </w:r>
      <w:r w:rsidRPr="002A52AF">
        <w:rPr>
          <w:color w:val="0D0D0D" w:themeColor="text1" w:themeTint="F2"/>
          <w:sz w:val="16"/>
          <w:szCs w:val="16"/>
        </w:rPr>
        <w:t>.</w:t>
      </w:r>
    </w:p>
  </w:footnote>
  <w:footnote w:id="37">
    <w:p w:rsidR="004A6717" w:rsidRPr="00CE347C" w:rsidRDefault="004A6717" w:rsidP="00490B20">
      <w:pPr>
        <w:pStyle w:val="Textpoznpodarou"/>
        <w:jc w:val="both"/>
        <w:rPr>
          <w:sz w:val="16"/>
          <w:szCs w:val="16"/>
        </w:rPr>
      </w:pPr>
      <w:r w:rsidRPr="00CE347C">
        <w:rPr>
          <w:rStyle w:val="Znakapoznpodarou"/>
          <w:sz w:val="16"/>
          <w:szCs w:val="16"/>
        </w:rPr>
        <w:footnoteRef/>
      </w:r>
      <w:r>
        <w:rPr>
          <w:sz w:val="16"/>
          <w:szCs w:val="16"/>
        </w:rPr>
        <w:t xml:space="preserve"> Od ledna do září</w:t>
      </w:r>
      <w:r w:rsidRPr="00CE347C">
        <w:rPr>
          <w:sz w:val="16"/>
          <w:szCs w:val="16"/>
        </w:rPr>
        <w:t xml:space="preserve"> 2017 vydal SR na investice 41,4 mld. korun. Více než polovina z této částky</w:t>
      </w:r>
      <w:r>
        <w:rPr>
          <w:sz w:val="16"/>
          <w:szCs w:val="16"/>
        </w:rPr>
        <w:t xml:space="preserve"> přitom připadala na samotné 3. čtvrtletí</w:t>
      </w:r>
      <w:r w:rsidRPr="00CE347C">
        <w:rPr>
          <w:sz w:val="16"/>
          <w:szCs w:val="16"/>
        </w:rPr>
        <w:t>. Trend oživení státních investic pokračoval i v říjnu, během něhož se tyto výdaje rozro</w:t>
      </w:r>
      <w:r>
        <w:rPr>
          <w:sz w:val="16"/>
          <w:szCs w:val="16"/>
        </w:rPr>
        <w:t xml:space="preserve">stly o více než 10 mld. korun. </w:t>
      </w:r>
    </w:p>
  </w:footnote>
  <w:footnote w:id="38">
    <w:p w:rsidR="004A6717" w:rsidRPr="007D64E4" w:rsidRDefault="004A6717" w:rsidP="00490B20">
      <w:pPr>
        <w:pStyle w:val="Textpoznpodarou"/>
        <w:jc w:val="both"/>
        <w:rPr>
          <w:sz w:val="16"/>
          <w:szCs w:val="16"/>
        </w:rPr>
      </w:pPr>
      <w:r w:rsidRPr="007D64E4">
        <w:rPr>
          <w:rStyle w:val="Znakapoznpodarou"/>
          <w:sz w:val="16"/>
          <w:szCs w:val="16"/>
        </w:rPr>
        <w:footnoteRef/>
      </w:r>
      <w:r w:rsidRPr="007D64E4">
        <w:rPr>
          <w:sz w:val="16"/>
          <w:szCs w:val="16"/>
        </w:rPr>
        <w:t xml:space="preserve"> </w:t>
      </w:r>
      <w:r w:rsidRPr="007D64E4">
        <w:rPr>
          <w:rFonts w:cs="Arial"/>
          <w:color w:val="000000" w:themeColor="text1"/>
          <w:spacing w:val="-2"/>
          <w:sz w:val="16"/>
          <w:szCs w:val="16"/>
        </w:rPr>
        <w:t xml:space="preserve">Veškeré výdaje (vč. neinvestičních) na tyto projekty činily v úhrnu za </w:t>
      </w:r>
      <w:r>
        <w:rPr>
          <w:rFonts w:cs="Arial"/>
          <w:color w:val="000000" w:themeColor="text1"/>
          <w:spacing w:val="-2"/>
          <w:sz w:val="16"/>
          <w:szCs w:val="16"/>
        </w:rPr>
        <w:t xml:space="preserve">první </w:t>
      </w:r>
      <w:r w:rsidRPr="007D64E4">
        <w:rPr>
          <w:rFonts w:cs="Arial"/>
          <w:color w:val="000000" w:themeColor="text1"/>
          <w:spacing w:val="-2"/>
          <w:sz w:val="16"/>
          <w:szCs w:val="16"/>
        </w:rPr>
        <w:t>tři letošní čtvrtletí 51,4 mld.</w:t>
      </w:r>
      <w:r>
        <w:rPr>
          <w:rFonts w:cs="Arial"/>
          <w:color w:val="000000" w:themeColor="text1"/>
          <w:spacing w:val="-2"/>
          <w:sz w:val="16"/>
          <w:szCs w:val="16"/>
        </w:rPr>
        <w:t xml:space="preserve"> korun</w:t>
      </w:r>
      <w:r w:rsidRPr="007D64E4">
        <w:rPr>
          <w:rFonts w:cs="Arial"/>
          <w:color w:val="000000" w:themeColor="text1"/>
          <w:spacing w:val="-2"/>
          <w:sz w:val="16"/>
          <w:szCs w:val="16"/>
        </w:rPr>
        <w:t>, meziročně o 10,2 mld. méně</w:t>
      </w:r>
      <w:r>
        <w:rPr>
          <w:rFonts w:cs="Arial"/>
          <w:color w:val="000000" w:themeColor="text1"/>
          <w:spacing w:val="-2"/>
          <w:sz w:val="16"/>
          <w:szCs w:val="16"/>
        </w:rPr>
        <w:t xml:space="preserve"> (v loňském roce však ještě část z nich souvisela s programovým obdobím 2007–2013). Pomalejší náběh čerpání v současném programovém období souvisel především s využívá</w:t>
      </w:r>
      <w:r w:rsidRPr="00DF1FDA">
        <w:rPr>
          <w:rFonts w:cs="Arial"/>
          <w:color w:val="000000" w:themeColor="text1"/>
          <w:spacing w:val="-2"/>
          <w:sz w:val="16"/>
          <w:szCs w:val="16"/>
        </w:rPr>
        <w:t>ním Strukturálních fondů a Fondu soudržnosti, naopak čerpání podpor v oblasti zemědělství probíhalo relativně plynule.</w:t>
      </w:r>
    </w:p>
  </w:footnote>
  <w:footnote w:id="39">
    <w:p w:rsidR="004A6717" w:rsidRPr="002B6CE9" w:rsidRDefault="004A6717" w:rsidP="00490B20">
      <w:pPr>
        <w:pStyle w:val="Textpoznpodarou"/>
        <w:jc w:val="both"/>
        <w:rPr>
          <w:sz w:val="16"/>
          <w:szCs w:val="16"/>
        </w:rPr>
      </w:pPr>
      <w:r w:rsidRPr="002B6CE9">
        <w:rPr>
          <w:rStyle w:val="Znakapoznpodarou"/>
          <w:sz w:val="16"/>
          <w:szCs w:val="16"/>
        </w:rPr>
        <w:footnoteRef/>
      </w:r>
      <w:r w:rsidRPr="002B6CE9">
        <w:rPr>
          <w:sz w:val="16"/>
          <w:szCs w:val="16"/>
        </w:rPr>
        <w:t xml:space="preserve"> Od 1.</w:t>
      </w:r>
      <w:r>
        <w:rPr>
          <w:sz w:val="16"/>
          <w:szCs w:val="16"/>
        </w:rPr>
        <w:t> </w:t>
      </w:r>
      <w:r w:rsidRPr="002B6CE9">
        <w:rPr>
          <w:sz w:val="16"/>
          <w:szCs w:val="16"/>
        </w:rPr>
        <w:t>září 2016 se navýšily platy pedagogům (+8</w:t>
      </w:r>
      <w:r>
        <w:rPr>
          <w:sz w:val="16"/>
          <w:szCs w:val="16"/>
        </w:rPr>
        <w:t> %</w:t>
      </w:r>
      <w:r w:rsidRPr="002B6CE9">
        <w:rPr>
          <w:sz w:val="16"/>
          <w:szCs w:val="16"/>
        </w:rPr>
        <w:t>), ale i nepedagogickým pracovníkům (+5</w:t>
      </w:r>
      <w:r>
        <w:rPr>
          <w:sz w:val="16"/>
          <w:szCs w:val="16"/>
        </w:rPr>
        <w:t> %</w:t>
      </w:r>
      <w:r w:rsidRPr="002B6CE9">
        <w:rPr>
          <w:sz w:val="16"/>
          <w:szCs w:val="16"/>
        </w:rPr>
        <w:t>) – ti si polepšili také od 1.</w:t>
      </w:r>
      <w:r>
        <w:rPr>
          <w:sz w:val="16"/>
          <w:szCs w:val="16"/>
        </w:rPr>
        <w:t> </w:t>
      </w:r>
      <w:r w:rsidRPr="002B6CE9">
        <w:rPr>
          <w:sz w:val="16"/>
          <w:szCs w:val="16"/>
        </w:rPr>
        <w:t>července 2017 (o dalších 9,4</w:t>
      </w:r>
      <w:r>
        <w:rPr>
          <w:sz w:val="16"/>
          <w:szCs w:val="16"/>
        </w:rPr>
        <w:t> %</w:t>
      </w:r>
      <w:r w:rsidRPr="002B6CE9">
        <w:rPr>
          <w:sz w:val="16"/>
          <w:szCs w:val="16"/>
        </w:rPr>
        <w:t xml:space="preserve">). </w:t>
      </w:r>
    </w:p>
  </w:footnote>
  <w:footnote w:id="40">
    <w:p w:rsidR="004A6717" w:rsidRPr="00E82336" w:rsidRDefault="004A6717" w:rsidP="00490B20">
      <w:pPr>
        <w:pStyle w:val="Textpoznpodarou"/>
        <w:rPr>
          <w:sz w:val="16"/>
          <w:szCs w:val="16"/>
        </w:rPr>
      </w:pPr>
      <w:r w:rsidRPr="00E82336">
        <w:rPr>
          <w:rStyle w:val="Znakapoznpodarou"/>
          <w:sz w:val="16"/>
          <w:szCs w:val="16"/>
        </w:rPr>
        <w:footnoteRef/>
      </w:r>
      <w:r w:rsidRPr="00E82336">
        <w:rPr>
          <w:sz w:val="16"/>
          <w:szCs w:val="16"/>
        </w:rPr>
        <w:t xml:space="preserve"> </w:t>
      </w:r>
      <w:r>
        <w:rPr>
          <w:sz w:val="16"/>
          <w:szCs w:val="16"/>
        </w:rPr>
        <w:t>Je v</w:t>
      </w:r>
      <w:r w:rsidRPr="00E82336">
        <w:rPr>
          <w:sz w:val="16"/>
          <w:szCs w:val="16"/>
        </w:rPr>
        <w:t xml:space="preserve">yjádřený jako </w:t>
      </w:r>
      <w:r w:rsidRPr="00E82336">
        <w:rPr>
          <w:rFonts w:cs="Arial"/>
          <w:color w:val="000000" w:themeColor="text1"/>
          <w:spacing w:val="-4"/>
          <w:sz w:val="16"/>
          <w:szCs w:val="16"/>
        </w:rPr>
        <w:t>rozdíl mezi příjmy a výdaji na důchody ze SR</w:t>
      </w:r>
      <w:r>
        <w:rPr>
          <w:rFonts w:cs="Arial"/>
          <w:color w:val="000000" w:themeColor="text1"/>
          <w:spacing w:val="-4"/>
          <w:sz w:val="16"/>
          <w:szCs w:val="16"/>
        </w:rPr>
        <w:t xml:space="preserve"> (z předběžných údajů)</w:t>
      </w:r>
      <w:r w:rsidRPr="00E82336">
        <w:rPr>
          <w:rFonts w:cs="Arial"/>
          <w:color w:val="000000" w:themeColor="text1"/>
          <w:spacing w:val="-4"/>
          <w:sz w:val="16"/>
          <w:szCs w:val="16"/>
        </w:rPr>
        <w:t>.</w:t>
      </w:r>
    </w:p>
  </w:footnote>
  <w:footnote w:id="41">
    <w:p w:rsidR="004A6717" w:rsidRPr="00D842A8" w:rsidRDefault="004A6717" w:rsidP="00490B20">
      <w:pPr>
        <w:pStyle w:val="Textpoznpodarou"/>
        <w:jc w:val="both"/>
        <w:rPr>
          <w:rFonts w:cs="Arial"/>
          <w:color w:val="0D0D0D" w:themeColor="text1" w:themeTint="F2"/>
          <w:spacing w:val="-4"/>
          <w:sz w:val="16"/>
          <w:szCs w:val="16"/>
        </w:rPr>
      </w:pPr>
      <w:r w:rsidRPr="00D842A8">
        <w:rPr>
          <w:rStyle w:val="Znakapoznpodarou"/>
          <w:spacing w:val="-4"/>
          <w:sz w:val="16"/>
          <w:szCs w:val="16"/>
        </w:rPr>
        <w:footnoteRef/>
      </w:r>
      <w:r w:rsidRPr="00D842A8">
        <w:rPr>
          <w:spacing w:val="-4"/>
          <w:sz w:val="16"/>
          <w:szCs w:val="16"/>
        </w:rPr>
        <w:t xml:space="preserve"> Zrychlení tempa růstu bylo způsobeno hlavně legislativní úpravou, která od 1.</w:t>
      </w:r>
      <w:r>
        <w:rPr>
          <w:spacing w:val="-4"/>
          <w:sz w:val="16"/>
          <w:szCs w:val="16"/>
        </w:rPr>
        <w:t> </w:t>
      </w:r>
      <w:r w:rsidRPr="00D842A8">
        <w:rPr>
          <w:spacing w:val="-4"/>
          <w:sz w:val="16"/>
          <w:szCs w:val="16"/>
        </w:rPr>
        <w:t>8.</w:t>
      </w:r>
      <w:r>
        <w:rPr>
          <w:spacing w:val="-4"/>
          <w:sz w:val="16"/>
          <w:szCs w:val="16"/>
        </w:rPr>
        <w:t> </w:t>
      </w:r>
      <w:r w:rsidRPr="00D842A8">
        <w:rPr>
          <w:spacing w:val="-4"/>
          <w:sz w:val="16"/>
          <w:szCs w:val="16"/>
        </w:rPr>
        <w:t>2016 navýšila příspěvek ve všech stupních závislosti o 10</w:t>
      </w:r>
      <w:r>
        <w:rPr>
          <w:spacing w:val="-4"/>
          <w:sz w:val="16"/>
          <w:szCs w:val="16"/>
        </w:rPr>
        <w:t> %.</w:t>
      </w:r>
    </w:p>
  </w:footnote>
  <w:footnote w:id="42">
    <w:p w:rsidR="004A6717" w:rsidRPr="001B736A" w:rsidRDefault="004A6717" w:rsidP="00490B20">
      <w:pPr>
        <w:pStyle w:val="Textpoznpodarou"/>
        <w:jc w:val="both"/>
        <w:rPr>
          <w:sz w:val="16"/>
          <w:szCs w:val="16"/>
        </w:rPr>
      </w:pPr>
      <w:r w:rsidRPr="001B736A">
        <w:rPr>
          <w:rStyle w:val="Znakapoznpodarou"/>
          <w:sz w:val="16"/>
          <w:szCs w:val="16"/>
        </w:rPr>
        <w:footnoteRef/>
      </w:r>
      <w:r w:rsidRPr="001B736A">
        <w:rPr>
          <w:sz w:val="16"/>
          <w:szCs w:val="16"/>
        </w:rPr>
        <w:t xml:space="preserve"> Přestože celkový počet nezaměstnaných v evidenci ÚP výrazně klesal, počet osob s nárokem na podporu byl na konci září 2017 meziročně nižší jen o 11,5 tis</w:t>
      </w:r>
      <w:r>
        <w:rPr>
          <w:sz w:val="16"/>
          <w:szCs w:val="16"/>
        </w:rPr>
        <w:t>íce</w:t>
      </w:r>
      <w:r w:rsidRPr="001B736A">
        <w:rPr>
          <w:sz w:val="16"/>
          <w:szCs w:val="16"/>
        </w:rPr>
        <w:t xml:space="preserve">. Práci nacházeli ve větší míře hlavně dlouhodobě nezaměstnaní. Podíl uchazečů s nárokem na podporu v nezaměstnanosti se </w:t>
      </w:r>
      <w:r>
        <w:rPr>
          <w:sz w:val="16"/>
          <w:szCs w:val="16"/>
        </w:rPr>
        <w:t xml:space="preserve">tak </w:t>
      </w:r>
      <w:r w:rsidRPr="001B736A">
        <w:rPr>
          <w:sz w:val="16"/>
          <w:szCs w:val="16"/>
        </w:rPr>
        <w:t>mírně zvýšil na 26,1</w:t>
      </w:r>
      <w:r>
        <w:rPr>
          <w:sz w:val="16"/>
          <w:szCs w:val="16"/>
        </w:rPr>
        <w:t> %</w:t>
      </w:r>
      <w:r w:rsidRPr="001B736A">
        <w:rPr>
          <w:sz w:val="16"/>
          <w:szCs w:val="16"/>
        </w:rPr>
        <w:t xml:space="preserve"> (z loňských 22,7</w:t>
      </w:r>
      <w:r>
        <w:rPr>
          <w:sz w:val="16"/>
          <w:szCs w:val="16"/>
        </w:rPr>
        <w:t> %</w:t>
      </w:r>
      <w:r w:rsidRPr="001B736A">
        <w:rPr>
          <w:sz w:val="16"/>
          <w:szCs w:val="16"/>
        </w:rPr>
        <w:t xml:space="preserve">). </w:t>
      </w:r>
    </w:p>
  </w:footnote>
  <w:footnote w:id="43">
    <w:p w:rsidR="004A6717" w:rsidRPr="00450BC8" w:rsidRDefault="004A6717" w:rsidP="00490B20">
      <w:pPr>
        <w:pStyle w:val="Textpoznpodarou"/>
        <w:jc w:val="both"/>
        <w:rPr>
          <w:sz w:val="16"/>
          <w:szCs w:val="16"/>
        </w:rPr>
      </w:pPr>
      <w:r w:rsidRPr="00450BC8">
        <w:rPr>
          <w:rStyle w:val="Znakapoznpodarou"/>
          <w:sz w:val="16"/>
          <w:szCs w:val="16"/>
        </w:rPr>
        <w:footnoteRef/>
      </w:r>
      <w:r w:rsidRPr="00450BC8">
        <w:rPr>
          <w:sz w:val="16"/>
          <w:szCs w:val="16"/>
        </w:rPr>
        <w:t xml:space="preserve"> </w:t>
      </w:r>
      <w:r>
        <w:rPr>
          <w:rFonts w:cs="Arial"/>
          <w:spacing w:val="-4"/>
          <w:sz w:val="16"/>
          <w:szCs w:val="16"/>
        </w:rPr>
        <w:t>Na počátku roku</w:t>
      </w:r>
      <w:r w:rsidRPr="00450BC8">
        <w:rPr>
          <w:rFonts w:cs="Arial"/>
          <w:spacing w:val="-4"/>
          <w:sz w:val="16"/>
          <w:szCs w:val="16"/>
        </w:rPr>
        <w:t xml:space="preserve"> docházelo k intenzivnější emisi státních pokladničních poukázek realizo</w:t>
      </w:r>
      <w:r w:rsidRPr="00450BC8">
        <w:rPr>
          <w:rFonts w:cs="Arial"/>
          <w:color w:val="0D0D0D" w:themeColor="text1" w:themeTint="F2"/>
          <w:spacing w:val="-4"/>
          <w:sz w:val="16"/>
          <w:szCs w:val="16"/>
        </w:rPr>
        <w:t>vané z</w:t>
      </w:r>
      <w:r w:rsidRPr="00450BC8">
        <w:rPr>
          <w:color w:val="0D0D0D" w:themeColor="text1" w:themeTint="F2"/>
          <w:spacing w:val="-4"/>
          <w:sz w:val="16"/>
          <w:szCs w:val="16"/>
        </w:rPr>
        <w:t> </w:t>
      </w:r>
      <w:r w:rsidRPr="00450BC8">
        <w:rPr>
          <w:rFonts w:cs="Arial"/>
          <w:color w:val="0D0D0D" w:themeColor="text1" w:themeTint="F2"/>
          <w:spacing w:val="-4"/>
          <w:sz w:val="16"/>
          <w:szCs w:val="16"/>
        </w:rPr>
        <w:t>důvodu využití záporných výnosů.</w:t>
      </w:r>
      <w:r w:rsidRPr="00450BC8">
        <w:rPr>
          <w:sz w:val="16"/>
          <w:szCs w:val="16"/>
        </w:rPr>
        <w:t xml:space="preserve"> Vlivem těchto operací se zvýšil podíl krátkodobého dluhu. Podíl hodnoty dluhopisů se splatností do 18</w:t>
      </w:r>
      <w:r>
        <w:rPr>
          <w:sz w:val="16"/>
          <w:szCs w:val="16"/>
        </w:rPr>
        <w:t> </w:t>
      </w:r>
      <w:r w:rsidRPr="00450BC8">
        <w:rPr>
          <w:sz w:val="16"/>
          <w:szCs w:val="16"/>
        </w:rPr>
        <w:t>měsíců na všech dluhopisech činil na konci června 2017 více než 30</w:t>
      </w:r>
      <w:r>
        <w:rPr>
          <w:sz w:val="16"/>
          <w:szCs w:val="16"/>
        </w:rPr>
        <w:t> %</w:t>
      </w:r>
      <w:r w:rsidRPr="00450BC8">
        <w:rPr>
          <w:sz w:val="16"/>
          <w:szCs w:val="16"/>
        </w:rPr>
        <w:t>, o rok dříve byl o 5</w:t>
      </w:r>
      <w:r>
        <w:rPr>
          <w:sz w:val="16"/>
          <w:szCs w:val="16"/>
        </w:rPr>
        <w:t> p. </w:t>
      </w:r>
      <w:proofErr w:type="spellStart"/>
      <w:r>
        <w:rPr>
          <w:sz w:val="16"/>
          <w:szCs w:val="16"/>
        </w:rPr>
        <w:t>b</w:t>
      </w:r>
      <w:proofErr w:type="spellEnd"/>
      <w:r>
        <w:rPr>
          <w:sz w:val="16"/>
          <w:szCs w:val="16"/>
        </w:rPr>
        <w:t>.</w:t>
      </w:r>
      <w:r w:rsidRPr="00450BC8">
        <w:rPr>
          <w:sz w:val="16"/>
          <w:szCs w:val="16"/>
        </w:rPr>
        <w:t xml:space="preserve"> </w:t>
      </w:r>
      <w:proofErr w:type="gramStart"/>
      <w:r w:rsidRPr="00450BC8">
        <w:rPr>
          <w:sz w:val="16"/>
          <w:szCs w:val="16"/>
        </w:rPr>
        <w:t>nižší</w:t>
      </w:r>
      <w:proofErr w:type="gramEnd"/>
      <w:r w:rsidRPr="00450BC8">
        <w:rPr>
          <w:sz w:val="16"/>
          <w:szCs w:val="16"/>
        </w:rPr>
        <w:t>.</w:t>
      </w:r>
    </w:p>
  </w:footnote>
  <w:footnote w:id="44">
    <w:p w:rsidR="004A6717" w:rsidRPr="00E9220F" w:rsidRDefault="004A6717" w:rsidP="00490B20">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 dluhu a deficitu</w:t>
      </w:r>
      <w:r>
        <w:rPr>
          <w:color w:val="0D0D0D" w:themeColor="text1" w:themeTint="F2"/>
          <w:spacing w:val="-2"/>
          <w:sz w:val="16"/>
          <w:szCs w:val="16"/>
        </w:rPr>
        <w:t xml:space="preserve"> sektoru vládních institucí za 3. čtvrtletí 2017 zveřejní ČSÚ 11. ledna</w:t>
      </w:r>
      <w:r w:rsidRPr="00E9220F">
        <w:rPr>
          <w:color w:val="0D0D0D" w:themeColor="text1" w:themeTint="F2"/>
          <w:spacing w:val="-2"/>
          <w:sz w:val="16"/>
          <w:szCs w:val="16"/>
        </w:rPr>
        <w:t xml:space="preserve"> </w:t>
      </w:r>
      <w:r>
        <w:rPr>
          <w:color w:val="0D0D0D" w:themeColor="text1" w:themeTint="F2"/>
          <w:spacing w:val="-2"/>
          <w:sz w:val="16"/>
          <w:szCs w:val="16"/>
        </w:rPr>
        <w:t>2018</w:t>
      </w:r>
      <w:r w:rsidRPr="00E9220F">
        <w:rPr>
          <w:color w:val="0D0D0D" w:themeColor="text1" w:themeTint="F2"/>
          <w:spacing w:val="-2"/>
          <w:sz w:val="16"/>
          <w:szCs w:val="16"/>
        </w:rPr>
        <w:t xml:space="preserve">, </w:t>
      </w:r>
      <w:proofErr w:type="spellStart"/>
      <w:r w:rsidRPr="00E9220F">
        <w:rPr>
          <w:color w:val="0D0D0D" w:themeColor="text1" w:themeTint="F2"/>
          <w:spacing w:val="-2"/>
          <w:sz w:val="16"/>
          <w:szCs w:val="16"/>
        </w:rPr>
        <w:t>Eurostat</w:t>
      </w:r>
      <w:proofErr w:type="spellEnd"/>
      <w:r w:rsidRPr="00E9220F">
        <w:rPr>
          <w:color w:val="0D0D0D" w:themeColor="text1" w:themeTint="F2"/>
          <w:spacing w:val="-2"/>
          <w:sz w:val="16"/>
          <w:szCs w:val="16"/>
        </w:rPr>
        <w:t xml:space="preserve"> </w:t>
      </w:r>
      <w:r>
        <w:rPr>
          <w:color w:val="0D0D0D" w:themeColor="text1" w:themeTint="F2"/>
          <w:spacing w:val="-2"/>
          <w:sz w:val="16"/>
          <w:szCs w:val="16"/>
        </w:rPr>
        <w:t>22</w:t>
      </w:r>
      <w:r w:rsidRPr="00E9220F">
        <w:rPr>
          <w:color w:val="0D0D0D" w:themeColor="text1" w:themeTint="F2"/>
          <w:spacing w:val="-2"/>
          <w:sz w:val="16"/>
          <w:szCs w:val="16"/>
        </w:rPr>
        <w:t>.</w:t>
      </w:r>
      <w:r>
        <w:rPr>
          <w:color w:val="0D0D0D" w:themeColor="text1" w:themeTint="F2"/>
          <w:spacing w:val="-2"/>
          <w:sz w:val="16"/>
          <w:szCs w:val="16"/>
        </w:rPr>
        <w:t> ledna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173642" w:rsidRDefault="004A6717"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DC5B3B" w:rsidRDefault="004A6717"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C00831" w:rsidRDefault="004A6717"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30768C" w:rsidRDefault="004A6717"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6"/>
  </w:num>
  <w:num w:numId="2">
    <w:abstractNumId w:val="22"/>
  </w:num>
  <w:num w:numId="3">
    <w:abstractNumId w:val="12"/>
  </w:num>
  <w:num w:numId="4">
    <w:abstractNumId w:val="20"/>
  </w:num>
  <w:num w:numId="5">
    <w:abstractNumId w:val="14"/>
  </w:num>
  <w:num w:numId="6">
    <w:abstractNumId w:val="17"/>
  </w:num>
  <w:num w:numId="7">
    <w:abstractNumId w:val="5"/>
  </w:num>
  <w:num w:numId="8">
    <w:abstractNumId w:val="10"/>
  </w:num>
  <w:num w:numId="9">
    <w:abstractNumId w:val="19"/>
  </w:num>
  <w:num w:numId="10">
    <w:abstractNumId w:val="4"/>
  </w:num>
  <w:num w:numId="11">
    <w:abstractNumId w:val="8"/>
  </w:num>
  <w:num w:numId="12">
    <w:abstractNumId w:val="2"/>
  </w:num>
  <w:num w:numId="13">
    <w:abstractNumId w:val="7"/>
  </w:num>
  <w:num w:numId="14">
    <w:abstractNumId w:val="0"/>
  </w:num>
  <w:num w:numId="15">
    <w:abstractNumId w:val="18"/>
  </w:num>
  <w:num w:numId="16">
    <w:abstractNumId w:val="15"/>
  </w:num>
  <w:num w:numId="17">
    <w:abstractNumId w:val="6"/>
  </w:num>
  <w:num w:numId="18">
    <w:abstractNumId w:val="21"/>
  </w:num>
  <w:num w:numId="19">
    <w:abstractNumId w:val="9"/>
  </w:num>
  <w:num w:numId="20">
    <w:abstractNumId w:val="1"/>
  </w:num>
  <w:num w:numId="21">
    <w:abstractNumId w:val="11"/>
  </w:num>
  <w:num w:numId="22">
    <w:abstractNumId w:val="13"/>
  </w:num>
  <w:num w:numId="23">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1A7"/>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0BD"/>
    <w:rsid w:val="00035CCF"/>
    <w:rsid w:val="00035FC6"/>
    <w:rsid w:val="0003705E"/>
    <w:rsid w:val="00037667"/>
    <w:rsid w:val="0003780E"/>
    <w:rsid w:val="0004075D"/>
    <w:rsid w:val="000411E1"/>
    <w:rsid w:val="00041E9C"/>
    <w:rsid w:val="00042EC6"/>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AF0"/>
    <w:rsid w:val="00064256"/>
    <w:rsid w:val="000673F8"/>
    <w:rsid w:val="000706A4"/>
    <w:rsid w:val="00070A0C"/>
    <w:rsid w:val="00071F80"/>
    <w:rsid w:val="00072118"/>
    <w:rsid w:val="00073173"/>
    <w:rsid w:val="0007324C"/>
    <w:rsid w:val="00075C64"/>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A7F13"/>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1F41"/>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8CF"/>
    <w:rsid w:val="00102CB8"/>
    <w:rsid w:val="00102F02"/>
    <w:rsid w:val="0010385D"/>
    <w:rsid w:val="00103E41"/>
    <w:rsid w:val="001041B6"/>
    <w:rsid w:val="001070EA"/>
    <w:rsid w:val="001073E5"/>
    <w:rsid w:val="001076CA"/>
    <w:rsid w:val="0011002A"/>
    <w:rsid w:val="001107CE"/>
    <w:rsid w:val="001109F0"/>
    <w:rsid w:val="0011110A"/>
    <w:rsid w:val="001118AF"/>
    <w:rsid w:val="00111CA5"/>
    <w:rsid w:val="0011256E"/>
    <w:rsid w:val="0011352E"/>
    <w:rsid w:val="0011365A"/>
    <w:rsid w:val="00114FC0"/>
    <w:rsid w:val="00115496"/>
    <w:rsid w:val="00116DB9"/>
    <w:rsid w:val="00116F28"/>
    <w:rsid w:val="00117CE8"/>
    <w:rsid w:val="00121961"/>
    <w:rsid w:val="00121C39"/>
    <w:rsid w:val="00123255"/>
    <w:rsid w:val="00124D2D"/>
    <w:rsid w:val="00124DA1"/>
    <w:rsid w:val="00125326"/>
    <w:rsid w:val="00125CB5"/>
    <w:rsid w:val="001264C1"/>
    <w:rsid w:val="00127535"/>
    <w:rsid w:val="001307BE"/>
    <w:rsid w:val="00130A21"/>
    <w:rsid w:val="00130C8F"/>
    <w:rsid w:val="001314F2"/>
    <w:rsid w:val="001317DA"/>
    <w:rsid w:val="00131FFA"/>
    <w:rsid w:val="001323BA"/>
    <w:rsid w:val="0013254D"/>
    <w:rsid w:val="00133AAC"/>
    <w:rsid w:val="00133FBD"/>
    <w:rsid w:val="00134DFD"/>
    <w:rsid w:val="001356FC"/>
    <w:rsid w:val="00136561"/>
    <w:rsid w:val="00136AE8"/>
    <w:rsid w:val="001400E1"/>
    <w:rsid w:val="001405FA"/>
    <w:rsid w:val="001413B3"/>
    <w:rsid w:val="001425C3"/>
    <w:rsid w:val="00142F16"/>
    <w:rsid w:val="00143E03"/>
    <w:rsid w:val="00143E93"/>
    <w:rsid w:val="00143FA3"/>
    <w:rsid w:val="0014428D"/>
    <w:rsid w:val="001459A7"/>
    <w:rsid w:val="0014731B"/>
    <w:rsid w:val="00147E55"/>
    <w:rsid w:val="001500FC"/>
    <w:rsid w:val="00151AC0"/>
    <w:rsid w:val="00151B27"/>
    <w:rsid w:val="00152046"/>
    <w:rsid w:val="00152488"/>
    <w:rsid w:val="00152E53"/>
    <w:rsid w:val="00154147"/>
    <w:rsid w:val="00154D93"/>
    <w:rsid w:val="001550F3"/>
    <w:rsid w:val="00155746"/>
    <w:rsid w:val="00156318"/>
    <w:rsid w:val="0015639A"/>
    <w:rsid w:val="001579FC"/>
    <w:rsid w:val="001603A3"/>
    <w:rsid w:val="0016081D"/>
    <w:rsid w:val="00160CF3"/>
    <w:rsid w:val="00160E61"/>
    <w:rsid w:val="00161300"/>
    <w:rsid w:val="001620FA"/>
    <w:rsid w:val="00162853"/>
    <w:rsid w:val="00163793"/>
    <w:rsid w:val="00163A99"/>
    <w:rsid w:val="00167FB2"/>
    <w:rsid w:val="001707DE"/>
    <w:rsid w:val="00170B04"/>
    <w:rsid w:val="00170F47"/>
    <w:rsid w:val="001711F2"/>
    <w:rsid w:val="001714F2"/>
    <w:rsid w:val="001718C2"/>
    <w:rsid w:val="00173642"/>
    <w:rsid w:val="001736BB"/>
    <w:rsid w:val="00173AF4"/>
    <w:rsid w:val="00173CB0"/>
    <w:rsid w:val="00174CE8"/>
    <w:rsid w:val="00174E7D"/>
    <w:rsid w:val="001752CB"/>
    <w:rsid w:val="00175351"/>
    <w:rsid w:val="00175F60"/>
    <w:rsid w:val="00176050"/>
    <w:rsid w:val="001764D8"/>
    <w:rsid w:val="00176A8F"/>
    <w:rsid w:val="00180C39"/>
    <w:rsid w:val="00180D58"/>
    <w:rsid w:val="00181132"/>
    <w:rsid w:val="00181938"/>
    <w:rsid w:val="00182981"/>
    <w:rsid w:val="00184CF9"/>
    <w:rsid w:val="00185010"/>
    <w:rsid w:val="001852EC"/>
    <w:rsid w:val="00186447"/>
    <w:rsid w:val="001874CF"/>
    <w:rsid w:val="00190214"/>
    <w:rsid w:val="00190D9B"/>
    <w:rsid w:val="00191678"/>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961"/>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40C"/>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07A"/>
    <w:rsid w:val="0021552C"/>
    <w:rsid w:val="00215A2C"/>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7613"/>
    <w:rsid w:val="00261A0F"/>
    <w:rsid w:val="00261E5B"/>
    <w:rsid w:val="00262EB9"/>
    <w:rsid w:val="00262F34"/>
    <w:rsid w:val="002633E5"/>
    <w:rsid w:val="00263470"/>
    <w:rsid w:val="00263733"/>
    <w:rsid w:val="00264676"/>
    <w:rsid w:val="00264A4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2084"/>
    <w:rsid w:val="00283C61"/>
    <w:rsid w:val="00284C6F"/>
    <w:rsid w:val="00285CD3"/>
    <w:rsid w:val="0028633E"/>
    <w:rsid w:val="0028686A"/>
    <w:rsid w:val="00286E66"/>
    <w:rsid w:val="002870B7"/>
    <w:rsid w:val="002919B5"/>
    <w:rsid w:val="00293441"/>
    <w:rsid w:val="00293553"/>
    <w:rsid w:val="00294238"/>
    <w:rsid w:val="00294776"/>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B7937"/>
    <w:rsid w:val="002C0FF4"/>
    <w:rsid w:val="002C125A"/>
    <w:rsid w:val="002C2668"/>
    <w:rsid w:val="002C43BD"/>
    <w:rsid w:val="002C493D"/>
    <w:rsid w:val="002C5261"/>
    <w:rsid w:val="002C6091"/>
    <w:rsid w:val="002C63C1"/>
    <w:rsid w:val="002D0562"/>
    <w:rsid w:val="002D1B5A"/>
    <w:rsid w:val="002D2500"/>
    <w:rsid w:val="002D338A"/>
    <w:rsid w:val="002D3E4C"/>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3F2"/>
    <w:rsid w:val="002F149A"/>
    <w:rsid w:val="002F33FB"/>
    <w:rsid w:val="002F663A"/>
    <w:rsid w:val="002F68A4"/>
    <w:rsid w:val="002F7594"/>
    <w:rsid w:val="002F7902"/>
    <w:rsid w:val="003003E7"/>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C3D"/>
    <w:rsid w:val="00314331"/>
    <w:rsid w:val="00317E31"/>
    <w:rsid w:val="00320214"/>
    <w:rsid w:val="003209D6"/>
    <w:rsid w:val="00320B3F"/>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7449"/>
    <w:rsid w:val="00357A0D"/>
    <w:rsid w:val="00357C28"/>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67D56"/>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1DB0"/>
    <w:rsid w:val="003B2142"/>
    <w:rsid w:val="003B2580"/>
    <w:rsid w:val="003B293F"/>
    <w:rsid w:val="003B2E63"/>
    <w:rsid w:val="003B3189"/>
    <w:rsid w:val="003B3A9D"/>
    <w:rsid w:val="003B3DDD"/>
    <w:rsid w:val="003B462D"/>
    <w:rsid w:val="003B5031"/>
    <w:rsid w:val="003B5A32"/>
    <w:rsid w:val="003B6105"/>
    <w:rsid w:val="003C03CC"/>
    <w:rsid w:val="003C04C4"/>
    <w:rsid w:val="003C08E2"/>
    <w:rsid w:val="003C0B96"/>
    <w:rsid w:val="003C26F4"/>
    <w:rsid w:val="003C3686"/>
    <w:rsid w:val="003C3E2C"/>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9B4"/>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329F"/>
    <w:rsid w:val="00414CE5"/>
    <w:rsid w:val="00416673"/>
    <w:rsid w:val="0042160D"/>
    <w:rsid w:val="00423A3C"/>
    <w:rsid w:val="00423C04"/>
    <w:rsid w:val="00424D9B"/>
    <w:rsid w:val="0042681B"/>
    <w:rsid w:val="00427193"/>
    <w:rsid w:val="0043068A"/>
    <w:rsid w:val="004306E0"/>
    <w:rsid w:val="00431D54"/>
    <w:rsid w:val="00431F98"/>
    <w:rsid w:val="004329BE"/>
    <w:rsid w:val="00432C38"/>
    <w:rsid w:val="004342EC"/>
    <w:rsid w:val="00434D5A"/>
    <w:rsid w:val="00437C76"/>
    <w:rsid w:val="00437F4A"/>
    <w:rsid w:val="0044105C"/>
    <w:rsid w:val="00442197"/>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5BB8"/>
    <w:rsid w:val="00455ECA"/>
    <w:rsid w:val="00457296"/>
    <w:rsid w:val="00457320"/>
    <w:rsid w:val="00460164"/>
    <w:rsid w:val="0046039A"/>
    <w:rsid w:val="00460A6B"/>
    <w:rsid w:val="00461977"/>
    <w:rsid w:val="00461A3F"/>
    <w:rsid w:val="00461C4C"/>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0EA"/>
    <w:rsid w:val="0046765E"/>
    <w:rsid w:val="004676E2"/>
    <w:rsid w:val="00471EDD"/>
    <w:rsid w:val="004739AC"/>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E32"/>
    <w:rsid w:val="00487F81"/>
    <w:rsid w:val="00490082"/>
    <w:rsid w:val="00490247"/>
    <w:rsid w:val="00490B20"/>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5E2"/>
    <w:rsid w:val="004A269A"/>
    <w:rsid w:val="004A26AF"/>
    <w:rsid w:val="004A26DB"/>
    <w:rsid w:val="004A30FB"/>
    <w:rsid w:val="004A35DD"/>
    <w:rsid w:val="004A37D3"/>
    <w:rsid w:val="004A3AD6"/>
    <w:rsid w:val="004A3BCE"/>
    <w:rsid w:val="004A4760"/>
    <w:rsid w:val="004A5865"/>
    <w:rsid w:val="004A6717"/>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111"/>
    <w:rsid w:val="004C57B5"/>
    <w:rsid w:val="004C5C25"/>
    <w:rsid w:val="004C6717"/>
    <w:rsid w:val="004C6CFF"/>
    <w:rsid w:val="004C7065"/>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1D62"/>
    <w:rsid w:val="004F2A4D"/>
    <w:rsid w:val="004F2A73"/>
    <w:rsid w:val="004F33A0"/>
    <w:rsid w:val="004F353A"/>
    <w:rsid w:val="004F4353"/>
    <w:rsid w:val="004F447D"/>
    <w:rsid w:val="004F4C28"/>
    <w:rsid w:val="004F4E82"/>
    <w:rsid w:val="004F5470"/>
    <w:rsid w:val="004F5CC5"/>
    <w:rsid w:val="004F6350"/>
    <w:rsid w:val="004F7170"/>
    <w:rsid w:val="00500ADA"/>
    <w:rsid w:val="005028E1"/>
    <w:rsid w:val="00505989"/>
    <w:rsid w:val="00506309"/>
    <w:rsid w:val="0050692E"/>
    <w:rsid w:val="00507040"/>
    <w:rsid w:val="005079F8"/>
    <w:rsid w:val="00510189"/>
    <w:rsid w:val="005108C0"/>
    <w:rsid w:val="00511873"/>
    <w:rsid w:val="00512603"/>
    <w:rsid w:val="00512CC5"/>
    <w:rsid w:val="0051367B"/>
    <w:rsid w:val="00513A89"/>
    <w:rsid w:val="00513B7E"/>
    <w:rsid w:val="005140DE"/>
    <w:rsid w:val="00514474"/>
    <w:rsid w:val="005147E9"/>
    <w:rsid w:val="0051507D"/>
    <w:rsid w:val="0051593C"/>
    <w:rsid w:val="00517567"/>
    <w:rsid w:val="0051778E"/>
    <w:rsid w:val="005215EF"/>
    <w:rsid w:val="0052207A"/>
    <w:rsid w:val="00524637"/>
    <w:rsid w:val="00524FDD"/>
    <w:rsid w:val="00525137"/>
    <w:rsid w:val="005251DD"/>
    <w:rsid w:val="00526DB6"/>
    <w:rsid w:val="0053017A"/>
    <w:rsid w:val="00530492"/>
    <w:rsid w:val="005308E4"/>
    <w:rsid w:val="005325A8"/>
    <w:rsid w:val="00532854"/>
    <w:rsid w:val="00532E85"/>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C88"/>
    <w:rsid w:val="005544FC"/>
    <w:rsid w:val="005545E0"/>
    <w:rsid w:val="00554865"/>
    <w:rsid w:val="00554E57"/>
    <w:rsid w:val="00557E6A"/>
    <w:rsid w:val="00562749"/>
    <w:rsid w:val="00562DE9"/>
    <w:rsid w:val="005638A5"/>
    <w:rsid w:val="00564137"/>
    <w:rsid w:val="00566381"/>
    <w:rsid w:val="00566A03"/>
    <w:rsid w:val="00571932"/>
    <w:rsid w:val="005723B7"/>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8AE"/>
    <w:rsid w:val="00590CDE"/>
    <w:rsid w:val="0059176E"/>
    <w:rsid w:val="00592854"/>
    <w:rsid w:val="00593152"/>
    <w:rsid w:val="005931BF"/>
    <w:rsid w:val="005934CE"/>
    <w:rsid w:val="00593CA3"/>
    <w:rsid w:val="00594161"/>
    <w:rsid w:val="00594969"/>
    <w:rsid w:val="00594B91"/>
    <w:rsid w:val="00595035"/>
    <w:rsid w:val="00595C7C"/>
    <w:rsid w:val="00596C5E"/>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907"/>
    <w:rsid w:val="005B1BDB"/>
    <w:rsid w:val="005B22A7"/>
    <w:rsid w:val="005B2BAA"/>
    <w:rsid w:val="005B2D53"/>
    <w:rsid w:val="005B3247"/>
    <w:rsid w:val="005B3409"/>
    <w:rsid w:val="005B498A"/>
    <w:rsid w:val="005B7B12"/>
    <w:rsid w:val="005C16CB"/>
    <w:rsid w:val="005C21D6"/>
    <w:rsid w:val="005C331D"/>
    <w:rsid w:val="005C3F9F"/>
    <w:rsid w:val="005C406F"/>
    <w:rsid w:val="005C40BA"/>
    <w:rsid w:val="005C419C"/>
    <w:rsid w:val="005C4A23"/>
    <w:rsid w:val="005C562C"/>
    <w:rsid w:val="005C5812"/>
    <w:rsid w:val="005C6400"/>
    <w:rsid w:val="005C7F1E"/>
    <w:rsid w:val="005D073B"/>
    <w:rsid w:val="005D2450"/>
    <w:rsid w:val="005D25B4"/>
    <w:rsid w:val="005D374F"/>
    <w:rsid w:val="005D5802"/>
    <w:rsid w:val="005D6CFC"/>
    <w:rsid w:val="005D6D2E"/>
    <w:rsid w:val="005D73E2"/>
    <w:rsid w:val="005D757A"/>
    <w:rsid w:val="005D7C4B"/>
    <w:rsid w:val="005E0DBC"/>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14EB"/>
    <w:rsid w:val="005F26CE"/>
    <w:rsid w:val="005F38D3"/>
    <w:rsid w:val="005F3F04"/>
    <w:rsid w:val="005F4057"/>
    <w:rsid w:val="005F4088"/>
    <w:rsid w:val="005F42F4"/>
    <w:rsid w:val="005F4C83"/>
    <w:rsid w:val="005F5628"/>
    <w:rsid w:val="005F5916"/>
    <w:rsid w:val="005F601D"/>
    <w:rsid w:val="005F6119"/>
    <w:rsid w:val="005F7940"/>
    <w:rsid w:val="00600712"/>
    <w:rsid w:val="0060091A"/>
    <w:rsid w:val="0060107A"/>
    <w:rsid w:val="00601120"/>
    <w:rsid w:val="00601AFF"/>
    <w:rsid w:val="00602A2B"/>
    <w:rsid w:val="00602D1D"/>
    <w:rsid w:val="00604307"/>
    <w:rsid w:val="0060487F"/>
    <w:rsid w:val="00605814"/>
    <w:rsid w:val="00606B93"/>
    <w:rsid w:val="00607727"/>
    <w:rsid w:val="00607934"/>
    <w:rsid w:val="00610BD5"/>
    <w:rsid w:val="00611363"/>
    <w:rsid w:val="00611531"/>
    <w:rsid w:val="006118AA"/>
    <w:rsid w:val="00611C28"/>
    <w:rsid w:val="00611EB7"/>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F66"/>
    <w:rsid w:val="00631FC2"/>
    <w:rsid w:val="00632171"/>
    <w:rsid w:val="0063332A"/>
    <w:rsid w:val="006347F9"/>
    <w:rsid w:val="0063494E"/>
    <w:rsid w:val="00634C90"/>
    <w:rsid w:val="00635818"/>
    <w:rsid w:val="00635E79"/>
    <w:rsid w:val="006365E8"/>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1D6"/>
    <w:rsid w:val="00680ECC"/>
    <w:rsid w:val="00680F68"/>
    <w:rsid w:val="0068260E"/>
    <w:rsid w:val="0068373D"/>
    <w:rsid w:val="00683BFE"/>
    <w:rsid w:val="00683EAB"/>
    <w:rsid w:val="0068437D"/>
    <w:rsid w:val="006847C5"/>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3DC1"/>
    <w:rsid w:val="006C457F"/>
    <w:rsid w:val="006C53C7"/>
    <w:rsid w:val="006C5577"/>
    <w:rsid w:val="006C559A"/>
    <w:rsid w:val="006C586D"/>
    <w:rsid w:val="006C58FA"/>
    <w:rsid w:val="006C6197"/>
    <w:rsid w:val="006D004F"/>
    <w:rsid w:val="006D042D"/>
    <w:rsid w:val="006D06EF"/>
    <w:rsid w:val="006D142E"/>
    <w:rsid w:val="006D164C"/>
    <w:rsid w:val="006D29A8"/>
    <w:rsid w:val="006D3B87"/>
    <w:rsid w:val="006D4497"/>
    <w:rsid w:val="006D4E6F"/>
    <w:rsid w:val="006D5681"/>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5A8"/>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487"/>
    <w:rsid w:val="007159D2"/>
    <w:rsid w:val="00716DCC"/>
    <w:rsid w:val="00717726"/>
    <w:rsid w:val="0072050E"/>
    <w:rsid w:val="00720958"/>
    <w:rsid w:val="00720FA2"/>
    <w:rsid w:val="007211F5"/>
    <w:rsid w:val="00723581"/>
    <w:rsid w:val="007240C5"/>
    <w:rsid w:val="00724666"/>
    <w:rsid w:val="00724E80"/>
    <w:rsid w:val="00725055"/>
    <w:rsid w:val="00725492"/>
    <w:rsid w:val="007256B7"/>
    <w:rsid w:val="00726043"/>
    <w:rsid w:val="0072704A"/>
    <w:rsid w:val="007279B9"/>
    <w:rsid w:val="00730AE8"/>
    <w:rsid w:val="00731189"/>
    <w:rsid w:val="007315DA"/>
    <w:rsid w:val="00731963"/>
    <w:rsid w:val="00732706"/>
    <w:rsid w:val="0073325D"/>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55EA0"/>
    <w:rsid w:val="00760141"/>
    <w:rsid w:val="007609C6"/>
    <w:rsid w:val="007610A0"/>
    <w:rsid w:val="00762036"/>
    <w:rsid w:val="007620F2"/>
    <w:rsid w:val="00762EBA"/>
    <w:rsid w:val="0076359D"/>
    <w:rsid w:val="00763A13"/>
    <w:rsid w:val="00763D86"/>
    <w:rsid w:val="0076536E"/>
    <w:rsid w:val="0077058D"/>
    <w:rsid w:val="00770931"/>
    <w:rsid w:val="00772536"/>
    <w:rsid w:val="00773613"/>
    <w:rsid w:val="0077430F"/>
    <w:rsid w:val="00774782"/>
    <w:rsid w:val="00776476"/>
    <w:rsid w:val="00776527"/>
    <w:rsid w:val="00777DB1"/>
    <w:rsid w:val="0078050E"/>
    <w:rsid w:val="007805E1"/>
    <w:rsid w:val="00780DDF"/>
    <w:rsid w:val="0078113E"/>
    <w:rsid w:val="007813E4"/>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A11D9"/>
    <w:rsid w:val="007A18F5"/>
    <w:rsid w:val="007A327B"/>
    <w:rsid w:val="007A4048"/>
    <w:rsid w:val="007A45B1"/>
    <w:rsid w:val="007A4606"/>
    <w:rsid w:val="007A4D58"/>
    <w:rsid w:val="007A5039"/>
    <w:rsid w:val="007B04E8"/>
    <w:rsid w:val="007B0D67"/>
    <w:rsid w:val="007B0F90"/>
    <w:rsid w:val="007B1966"/>
    <w:rsid w:val="007B2257"/>
    <w:rsid w:val="007B22E6"/>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C7BAC"/>
    <w:rsid w:val="007C7CC5"/>
    <w:rsid w:val="007D2A5A"/>
    <w:rsid w:val="007D2AD8"/>
    <w:rsid w:val="007D2C47"/>
    <w:rsid w:val="007D2C61"/>
    <w:rsid w:val="007D2DA3"/>
    <w:rsid w:val="007D2F81"/>
    <w:rsid w:val="007D3167"/>
    <w:rsid w:val="007D341F"/>
    <w:rsid w:val="007D3CF7"/>
    <w:rsid w:val="007D4128"/>
    <w:rsid w:val="007D4281"/>
    <w:rsid w:val="007D42F5"/>
    <w:rsid w:val="007D44C3"/>
    <w:rsid w:val="007D5947"/>
    <w:rsid w:val="007D65C1"/>
    <w:rsid w:val="007D66E3"/>
    <w:rsid w:val="007D7CAF"/>
    <w:rsid w:val="007E030F"/>
    <w:rsid w:val="007E0D49"/>
    <w:rsid w:val="007E0E59"/>
    <w:rsid w:val="007E0F4B"/>
    <w:rsid w:val="007E12C1"/>
    <w:rsid w:val="007E1EF7"/>
    <w:rsid w:val="007E3715"/>
    <w:rsid w:val="007E5880"/>
    <w:rsid w:val="007E5F3D"/>
    <w:rsid w:val="007E6588"/>
    <w:rsid w:val="007E6A5B"/>
    <w:rsid w:val="007E7063"/>
    <w:rsid w:val="007E7E61"/>
    <w:rsid w:val="007F0316"/>
    <w:rsid w:val="007F0845"/>
    <w:rsid w:val="007F0DF6"/>
    <w:rsid w:val="007F1092"/>
    <w:rsid w:val="007F16F9"/>
    <w:rsid w:val="007F2801"/>
    <w:rsid w:val="007F3E3E"/>
    <w:rsid w:val="007F42E0"/>
    <w:rsid w:val="007F500D"/>
    <w:rsid w:val="007F5F14"/>
    <w:rsid w:val="007F7B54"/>
    <w:rsid w:val="007F7C60"/>
    <w:rsid w:val="00800073"/>
    <w:rsid w:val="008005D7"/>
    <w:rsid w:val="008013CB"/>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4965"/>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44BE"/>
    <w:rsid w:val="00845AB1"/>
    <w:rsid w:val="00846673"/>
    <w:rsid w:val="008508A9"/>
    <w:rsid w:val="0085188D"/>
    <w:rsid w:val="008518D8"/>
    <w:rsid w:val="008525F9"/>
    <w:rsid w:val="0085281A"/>
    <w:rsid w:val="00853C0F"/>
    <w:rsid w:val="00853F33"/>
    <w:rsid w:val="008548EA"/>
    <w:rsid w:val="008549C5"/>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58"/>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EC6"/>
    <w:rsid w:val="008869D2"/>
    <w:rsid w:val="00886A8F"/>
    <w:rsid w:val="0088733A"/>
    <w:rsid w:val="008901CC"/>
    <w:rsid w:val="0089061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3B0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0FBC"/>
    <w:rsid w:val="00911E3B"/>
    <w:rsid w:val="0091255A"/>
    <w:rsid w:val="00914426"/>
    <w:rsid w:val="0091675F"/>
    <w:rsid w:val="00917709"/>
    <w:rsid w:val="00917918"/>
    <w:rsid w:val="00920874"/>
    <w:rsid w:val="00921F14"/>
    <w:rsid w:val="009227C6"/>
    <w:rsid w:val="00923750"/>
    <w:rsid w:val="009243A5"/>
    <w:rsid w:val="0092500F"/>
    <w:rsid w:val="009250D2"/>
    <w:rsid w:val="0092519D"/>
    <w:rsid w:val="0092540B"/>
    <w:rsid w:val="009256C5"/>
    <w:rsid w:val="00925A21"/>
    <w:rsid w:val="00926283"/>
    <w:rsid w:val="00927B6E"/>
    <w:rsid w:val="009306BE"/>
    <w:rsid w:val="0093161F"/>
    <w:rsid w:val="00934836"/>
    <w:rsid w:val="00934963"/>
    <w:rsid w:val="00936ECA"/>
    <w:rsid w:val="00937AF4"/>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67AE9"/>
    <w:rsid w:val="009700DB"/>
    <w:rsid w:val="00971DC6"/>
    <w:rsid w:val="00972263"/>
    <w:rsid w:val="00972502"/>
    <w:rsid w:val="00972D8D"/>
    <w:rsid w:val="00973AAE"/>
    <w:rsid w:val="009742F7"/>
    <w:rsid w:val="0097476C"/>
    <w:rsid w:val="00974923"/>
    <w:rsid w:val="00974D48"/>
    <w:rsid w:val="00974D5F"/>
    <w:rsid w:val="00975017"/>
    <w:rsid w:val="009759DF"/>
    <w:rsid w:val="009777B3"/>
    <w:rsid w:val="00977A4D"/>
    <w:rsid w:val="00980373"/>
    <w:rsid w:val="00980392"/>
    <w:rsid w:val="00980621"/>
    <w:rsid w:val="0098095B"/>
    <w:rsid w:val="00982072"/>
    <w:rsid w:val="009829F1"/>
    <w:rsid w:val="009833FA"/>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483E"/>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5CE"/>
    <w:rsid w:val="009B2C0E"/>
    <w:rsid w:val="009B4925"/>
    <w:rsid w:val="009B4B4B"/>
    <w:rsid w:val="009B4CE3"/>
    <w:rsid w:val="009B6FD3"/>
    <w:rsid w:val="009B70BD"/>
    <w:rsid w:val="009C07A5"/>
    <w:rsid w:val="009C24A3"/>
    <w:rsid w:val="009C3705"/>
    <w:rsid w:val="009C5003"/>
    <w:rsid w:val="009C6215"/>
    <w:rsid w:val="009C7388"/>
    <w:rsid w:val="009C74C2"/>
    <w:rsid w:val="009D0CFF"/>
    <w:rsid w:val="009D1551"/>
    <w:rsid w:val="009D182E"/>
    <w:rsid w:val="009D2859"/>
    <w:rsid w:val="009D36EC"/>
    <w:rsid w:val="009D3CD0"/>
    <w:rsid w:val="009D4173"/>
    <w:rsid w:val="009D51CA"/>
    <w:rsid w:val="009D6095"/>
    <w:rsid w:val="009D6306"/>
    <w:rsid w:val="009D6727"/>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06788"/>
    <w:rsid w:val="00A10D66"/>
    <w:rsid w:val="00A12BA8"/>
    <w:rsid w:val="00A133F2"/>
    <w:rsid w:val="00A13993"/>
    <w:rsid w:val="00A1420C"/>
    <w:rsid w:val="00A1456C"/>
    <w:rsid w:val="00A14821"/>
    <w:rsid w:val="00A14BA8"/>
    <w:rsid w:val="00A14C9D"/>
    <w:rsid w:val="00A17754"/>
    <w:rsid w:val="00A2055B"/>
    <w:rsid w:val="00A20E22"/>
    <w:rsid w:val="00A219FE"/>
    <w:rsid w:val="00A2253C"/>
    <w:rsid w:val="00A23545"/>
    <w:rsid w:val="00A23A55"/>
    <w:rsid w:val="00A23E43"/>
    <w:rsid w:val="00A23EF0"/>
    <w:rsid w:val="00A24472"/>
    <w:rsid w:val="00A24F8C"/>
    <w:rsid w:val="00A262BF"/>
    <w:rsid w:val="00A271AD"/>
    <w:rsid w:val="00A276D5"/>
    <w:rsid w:val="00A30336"/>
    <w:rsid w:val="00A30BB5"/>
    <w:rsid w:val="00A3128F"/>
    <w:rsid w:val="00A326D0"/>
    <w:rsid w:val="00A35287"/>
    <w:rsid w:val="00A355F2"/>
    <w:rsid w:val="00A35CB2"/>
    <w:rsid w:val="00A36226"/>
    <w:rsid w:val="00A378F8"/>
    <w:rsid w:val="00A40965"/>
    <w:rsid w:val="00A40B19"/>
    <w:rsid w:val="00A40F56"/>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430D"/>
    <w:rsid w:val="00A55301"/>
    <w:rsid w:val="00A572FB"/>
    <w:rsid w:val="00A57B3C"/>
    <w:rsid w:val="00A57F1B"/>
    <w:rsid w:val="00A600D2"/>
    <w:rsid w:val="00A6128E"/>
    <w:rsid w:val="00A62CE1"/>
    <w:rsid w:val="00A631FA"/>
    <w:rsid w:val="00A64203"/>
    <w:rsid w:val="00A64348"/>
    <w:rsid w:val="00A644E1"/>
    <w:rsid w:val="00A66784"/>
    <w:rsid w:val="00A6766C"/>
    <w:rsid w:val="00A70765"/>
    <w:rsid w:val="00A711B0"/>
    <w:rsid w:val="00A71279"/>
    <w:rsid w:val="00A721FB"/>
    <w:rsid w:val="00A727BA"/>
    <w:rsid w:val="00A72D4B"/>
    <w:rsid w:val="00A732AE"/>
    <w:rsid w:val="00A74192"/>
    <w:rsid w:val="00A750EB"/>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241"/>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4D2A"/>
    <w:rsid w:val="00AB4E33"/>
    <w:rsid w:val="00AB74C5"/>
    <w:rsid w:val="00AB75A7"/>
    <w:rsid w:val="00AB7BEE"/>
    <w:rsid w:val="00AB7DF2"/>
    <w:rsid w:val="00AC1E3F"/>
    <w:rsid w:val="00AC219A"/>
    <w:rsid w:val="00AC3D02"/>
    <w:rsid w:val="00AC4F18"/>
    <w:rsid w:val="00AC69CA"/>
    <w:rsid w:val="00AD0B46"/>
    <w:rsid w:val="00AD1094"/>
    <w:rsid w:val="00AD2565"/>
    <w:rsid w:val="00AD2862"/>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08F"/>
    <w:rsid w:val="00AE6734"/>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3F5F"/>
    <w:rsid w:val="00B06EE1"/>
    <w:rsid w:val="00B07372"/>
    <w:rsid w:val="00B07C2A"/>
    <w:rsid w:val="00B10100"/>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0737"/>
    <w:rsid w:val="00B321E3"/>
    <w:rsid w:val="00B3229E"/>
    <w:rsid w:val="00B32DDB"/>
    <w:rsid w:val="00B3447A"/>
    <w:rsid w:val="00B3448C"/>
    <w:rsid w:val="00B34931"/>
    <w:rsid w:val="00B35174"/>
    <w:rsid w:val="00B35BEA"/>
    <w:rsid w:val="00B365CB"/>
    <w:rsid w:val="00B37915"/>
    <w:rsid w:val="00B3793D"/>
    <w:rsid w:val="00B41BE6"/>
    <w:rsid w:val="00B42831"/>
    <w:rsid w:val="00B428A4"/>
    <w:rsid w:val="00B428EA"/>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0748"/>
    <w:rsid w:val="00B6206C"/>
    <w:rsid w:val="00B62960"/>
    <w:rsid w:val="00B63A11"/>
    <w:rsid w:val="00B63FD0"/>
    <w:rsid w:val="00B6493D"/>
    <w:rsid w:val="00B6553E"/>
    <w:rsid w:val="00B65C84"/>
    <w:rsid w:val="00B6608F"/>
    <w:rsid w:val="00B67E42"/>
    <w:rsid w:val="00B73180"/>
    <w:rsid w:val="00B74317"/>
    <w:rsid w:val="00B75700"/>
    <w:rsid w:val="00B760C1"/>
    <w:rsid w:val="00B76D1E"/>
    <w:rsid w:val="00B77BC8"/>
    <w:rsid w:val="00B77FB7"/>
    <w:rsid w:val="00B800EB"/>
    <w:rsid w:val="00B822D2"/>
    <w:rsid w:val="00B823F1"/>
    <w:rsid w:val="00B831B4"/>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55C"/>
    <w:rsid w:val="00B979A0"/>
    <w:rsid w:val="00BA094F"/>
    <w:rsid w:val="00BA0DED"/>
    <w:rsid w:val="00BA0F99"/>
    <w:rsid w:val="00BA28FD"/>
    <w:rsid w:val="00BA6D2C"/>
    <w:rsid w:val="00BB0274"/>
    <w:rsid w:val="00BB0B13"/>
    <w:rsid w:val="00BB1CFD"/>
    <w:rsid w:val="00BB2C53"/>
    <w:rsid w:val="00BB32DA"/>
    <w:rsid w:val="00BB3A54"/>
    <w:rsid w:val="00BB4286"/>
    <w:rsid w:val="00BB462A"/>
    <w:rsid w:val="00BB4D26"/>
    <w:rsid w:val="00BB4E21"/>
    <w:rsid w:val="00BB62F2"/>
    <w:rsid w:val="00BB6F86"/>
    <w:rsid w:val="00BB7746"/>
    <w:rsid w:val="00BC22EB"/>
    <w:rsid w:val="00BC682B"/>
    <w:rsid w:val="00BC68BA"/>
    <w:rsid w:val="00BC6B04"/>
    <w:rsid w:val="00BC6D27"/>
    <w:rsid w:val="00BD059A"/>
    <w:rsid w:val="00BD0CBB"/>
    <w:rsid w:val="00BD186B"/>
    <w:rsid w:val="00BD1EAC"/>
    <w:rsid w:val="00BD254C"/>
    <w:rsid w:val="00BD3428"/>
    <w:rsid w:val="00BD366B"/>
    <w:rsid w:val="00BD3F01"/>
    <w:rsid w:val="00BD5217"/>
    <w:rsid w:val="00BD5298"/>
    <w:rsid w:val="00BD534C"/>
    <w:rsid w:val="00BD557B"/>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BF7F28"/>
    <w:rsid w:val="00C00831"/>
    <w:rsid w:val="00C00F20"/>
    <w:rsid w:val="00C01354"/>
    <w:rsid w:val="00C01700"/>
    <w:rsid w:val="00C01B84"/>
    <w:rsid w:val="00C034E6"/>
    <w:rsid w:val="00C05715"/>
    <w:rsid w:val="00C05926"/>
    <w:rsid w:val="00C06B8B"/>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AEA"/>
    <w:rsid w:val="00C34FDE"/>
    <w:rsid w:val="00C35C16"/>
    <w:rsid w:val="00C36EC3"/>
    <w:rsid w:val="00C408BB"/>
    <w:rsid w:val="00C40E09"/>
    <w:rsid w:val="00C40F81"/>
    <w:rsid w:val="00C41463"/>
    <w:rsid w:val="00C41A06"/>
    <w:rsid w:val="00C41A72"/>
    <w:rsid w:val="00C42D45"/>
    <w:rsid w:val="00C43CB1"/>
    <w:rsid w:val="00C4422D"/>
    <w:rsid w:val="00C45380"/>
    <w:rsid w:val="00C466D1"/>
    <w:rsid w:val="00C476C5"/>
    <w:rsid w:val="00C503B0"/>
    <w:rsid w:val="00C511C2"/>
    <w:rsid w:val="00C527C6"/>
    <w:rsid w:val="00C538FC"/>
    <w:rsid w:val="00C53CDB"/>
    <w:rsid w:val="00C53D82"/>
    <w:rsid w:val="00C5474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4F6"/>
    <w:rsid w:val="00C77833"/>
    <w:rsid w:val="00C80953"/>
    <w:rsid w:val="00C80C9B"/>
    <w:rsid w:val="00C814FC"/>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6F2A"/>
    <w:rsid w:val="00C97038"/>
    <w:rsid w:val="00C97D46"/>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39FE"/>
    <w:rsid w:val="00CB43A7"/>
    <w:rsid w:val="00CB4DF1"/>
    <w:rsid w:val="00CB5852"/>
    <w:rsid w:val="00CB5996"/>
    <w:rsid w:val="00CB6809"/>
    <w:rsid w:val="00CB7452"/>
    <w:rsid w:val="00CC0E10"/>
    <w:rsid w:val="00CC1DAF"/>
    <w:rsid w:val="00CC21A6"/>
    <w:rsid w:val="00CC2642"/>
    <w:rsid w:val="00CC2967"/>
    <w:rsid w:val="00CC2A1E"/>
    <w:rsid w:val="00CC2A36"/>
    <w:rsid w:val="00CC2E15"/>
    <w:rsid w:val="00CC3440"/>
    <w:rsid w:val="00CC351B"/>
    <w:rsid w:val="00CC3908"/>
    <w:rsid w:val="00CC4F3D"/>
    <w:rsid w:val="00CC5BC5"/>
    <w:rsid w:val="00CC62AD"/>
    <w:rsid w:val="00CC6CA2"/>
    <w:rsid w:val="00CC7086"/>
    <w:rsid w:val="00CC7B80"/>
    <w:rsid w:val="00CD0080"/>
    <w:rsid w:val="00CD0779"/>
    <w:rsid w:val="00CD2B3C"/>
    <w:rsid w:val="00CD30F6"/>
    <w:rsid w:val="00CD4B29"/>
    <w:rsid w:val="00CD5493"/>
    <w:rsid w:val="00CD6607"/>
    <w:rsid w:val="00CD67CA"/>
    <w:rsid w:val="00CD6954"/>
    <w:rsid w:val="00CD6DA3"/>
    <w:rsid w:val="00CD6EF1"/>
    <w:rsid w:val="00CD7E35"/>
    <w:rsid w:val="00CE0849"/>
    <w:rsid w:val="00CE21C7"/>
    <w:rsid w:val="00CE2682"/>
    <w:rsid w:val="00CE2756"/>
    <w:rsid w:val="00CE442A"/>
    <w:rsid w:val="00CE44CE"/>
    <w:rsid w:val="00CE4DEB"/>
    <w:rsid w:val="00CE57D8"/>
    <w:rsid w:val="00CE5F03"/>
    <w:rsid w:val="00CE617A"/>
    <w:rsid w:val="00CE65E7"/>
    <w:rsid w:val="00CE6E3C"/>
    <w:rsid w:val="00CE7158"/>
    <w:rsid w:val="00CE797F"/>
    <w:rsid w:val="00CF107E"/>
    <w:rsid w:val="00CF15BF"/>
    <w:rsid w:val="00CF25D2"/>
    <w:rsid w:val="00CF28C2"/>
    <w:rsid w:val="00CF3D3A"/>
    <w:rsid w:val="00CF42BD"/>
    <w:rsid w:val="00CF51EC"/>
    <w:rsid w:val="00CF58ED"/>
    <w:rsid w:val="00CF6A9D"/>
    <w:rsid w:val="00CF6CD7"/>
    <w:rsid w:val="00CF7276"/>
    <w:rsid w:val="00CF75EC"/>
    <w:rsid w:val="00D002DF"/>
    <w:rsid w:val="00D0037A"/>
    <w:rsid w:val="00D0061E"/>
    <w:rsid w:val="00D00DAF"/>
    <w:rsid w:val="00D0103D"/>
    <w:rsid w:val="00D017EC"/>
    <w:rsid w:val="00D01CDA"/>
    <w:rsid w:val="00D020FC"/>
    <w:rsid w:val="00D024A1"/>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2F9A"/>
    <w:rsid w:val="00D547BA"/>
    <w:rsid w:val="00D55626"/>
    <w:rsid w:val="00D556BC"/>
    <w:rsid w:val="00D5626D"/>
    <w:rsid w:val="00D56631"/>
    <w:rsid w:val="00D577A4"/>
    <w:rsid w:val="00D57E4B"/>
    <w:rsid w:val="00D60277"/>
    <w:rsid w:val="00D60336"/>
    <w:rsid w:val="00D61B06"/>
    <w:rsid w:val="00D61F88"/>
    <w:rsid w:val="00D62688"/>
    <w:rsid w:val="00D62901"/>
    <w:rsid w:val="00D6345E"/>
    <w:rsid w:val="00D64583"/>
    <w:rsid w:val="00D645E4"/>
    <w:rsid w:val="00D6470C"/>
    <w:rsid w:val="00D64853"/>
    <w:rsid w:val="00D64CB5"/>
    <w:rsid w:val="00D66D48"/>
    <w:rsid w:val="00D7162F"/>
    <w:rsid w:val="00D72897"/>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906"/>
    <w:rsid w:val="00D81B44"/>
    <w:rsid w:val="00D82462"/>
    <w:rsid w:val="00D831C6"/>
    <w:rsid w:val="00D83EF3"/>
    <w:rsid w:val="00D84BD1"/>
    <w:rsid w:val="00D85773"/>
    <w:rsid w:val="00D85886"/>
    <w:rsid w:val="00D85D55"/>
    <w:rsid w:val="00D868CE"/>
    <w:rsid w:val="00D86DAE"/>
    <w:rsid w:val="00D90116"/>
    <w:rsid w:val="00D90C1E"/>
    <w:rsid w:val="00D91BDF"/>
    <w:rsid w:val="00D91F2C"/>
    <w:rsid w:val="00D9266B"/>
    <w:rsid w:val="00D93F09"/>
    <w:rsid w:val="00D94859"/>
    <w:rsid w:val="00D954C2"/>
    <w:rsid w:val="00D9640A"/>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3D9"/>
    <w:rsid w:val="00DC5B3B"/>
    <w:rsid w:val="00DC6796"/>
    <w:rsid w:val="00DC6CC6"/>
    <w:rsid w:val="00DC78DF"/>
    <w:rsid w:val="00DC7D4C"/>
    <w:rsid w:val="00DD0726"/>
    <w:rsid w:val="00DD0821"/>
    <w:rsid w:val="00DD0E32"/>
    <w:rsid w:val="00DD1878"/>
    <w:rsid w:val="00DD1DC1"/>
    <w:rsid w:val="00DD2872"/>
    <w:rsid w:val="00DD2A62"/>
    <w:rsid w:val="00DD2BD0"/>
    <w:rsid w:val="00DD2BFE"/>
    <w:rsid w:val="00DD373E"/>
    <w:rsid w:val="00DD3867"/>
    <w:rsid w:val="00DD57AD"/>
    <w:rsid w:val="00DD7435"/>
    <w:rsid w:val="00DD7C6D"/>
    <w:rsid w:val="00DE009B"/>
    <w:rsid w:val="00DE08F8"/>
    <w:rsid w:val="00DE0C31"/>
    <w:rsid w:val="00DE0E40"/>
    <w:rsid w:val="00DE1460"/>
    <w:rsid w:val="00DE2ED9"/>
    <w:rsid w:val="00DE319A"/>
    <w:rsid w:val="00DE3BE8"/>
    <w:rsid w:val="00DE5403"/>
    <w:rsid w:val="00DF0615"/>
    <w:rsid w:val="00DF0DC3"/>
    <w:rsid w:val="00DF1FDA"/>
    <w:rsid w:val="00DF21FD"/>
    <w:rsid w:val="00DF2873"/>
    <w:rsid w:val="00DF293C"/>
    <w:rsid w:val="00DF34B2"/>
    <w:rsid w:val="00DF42DF"/>
    <w:rsid w:val="00DF4C74"/>
    <w:rsid w:val="00DF5578"/>
    <w:rsid w:val="00DF594F"/>
    <w:rsid w:val="00DF6CF8"/>
    <w:rsid w:val="00DF78DD"/>
    <w:rsid w:val="00DF7FEC"/>
    <w:rsid w:val="00E01B16"/>
    <w:rsid w:val="00E01C0E"/>
    <w:rsid w:val="00E02086"/>
    <w:rsid w:val="00E023BE"/>
    <w:rsid w:val="00E02740"/>
    <w:rsid w:val="00E03B27"/>
    <w:rsid w:val="00E03B58"/>
    <w:rsid w:val="00E04694"/>
    <w:rsid w:val="00E049F6"/>
    <w:rsid w:val="00E04CA9"/>
    <w:rsid w:val="00E05B2B"/>
    <w:rsid w:val="00E05EAD"/>
    <w:rsid w:val="00E06A2A"/>
    <w:rsid w:val="00E07F05"/>
    <w:rsid w:val="00E106A2"/>
    <w:rsid w:val="00E127E1"/>
    <w:rsid w:val="00E12BCE"/>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3313"/>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C7"/>
    <w:rsid w:val="00E569C7"/>
    <w:rsid w:val="00E571F2"/>
    <w:rsid w:val="00E57429"/>
    <w:rsid w:val="00E60FCE"/>
    <w:rsid w:val="00E61EA8"/>
    <w:rsid w:val="00E62A33"/>
    <w:rsid w:val="00E63221"/>
    <w:rsid w:val="00E63960"/>
    <w:rsid w:val="00E63EC6"/>
    <w:rsid w:val="00E64AE4"/>
    <w:rsid w:val="00E64CFF"/>
    <w:rsid w:val="00E64EA1"/>
    <w:rsid w:val="00E6582D"/>
    <w:rsid w:val="00E669C7"/>
    <w:rsid w:val="00E67611"/>
    <w:rsid w:val="00E70510"/>
    <w:rsid w:val="00E71262"/>
    <w:rsid w:val="00E71A58"/>
    <w:rsid w:val="00E737F6"/>
    <w:rsid w:val="00E7568F"/>
    <w:rsid w:val="00E764AE"/>
    <w:rsid w:val="00E76F80"/>
    <w:rsid w:val="00E7724B"/>
    <w:rsid w:val="00E80E31"/>
    <w:rsid w:val="00E81130"/>
    <w:rsid w:val="00E83DAB"/>
    <w:rsid w:val="00E84F21"/>
    <w:rsid w:val="00E8618A"/>
    <w:rsid w:val="00E90A4B"/>
    <w:rsid w:val="00E90D67"/>
    <w:rsid w:val="00E90F73"/>
    <w:rsid w:val="00E910A7"/>
    <w:rsid w:val="00E9159D"/>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20A0"/>
    <w:rsid w:val="00EB29CA"/>
    <w:rsid w:val="00EB2CE9"/>
    <w:rsid w:val="00EB30B6"/>
    <w:rsid w:val="00EB4FA4"/>
    <w:rsid w:val="00EB5146"/>
    <w:rsid w:val="00EB522B"/>
    <w:rsid w:val="00EB55E9"/>
    <w:rsid w:val="00EB5641"/>
    <w:rsid w:val="00EB5BA3"/>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B0B"/>
    <w:rsid w:val="00ED2CA5"/>
    <w:rsid w:val="00ED336F"/>
    <w:rsid w:val="00ED390A"/>
    <w:rsid w:val="00ED3A94"/>
    <w:rsid w:val="00ED40F0"/>
    <w:rsid w:val="00ED4AC0"/>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ED5"/>
    <w:rsid w:val="00EF1F5A"/>
    <w:rsid w:val="00EF3486"/>
    <w:rsid w:val="00EF3CF0"/>
    <w:rsid w:val="00EF4685"/>
    <w:rsid w:val="00EF5397"/>
    <w:rsid w:val="00EF63CC"/>
    <w:rsid w:val="00EF6BE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6D"/>
    <w:rsid w:val="00F11AD5"/>
    <w:rsid w:val="00F126D0"/>
    <w:rsid w:val="00F12A83"/>
    <w:rsid w:val="00F14ACD"/>
    <w:rsid w:val="00F15309"/>
    <w:rsid w:val="00F15BEF"/>
    <w:rsid w:val="00F15FBB"/>
    <w:rsid w:val="00F160EC"/>
    <w:rsid w:val="00F172BE"/>
    <w:rsid w:val="00F1776C"/>
    <w:rsid w:val="00F2037E"/>
    <w:rsid w:val="00F20D17"/>
    <w:rsid w:val="00F2103E"/>
    <w:rsid w:val="00F214FC"/>
    <w:rsid w:val="00F21C31"/>
    <w:rsid w:val="00F23825"/>
    <w:rsid w:val="00F2389A"/>
    <w:rsid w:val="00F23F6C"/>
    <w:rsid w:val="00F23FFF"/>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8E3"/>
    <w:rsid w:val="00F35ACD"/>
    <w:rsid w:val="00F365BF"/>
    <w:rsid w:val="00F36BF8"/>
    <w:rsid w:val="00F375BA"/>
    <w:rsid w:val="00F37760"/>
    <w:rsid w:val="00F403D1"/>
    <w:rsid w:val="00F4272E"/>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6CA8"/>
    <w:rsid w:val="00F67BDA"/>
    <w:rsid w:val="00F70309"/>
    <w:rsid w:val="00F7078A"/>
    <w:rsid w:val="00F70E45"/>
    <w:rsid w:val="00F727D5"/>
    <w:rsid w:val="00F72F44"/>
    <w:rsid w:val="00F73A0C"/>
    <w:rsid w:val="00F7593B"/>
    <w:rsid w:val="00F759DC"/>
    <w:rsid w:val="00F76563"/>
    <w:rsid w:val="00F7717C"/>
    <w:rsid w:val="00F771A5"/>
    <w:rsid w:val="00F80021"/>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32E"/>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53AD"/>
    <w:rsid w:val="00FE688F"/>
    <w:rsid w:val="00FE705E"/>
    <w:rsid w:val="00FF02EB"/>
    <w:rsid w:val="00FF288B"/>
    <w:rsid w:val="00FF28E0"/>
    <w:rsid w:val="00FF2FB4"/>
    <w:rsid w:val="00FF30B3"/>
    <w:rsid w:val="00FF3DF3"/>
    <w:rsid w:val="00FF4027"/>
    <w:rsid w:val="00FF45A2"/>
    <w:rsid w:val="00FF55B1"/>
    <w:rsid w:val="00FF65DF"/>
    <w:rsid w:val="00FF761D"/>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357A0D"/>
    <w:rPr>
      <w:b/>
      <w:bCs/>
    </w:rPr>
  </w:style>
  <w:style w:type="character" w:customStyle="1" w:styleId="PedmtkomenteChar">
    <w:name w:val="Předmět komentáře Char"/>
    <w:basedOn w:val="TextkomenteChar"/>
    <w:link w:val="Pedmtkomente"/>
    <w:uiPriority w:val="99"/>
    <w:semiHidden/>
    <w:rsid w:val="00357A0D"/>
    <w:rPr>
      <w:rFonts w:ascii="Arial" w:hAnsi="Arial"/>
      <w:b/>
      <w:bCs/>
    </w:rPr>
  </w:style>
  <w:style w:type="paragraph" w:styleId="Revize">
    <w:name w:val="Revision"/>
    <w:hidden/>
    <w:uiPriority w:val="99"/>
    <w:semiHidden/>
    <w:rsid w:val="001459A7"/>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jiri.kamenicky@czso.cz"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eader" Target="header3.xml"/><Relationship Id="rId43"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trh%20pr&#225;ce\Grafy-trh%20pr&#225;ce-3q-2017.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JKAM%20CSU\PUBLIKACE\PUBLIKACE\2017\QMakro\1-.3.&#269;tvrtlet&#237;%202017\kap.%20trh%20pr&#225;ce\Grafy-trh%20pr&#225;ce-3q-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trh%20pr&#225;ce\Grafy-trh%20pr&#225;ce-3q-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Grafy-st&#225;tn&#237;%20rozpo&#269;et-1-3q-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rozpo&#269;et\Grafy-st&#225;tn&#237;%20rozpo&#269;et-1-3q-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Grafy-st&#225;tn&#237;%20rozpo&#269;et-1-3q-20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Grafy-st&#225;tn&#237;%20rozpo&#269;et-1-3q-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odv&#283;tv&#237;\Odv&#283;tv&#237;%20grafy-1-3.q-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odv&#283;tv&#237;\Odv&#283;tv&#237;%20grafy-1-3.q-201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1-.3.&#269;tvrtlet&#237;%202017\kap.%20odv&#283;tv&#237;\Odv&#283;tv&#237;%20grafy-1-3.q-2017.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7\QMakro\1-.3.&#269;tvrtlet&#237;%202017\kap.%20odv&#283;tv&#237;\Odv&#283;tv&#237;%20grafy-1-3.q-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Desktop\Anal&#253;za\2017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01E-2"/>
          <c:w val="0.93617042384329663"/>
          <c:h val="0.74192840256671388"/>
        </c:manualLayout>
      </c:layout>
      <c:barChart>
        <c:barDir val="col"/>
        <c:grouping val="clustered"/>
        <c:ser>
          <c:idx val="0"/>
          <c:order val="0"/>
          <c:tx>
            <c:strRef>
              <c:f>'souhrnná výkonnost 1'!$C$4</c:f>
              <c:strCache>
                <c:ptCount val="1"/>
                <c:pt idx="0">
                  <c:v>ČR meziroční změna</c:v>
                </c:pt>
              </c:strCache>
            </c:strRef>
          </c:tx>
          <c:spPr>
            <a:solidFill>
              <a:schemeClr val="bg1">
                <a:lumMod val="65000"/>
              </a:schemeClr>
            </a:solidFill>
            <a:ln>
              <a:noFill/>
            </a:ln>
          </c:spPr>
          <c:cat>
            <c:multiLvlStrRef>
              <c:f>'souhrnná výkonnost 1'!$A$9:$B$27</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'souhrnná výkonnost 1'!$C$9:$C$27</c:f>
              <c:numCache>
                <c:formatCode>0.0</c:formatCode>
                <c:ptCount val="19"/>
                <c:pt idx="0">
                  <c:v>-1.7511683134985248</c:v>
                </c:pt>
                <c:pt idx="1">
                  <c:v>-1.1225511599608422</c:v>
                </c:pt>
                <c:pt idx="2">
                  <c:v>-0.35187335671894032</c:v>
                </c:pt>
                <c:pt idx="3">
                  <c:v>1.3064560933108851</c:v>
                </c:pt>
                <c:pt idx="4">
                  <c:v>1.6429317745401164</c:v>
                </c:pt>
                <c:pt idx="5">
                  <c:v>2.379951450221256</c:v>
                </c:pt>
                <c:pt idx="6">
                  <c:v>3.4229941989101462</c:v>
                </c:pt>
                <c:pt idx="7">
                  <c:v>3.3996850847558115</c:v>
                </c:pt>
                <c:pt idx="8">
                  <c:v>5.1924491451289043</c:v>
                </c:pt>
                <c:pt idx="9">
                  <c:v>5.7975987955825934</c:v>
                </c:pt>
                <c:pt idx="10">
                  <c:v>5.6880052521313855</c:v>
                </c:pt>
                <c:pt idx="11">
                  <c:v>4.8807255143514396</c:v>
                </c:pt>
                <c:pt idx="12">
                  <c:v>3.5408169174491197</c:v>
                </c:pt>
                <c:pt idx="13">
                  <c:v>2.8477395147454212</c:v>
                </c:pt>
                <c:pt idx="14">
                  <c:v>1.843939906776342</c:v>
                </c:pt>
                <c:pt idx="15">
                  <c:v>1.7654418234806428</c:v>
                </c:pt>
                <c:pt idx="16" formatCode="General">
                  <c:v>2.9922080055662801</c:v>
                </c:pt>
                <c:pt idx="17" formatCode="General">
                  <c:v>4.6730980983404464</c:v>
                </c:pt>
                <c:pt idx="18" formatCode="General">
                  <c:v>4.9653619148435864</c:v>
                </c:pt>
              </c:numCache>
            </c:numRef>
          </c:val>
          <c:extLst xmlns:c16r2="http://schemas.microsoft.com/office/drawing/2015/06/chart">
            <c:ext xmlns:c16="http://schemas.microsoft.com/office/drawing/2014/chart" uri="{C3380CC4-5D6E-409C-BE32-E72D297353CC}">
              <c16:uniqueId val="{00000000-8C44-4CED-A87F-94F315D09910}"/>
            </c:ext>
          </c:extLst>
        </c:ser>
        <c:ser>
          <c:idx val="1"/>
          <c:order val="1"/>
          <c:tx>
            <c:strRef>
              <c:f>'souhrnná výkonnost 1'!$D$4</c:f>
              <c:strCache>
                <c:ptCount val="1"/>
                <c:pt idx="0">
                  <c:v>EU28 meziroční změna</c:v>
                </c:pt>
              </c:strCache>
            </c:strRef>
          </c:tx>
          <c:spPr>
            <a:solidFill>
              <a:schemeClr val="bg1">
                <a:lumMod val="50000"/>
              </a:schemeClr>
            </a:solidFill>
            <a:ln>
              <a:noFill/>
            </a:ln>
          </c:spPr>
          <c:cat>
            <c:multiLvlStrRef>
              <c:f>'souhrnná výkonnost 1'!$A$9:$B$27</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'souhrnná výkonnost 1'!$D$9:$D$27</c:f>
              <c:numCache>
                <c:formatCode>0.0</c:formatCode>
                <c:ptCount val="19"/>
                <c:pt idx="0">
                  <c:v>-0.59113300492609977</c:v>
                </c:pt>
                <c:pt idx="1">
                  <c:v>9.8716683119455667E-2</c:v>
                </c:pt>
                <c:pt idx="2">
                  <c:v>0.49358341559723756</c:v>
                </c:pt>
                <c:pt idx="3">
                  <c:v>1.1892963330029618</c:v>
                </c:pt>
                <c:pt idx="4">
                  <c:v>1.6848364717542021</c:v>
                </c:pt>
                <c:pt idx="5">
                  <c:v>1.4792899408284024</c:v>
                </c:pt>
                <c:pt idx="6">
                  <c:v>1.5717092337917571</c:v>
                </c:pt>
                <c:pt idx="7">
                  <c:v>1.8609206660137181</c:v>
                </c:pt>
                <c:pt idx="8" formatCode="#,##0.0">
                  <c:v>2.1</c:v>
                </c:pt>
                <c:pt idx="9" formatCode="#,##0.0">
                  <c:v>2.2000000000000002</c:v>
                </c:pt>
                <c:pt idx="10" formatCode="#,##0.0">
                  <c:v>2.1</c:v>
                </c:pt>
                <c:pt idx="11" formatCode="#,##0.0">
                  <c:v>2.1</c:v>
                </c:pt>
                <c:pt idx="12" formatCode="#,##0.0">
                  <c:v>1.9000000000000001</c:v>
                </c:pt>
                <c:pt idx="13" formatCode="#,##0.0">
                  <c:v>1.9000000000000001</c:v>
                </c:pt>
                <c:pt idx="14" formatCode="#,##0.0">
                  <c:v>1.8</c:v>
                </c:pt>
                <c:pt idx="15" formatCode="#,##0.0">
                  <c:v>2</c:v>
                </c:pt>
                <c:pt idx="16" formatCode="#,##0.0">
                  <c:v>2.2000000000000002</c:v>
                </c:pt>
                <c:pt idx="17" formatCode="#,##0.0">
                  <c:v>2.4</c:v>
                </c:pt>
                <c:pt idx="18" formatCode="#,##0.0">
                  <c:v>2.6</c:v>
                </c:pt>
              </c:numCache>
            </c:numRef>
          </c:val>
          <c:extLst xmlns:c16r2="http://schemas.microsoft.com/office/drawing/2015/06/chart">
            <c:ext xmlns:c16="http://schemas.microsoft.com/office/drawing/2014/chart" uri="{C3380CC4-5D6E-409C-BE32-E72D297353CC}">
              <c16:uniqueId val="{00000001-8C44-4CED-A87F-94F315D09910}"/>
            </c:ext>
          </c:extLst>
        </c:ser>
        <c:gapWidth val="100"/>
        <c:axId val="144569088"/>
        <c:axId val="144570624"/>
      </c:barChart>
      <c:lineChart>
        <c:grouping val="standard"/>
        <c:ser>
          <c:idx val="2"/>
          <c:order val="2"/>
          <c:tx>
            <c:strRef>
              <c:f>'souhrnná výkonnost 1'!$E$4</c:f>
              <c:strCache>
                <c:ptCount val="1"/>
                <c:pt idx="0">
                  <c:v>ČR mezičtvrtletní změna</c:v>
                </c:pt>
              </c:strCache>
            </c:strRef>
          </c:tx>
          <c:spPr>
            <a:ln w="19050">
              <a:solidFill>
                <a:srgbClr val="0071BC"/>
              </a:solidFill>
            </a:ln>
          </c:spPr>
          <c:marker>
            <c:symbol val="none"/>
          </c:marker>
          <c:val>
            <c:numRef>
              <c:f>'souhrnná výkonnost 1'!$E$9:$E$27</c:f>
              <c:numCache>
                <c:formatCode>0.0</c:formatCode>
                <c:ptCount val="19"/>
                <c:pt idx="0">
                  <c:v>-0.45693637688056332</c:v>
                </c:pt>
                <c:pt idx="1">
                  <c:v>0.19806063963225995</c:v>
                </c:pt>
                <c:pt idx="2">
                  <c:v>0.25106366477383801</c:v>
                </c:pt>
                <c:pt idx="3">
                  <c:v>1.3159486871259582</c:v>
                </c:pt>
                <c:pt idx="4">
                  <c:v>-0.1263175650510249</c:v>
                </c:pt>
                <c:pt idx="5">
                  <c:v>0.92460345837255964</c:v>
                </c:pt>
                <c:pt idx="6">
                  <c:v>1.272417391970436</c:v>
                </c:pt>
                <c:pt idx="7">
                  <c:v>1.2931144515490858</c:v>
                </c:pt>
                <c:pt idx="8">
                  <c:v>1.6053119684405321</c:v>
                </c:pt>
                <c:pt idx="9">
                  <c:v>1.5052011058400858</c:v>
                </c:pt>
                <c:pt idx="10">
                  <c:v>1.1675113903011718</c:v>
                </c:pt>
                <c:pt idx="11">
                  <c:v>0.51940433488746485</c:v>
                </c:pt>
                <c:pt idx="12">
                  <c:v>0.30724856994861494</c:v>
                </c:pt>
                <c:pt idx="13">
                  <c:v>0.82574962730442503</c:v>
                </c:pt>
                <c:pt idx="14">
                  <c:v>0.18011090146271191</c:v>
                </c:pt>
                <c:pt idx="15">
                  <c:v>0.44192716166011792</c:v>
                </c:pt>
                <c:pt idx="16" formatCode="General">
                  <c:v>1.5164364647657815</c:v>
                </c:pt>
                <c:pt idx="17" formatCode="General">
                  <c:v>2.4712819149110867</c:v>
                </c:pt>
                <c:pt idx="18" formatCode="General">
                  <c:v>0.45982958832395843</c:v>
                </c:pt>
              </c:numCache>
            </c:numRef>
          </c:val>
          <c:extLst xmlns:c16r2="http://schemas.microsoft.com/office/drawing/2015/06/chart">
            <c:ext xmlns:c16="http://schemas.microsoft.com/office/drawing/2014/chart" uri="{C3380CC4-5D6E-409C-BE32-E72D297353CC}">
              <c16:uniqueId val="{00000002-8C44-4CED-A87F-94F315D09910}"/>
            </c:ext>
          </c:extLst>
        </c:ser>
        <c:ser>
          <c:idx val="3"/>
          <c:order val="3"/>
          <c:tx>
            <c:strRef>
              <c:f>'souhrnná výkonnost 1'!$F$4</c:f>
              <c:strCache>
                <c:ptCount val="1"/>
                <c:pt idx="0">
                  <c:v>EU28 mezičtvrtletní změna</c:v>
                </c:pt>
              </c:strCache>
            </c:strRef>
          </c:tx>
          <c:spPr>
            <a:ln w="19050">
              <a:solidFill>
                <a:srgbClr val="BD1B21"/>
              </a:solidFill>
            </a:ln>
          </c:spPr>
          <c:marker>
            <c:symbol val="none"/>
          </c:marker>
          <c:val>
            <c:numRef>
              <c:f>'souhrnná výkonnost 1'!$F$9:$F$27</c:f>
              <c:numCache>
                <c:formatCode>0.0</c:formatCode>
                <c:ptCount val="19"/>
                <c:pt idx="0">
                  <c:v>0</c:v>
                </c:pt>
                <c:pt idx="1">
                  <c:v>0.49554013875123876</c:v>
                </c:pt>
                <c:pt idx="2">
                  <c:v>0.39447731755423487</c:v>
                </c:pt>
                <c:pt idx="3">
                  <c:v>0.29469548133595236</c:v>
                </c:pt>
                <c:pt idx="4">
                  <c:v>0.48971596474045315</c:v>
                </c:pt>
                <c:pt idx="5">
                  <c:v>0.29239766081872481</c:v>
                </c:pt>
                <c:pt idx="6">
                  <c:v>0.48590864917395793</c:v>
                </c:pt>
                <c:pt idx="7">
                  <c:v>0.58027079303674456</c:v>
                </c:pt>
                <c:pt idx="8" formatCode="#,##0.0">
                  <c:v>0.70000000000000062</c:v>
                </c:pt>
                <c:pt idx="9" formatCode="#,##0.0">
                  <c:v>0.4</c:v>
                </c:pt>
                <c:pt idx="10" formatCode="#,##0.0">
                  <c:v>0.5</c:v>
                </c:pt>
                <c:pt idx="11" formatCode="#,##0.0">
                  <c:v>0.5</c:v>
                </c:pt>
                <c:pt idx="12" formatCode="#,##0.0">
                  <c:v>0.4</c:v>
                </c:pt>
                <c:pt idx="13" formatCode="#,##0.0">
                  <c:v>0.4</c:v>
                </c:pt>
                <c:pt idx="14" formatCode="#,##0.0">
                  <c:v>0.4</c:v>
                </c:pt>
                <c:pt idx="15" formatCode="#,##0.0">
                  <c:v>0.70000000000000062</c:v>
                </c:pt>
                <c:pt idx="16" formatCode="#,##0.0">
                  <c:v>0.60000000000000064</c:v>
                </c:pt>
                <c:pt idx="17" formatCode="#,##0.0">
                  <c:v>0.70000000000000062</c:v>
                </c:pt>
                <c:pt idx="18" formatCode="#,##0.0">
                  <c:v>0.60000000000000064</c:v>
                </c:pt>
              </c:numCache>
            </c:numRef>
          </c:val>
          <c:extLst xmlns:c16r2="http://schemas.microsoft.com/office/drawing/2015/06/chart">
            <c:ext xmlns:c16="http://schemas.microsoft.com/office/drawing/2014/chart" uri="{C3380CC4-5D6E-409C-BE32-E72D297353CC}">
              <c16:uniqueId val="{00000003-8C44-4CED-A87F-94F315D09910}"/>
            </c:ext>
          </c:extLst>
        </c:ser>
        <c:marker val="1"/>
        <c:axId val="144569088"/>
        <c:axId val="144570624"/>
      </c:lineChart>
      <c:catAx>
        <c:axId val="144569088"/>
        <c:scaling>
          <c:orientation val="minMax"/>
        </c:scaling>
        <c:axPos val="b"/>
        <c:numFmt formatCode="General" sourceLinked="0"/>
        <c:tickLblPos val="low"/>
        <c:spPr>
          <a:ln>
            <a:solidFill>
              <a:schemeClr val="tx1"/>
            </a:solidFill>
          </a:ln>
        </c:spPr>
        <c:txPr>
          <a:bodyPr rot="0" vert="horz"/>
          <a:lstStyle/>
          <a:p>
            <a:pPr>
              <a:defRPr/>
            </a:pPr>
            <a:endParaRPr lang="cs-CZ"/>
          </a:p>
        </c:txPr>
        <c:crossAx val="144570624"/>
        <c:crosses val="autoZero"/>
        <c:auto val="1"/>
        <c:lblAlgn val="ctr"/>
        <c:lblOffset val="100"/>
      </c:catAx>
      <c:valAx>
        <c:axId val="144570624"/>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44569088"/>
        <c:crosses val="autoZero"/>
        <c:crossBetween val="between"/>
      </c:valAx>
      <c:spPr>
        <a:ln>
          <a:solidFill>
            <a:schemeClr val="tx1"/>
          </a:solidFill>
        </a:ln>
      </c:spPr>
    </c:plotArea>
    <c:legend>
      <c:legendPos val="b"/>
      <c:layout>
        <c:manualLayout>
          <c:xMode val="edge"/>
          <c:yMode val="edge"/>
          <c:x val="4.2347813238770703E-2"/>
          <c:y val="0.8943725512571804"/>
          <c:w val="0.93446850726105957"/>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656266097578916E-2"/>
          <c:y val="2.3304908251716772E-2"/>
          <c:w val="0.92389825103638601"/>
          <c:h val="0.58623184734886868"/>
        </c:manualLayout>
      </c:layout>
      <c:barChart>
        <c:barDir val="col"/>
        <c:grouping val="clustered"/>
        <c:ser>
          <c:idx val="1"/>
          <c:order val="0"/>
          <c:tx>
            <c:strRef>
              <c:f>'Vnější vztahy 2'!$A$7</c:f>
              <c:strCache>
                <c:ptCount val="1"/>
                <c:pt idx="0">
                  <c:v>2016 Q1-Q3</c:v>
                </c:pt>
              </c:strCache>
            </c:strRef>
          </c:tx>
          <c:spPr>
            <a:solidFill>
              <a:schemeClr val="bg1">
                <a:lumMod val="65000"/>
              </a:schemeClr>
            </a:solidFill>
          </c:spPr>
          <c:val>
            <c:numRef>
              <c:f>'Vnější vztahy 2'!$B$7:$N$7</c:f>
              <c:numCache>
                <c:formatCode>General</c:formatCode>
                <c:ptCount val="13"/>
                <c:pt idx="0">
                  <c:v>-53.343000000000004</c:v>
                </c:pt>
                <c:pt idx="1">
                  <c:v>-26.306999999999999</c:v>
                </c:pt>
                <c:pt idx="2">
                  <c:v>-19.687000000000001</c:v>
                </c:pt>
                <c:pt idx="3">
                  <c:v>-25.166</c:v>
                </c:pt>
                <c:pt idx="4">
                  <c:v>-91.7</c:v>
                </c:pt>
                <c:pt idx="5">
                  <c:v>-33.721000000000011</c:v>
                </c:pt>
                <c:pt idx="6">
                  <c:v>18.061</c:v>
                </c:pt>
                <c:pt idx="7">
                  <c:v>-70.35299999999998</c:v>
                </c:pt>
                <c:pt idx="8">
                  <c:v>46.99</c:v>
                </c:pt>
                <c:pt idx="9">
                  <c:v>-35.667000000000002</c:v>
                </c:pt>
                <c:pt idx="10">
                  <c:v>30.494999999999987</c:v>
                </c:pt>
                <c:pt idx="11">
                  <c:v>47.548000000000002</c:v>
                </c:pt>
                <c:pt idx="12">
                  <c:v>321.42499999999899</c:v>
                </c:pt>
              </c:numCache>
            </c:numRef>
          </c:val>
          <c:extLst xmlns:c16r2="http://schemas.microsoft.com/office/drawing/2015/06/chart">
            <c:ext xmlns:c16="http://schemas.microsoft.com/office/drawing/2014/chart" uri="{C3380CC4-5D6E-409C-BE32-E72D297353CC}">
              <c16:uniqueId val="{00000000-81B3-479C-8073-479124FDF723}"/>
            </c:ext>
          </c:extLst>
        </c:ser>
        <c:ser>
          <c:idx val="0"/>
          <c:order val="1"/>
          <c:tx>
            <c:strRef>
              <c:f>'Vnější vztahy 2'!$A$6</c:f>
              <c:strCache>
                <c:ptCount val="1"/>
                <c:pt idx="0">
                  <c:v>2017 Q1-Q3</c:v>
                </c:pt>
              </c:strCache>
            </c:strRef>
          </c:tx>
          <c:spPr>
            <a:solidFill>
              <a:schemeClr val="tx1">
                <a:lumMod val="50000"/>
                <a:lumOff val="50000"/>
              </a:schemeClr>
            </a:solidFill>
            <a:ln>
              <a:noFill/>
            </a:ln>
          </c:spPr>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elektron. přístr.</c:v>
                </c:pt>
                <c:pt idx="10">
                  <c:v>Elektrická zařízení</c:v>
                </c:pt>
                <c:pt idx="11">
                  <c:v>Stroje a zařízení j.n.</c:v>
                </c:pt>
                <c:pt idx="12">
                  <c:v>Motorová vozidla</c:v>
                </c:pt>
              </c:strCache>
            </c:strRef>
          </c:cat>
          <c:val>
            <c:numRef>
              <c:f>'Vnější vztahy 2'!$B$6:$N$6</c:f>
              <c:numCache>
                <c:formatCode>General</c:formatCode>
                <c:ptCount val="13"/>
                <c:pt idx="0">
                  <c:v>-90.915000000000006</c:v>
                </c:pt>
                <c:pt idx="1">
                  <c:v>-29.207999999999988</c:v>
                </c:pt>
                <c:pt idx="2">
                  <c:v>-22.574000000000005</c:v>
                </c:pt>
                <c:pt idx="3">
                  <c:v>-9.4630000000000027</c:v>
                </c:pt>
                <c:pt idx="4">
                  <c:v>-83.932000000000002</c:v>
                </c:pt>
                <c:pt idx="5">
                  <c:v>-36.956000000000003</c:v>
                </c:pt>
                <c:pt idx="6">
                  <c:v>17.916</c:v>
                </c:pt>
                <c:pt idx="7">
                  <c:v>-91.483999999999995</c:v>
                </c:pt>
                <c:pt idx="8">
                  <c:v>45.216000000000001</c:v>
                </c:pt>
                <c:pt idx="9">
                  <c:v>-33.619</c:v>
                </c:pt>
                <c:pt idx="10">
                  <c:v>31.152999999999999</c:v>
                </c:pt>
                <c:pt idx="11">
                  <c:v>59.44</c:v>
                </c:pt>
                <c:pt idx="12">
                  <c:v>344.05900000000008</c:v>
                </c:pt>
              </c:numCache>
            </c:numRef>
          </c:val>
          <c:extLst xmlns:c16r2="http://schemas.microsoft.com/office/drawing/2015/06/chart">
            <c:ext xmlns:c16="http://schemas.microsoft.com/office/drawing/2014/chart" uri="{C3380CC4-5D6E-409C-BE32-E72D297353CC}">
              <c16:uniqueId val="{00000001-81B3-479C-8073-479124FDF723}"/>
            </c:ext>
          </c:extLst>
        </c:ser>
        <c:gapWidth val="97"/>
        <c:axId val="167511168"/>
        <c:axId val="167512704"/>
      </c:barChart>
      <c:catAx>
        <c:axId val="167511168"/>
        <c:scaling>
          <c:orientation val="minMax"/>
        </c:scaling>
        <c:axPos val="b"/>
        <c:tickLblPos val="low"/>
        <c:spPr>
          <a:ln>
            <a:solidFill>
              <a:schemeClr val="tx1"/>
            </a:solidFill>
          </a:ln>
        </c:spPr>
        <c:txPr>
          <a:bodyPr rot="-5400000" vert="horz"/>
          <a:lstStyle/>
          <a:p>
            <a:pPr>
              <a:defRPr/>
            </a:pPr>
            <a:endParaRPr lang="cs-CZ"/>
          </a:p>
        </c:txPr>
        <c:crossAx val="167512704"/>
        <c:crosses val="autoZero"/>
        <c:auto val="1"/>
        <c:lblAlgn val="ctr"/>
        <c:lblOffset val="100"/>
      </c:catAx>
      <c:valAx>
        <c:axId val="167512704"/>
        <c:scaling>
          <c:orientation val="minMax"/>
          <c:max val="350"/>
          <c:min val="-100"/>
        </c:scaling>
        <c:axPos val="l"/>
        <c:majorGridlines>
          <c:spPr>
            <a:ln w="6350">
              <a:solidFill>
                <a:schemeClr val="bg1">
                  <a:lumMod val="75000"/>
                </a:schemeClr>
              </a:solidFill>
            </a:ln>
          </c:spPr>
        </c:majorGridlines>
        <c:numFmt formatCode="General" sourceLinked="1"/>
        <c:tickLblPos val="nextTo"/>
        <c:crossAx val="167511168"/>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568840579710145E-2"/>
          <c:y val="2.1811315924220229E-2"/>
          <c:w val="0.92237743255066085"/>
          <c:h val="0.73318107621299766"/>
        </c:manualLayout>
      </c:layout>
      <c:barChart>
        <c:barDir val="col"/>
        <c:grouping val="clustered"/>
        <c:ser>
          <c:idx val="0"/>
          <c:order val="0"/>
          <c:tx>
            <c:strRef>
              <c:f>'Ceny 2'!$C$5</c:f>
              <c:strCache>
                <c:ptCount val="1"/>
                <c:pt idx="0">
                  <c:v>Celkem</c:v>
                </c:pt>
              </c:strCache>
            </c:strRef>
          </c:tx>
          <c:spPr>
            <a:solidFill>
              <a:schemeClr val="bg1">
                <a:lumMod val="65000"/>
              </a:schemeClr>
            </a:solidFill>
            <a:ln w="19050">
              <a:noFill/>
            </a:ln>
          </c:spPr>
          <c:cat>
            <c:multiLvlStrRef>
              <c:f>'Ceny 2'!$A$10:$B$28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2'!$C$10:$C$28</c:f>
              <c:numCache>
                <c:formatCode>0.0</c:formatCode>
                <c:ptCount val="19"/>
                <c:pt idx="0">
                  <c:v>1.7999999999999849</c:v>
                </c:pt>
                <c:pt idx="1">
                  <c:v>1.5</c:v>
                </c:pt>
                <c:pt idx="2">
                  <c:v>1.2000000000000028</c:v>
                </c:pt>
                <c:pt idx="3">
                  <c:v>1.0999999999999821</c:v>
                </c:pt>
                <c:pt idx="4">
                  <c:v>0.20000000000000284</c:v>
                </c:pt>
                <c:pt idx="5">
                  <c:v>0.20000000000000284</c:v>
                </c:pt>
                <c:pt idx="6">
                  <c:v>0.59999999999999454</c:v>
                </c:pt>
                <c:pt idx="7">
                  <c:v>0.5</c:v>
                </c:pt>
                <c:pt idx="8">
                  <c:v>9.9999999999995245E-2</c:v>
                </c:pt>
                <c:pt idx="9">
                  <c:v>0.70000000000000284</c:v>
                </c:pt>
                <c:pt idx="10">
                  <c:v>0.40000000000000568</c:v>
                </c:pt>
                <c:pt idx="11">
                  <c:v>9.9999999999995245E-2</c:v>
                </c:pt>
                <c:pt idx="12">
                  <c:v>0.5</c:v>
                </c:pt>
                <c:pt idx="13">
                  <c:v>0.20000000000000284</c:v>
                </c:pt>
                <c:pt idx="14">
                  <c:v>0.5</c:v>
                </c:pt>
                <c:pt idx="15">
                  <c:v>1.4000000000000057</c:v>
                </c:pt>
                <c:pt idx="16" formatCode="General">
                  <c:v>2.4000000000000057</c:v>
                </c:pt>
                <c:pt idx="17" formatCode="General">
                  <c:v>2.2000000000000042</c:v>
                </c:pt>
                <c:pt idx="18">
                  <c:v>2.5</c:v>
                </c:pt>
              </c:numCache>
            </c:numRef>
          </c:val>
          <c:extLst xmlns:c16r2="http://schemas.microsoft.com/office/drawing/2015/06/chart">
            <c:ext xmlns:c16="http://schemas.microsoft.com/office/drawing/2014/chart" uri="{C3380CC4-5D6E-409C-BE32-E72D297353CC}">
              <c16:uniqueId val="{00000000-C639-443A-8F3A-CE22923D37AD}"/>
            </c:ext>
          </c:extLst>
        </c:ser>
        <c:gapWidth val="95"/>
        <c:axId val="167562624"/>
        <c:axId val="167576704"/>
      </c:barChart>
      <c:lineChart>
        <c:grouping val="standard"/>
        <c:ser>
          <c:idx val="1"/>
          <c:order val="1"/>
          <c:tx>
            <c:strRef>
              <c:f>'Ceny 2'!$D$5</c:f>
              <c:strCache>
                <c:ptCount val="1"/>
                <c:pt idx="0">
                  <c:v>Potraviny</c:v>
                </c:pt>
              </c:strCache>
            </c:strRef>
          </c:tx>
          <c:spPr>
            <a:ln w="19050">
              <a:solidFill>
                <a:srgbClr val="0071BC"/>
              </a:solidFill>
            </a:ln>
          </c:spPr>
          <c:marker>
            <c:symbol val="none"/>
          </c:marker>
          <c:cat>
            <c:multiLvlStrRef>
              <c:f>'Ceny 2'!$A$10:$B$28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2'!$D$10:$D$28</c:f>
              <c:numCache>
                <c:formatCode>0.0</c:formatCode>
                <c:ptCount val="19"/>
                <c:pt idx="0">
                  <c:v>4.9000000000000083</c:v>
                </c:pt>
                <c:pt idx="1">
                  <c:v>5.4000000000000083</c:v>
                </c:pt>
                <c:pt idx="2">
                  <c:v>5.2999999999999972</c:v>
                </c:pt>
                <c:pt idx="3">
                  <c:v>4.0999999999999943</c:v>
                </c:pt>
                <c:pt idx="4">
                  <c:v>3.9000000000000057</c:v>
                </c:pt>
                <c:pt idx="5">
                  <c:v>1.5</c:v>
                </c:pt>
                <c:pt idx="6">
                  <c:v>1.4000000000000057</c:v>
                </c:pt>
                <c:pt idx="7">
                  <c:v>1.2000000000000028</c:v>
                </c:pt>
                <c:pt idx="8">
                  <c:v>-1.5999999999999821</c:v>
                </c:pt>
                <c:pt idx="9">
                  <c:v>-9.9999999999995245E-2</c:v>
                </c:pt>
                <c:pt idx="10">
                  <c:v>-0.90000000000000568</c:v>
                </c:pt>
                <c:pt idx="11">
                  <c:v>-1.5999999999999821</c:v>
                </c:pt>
                <c:pt idx="12">
                  <c:v>-1.7000000000000044</c:v>
                </c:pt>
                <c:pt idx="13">
                  <c:v>-2.4000000000000057</c:v>
                </c:pt>
                <c:pt idx="14">
                  <c:v>-0.7999999999999976</c:v>
                </c:pt>
                <c:pt idx="15">
                  <c:v>1.2000000000000028</c:v>
                </c:pt>
                <c:pt idx="16" formatCode="General">
                  <c:v>4.2000000000000028</c:v>
                </c:pt>
                <c:pt idx="17" formatCode="General">
                  <c:v>4.5</c:v>
                </c:pt>
                <c:pt idx="18">
                  <c:v>5.7</c:v>
                </c:pt>
              </c:numCache>
            </c:numRef>
          </c:val>
          <c:extLst xmlns:c16r2="http://schemas.microsoft.com/office/drawing/2015/06/chart">
            <c:ext xmlns:c16="http://schemas.microsoft.com/office/drawing/2014/chart" uri="{C3380CC4-5D6E-409C-BE32-E72D297353CC}">
              <c16:uniqueId val="{00000001-C639-443A-8F3A-CE22923D37AD}"/>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2'!$F$10:$F$28</c:f>
              <c:numCache>
                <c:formatCode>0.0</c:formatCode>
                <c:ptCount val="19"/>
                <c:pt idx="0">
                  <c:v>2.5999999999999943</c:v>
                </c:pt>
                <c:pt idx="1">
                  <c:v>2</c:v>
                </c:pt>
                <c:pt idx="2">
                  <c:v>1.2000000000000028</c:v>
                </c:pt>
                <c:pt idx="3">
                  <c:v>1.2000000000000028</c:v>
                </c:pt>
                <c:pt idx="4">
                  <c:v>-2.4000000000000057</c:v>
                </c:pt>
                <c:pt idx="5">
                  <c:v>-1.7000000000000044</c:v>
                </c:pt>
                <c:pt idx="6">
                  <c:v>-0.70000000000000284</c:v>
                </c:pt>
                <c:pt idx="7">
                  <c:v>-0.59999999999999454</c:v>
                </c:pt>
                <c:pt idx="8">
                  <c:v>1.0999999999999821</c:v>
                </c:pt>
                <c:pt idx="9">
                  <c:v>1.2000000000000028</c:v>
                </c:pt>
                <c:pt idx="10">
                  <c:v>0.7999999999999976</c:v>
                </c:pt>
                <c:pt idx="11">
                  <c:v>0.90000000000000568</c:v>
                </c:pt>
                <c:pt idx="12">
                  <c:v>0.90000000000000568</c:v>
                </c:pt>
                <c:pt idx="13">
                  <c:v>0.5</c:v>
                </c:pt>
                <c:pt idx="14">
                  <c:v>0.40000000000000568</c:v>
                </c:pt>
                <c:pt idx="15">
                  <c:v>0.59999999999999454</c:v>
                </c:pt>
                <c:pt idx="16" formatCode="General">
                  <c:v>0.7999999999999976</c:v>
                </c:pt>
                <c:pt idx="17" formatCode="General">
                  <c:v>1.5</c:v>
                </c:pt>
                <c:pt idx="18">
                  <c:v>2.1</c:v>
                </c:pt>
              </c:numCache>
            </c:numRef>
          </c:val>
          <c:extLst xmlns:c16r2="http://schemas.microsoft.com/office/drawing/2015/06/chart">
            <c:ext xmlns:c16="http://schemas.microsoft.com/office/drawing/2014/chart" uri="{C3380CC4-5D6E-409C-BE32-E72D297353CC}">
              <c16:uniqueId val="{00000002-C639-443A-8F3A-CE22923D37AD}"/>
            </c:ext>
          </c:extLst>
        </c:ser>
        <c:ser>
          <c:idx val="4"/>
          <c:order val="3"/>
          <c:tx>
            <c:strRef>
              <c:f>'Ceny 2'!$G$5</c:f>
              <c:strCache>
                <c:ptCount val="1"/>
                <c:pt idx="0">
                  <c:v>Doprava</c:v>
                </c:pt>
              </c:strCache>
            </c:strRef>
          </c:tx>
          <c:spPr>
            <a:ln w="19050">
              <a:solidFill>
                <a:srgbClr val="FFC000"/>
              </a:solidFill>
            </a:ln>
          </c:spPr>
          <c:marker>
            <c:symbol val="none"/>
          </c:marker>
          <c:val>
            <c:numRef>
              <c:f>'Ceny 2'!$G$10:$G$28</c:f>
              <c:numCache>
                <c:formatCode>General</c:formatCode>
                <c:ptCount val="19"/>
                <c:pt idx="0">
                  <c:v>-0.7999999999999976</c:v>
                </c:pt>
                <c:pt idx="1">
                  <c:v>-1.2000000000000028</c:v>
                </c:pt>
                <c:pt idx="2">
                  <c:v>-0.40000000000000568</c:v>
                </c:pt>
                <c:pt idx="3">
                  <c:v>-0.20000000000000284</c:v>
                </c:pt>
                <c:pt idx="4">
                  <c:v>9.9999999999995245E-2</c:v>
                </c:pt>
                <c:pt idx="5">
                  <c:v>0.30000000000000032</c:v>
                </c:pt>
                <c:pt idx="6">
                  <c:v>0.5</c:v>
                </c:pt>
                <c:pt idx="7">
                  <c:v>0</c:v>
                </c:pt>
                <c:pt idx="8">
                  <c:v>-4.9000000000000083</c:v>
                </c:pt>
                <c:pt idx="9">
                  <c:v>-3.2999999999999972</c:v>
                </c:pt>
                <c:pt idx="10">
                  <c:v>-3.7999999999999972</c:v>
                </c:pt>
                <c:pt idx="11">
                  <c:v>-4.7000000000000028</c:v>
                </c:pt>
                <c:pt idx="12">
                  <c:v>-2.7000000000000042</c:v>
                </c:pt>
                <c:pt idx="13">
                  <c:v>-2.9000000000000057</c:v>
                </c:pt>
                <c:pt idx="14">
                  <c:v>-2.2999999999999972</c:v>
                </c:pt>
                <c:pt idx="15">
                  <c:v>1.0999999999999821</c:v>
                </c:pt>
                <c:pt idx="16">
                  <c:v>6</c:v>
                </c:pt>
                <c:pt idx="17">
                  <c:v>3.9000000000000057</c:v>
                </c:pt>
                <c:pt idx="18" formatCode="0.0">
                  <c:v>2.5</c:v>
                </c:pt>
              </c:numCache>
            </c:numRef>
          </c:val>
          <c:extLst xmlns:c16r2="http://schemas.microsoft.com/office/drawing/2015/06/chart">
            <c:ext xmlns:c16="http://schemas.microsoft.com/office/drawing/2014/chart" uri="{C3380CC4-5D6E-409C-BE32-E72D297353CC}">
              <c16:uniqueId val="{00000003-C639-443A-8F3A-CE22923D37AD}"/>
            </c:ext>
          </c:extLst>
        </c:ser>
        <c:ser>
          <c:idx val="2"/>
          <c:order val="4"/>
          <c:tx>
            <c:strRef>
              <c:f>'Ceny 2'!$H$5</c:f>
              <c:strCache>
                <c:ptCount val="1"/>
                <c:pt idx="0">
                  <c:v>Stravování a ubytování</c:v>
                </c:pt>
              </c:strCache>
            </c:strRef>
          </c:tx>
          <c:spPr>
            <a:ln w="19050">
              <a:solidFill>
                <a:schemeClr val="accent2"/>
              </a:solidFill>
            </a:ln>
          </c:spPr>
          <c:marker>
            <c:symbol val="none"/>
          </c:marker>
          <c:val>
            <c:numRef>
              <c:f>'Ceny 2'!$H$10:$H$28</c:f>
              <c:numCache>
                <c:formatCode>###,###,##0.0</c:formatCode>
                <c:ptCount val="19"/>
                <c:pt idx="0">
                  <c:v>2.4000000000000057</c:v>
                </c:pt>
                <c:pt idx="1">
                  <c:v>1.9000000000000061</c:v>
                </c:pt>
                <c:pt idx="2">
                  <c:v>2</c:v>
                </c:pt>
                <c:pt idx="3">
                  <c:v>1.7999999999999849</c:v>
                </c:pt>
                <c:pt idx="4">
                  <c:v>1.5999999999999821</c:v>
                </c:pt>
                <c:pt idx="5">
                  <c:v>1.7000000000000044</c:v>
                </c:pt>
                <c:pt idx="6">
                  <c:v>1.7000000000000044</c:v>
                </c:pt>
                <c:pt idx="7">
                  <c:v>1.7000000000000044</c:v>
                </c:pt>
                <c:pt idx="8">
                  <c:v>1.7000000000000044</c:v>
                </c:pt>
                <c:pt idx="9">
                  <c:v>1.5999999999999821</c:v>
                </c:pt>
                <c:pt idx="10">
                  <c:v>1.4000000000000057</c:v>
                </c:pt>
                <c:pt idx="11">
                  <c:v>1.2999999999999829</c:v>
                </c:pt>
                <c:pt idx="12">
                  <c:v>1.2000000000000028</c:v>
                </c:pt>
                <c:pt idx="13">
                  <c:v>1.0999999999999821</c:v>
                </c:pt>
                <c:pt idx="14">
                  <c:v>1.2000000000000028</c:v>
                </c:pt>
                <c:pt idx="15">
                  <c:v>2.7000000000000042</c:v>
                </c:pt>
                <c:pt idx="16">
                  <c:v>5.2000000000000028</c:v>
                </c:pt>
                <c:pt idx="17">
                  <c:v>5.7999999999999972</c:v>
                </c:pt>
                <c:pt idx="18">
                  <c:v>6.2999999999999972</c:v>
                </c:pt>
              </c:numCache>
            </c:numRef>
          </c:val>
          <c:extLst xmlns:c16r2="http://schemas.microsoft.com/office/drawing/2015/06/chart">
            <c:ext xmlns:c16="http://schemas.microsoft.com/office/drawing/2014/chart" uri="{C3380CC4-5D6E-409C-BE32-E72D297353CC}">
              <c16:uniqueId val="{00000004-C639-443A-8F3A-CE22923D37AD}"/>
            </c:ext>
          </c:extLst>
        </c:ser>
        <c:marker val="1"/>
        <c:axId val="167562624"/>
        <c:axId val="167576704"/>
      </c:lineChart>
      <c:catAx>
        <c:axId val="167562624"/>
        <c:scaling>
          <c:orientation val="minMax"/>
        </c:scaling>
        <c:axPos val="b"/>
        <c:numFmt formatCode="General" sourceLinked="0"/>
        <c:tickLblPos val="low"/>
        <c:spPr>
          <a:ln>
            <a:solidFill>
              <a:schemeClr val="tx1"/>
            </a:solidFill>
          </a:ln>
        </c:spPr>
        <c:txPr>
          <a:bodyPr rot="0" vert="horz"/>
          <a:lstStyle/>
          <a:p>
            <a:pPr>
              <a:defRPr/>
            </a:pPr>
            <a:endParaRPr lang="cs-CZ"/>
          </a:p>
        </c:txPr>
        <c:crossAx val="167576704"/>
        <c:crosses val="autoZero"/>
        <c:auto val="1"/>
        <c:lblAlgn val="ctr"/>
        <c:lblOffset val="100"/>
      </c:catAx>
      <c:valAx>
        <c:axId val="16757670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67562624"/>
        <c:crosses val="autoZero"/>
        <c:crossBetween val="between"/>
        <c:majorUnit val="1"/>
      </c:valAx>
      <c:spPr>
        <a:ln>
          <a:solidFill>
            <a:schemeClr val="tx1"/>
          </a:solidFill>
        </a:ln>
      </c:spPr>
    </c:plotArea>
    <c:legend>
      <c:legendPos val="b"/>
      <c:layout>
        <c:manualLayout>
          <c:xMode val="edge"/>
          <c:yMode val="edge"/>
          <c:x val="5.6562767491901832E-2"/>
          <c:y val="0.87255825734550219"/>
          <c:w val="0.92362905268491513"/>
          <c:h val="0.10076212991106696"/>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Realizované ceny starších bytů, ČR</c:v>
                </c:pt>
              </c:strCache>
            </c:strRef>
          </c:tx>
          <c:spPr>
            <a:solidFill>
              <a:schemeClr val="bg1">
                <a:lumMod val="65000"/>
              </a:schemeClr>
            </a:solidFill>
            <a:ln w="19050">
              <a:noFill/>
            </a:ln>
          </c:spPr>
          <c:cat>
            <c:multiLvlStrRef>
              <c:f>'Ceny 1'!$A$10:$B$28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1'!$C$10:$C$28</c:f>
              <c:numCache>
                <c:formatCode>General</c:formatCode>
                <c:ptCount val="19"/>
                <c:pt idx="0">
                  <c:v>-5.0999999999999943</c:v>
                </c:pt>
                <c:pt idx="1">
                  <c:v>-3.5999999999999943</c:v>
                </c:pt>
                <c:pt idx="2">
                  <c:v>-2.5</c:v>
                </c:pt>
                <c:pt idx="3">
                  <c:v>-1.7000000000000028</c:v>
                </c:pt>
                <c:pt idx="4">
                  <c:v>1.2000000000000028</c:v>
                </c:pt>
                <c:pt idx="5">
                  <c:v>2.5</c:v>
                </c:pt>
                <c:pt idx="6">
                  <c:v>4.5</c:v>
                </c:pt>
                <c:pt idx="7">
                  <c:v>5.7000000000000028</c:v>
                </c:pt>
                <c:pt idx="8">
                  <c:v>4.2999999999999972</c:v>
                </c:pt>
                <c:pt idx="9">
                  <c:v>4.9000000000000083</c:v>
                </c:pt>
                <c:pt idx="10">
                  <c:v>6</c:v>
                </c:pt>
                <c:pt idx="11">
                  <c:v>6.7999999999999972</c:v>
                </c:pt>
                <c:pt idx="12">
                  <c:v>8.9000000000000057</c:v>
                </c:pt>
                <c:pt idx="13">
                  <c:v>10.3</c:v>
                </c:pt>
                <c:pt idx="14">
                  <c:v>12.3</c:v>
                </c:pt>
                <c:pt idx="15">
                  <c:v>14.600000000000001</c:v>
                </c:pt>
                <c:pt idx="16">
                  <c:v>17.200000000000003</c:v>
                </c:pt>
                <c:pt idx="17">
                  <c:v>18.700000000000003</c:v>
                </c:pt>
                <c:pt idx="18">
                  <c:v>15.3</c:v>
                </c:pt>
              </c:numCache>
            </c:numRef>
          </c:val>
          <c:extLst xmlns:c16r2="http://schemas.microsoft.com/office/drawing/2015/06/chart">
            <c:ext xmlns:c16="http://schemas.microsoft.com/office/drawing/2014/chart" uri="{C3380CC4-5D6E-409C-BE32-E72D297353CC}">
              <c16:uniqueId val="{00000000-1865-406F-A71C-76BF842F8FE1}"/>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cat>
            <c:multiLvlStrRef>
              <c:f>'Ceny 1'!$A$10:$B$28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1'!$D$10:$D$28</c:f>
              <c:numCache>
                <c:formatCode>General</c:formatCode>
                <c:ptCount val="19"/>
                <c:pt idx="0">
                  <c:v>0</c:v>
                </c:pt>
                <c:pt idx="1">
                  <c:v>0.70000000000000284</c:v>
                </c:pt>
                <c:pt idx="2">
                  <c:v>2.0999999999999943</c:v>
                </c:pt>
                <c:pt idx="3">
                  <c:v>0.5</c:v>
                </c:pt>
                <c:pt idx="4">
                  <c:v>2</c:v>
                </c:pt>
                <c:pt idx="5">
                  <c:v>2.0999999999999943</c:v>
                </c:pt>
                <c:pt idx="6">
                  <c:v>3.2000000000000042</c:v>
                </c:pt>
                <c:pt idx="7">
                  <c:v>5.2000000000000028</c:v>
                </c:pt>
                <c:pt idx="8">
                  <c:v>5</c:v>
                </c:pt>
                <c:pt idx="9">
                  <c:v>5.9000000000000083</c:v>
                </c:pt>
                <c:pt idx="10">
                  <c:v>5.5999999999999943</c:v>
                </c:pt>
                <c:pt idx="11">
                  <c:v>4.5999999999999943</c:v>
                </c:pt>
                <c:pt idx="12">
                  <c:v>5.7999999999999972</c:v>
                </c:pt>
                <c:pt idx="13">
                  <c:v>7.5</c:v>
                </c:pt>
                <c:pt idx="14">
                  <c:v>9.4000000000000057</c:v>
                </c:pt>
                <c:pt idx="15">
                  <c:v>13.900000000000006</c:v>
                </c:pt>
                <c:pt idx="16">
                  <c:v>16.200000000000003</c:v>
                </c:pt>
                <c:pt idx="17">
                  <c:v>19</c:v>
                </c:pt>
                <c:pt idx="18">
                  <c:v>16</c:v>
                </c:pt>
              </c:numCache>
            </c:numRef>
          </c:val>
          <c:extLst xmlns:c16r2="http://schemas.microsoft.com/office/drawing/2015/06/chart">
            <c:ext xmlns:c16="http://schemas.microsoft.com/office/drawing/2014/chart" uri="{C3380CC4-5D6E-409C-BE32-E72D297353CC}">
              <c16:uniqueId val="{00000001-1865-406F-A71C-76BF842F8FE1}"/>
            </c:ext>
          </c:extLst>
        </c:ser>
        <c:gapWidth val="95"/>
        <c:axId val="167625472"/>
        <c:axId val="167627008"/>
      </c:barChart>
      <c:lineChart>
        <c:grouping val="standard"/>
        <c:ser>
          <c:idx val="2"/>
          <c:order val="2"/>
          <c:tx>
            <c:strRef>
              <c:f>'Ceny 1'!$E$5</c:f>
              <c:strCache>
                <c:ptCount val="1"/>
                <c:pt idx="0">
                  <c:v>Nabídkové ceny bytů, ČR</c:v>
                </c:pt>
              </c:strCache>
            </c:strRef>
          </c:tx>
          <c:spPr>
            <a:ln w="19050">
              <a:solidFill>
                <a:schemeClr val="accent2"/>
              </a:solidFill>
            </a:ln>
          </c:spPr>
          <c:marker>
            <c:symbol val="none"/>
          </c:marker>
          <c:cat>
            <c:multiLvlStrRef>
              <c:f>'Ceny 1'!$A$10:$B$28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1'!$E$10:$E$28</c:f>
              <c:numCache>
                <c:formatCode>0.0</c:formatCode>
                <c:ptCount val="19"/>
                <c:pt idx="0">
                  <c:v>1.5806111696522702</c:v>
                </c:pt>
                <c:pt idx="1">
                  <c:v>-0.20661157024793683</c:v>
                </c:pt>
                <c:pt idx="2">
                  <c:v>1.4583333333333393</c:v>
                </c:pt>
                <c:pt idx="3">
                  <c:v>1.9668737060041468</c:v>
                </c:pt>
                <c:pt idx="4">
                  <c:v>3.0082987551867202</c:v>
                </c:pt>
                <c:pt idx="5">
                  <c:v>4.1407867494823956</c:v>
                </c:pt>
                <c:pt idx="6">
                  <c:v>4.6201232032853978</c:v>
                </c:pt>
                <c:pt idx="7">
                  <c:v>2.7411167512690509</c:v>
                </c:pt>
                <c:pt idx="8">
                  <c:v>3.6253776435045406</c:v>
                </c:pt>
                <c:pt idx="9">
                  <c:v>4.9701789264413518</c:v>
                </c:pt>
                <c:pt idx="10">
                  <c:v>6.0843964671246233</c:v>
                </c:pt>
                <c:pt idx="11">
                  <c:v>9.5849802371541557</c:v>
                </c:pt>
                <c:pt idx="12">
                  <c:v>10.204081632653049</c:v>
                </c:pt>
                <c:pt idx="13">
                  <c:v>10.321969696969704</c:v>
                </c:pt>
                <c:pt idx="14">
                  <c:v>9.8982423681776162</c:v>
                </c:pt>
                <c:pt idx="15">
                  <c:v>9.9188458070333638</c:v>
                </c:pt>
                <c:pt idx="16">
                  <c:v>9.5238095238095202</c:v>
                </c:pt>
                <c:pt idx="17" formatCode="General">
                  <c:v>9.5278969957081507</c:v>
                </c:pt>
                <c:pt idx="18" formatCode="General">
                  <c:v>12.542087542087534</c:v>
                </c:pt>
              </c:numCache>
            </c:numRef>
          </c:val>
          <c:extLst xmlns:c16r2="http://schemas.microsoft.com/office/drawing/2015/06/chart">
            <c:ext xmlns:c16="http://schemas.microsoft.com/office/drawing/2014/chart" uri="{C3380CC4-5D6E-409C-BE32-E72D297353CC}">
              <c16:uniqueId val="{00000002-1865-406F-A71C-76BF842F8FE1}"/>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1'!$F$10:$F$28</c:f>
              <c:numCache>
                <c:formatCode>0.0</c:formatCode>
                <c:ptCount val="19"/>
                <c:pt idx="0">
                  <c:v>6.1522419186652666</c:v>
                </c:pt>
                <c:pt idx="1">
                  <c:v>1.8924302788844536</c:v>
                </c:pt>
                <c:pt idx="2">
                  <c:v>2.681231380337648</c:v>
                </c:pt>
                <c:pt idx="3">
                  <c:v>3.4482758620689653</c:v>
                </c:pt>
                <c:pt idx="4">
                  <c:v>3.8310412573674002</c:v>
                </c:pt>
                <c:pt idx="5">
                  <c:v>5.2785923753665784</c:v>
                </c:pt>
                <c:pt idx="6">
                  <c:v>6.6731141199226212</c:v>
                </c:pt>
                <c:pt idx="7">
                  <c:v>5.1428571428571486</c:v>
                </c:pt>
                <c:pt idx="8">
                  <c:v>5.7710501419110845</c:v>
                </c:pt>
                <c:pt idx="9">
                  <c:v>6.4995357474466076</c:v>
                </c:pt>
                <c:pt idx="10">
                  <c:v>6.7089755213055255</c:v>
                </c:pt>
                <c:pt idx="11">
                  <c:v>8.7862318840579601</c:v>
                </c:pt>
                <c:pt idx="12">
                  <c:v>10.196779964221831</c:v>
                </c:pt>
                <c:pt idx="13">
                  <c:v>10.549258936355701</c:v>
                </c:pt>
                <c:pt idx="14">
                  <c:v>9.7706032285471505</c:v>
                </c:pt>
                <c:pt idx="15">
                  <c:v>11.32389675270611</c:v>
                </c:pt>
                <c:pt idx="16">
                  <c:v>13.636363636363633</c:v>
                </c:pt>
                <c:pt idx="17" formatCode="General">
                  <c:v>14.589905362776037</c:v>
                </c:pt>
                <c:pt idx="18" formatCode="General">
                  <c:v>18.266253869968978</c:v>
                </c:pt>
              </c:numCache>
            </c:numRef>
          </c:val>
          <c:extLst xmlns:c16r2="http://schemas.microsoft.com/office/drawing/2015/06/chart">
            <c:ext xmlns:c16="http://schemas.microsoft.com/office/drawing/2014/chart" uri="{C3380CC4-5D6E-409C-BE32-E72D297353CC}">
              <c16:uniqueId val="{00000003-1865-406F-A71C-76BF842F8FE1}"/>
            </c:ext>
          </c:extLst>
        </c:ser>
        <c:marker val="1"/>
        <c:axId val="167625472"/>
        <c:axId val="167627008"/>
      </c:lineChart>
      <c:catAx>
        <c:axId val="167625472"/>
        <c:scaling>
          <c:orientation val="minMax"/>
        </c:scaling>
        <c:axPos val="b"/>
        <c:numFmt formatCode="General" sourceLinked="0"/>
        <c:tickLblPos val="low"/>
        <c:spPr>
          <a:ln>
            <a:solidFill>
              <a:schemeClr val="tx1"/>
            </a:solidFill>
          </a:ln>
        </c:spPr>
        <c:txPr>
          <a:bodyPr rot="0" vert="horz"/>
          <a:lstStyle/>
          <a:p>
            <a:pPr>
              <a:defRPr/>
            </a:pPr>
            <a:endParaRPr lang="cs-CZ"/>
          </a:p>
        </c:txPr>
        <c:crossAx val="167627008"/>
        <c:crosses val="autoZero"/>
        <c:auto val="1"/>
        <c:lblAlgn val="ctr"/>
        <c:lblOffset val="100"/>
      </c:catAx>
      <c:valAx>
        <c:axId val="167627008"/>
        <c:scaling>
          <c:orientation val="minMax"/>
          <c:max val="20"/>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67625472"/>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702"/>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2034E-2"/>
          <c:w val="0.89142432050272657"/>
          <c:h val="0.71663233141956562"/>
        </c:manualLayout>
      </c:layout>
      <c:barChart>
        <c:barDir val="col"/>
        <c:grouping val="clustered"/>
        <c:ser>
          <c:idx val="0"/>
          <c:order val="0"/>
          <c:tx>
            <c:strRef>
              <c:f>'Ceny 4'!$C$5</c:f>
              <c:strCache>
                <c:ptCount val="1"/>
                <c:pt idx="0">
                  <c:v>Celkem</c:v>
                </c:pt>
              </c:strCache>
            </c:strRef>
          </c:tx>
          <c:spPr>
            <a:solidFill>
              <a:schemeClr val="bg1">
                <a:lumMod val="65000"/>
              </a:schemeClr>
            </a:solidFill>
            <a:ln w="19050">
              <a:noFill/>
            </a:ln>
          </c:spPr>
          <c:cat>
            <c:multiLvlStrRef>
              <c:f>'Ceny 4'!$A$6:$B$62</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'Ceny 4'!$C$6:$C$62</c:f>
              <c:numCache>
                <c:formatCode>0.0</c:formatCode>
                <c:ptCount val="57"/>
                <c:pt idx="0">
                  <c:v>1.4000000000000057</c:v>
                </c:pt>
                <c:pt idx="1">
                  <c:v>1.2999999999999829</c:v>
                </c:pt>
                <c:pt idx="2">
                  <c:v>1</c:v>
                </c:pt>
                <c:pt idx="3">
                  <c:v>0.5</c:v>
                </c:pt>
                <c:pt idx="4">
                  <c:v>0.30000000000000032</c:v>
                </c:pt>
                <c:pt idx="5">
                  <c:v>0.70000000000000284</c:v>
                </c:pt>
                <c:pt idx="6">
                  <c:v>1.0999999999999821</c:v>
                </c:pt>
                <c:pt idx="7">
                  <c:v>0.5</c:v>
                </c:pt>
                <c:pt idx="8">
                  <c:v>0.59999999999999432</c:v>
                </c:pt>
                <c:pt idx="9">
                  <c:v>0</c:v>
                </c:pt>
                <c:pt idx="10">
                  <c:v>0.70000000000000284</c:v>
                </c:pt>
                <c:pt idx="11">
                  <c:v>1.7000000000000028</c:v>
                </c:pt>
                <c:pt idx="12">
                  <c:v>-0.70000000000000284</c:v>
                </c:pt>
                <c:pt idx="13">
                  <c:v>-0.70000000000000284</c:v>
                </c:pt>
                <c:pt idx="14">
                  <c:v>-0.7999999999999976</c:v>
                </c:pt>
                <c:pt idx="15">
                  <c:v>-0.30000000000000032</c:v>
                </c:pt>
                <c:pt idx="16">
                  <c:v>-9.9999999999995245E-2</c:v>
                </c:pt>
                <c:pt idx="17">
                  <c:v>-0.20000000000000284</c:v>
                </c:pt>
                <c:pt idx="18">
                  <c:v>-9.9999999999995245E-2</c:v>
                </c:pt>
                <c:pt idx="19">
                  <c:v>0</c:v>
                </c:pt>
                <c:pt idx="20">
                  <c:v>-0.30000000000000032</c:v>
                </c:pt>
                <c:pt idx="21">
                  <c:v>-0.30000000000000032</c:v>
                </c:pt>
                <c:pt idx="22">
                  <c:v>-1.7000000000000028</c:v>
                </c:pt>
                <c:pt idx="23">
                  <c:v>-3.7000000000000042</c:v>
                </c:pt>
                <c:pt idx="24">
                  <c:v>-3.5</c:v>
                </c:pt>
                <c:pt idx="25">
                  <c:v>-3.5999999999999943</c:v>
                </c:pt>
                <c:pt idx="26">
                  <c:v>-2.9000000000000057</c:v>
                </c:pt>
                <c:pt idx="27">
                  <c:v>-2.5999999999999943</c:v>
                </c:pt>
                <c:pt idx="28">
                  <c:v>-2.0999999999999943</c:v>
                </c:pt>
                <c:pt idx="29">
                  <c:v>-2.2999999999999972</c:v>
                </c:pt>
                <c:pt idx="30">
                  <c:v>-3</c:v>
                </c:pt>
                <c:pt idx="31">
                  <c:v>-3.7000000000000042</c:v>
                </c:pt>
                <c:pt idx="32">
                  <c:v>-4.2000000000000028</c:v>
                </c:pt>
                <c:pt idx="33">
                  <c:v>-3.9000000000000057</c:v>
                </c:pt>
                <c:pt idx="34">
                  <c:v>-3.7000000000000042</c:v>
                </c:pt>
                <c:pt idx="35">
                  <c:v>-2.9000000000000057</c:v>
                </c:pt>
                <c:pt idx="36">
                  <c:v>-3.4000000000000057</c:v>
                </c:pt>
                <c:pt idx="37">
                  <c:v>-4</c:v>
                </c:pt>
                <c:pt idx="38">
                  <c:v>-4.5</c:v>
                </c:pt>
                <c:pt idx="39">
                  <c:v>-4.7000000000000028</c:v>
                </c:pt>
                <c:pt idx="40">
                  <c:v>-4.7999999999999972</c:v>
                </c:pt>
                <c:pt idx="41">
                  <c:v>-4.4000000000000083</c:v>
                </c:pt>
                <c:pt idx="42">
                  <c:v>-4</c:v>
                </c:pt>
                <c:pt idx="43">
                  <c:v>-3.4000000000000057</c:v>
                </c:pt>
                <c:pt idx="44">
                  <c:v>-2.4000000000000057</c:v>
                </c:pt>
                <c:pt idx="45">
                  <c:v>-1.7000000000000028</c:v>
                </c:pt>
                <c:pt idx="46">
                  <c:v>-1.2999999999999829</c:v>
                </c:pt>
                <c:pt idx="47">
                  <c:v>-0.40000000000000568</c:v>
                </c:pt>
                <c:pt idx="48" formatCode="General">
                  <c:v>2.0999999999999943</c:v>
                </c:pt>
                <c:pt idx="49" formatCode="General">
                  <c:v>3.0999999999999943</c:v>
                </c:pt>
                <c:pt idx="50">
                  <c:v>3</c:v>
                </c:pt>
                <c:pt idx="51">
                  <c:v>3.2000000000000042</c:v>
                </c:pt>
                <c:pt idx="52" formatCode="General">
                  <c:v>2.2999999999999972</c:v>
                </c:pt>
                <c:pt idx="53" formatCode="General">
                  <c:v>1.2999999999999829</c:v>
                </c:pt>
                <c:pt idx="54" formatCode="General">
                  <c:v>1.1000000000000001</c:v>
                </c:pt>
                <c:pt idx="55" formatCode="General">
                  <c:v>1.4</c:v>
                </c:pt>
                <c:pt idx="56" formatCode="General">
                  <c:v>1.7</c:v>
                </c:pt>
              </c:numCache>
            </c:numRef>
          </c:val>
          <c:extLst xmlns:c16r2="http://schemas.microsoft.com/office/drawing/2015/06/chart">
            <c:ext xmlns:c16="http://schemas.microsoft.com/office/drawing/2014/chart" uri="{C3380CC4-5D6E-409C-BE32-E72D297353CC}">
              <c16:uniqueId val="{00000000-31B4-4E92-810A-D46DB24D0262}"/>
            </c:ext>
          </c:extLst>
        </c:ser>
        <c:gapWidth val="96"/>
        <c:axId val="167820288"/>
        <c:axId val="177083136"/>
      </c:barChart>
      <c:lineChart>
        <c:grouping val="standard"/>
        <c:ser>
          <c:idx val="1"/>
          <c:order val="1"/>
          <c:tx>
            <c:strRef>
              <c:f>'Ceny 4'!$D$5</c:f>
              <c:strCache>
                <c:ptCount val="1"/>
                <c:pt idx="0">
                  <c:v>Těžba a dobývání</c:v>
                </c:pt>
              </c:strCache>
            </c:strRef>
          </c:tx>
          <c:spPr>
            <a:ln w="19050">
              <a:solidFill>
                <a:srgbClr val="7DBB2D"/>
              </a:solidFill>
            </a:ln>
          </c:spPr>
          <c:marker>
            <c:symbol val="none"/>
          </c:marker>
          <c:cat>
            <c:multiLvlStrRef>
              <c:f>'Ceny 4'!$A$6:$B$62</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'Ceny 4'!$D$6:$D$62</c:f>
              <c:numCache>
                <c:formatCode>0.0</c:formatCode>
                <c:ptCount val="57"/>
                <c:pt idx="0">
                  <c:v>-2.7000000000000042</c:v>
                </c:pt>
                <c:pt idx="1">
                  <c:v>-3.0999999999999943</c:v>
                </c:pt>
                <c:pt idx="2">
                  <c:v>-2.4000000000000057</c:v>
                </c:pt>
                <c:pt idx="3">
                  <c:v>0.5</c:v>
                </c:pt>
                <c:pt idx="4">
                  <c:v>0.5</c:v>
                </c:pt>
                <c:pt idx="5">
                  <c:v>0.20000000000000284</c:v>
                </c:pt>
                <c:pt idx="6">
                  <c:v>-1.2999999999999829</c:v>
                </c:pt>
                <c:pt idx="7">
                  <c:v>-1.2000000000000028</c:v>
                </c:pt>
                <c:pt idx="8">
                  <c:v>-3.5999999999999943</c:v>
                </c:pt>
                <c:pt idx="9">
                  <c:v>-3</c:v>
                </c:pt>
                <c:pt idx="10">
                  <c:v>0.20000000000000284</c:v>
                </c:pt>
                <c:pt idx="11">
                  <c:v>0.30000000000000032</c:v>
                </c:pt>
                <c:pt idx="12">
                  <c:v>-3</c:v>
                </c:pt>
                <c:pt idx="13">
                  <c:v>-3.0999999999999943</c:v>
                </c:pt>
                <c:pt idx="14">
                  <c:v>-4</c:v>
                </c:pt>
                <c:pt idx="15">
                  <c:v>-4.0999999999999943</c:v>
                </c:pt>
                <c:pt idx="16">
                  <c:v>-4.5999999999999943</c:v>
                </c:pt>
                <c:pt idx="17">
                  <c:v>-4.7999999999999972</c:v>
                </c:pt>
                <c:pt idx="18">
                  <c:v>-3</c:v>
                </c:pt>
                <c:pt idx="19">
                  <c:v>-3.5999999999999943</c:v>
                </c:pt>
                <c:pt idx="20">
                  <c:v>-1.9000000000000061</c:v>
                </c:pt>
                <c:pt idx="21">
                  <c:v>-2.0999999999999943</c:v>
                </c:pt>
                <c:pt idx="22">
                  <c:v>-2.2999999999999972</c:v>
                </c:pt>
                <c:pt idx="23">
                  <c:v>-2.7999999999999972</c:v>
                </c:pt>
                <c:pt idx="24">
                  <c:v>-0.90000000000000568</c:v>
                </c:pt>
                <c:pt idx="25">
                  <c:v>-1.5</c:v>
                </c:pt>
                <c:pt idx="26">
                  <c:v>-0.90000000000000568</c:v>
                </c:pt>
                <c:pt idx="27">
                  <c:v>-0.90000000000000568</c:v>
                </c:pt>
                <c:pt idx="28">
                  <c:v>0.30000000000000032</c:v>
                </c:pt>
                <c:pt idx="29">
                  <c:v>0.59999999999999432</c:v>
                </c:pt>
                <c:pt idx="30">
                  <c:v>0.40000000000000568</c:v>
                </c:pt>
                <c:pt idx="31">
                  <c:v>-0.30000000000000032</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-4.9000000000000083</c:v>
                </c:pt>
                <c:pt idx="45">
                  <c:v>-5.2000000000000028</c:v>
                </c:pt>
                <c:pt idx="46">
                  <c:v>-5.2999999999999972</c:v>
                </c:pt>
                <c:pt idx="47">
                  <c:v>-5.0999999999999943</c:v>
                </c:pt>
                <c:pt idx="48" formatCode="General">
                  <c:v>2.2999999999999972</c:v>
                </c:pt>
                <c:pt idx="49" formatCode="General">
                  <c:v>5.7999999999999972</c:v>
                </c:pt>
                <c:pt idx="50">
                  <c:v>6.2000000000000028</c:v>
                </c:pt>
                <c:pt idx="51">
                  <c:v>6.4000000000000083</c:v>
                </c:pt>
                <c:pt idx="52" formatCode="General">
                  <c:v>4.2999999999999972</c:v>
                </c:pt>
                <c:pt idx="53" formatCode="General">
                  <c:v>4.0999999999999943</c:v>
                </c:pt>
                <c:pt idx="54" formatCode="General">
                  <c:v>2.9</c:v>
                </c:pt>
                <c:pt idx="55" formatCode="General">
                  <c:v>1.7</c:v>
                </c:pt>
                <c:pt idx="56" formatCode="General">
                  <c:v>1.9000000000000001</c:v>
                </c:pt>
              </c:numCache>
            </c:numRef>
          </c:val>
          <c:extLst xmlns:c16r2="http://schemas.microsoft.com/office/drawing/2015/06/chart">
            <c:ext xmlns:c16="http://schemas.microsoft.com/office/drawing/2014/chart" uri="{C3380CC4-5D6E-409C-BE32-E72D297353CC}">
              <c16:uniqueId val="{00000001-31B4-4E92-810A-D46DB24D0262}"/>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4'!$A$6:$B$62</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'Ceny 4'!$E$6:$E$62</c:f>
              <c:numCache>
                <c:formatCode>0.0</c:formatCode>
                <c:ptCount val="57"/>
                <c:pt idx="0">
                  <c:v>1</c:v>
                </c:pt>
                <c:pt idx="1">
                  <c:v>0.90000000000000568</c:v>
                </c:pt>
                <c:pt idx="2">
                  <c:v>0.5</c:v>
                </c:pt>
                <c:pt idx="3">
                  <c:v>-0.30000000000000032</c:v>
                </c:pt>
                <c:pt idx="4">
                  <c:v>-0.40000000000000568</c:v>
                </c:pt>
                <c:pt idx="5">
                  <c:v>0</c:v>
                </c:pt>
                <c:pt idx="6">
                  <c:v>0.59999999999999432</c:v>
                </c:pt>
                <c:pt idx="7">
                  <c:v>-0.30000000000000032</c:v>
                </c:pt>
                <c:pt idx="8">
                  <c:v>0</c:v>
                </c:pt>
                <c:pt idx="9">
                  <c:v>-0.7999999999999976</c:v>
                </c:pt>
                <c:pt idx="10">
                  <c:v>-0.20000000000000284</c:v>
                </c:pt>
                <c:pt idx="11">
                  <c:v>1.2999999999999829</c:v>
                </c:pt>
                <c:pt idx="12">
                  <c:v>1.0999999999999821</c:v>
                </c:pt>
                <c:pt idx="13">
                  <c:v>1.2000000000000028</c:v>
                </c:pt>
                <c:pt idx="14">
                  <c:v>1</c:v>
                </c:pt>
                <c:pt idx="15">
                  <c:v>1.5999999999999821</c:v>
                </c:pt>
                <c:pt idx="16">
                  <c:v>1.9000000000000061</c:v>
                </c:pt>
                <c:pt idx="17">
                  <c:v>1.9000000000000061</c:v>
                </c:pt>
                <c:pt idx="18">
                  <c:v>1.7999999999999829</c:v>
                </c:pt>
                <c:pt idx="19">
                  <c:v>2.0999999999999943</c:v>
                </c:pt>
                <c:pt idx="20">
                  <c:v>1.5</c:v>
                </c:pt>
                <c:pt idx="21">
                  <c:v>1.5</c:v>
                </c:pt>
                <c:pt idx="22">
                  <c:v>-9.9999999999995245E-2</c:v>
                </c:pt>
                <c:pt idx="23">
                  <c:v>-2.7999999999999972</c:v>
                </c:pt>
                <c:pt idx="24">
                  <c:v>-4.2999999999999972</c:v>
                </c:pt>
                <c:pt idx="25">
                  <c:v>-4.4000000000000083</c:v>
                </c:pt>
                <c:pt idx="26">
                  <c:v>-3.5</c:v>
                </c:pt>
                <c:pt idx="27">
                  <c:v>-3.0999999999999943</c:v>
                </c:pt>
                <c:pt idx="28">
                  <c:v>-2.7000000000000042</c:v>
                </c:pt>
                <c:pt idx="29">
                  <c:v>-2.7999999999999972</c:v>
                </c:pt>
                <c:pt idx="30">
                  <c:v>-3.5999999999999943</c:v>
                </c:pt>
                <c:pt idx="31">
                  <c:v>-4.7000000000000028</c:v>
                </c:pt>
                <c:pt idx="32">
                  <c:v>-5.2000000000000028</c:v>
                </c:pt>
                <c:pt idx="33">
                  <c:v>-4.9000000000000083</c:v>
                </c:pt>
                <c:pt idx="34">
                  <c:v>-4.5999999999999943</c:v>
                </c:pt>
                <c:pt idx="35">
                  <c:v>-3.5</c:v>
                </c:pt>
                <c:pt idx="36">
                  <c:v>-3.2999999999999972</c:v>
                </c:pt>
                <c:pt idx="37">
                  <c:v>-4.0999999999999943</c:v>
                </c:pt>
                <c:pt idx="38">
                  <c:v>-4.5999999999999943</c:v>
                </c:pt>
                <c:pt idx="39">
                  <c:v>-4.9000000000000083</c:v>
                </c:pt>
                <c:pt idx="40">
                  <c:v>-5</c:v>
                </c:pt>
                <c:pt idx="41">
                  <c:v>-4.5</c:v>
                </c:pt>
                <c:pt idx="42">
                  <c:v>-4</c:v>
                </c:pt>
                <c:pt idx="43">
                  <c:v>-3.2000000000000042</c:v>
                </c:pt>
                <c:pt idx="44">
                  <c:v>-2</c:v>
                </c:pt>
                <c:pt idx="45">
                  <c:v>-1.0999999999999821</c:v>
                </c:pt>
                <c:pt idx="46">
                  <c:v>-0.59999999999999432</c:v>
                </c:pt>
                <c:pt idx="47">
                  <c:v>0.59999999999999432</c:v>
                </c:pt>
                <c:pt idx="48" formatCode="General">
                  <c:v>2.5999999999999943</c:v>
                </c:pt>
                <c:pt idx="49" formatCode="General">
                  <c:v>4</c:v>
                </c:pt>
                <c:pt idx="50">
                  <c:v>3.7999999999999972</c:v>
                </c:pt>
                <c:pt idx="51">
                  <c:v>4</c:v>
                </c:pt>
                <c:pt idx="52" formatCode="General">
                  <c:v>2.7999999999999972</c:v>
                </c:pt>
                <c:pt idx="53" formatCode="General">
                  <c:v>1.5</c:v>
                </c:pt>
                <c:pt idx="54" formatCode="General">
                  <c:v>1.4</c:v>
                </c:pt>
                <c:pt idx="55" formatCode="General">
                  <c:v>2</c:v>
                </c:pt>
                <c:pt idx="56" formatCode="General">
                  <c:v>2.1</c:v>
                </c:pt>
              </c:numCache>
            </c:numRef>
          </c:val>
          <c:extLst xmlns:c16r2="http://schemas.microsoft.com/office/drawing/2015/06/chart">
            <c:ext xmlns:c16="http://schemas.microsoft.com/office/drawing/2014/chart" uri="{C3380CC4-5D6E-409C-BE32-E72D297353CC}">
              <c16:uniqueId val="{00000002-31B4-4E92-810A-D46DB24D0262}"/>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4'!$A$6:$B$62</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'Ceny 4'!$F$6:$F$62</c:f>
              <c:numCache>
                <c:formatCode>0.0</c:formatCode>
                <c:ptCount val="57"/>
                <c:pt idx="0">
                  <c:v>3.7000000000000042</c:v>
                </c:pt>
                <c:pt idx="1">
                  <c:v>3.7000000000000042</c:v>
                </c:pt>
                <c:pt idx="2">
                  <c:v>3.7000000000000042</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-8.8000000000000025</c:v>
                </c:pt>
                <c:pt idx="13">
                  <c:v>-8.8000000000000025</c:v>
                </c:pt>
                <c:pt idx="14">
                  <c:v>-8.8000000000000025</c:v>
                </c:pt>
                <c:pt idx="15">
                  <c:v>-8.6000000000000014</c:v>
                </c:pt>
                <c:pt idx="16">
                  <c:v>-8.6000000000000014</c:v>
                </c:pt>
                <c:pt idx="17">
                  <c:v>-8.7000000000000011</c:v>
                </c:pt>
                <c:pt idx="18">
                  <c:v>-8.7000000000000011</c:v>
                </c:pt>
                <c:pt idx="19">
                  <c:v>-8.6000000000000014</c:v>
                </c:pt>
                <c:pt idx="20">
                  <c:v>-8.6000000000000014</c:v>
                </c:pt>
                <c:pt idx="21">
                  <c:v>-8.9000000000000057</c:v>
                </c:pt>
                <c:pt idx="22">
                  <c:v>-8.9000000000000057</c:v>
                </c:pt>
                <c:pt idx="23">
                  <c:v>-8.6000000000000014</c:v>
                </c:pt>
                <c:pt idx="24">
                  <c:v>-0.7999999999999976</c:v>
                </c:pt>
                <c:pt idx="25">
                  <c:v>-0.7999999999999976</c:v>
                </c:pt>
                <c:pt idx="26">
                  <c:v>-0.7999999999999976</c:v>
                </c:pt>
                <c:pt idx="27">
                  <c:v>-0.70000000000000284</c:v>
                </c:pt>
                <c:pt idx="28">
                  <c:v>-0.70000000000000284</c:v>
                </c:pt>
                <c:pt idx="29">
                  <c:v>-0.70000000000000284</c:v>
                </c:pt>
                <c:pt idx="30">
                  <c:v>-0.70000000000000284</c:v>
                </c:pt>
                <c:pt idx="31">
                  <c:v>-0.7999999999999976</c:v>
                </c:pt>
                <c:pt idx="32">
                  <c:v>-0.7999999999999976</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-1.0999999999999821</c:v>
                </c:pt>
                <c:pt idx="49" formatCode="General">
                  <c:v>-1.2000000000000028</c:v>
                </c:pt>
                <c:pt idx="50">
                  <c:v>-1.2000000000000028</c:v>
                </c:pt>
                <c:pt idx="51">
                  <c:v>-1.4000000000000057</c:v>
                </c:pt>
                <c:pt idx="52" formatCode="General">
                  <c:v>-1.2999999999999829</c:v>
                </c:pt>
                <c:pt idx="53" formatCode="General">
                  <c:v>-1.0999999999999821</c:v>
                </c:pt>
                <c:pt idx="54" formatCode="General">
                  <c:v>-1.1000000000000001</c:v>
                </c:pt>
                <c:pt idx="55" formatCode="General">
                  <c:v>-1.3</c:v>
                </c:pt>
                <c:pt idx="56" formatCode="General">
                  <c:v>-1.1000000000000001</c:v>
                </c:pt>
              </c:numCache>
            </c:numRef>
          </c:val>
          <c:extLst xmlns:c16r2="http://schemas.microsoft.com/office/drawing/2015/06/chart">
            <c:ext xmlns:c16="http://schemas.microsoft.com/office/drawing/2014/chart" uri="{C3380CC4-5D6E-409C-BE32-E72D297353CC}">
              <c16:uniqueId val="{00000003-31B4-4E92-810A-D46DB24D0262}"/>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4'!$A$6:$B$62</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'Ceny 4'!$G$6:$G$62</c:f>
              <c:numCache>
                <c:formatCode>General</c:formatCode>
                <c:ptCount val="57"/>
                <c:pt idx="0">
                  <c:v>5.9000000000000083</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1.5999999999999821</c:v>
                </c:pt>
                <c:pt idx="40">
                  <c:v>1.5999999999999821</c:v>
                </c:pt>
                <c:pt idx="41">
                  <c:v>1.5999999999999821</c:v>
                </c:pt>
                <c:pt idx="42">
                  <c:v>1.5999999999999821</c:v>
                </c:pt>
                <c:pt idx="43">
                  <c:v>1.5999999999999821</c:v>
                </c:pt>
                <c:pt idx="44">
                  <c:v>1.5999999999999821</c:v>
                </c:pt>
                <c:pt idx="45">
                  <c:v>1.5999999999999821</c:v>
                </c:pt>
                <c:pt idx="46">
                  <c:v>1.5999999999999821</c:v>
                </c:pt>
                <c:pt idx="47">
                  <c:v>1.5999999999999821</c:v>
                </c:pt>
                <c:pt idx="48">
                  <c:v>2.0999999999999943</c:v>
                </c:pt>
                <c:pt idx="49">
                  <c:v>2.0999999999999943</c:v>
                </c:pt>
                <c:pt idx="50" formatCode="0.0">
                  <c:v>2.0999999999999943</c:v>
                </c:pt>
                <c:pt idx="51" formatCode="0.0">
                  <c:v>1</c:v>
                </c:pt>
                <c:pt idx="52">
                  <c:v>1</c:v>
                </c:pt>
                <c:pt idx="53">
                  <c:v>1</c:v>
                </c:pt>
                <c:pt idx="54">
                  <c:v>1</c:v>
                </c:pt>
                <c:pt idx="55">
                  <c:v>1</c:v>
                </c:pt>
                <c:pt idx="56">
                  <c:v>1</c:v>
                </c:pt>
              </c:numCache>
            </c:numRef>
          </c:val>
          <c:extLst xmlns:c16r2="http://schemas.microsoft.com/office/drawing/2015/06/chart">
            <c:ext xmlns:c16="http://schemas.microsoft.com/office/drawing/2014/chart" uri="{C3380CC4-5D6E-409C-BE32-E72D297353CC}">
              <c16:uniqueId val="{00000004-31B4-4E92-810A-D46DB24D0262}"/>
            </c:ext>
          </c:extLst>
        </c:ser>
        <c:marker val="1"/>
        <c:axId val="167820288"/>
        <c:axId val="177083136"/>
      </c:lineChart>
      <c:catAx>
        <c:axId val="167820288"/>
        <c:scaling>
          <c:orientation val="minMax"/>
        </c:scaling>
        <c:axPos val="b"/>
        <c:numFmt formatCode="General" sourceLinked="0"/>
        <c:tickLblPos val="low"/>
        <c:spPr>
          <a:ln>
            <a:solidFill>
              <a:schemeClr val="tx1"/>
            </a:solidFill>
          </a:ln>
        </c:spPr>
        <c:crossAx val="177083136"/>
        <c:crosses val="autoZero"/>
        <c:auto val="1"/>
        <c:lblAlgn val="ctr"/>
        <c:lblOffset val="100"/>
      </c:catAx>
      <c:valAx>
        <c:axId val="17708313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67820288"/>
        <c:crosses val="autoZero"/>
        <c:crossBetween val="between"/>
      </c:valAx>
      <c:spPr>
        <a:ln>
          <a:solidFill>
            <a:schemeClr val="tx1"/>
          </a:solidFill>
        </a:ln>
      </c:spPr>
    </c:plotArea>
    <c:legend>
      <c:legendPos val="b"/>
      <c:layout>
        <c:manualLayout>
          <c:xMode val="edge"/>
          <c:yMode val="edge"/>
          <c:x val="5.0596282132642556E-2"/>
          <c:y val="0.86223931272106069"/>
          <c:w val="0.89560705842620769"/>
          <c:h val="0.1210940242576520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574E-2"/>
          <c:y val="2.8593943487560915E-2"/>
          <c:w val="0.92629263762242564"/>
          <c:h val="0.75790048407069865"/>
        </c:manualLayout>
      </c:layout>
      <c:barChart>
        <c:barDir val="col"/>
        <c:grouping val="clustered"/>
        <c:ser>
          <c:idx val="3"/>
          <c:order val="3"/>
          <c:tx>
            <c:strRef>
              <c:f>'Ceny 3'!$H$5</c:f>
              <c:strCache>
                <c:ptCount val="1"/>
                <c:pt idx="0">
                  <c:v>Směnné relace</c:v>
                </c:pt>
              </c:strCache>
            </c:strRef>
          </c:tx>
          <c:spPr>
            <a:solidFill>
              <a:schemeClr val="bg1">
                <a:lumMod val="65000"/>
              </a:schemeClr>
            </a:solidFill>
          </c:spPr>
          <c:val>
            <c:numRef>
              <c:f>'Ceny 3'!$H$10:$H$28</c:f>
              <c:numCache>
                <c:formatCode>0.0</c:formatCode>
                <c:ptCount val="19"/>
                <c:pt idx="0">
                  <c:v>0.72086874091794606</c:v>
                </c:pt>
                <c:pt idx="1">
                  <c:v>0.6649211525087616</c:v>
                </c:pt>
                <c:pt idx="2">
                  <c:v>1.3267678006503587</c:v>
                </c:pt>
                <c:pt idx="3">
                  <c:v>1.2283581212725867</c:v>
                </c:pt>
                <c:pt idx="4">
                  <c:v>1.7793365680396958</c:v>
                </c:pt>
                <c:pt idx="5">
                  <c:v>2.1121774956172437</c:v>
                </c:pt>
                <c:pt idx="6">
                  <c:v>1.603970757155939</c:v>
                </c:pt>
                <c:pt idx="7">
                  <c:v>0.65769164867340335</c:v>
                </c:pt>
                <c:pt idx="8">
                  <c:v>0.66875144912618434</c:v>
                </c:pt>
                <c:pt idx="9">
                  <c:v>-5.2195141937815513E-2</c:v>
                </c:pt>
                <c:pt idx="10">
                  <c:v>0.25811822159073472</c:v>
                </c:pt>
                <c:pt idx="11">
                  <c:v>0.70048196058132817</c:v>
                </c:pt>
                <c:pt idx="12">
                  <c:v>1.5034457920506334</c:v>
                </c:pt>
                <c:pt idx="13">
                  <c:v>1.5316445359934219</c:v>
                </c:pt>
                <c:pt idx="14">
                  <c:v>1.1309975684205757</c:v>
                </c:pt>
                <c:pt idx="15">
                  <c:v>6.2910265216473304E-2</c:v>
                </c:pt>
                <c:pt idx="16">
                  <c:v>-1.8861545259869636</c:v>
                </c:pt>
                <c:pt idx="17">
                  <c:v>-1.7062621016139161</c:v>
                </c:pt>
                <c:pt idx="18">
                  <c:v>-0.70124280272598583</c:v>
                </c:pt>
              </c:numCache>
            </c:numRef>
          </c:val>
          <c:extLst xmlns:c16r2="http://schemas.microsoft.com/office/drawing/2015/06/chart">
            <c:ext xmlns:c16="http://schemas.microsoft.com/office/drawing/2014/chart" uri="{C3380CC4-5D6E-409C-BE32-E72D297353CC}">
              <c16:uniqueId val="{00000000-9DCE-4F9B-9CBB-EB8ECBA657FD}"/>
            </c:ext>
          </c:extLst>
        </c:ser>
        <c:gapWidth val="95"/>
        <c:axId val="177127808"/>
        <c:axId val="177129344"/>
      </c:barChart>
      <c:lineChart>
        <c:grouping val="standard"/>
        <c:ser>
          <c:idx val="1"/>
          <c:order val="0"/>
          <c:tx>
            <c:strRef>
              <c:f>'Ceny 3'!$E$5</c:f>
              <c:strCache>
                <c:ptCount val="1"/>
                <c:pt idx="0">
                  <c:v>HDP</c:v>
                </c:pt>
              </c:strCache>
            </c:strRef>
          </c:tx>
          <c:spPr>
            <a:ln w="19050">
              <a:solidFill>
                <a:sysClr val="windowText" lastClr="000000"/>
              </a:solidFill>
            </a:ln>
          </c:spPr>
          <c:marker>
            <c:symbol val="none"/>
          </c:marker>
          <c:cat>
            <c:multiLvlStrRef>
              <c:f>'Ceny 3'!$A$10:$B$28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3'!$E$10:$E$28</c:f>
              <c:numCache>
                <c:formatCode>#,##0.0</c:formatCode>
                <c:ptCount val="19"/>
                <c:pt idx="0">
                  <c:v>1.2999708970934756</c:v>
                </c:pt>
                <c:pt idx="1">
                  <c:v>1.1220533709486007</c:v>
                </c:pt>
                <c:pt idx="2">
                  <c:v>1.3013982471865477</c:v>
                </c:pt>
                <c:pt idx="3">
                  <c:v>1.9705982643273221</c:v>
                </c:pt>
                <c:pt idx="4">
                  <c:v>2.3138763904869237</c:v>
                </c:pt>
                <c:pt idx="5">
                  <c:v>2.7748292282439451</c:v>
                </c:pt>
                <c:pt idx="6">
                  <c:v>2.7588595129771818</c:v>
                </c:pt>
                <c:pt idx="7">
                  <c:v>2.0601986396608538</c:v>
                </c:pt>
                <c:pt idx="8">
                  <c:v>1.5369337674784158</c:v>
                </c:pt>
                <c:pt idx="9">
                  <c:v>1.344899624212232</c:v>
                </c:pt>
                <c:pt idx="10">
                  <c:v>1.0394166136579266</c:v>
                </c:pt>
                <c:pt idx="11">
                  <c:v>0.76946574896925257</c:v>
                </c:pt>
                <c:pt idx="12">
                  <c:v>1.4770885012742809</c:v>
                </c:pt>
                <c:pt idx="13">
                  <c:v>1.0859617317946475</c:v>
                </c:pt>
                <c:pt idx="14">
                  <c:v>1.2927847129702457</c:v>
                </c:pt>
                <c:pt idx="15">
                  <c:v>1.1135418002644359</c:v>
                </c:pt>
                <c:pt idx="16" formatCode="General">
                  <c:v>0.5369720663525186</c:v>
                </c:pt>
                <c:pt idx="17" formatCode="General">
                  <c:v>0.9901283064111368</c:v>
                </c:pt>
                <c:pt idx="18" formatCode="General">
                  <c:v>1.5764759973499594</c:v>
                </c:pt>
              </c:numCache>
            </c:numRef>
          </c:val>
          <c:extLst xmlns:c16r2="http://schemas.microsoft.com/office/drawing/2015/06/chart">
            <c:ext xmlns:c16="http://schemas.microsoft.com/office/drawing/2014/chart" uri="{C3380CC4-5D6E-409C-BE32-E72D297353CC}">
              <c16:uniqueId val="{00000001-9DCE-4F9B-9CBB-EB8ECBA657FD}"/>
            </c:ext>
          </c:extLst>
        </c:ser>
        <c:ser>
          <c:idx val="0"/>
          <c:order val="1"/>
          <c:tx>
            <c:strRef>
              <c:f>'Ceny 3'!$C$5</c:f>
              <c:strCache>
                <c:ptCount val="1"/>
                <c:pt idx="0">
                  <c:v>Výdaje na konečnou spotřebu</c:v>
                </c:pt>
              </c:strCache>
            </c:strRef>
          </c:tx>
          <c:spPr>
            <a:ln w="19050">
              <a:solidFill>
                <a:srgbClr val="0071BC"/>
              </a:solidFill>
            </a:ln>
          </c:spPr>
          <c:marker>
            <c:symbol val="none"/>
          </c:marker>
          <c:cat>
            <c:multiLvlStrRef>
              <c:f>'Ceny 3'!$A$10:$B$28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3'!$C$10:$C$28</c:f>
              <c:numCache>
                <c:formatCode>0.0</c:formatCode>
                <c:ptCount val="19"/>
                <c:pt idx="0">
                  <c:v>0.70393081077897468</c:v>
                </c:pt>
                <c:pt idx="1">
                  <c:v>0.6460903683416036</c:v>
                </c:pt>
                <c:pt idx="2">
                  <c:v>0.5078022322107647</c:v>
                </c:pt>
                <c:pt idx="3">
                  <c:v>0.76412283599242414</c:v>
                </c:pt>
                <c:pt idx="4">
                  <c:v>0.58981800757618463</c:v>
                </c:pt>
                <c:pt idx="5">
                  <c:v>0.73002869006748916</c:v>
                </c:pt>
                <c:pt idx="6">
                  <c:v>0.9627234351177667</c:v>
                </c:pt>
                <c:pt idx="7">
                  <c:v>1.371359354161328</c:v>
                </c:pt>
                <c:pt idx="8">
                  <c:v>0.68976772600146319</c:v>
                </c:pt>
                <c:pt idx="9">
                  <c:v>0.98805285803847265</c:v>
                </c:pt>
                <c:pt idx="10">
                  <c:v>0.80963604805681655</c:v>
                </c:pt>
                <c:pt idx="11">
                  <c:v>0.11766427409598708</c:v>
                </c:pt>
                <c:pt idx="12">
                  <c:v>0.59228639059519139</c:v>
                </c:pt>
                <c:pt idx="13">
                  <c:v>0.57477319622762479</c:v>
                </c:pt>
                <c:pt idx="14">
                  <c:v>0.95921467327970689</c:v>
                </c:pt>
                <c:pt idx="15">
                  <c:v>1.4791806391940838</c:v>
                </c:pt>
                <c:pt idx="16" formatCode="General">
                  <c:v>2.4149399914331977</c:v>
                </c:pt>
                <c:pt idx="17" formatCode="General">
                  <c:v>2.6994129495614345</c:v>
                </c:pt>
                <c:pt idx="18" formatCode="General">
                  <c:v>2.8185407826292135</c:v>
                </c:pt>
              </c:numCache>
            </c:numRef>
          </c:val>
          <c:extLst xmlns:c16r2="http://schemas.microsoft.com/office/drawing/2015/06/chart">
            <c:ext xmlns:c16="http://schemas.microsoft.com/office/drawing/2014/chart" uri="{C3380CC4-5D6E-409C-BE32-E72D297353CC}">
              <c16:uniqueId val="{00000002-9DCE-4F9B-9CBB-EB8ECBA657FD}"/>
            </c:ext>
          </c:extLst>
        </c:ser>
        <c:ser>
          <c:idx val="2"/>
          <c:order val="2"/>
          <c:tx>
            <c:strRef>
              <c:f>'Ceny 3'!$D$5</c:f>
              <c:strCache>
                <c:ptCount val="1"/>
                <c:pt idx="0">
                  <c:v>Tvorba hrubého kapitálu</c:v>
                </c:pt>
              </c:strCache>
            </c:strRef>
          </c:tx>
          <c:spPr>
            <a:ln w="19050">
              <a:solidFill>
                <a:srgbClr val="BD1B21"/>
              </a:solidFill>
            </a:ln>
          </c:spPr>
          <c:marker>
            <c:symbol val="none"/>
          </c:marker>
          <c:cat>
            <c:multiLvlStrRef>
              <c:f>'Ceny 3'!$A$10:$B$28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'Ceny 3'!$D$10:$D$28</c:f>
              <c:numCache>
                <c:formatCode>0.0</c:formatCode>
                <c:ptCount val="19"/>
                <c:pt idx="0">
                  <c:v>0.93237675467136649</c:v>
                </c:pt>
                <c:pt idx="1">
                  <c:v>0.55587160422214765</c:v>
                </c:pt>
                <c:pt idx="2">
                  <c:v>-0.14502990088750844</c:v>
                </c:pt>
                <c:pt idx="3">
                  <c:v>1.3523234836422091</c:v>
                </c:pt>
                <c:pt idx="4">
                  <c:v>1.1262607990310585</c:v>
                </c:pt>
                <c:pt idx="5">
                  <c:v>1.6967817745947618</c:v>
                </c:pt>
                <c:pt idx="6">
                  <c:v>2.2944262174508632</c:v>
                </c:pt>
                <c:pt idx="7">
                  <c:v>1.7668000014469527</c:v>
                </c:pt>
                <c:pt idx="8">
                  <c:v>2.1227689478053282</c:v>
                </c:pt>
                <c:pt idx="9">
                  <c:v>2.5283893947638467</c:v>
                </c:pt>
                <c:pt idx="10">
                  <c:v>1.5895921078529938</c:v>
                </c:pt>
                <c:pt idx="11">
                  <c:v>1.323034507587969</c:v>
                </c:pt>
                <c:pt idx="12">
                  <c:v>0.68131620837630158</c:v>
                </c:pt>
                <c:pt idx="13">
                  <c:v>-0.4703066090746732</c:v>
                </c:pt>
                <c:pt idx="14">
                  <c:v>-3.1665506301493451E-2</c:v>
                </c:pt>
                <c:pt idx="15">
                  <c:v>0.48648204884011648</c:v>
                </c:pt>
                <c:pt idx="16" formatCode="General">
                  <c:v>0.99282874925741249</c:v>
                </c:pt>
                <c:pt idx="17" formatCode="General">
                  <c:v>1.808940323175662</c:v>
                </c:pt>
                <c:pt idx="18" formatCode="General">
                  <c:v>1.3883053651447181</c:v>
                </c:pt>
              </c:numCache>
            </c:numRef>
          </c:val>
          <c:extLst xmlns:c16r2="http://schemas.microsoft.com/office/drawing/2015/06/chart">
            <c:ext xmlns:c16="http://schemas.microsoft.com/office/drawing/2014/chart" uri="{C3380CC4-5D6E-409C-BE32-E72D297353CC}">
              <c16:uniqueId val="{00000003-9DCE-4F9B-9CBB-EB8ECBA657FD}"/>
            </c:ext>
          </c:extLst>
        </c:ser>
        <c:marker val="1"/>
        <c:axId val="177127808"/>
        <c:axId val="177129344"/>
      </c:lineChart>
      <c:catAx>
        <c:axId val="177127808"/>
        <c:scaling>
          <c:orientation val="minMax"/>
        </c:scaling>
        <c:axPos val="b"/>
        <c:tickLblPos val="low"/>
        <c:spPr>
          <a:ln>
            <a:solidFill>
              <a:schemeClr val="tx1"/>
            </a:solidFill>
          </a:ln>
        </c:spPr>
        <c:txPr>
          <a:bodyPr rot="0" vert="horz"/>
          <a:lstStyle/>
          <a:p>
            <a:pPr>
              <a:defRPr/>
            </a:pPr>
            <a:endParaRPr lang="cs-CZ"/>
          </a:p>
        </c:txPr>
        <c:crossAx val="177129344"/>
        <c:crossesAt val="0"/>
        <c:auto val="1"/>
        <c:lblAlgn val="ctr"/>
        <c:lblOffset val="100"/>
      </c:catAx>
      <c:valAx>
        <c:axId val="17712934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77127808"/>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914E-2"/>
          <c:y val="1.654988662131537E-2"/>
          <c:w val="0.92698007507126057"/>
          <c:h val="0.73872874149660062"/>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1'!$C$8:$C$38</c:f>
              <c:numCache>
                <c:formatCode>#,##0.0</c:formatCode>
                <c:ptCount val="31"/>
                <c:pt idx="0" formatCode="0.0">
                  <c:v>-2.7493629357650775</c:v>
                </c:pt>
                <c:pt idx="1">
                  <c:v>-1.231355670101081</c:v>
                </c:pt>
                <c:pt idx="2">
                  <c:v>-0.18766026442571621</c:v>
                </c:pt>
                <c:pt idx="3">
                  <c:v>6.7316120287756923E-2</c:v>
                </c:pt>
                <c:pt idx="4" formatCode="0.0">
                  <c:v>0.10338579028356776</c:v>
                </c:pt>
                <c:pt idx="5">
                  <c:v>2.018958815014571E-3</c:v>
                </c:pt>
                <c:pt idx="6">
                  <c:v>-0.44357673893365995</c:v>
                </c:pt>
                <c:pt idx="7">
                  <c:v>-0.74967660526091662</c:v>
                </c:pt>
                <c:pt idx="8" formatCode="0.0">
                  <c:v>-6.4487376943205915E-2</c:v>
                </c:pt>
                <c:pt idx="9">
                  <c:v>0.15991018585724556</c:v>
                </c:pt>
                <c:pt idx="10">
                  <c:v>0.67126249823633088</c:v>
                </c:pt>
                <c:pt idx="11">
                  <c:v>0.91419179797142669</c:v>
                </c:pt>
                <c:pt idx="12" formatCode="0.0">
                  <c:v>0.44342336418017708</c:v>
                </c:pt>
                <c:pt idx="13">
                  <c:v>0.67770819458963205</c:v>
                </c:pt>
                <c:pt idx="14">
                  <c:v>0.12895197144355464</c:v>
                </c:pt>
                <c:pt idx="15">
                  <c:v>4.0322580645167402E-2</c:v>
                </c:pt>
                <c:pt idx="16" formatCode="0.0">
                  <c:v>0.57697146908899222</c:v>
                </c:pt>
                <c:pt idx="17">
                  <c:v>8.0399106188068226E-2</c:v>
                </c:pt>
                <c:pt idx="18">
                  <c:v>0.61322218939174511</c:v>
                </c:pt>
                <c:pt idx="19">
                  <c:v>0.93792373035558418</c:v>
                </c:pt>
                <c:pt idx="20" formatCode="0.0">
                  <c:v>1.2656993874037612</c:v>
                </c:pt>
                <c:pt idx="21">
                  <c:v>1.7613382287180182</c:v>
                </c:pt>
                <c:pt idx="22">
                  <c:v>1.3482013235820041</c:v>
                </c:pt>
                <c:pt idx="23">
                  <c:v>1.3363413079349578</c:v>
                </c:pt>
                <c:pt idx="24" formatCode="0.0">
                  <c:v>1.25558572910262</c:v>
                </c:pt>
                <c:pt idx="25">
                  <c:v>1.1507983544329499</c:v>
                </c:pt>
                <c:pt idx="26">
                  <c:v>1.2387481612437452</c:v>
                </c:pt>
                <c:pt idx="27">
                  <c:v>1.4978787727267502</c:v>
                </c:pt>
                <c:pt idx="28" formatCode="0.0">
                  <c:v>1.4614799115755517</c:v>
                </c:pt>
                <c:pt idx="29">
                  <c:v>1.2931305511953326</c:v>
                </c:pt>
                <c:pt idx="30">
                  <c:v>2.0275621702766813</c:v>
                </c:pt>
              </c:numCache>
            </c:numRef>
          </c:val>
          <c:extLst xmlns:c16r2="http://schemas.microsoft.com/office/drawing/2015/06/chart">
            <c:ext xmlns:c16="http://schemas.microsoft.com/office/drawing/2014/chart" uri="{C3380CC4-5D6E-409C-BE32-E72D297353CC}">
              <c16:uniqueId val="{00000000-07E5-41C8-84E6-3BC5EA3F3FD3}"/>
            </c:ext>
          </c:extLst>
        </c:ser>
        <c:ser>
          <c:idx val="1"/>
          <c:order val="1"/>
          <c:tx>
            <c:strRef>
              <c:f>'Trh práce 1'!$D$7</c:f>
              <c:strCache>
                <c:ptCount val="1"/>
                <c:pt idx="0">
                  <c:v>z toho zaměstnanci</c:v>
                </c:pt>
              </c:strCache>
            </c:strRef>
          </c:tx>
          <c:spPr>
            <a:solidFill>
              <a:srgbClr val="B4B4B4"/>
            </a:solidFill>
          </c:spP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1'!$D$8:$D$38</c:f>
              <c:numCache>
                <c:formatCode>#,##0.0</c:formatCode>
                <c:ptCount val="31"/>
                <c:pt idx="0" formatCode="0.0">
                  <c:v>-3.7183457539311604</c:v>
                </c:pt>
                <c:pt idx="1">
                  <c:v>-2.2037535918506852</c:v>
                </c:pt>
                <c:pt idx="2">
                  <c:v>-0.95031718324349868</c:v>
                </c:pt>
                <c:pt idx="3">
                  <c:v>-0.89602372013739251</c:v>
                </c:pt>
                <c:pt idx="4" formatCode="0.0">
                  <c:v>-0.12541420529301206</c:v>
                </c:pt>
                <c:pt idx="5">
                  <c:v>-0.18074186061507191</c:v>
                </c:pt>
                <c:pt idx="6">
                  <c:v>-0.68532067485385662</c:v>
                </c:pt>
                <c:pt idx="7">
                  <c:v>-1.0055124180924433</c:v>
                </c:pt>
                <c:pt idx="8" formatCode="0.0">
                  <c:v>-0.30649126299194296</c:v>
                </c:pt>
                <c:pt idx="9">
                  <c:v>8.2306292576589765E-2</c:v>
                </c:pt>
                <c:pt idx="10">
                  <c:v>1.1363397269730284</c:v>
                </c:pt>
                <c:pt idx="11">
                  <c:v>1.4752985788288413</c:v>
                </c:pt>
                <c:pt idx="12" formatCode="0.0">
                  <c:v>1.3546733566221858</c:v>
                </c:pt>
                <c:pt idx="13">
                  <c:v>1.6154432368700355</c:v>
                </c:pt>
                <c:pt idx="14">
                  <c:v>0.36949059992726491</c:v>
                </c:pt>
                <c:pt idx="15">
                  <c:v>0.47903550287971086</c:v>
                </c:pt>
                <c:pt idx="16" formatCode="0.0">
                  <c:v>0.66378516215239836</c:v>
                </c:pt>
                <c:pt idx="17">
                  <c:v>0.18975134112584324</c:v>
                </c:pt>
                <c:pt idx="18">
                  <c:v>1.2672516726795198</c:v>
                </c:pt>
                <c:pt idx="19">
                  <c:v>1.4210854345550401</c:v>
                </c:pt>
                <c:pt idx="20" formatCode="0.0">
                  <c:v>1.7902796675032429</c:v>
                </c:pt>
                <c:pt idx="21">
                  <c:v>2.2018522696376976</c:v>
                </c:pt>
                <c:pt idx="22">
                  <c:v>1.7829147341944758</c:v>
                </c:pt>
                <c:pt idx="23">
                  <c:v>2.023636901433207</c:v>
                </c:pt>
                <c:pt idx="24" formatCode="0.0">
                  <c:v>1.7634904453369258</c:v>
                </c:pt>
                <c:pt idx="25">
                  <c:v>1.2273587505034556</c:v>
                </c:pt>
                <c:pt idx="26">
                  <c:v>1.1016541871874268</c:v>
                </c:pt>
                <c:pt idx="27">
                  <c:v>0.89889101162970775</c:v>
                </c:pt>
                <c:pt idx="28" formatCode="0.0">
                  <c:v>0.87734573109716563</c:v>
                </c:pt>
                <c:pt idx="29">
                  <c:v>1.2188739489708951</c:v>
                </c:pt>
                <c:pt idx="30">
                  <c:v>2.0480467782725413</c:v>
                </c:pt>
              </c:numCache>
            </c:numRef>
          </c:val>
          <c:extLst xmlns:c16r2="http://schemas.microsoft.com/office/drawing/2015/06/chart">
            <c:ext xmlns:c16="http://schemas.microsoft.com/office/drawing/2014/chart" uri="{C3380CC4-5D6E-409C-BE32-E72D297353CC}">
              <c16:uniqueId val="{00000001-07E5-41C8-84E6-3BC5EA3F3FD3}"/>
            </c:ext>
          </c:extLst>
        </c:ser>
        <c:gapWidth val="68"/>
        <c:axId val="178250496"/>
        <c:axId val="178252416"/>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1'!$E$8:$E$38</c:f>
              <c:numCache>
                <c:formatCode>#,##0.0</c:formatCode>
                <c:ptCount val="31"/>
                <c:pt idx="0" formatCode="0.0">
                  <c:v>-7.1328240218293359</c:v>
                </c:pt>
                <c:pt idx="1">
                  <c:v>-3.3483416585653938</c:v>
                </c:pt>
                <c:pt idx="2">
                  <c:v>-1.2053324012494846</c:v>
                </c:pt>
                <c:pt idx="3">
                  <c:v>-0.57131663484785711</c:v>
                </c:pt>
                <c:pt idx="4" formatCode="0.0">
                  <c:v>3.9594013882738377</c:v>
                </c:pt>
                <c:pt idx="5">
                  <c:v>4.29177691707892</c:v>
                </c:pt>
                <c:pt idx="6">
                  <c:v>3.8641041434753802</c:v>
                </c:pt>
                <c:pt idx="7">
                  <c:v>2.3282676220815119</c:v>
                </c:pt>
                <c:pt idx="8" formatCode="0.0">
                  <c:v>0.60345793922903113</c:v>
                </c:pt>
                <c:pt idx="9">
                  <c:v>0.50872672006472897</c:v>
                </c:pt>
                <c:pt idx="10">
                  <c:v>1.2032645570921514</c:v>
                </c:pt>
                <c:pt idx="11">
                  <c:v>1.6438966600367309</c:v>
                </c:pt>
                <c:pt idx="12" formatCode="0.0">
                  <c:v>-0.17866048437355175</c:v>
                </c:pt>
                <c:pt idx="13">
                  <c:v>0.16028267064615417</c:v>
                </c:pt>
                <c:pt idx="14">
                  <c:v>-0.40170171733359439</c:v>
                </c:pt>
                <c:pt idx="15">
                  <c:v>-0.21424103300076258</c:v>
                </c:pt>
                <c:pt idx="16" formatCode="0.0">
                  <c:v>0.79613495033972015</c:v>
                </c:pt>
                <c:pt idx="17">
                  <c:v>0.76079016253729526</c:v>
                </c:pt>
                <c:pt idx="18">
                  <c:v>1.537859661648028</c:v>
                </c:pt>
                <c:pt idx="19">
                  <c:v>2.0804183493204675</c:v>
                </c:pt>
                <c:pt idx="20" formatCode="0.0">
                  <c:v>3.4953504286037127</c:v>
                </c:pt>
                <c:pt idx="21">
                  <c:v>3.6840014560195882</c:v>
                </c:pt>
                <c:pt idx="22">
                  <c:v>3.1112916815337428</c:v>
                </c:pt>
                <c:pt idx="23">
                  <c:v>3.7794080596979152</c:v>
                </c:pt>
                <c:pt idx="24" formatCode="0.0">
                  <c:v>2.431344478594383</c:v>
                </c:pt>
                <c:pt idx="25">
                  <c:v>1.5761795854152467</c:v>
                </c:pt>
                <c:pt idx="26">
                  <c:v>1.831630983970058</c:v>
                </c:pt>
                <c:pt idx="27">
                  <c:v>1.3319586258319731</c:v>
                </c:pt>
                <c:pt idx="28" formatCode="0.0">
                  <c:v>1.0374019421035999E-2</c:v>
                </c:pt>
                <c:pt idx="29">
                  <c:v>0.44522365156534272</c:v>
                </c:pt>
                <c:pt idx="30">
                  <c:v>0.98933067760368965</c:v>
                </c:pt>
              </c:numCache>
            </c:numRef>
          </c:val>
          <c:extLst xmlns:c16r2="http://schemas.microsoft.com/office/drawing/2015/06/chart">
            <c:ext xmlns:c16="http://schemas.microsoft.com/office/drawing/2014/chart" uri="{C3380CC4-5D6E-409C-BE32-E72D297353CC}">
              <c16:uniqueId val="{00000002-07E5-41C8-84E6-3BC5EA3F3FD3}"/>
            </c:ext>
          </c:extLst>
        </c:ser>
        <c:ser>
          <c:idx val="3"/>
          <c:order val="3"/>
          <c:tx>
            <c:strRef>
              <c:f>'Trh práce 1'!$F$7</c:f>
              <c:strCache>
                <c:ptCount val="1"/>
                <c:pt idx="0">
                  <c:v>Stavebnictví</c:v>
                </c:pt>
              </c:strCache>
            </c:strRef>
          </c:tx>
          <c:spPr>
            <a:ln w="19050">
              <a:solidFill>
                <a:srgbClr val="BD1B21"/>
              </a:solidFill>
            </a:ln>
          </c:spPr>
          <c:marker>
            <c:symbol val="none"/>
          </c:marke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1'!$F$8:$F$38</c:f>
              <c:numCache>
                <c:formatCode>#,##0.0</c:formatCode>
                <c:ptCount val="31"/>
                <c:pt idx="0" formatCode="0.0">
                  <c:v>0.96973743053816686</c:v>
                </c:pt>
                <c:pt idx="1">
                  <c:v>1.5766212487064508</c:v>
                </c:pt>
                <c:pt idx="2">
                  <c:v>2.0505826231116777</c:v>
                </c:pt>
                <c:pt idx="3">
                  <c:v>2.0975017349063223</c:v>
                </c:pt>
                <c:pt idx="4" formatCode="0.0">
                  <c:v>-5.0057748344370765</c:v>
                </c:pt>
                <c:pt idx="5">
                  <c:v>-4.9400088718526733</c:v>
                </c:pt>
                <c:pt idx="6">
                  <c:v>-5.3825592625853345</c:v>
                </c:pt>
                <c:pt idx="7">
                  <c:v>-5.2114309503984755</c:v>
                </c:pt>
                <c:pt idx="8" formatCode="0.0">
                  <c:v>-1.0125955373515865</c:v>
                </c:pt>
                <c:pt idx="9">
                  <c:v>-0.65129343258656425</c:v>
                </c:pt>
                <c:pt idx="10">
                  <c:v>-1.6486726674023942</c:v>
                </c:pt>
                <c:pt idx="11">
                  <c:v>-1.8238369370116339</c:v>
                </c:pt>
                <c:pt idx="12" formatCode="0.0">
                  <c:v>-2.4231770393157888</c:v>
                </c:pt>
                <c:pt idx="13">
                  <c:v>-3.6906605297992368</c:v>
                </c:pt>
                <c:pt idx="14">
                  <c:v>-2.201849061585321</c:v>
                </c:pt>
                <c:pt idx="15">
                  <c:v>-1.0882912822572792</c:v>
                </c:pt>
                <c:pt idx="16" formatCode="0.0">
                  <c:v>-5.0648669747761375</c:v>
                </c:pt>
                <c:pt idx="17">
                  <c:v>-3.6538098049419152</c:v>
                </c:pt>
                <c:pt idx="18">
                  <c:v>-4.2712784278679123</c:v>
                </c:pt>
                <c:pt idx="19">
                  <c:v>-5.2428752740278863</c:v>
                </c:pt>
                <c:pt idx="20" formatCode="0.0">
                  <c:v>-0.17200523557662201</c:v>
                </c:pt>
                <c:pt idx="21">
                  <c:v>-9.2520605210694745E-2</c:v>
                </c:pt>
                <c:pt idx="22">
                  <c:v>-0.60778302632186865</c:v>
                </c:pt>
                <c:pt idx="23">
                  <c:v>-0.98361054964323058</c:v>
                </c:pt>
                <c:pt idx="24" formatCode="0.0">
                  <c:v>-0.86955038298722376</c:v>
                </c:pt>
                <c:pt idx="25">
                  <c:v>-1.2632757897594824</c:v>
                </c:pt>
                <c:pt idx="26">
                  <c:v>0.19494607796374919</c:v>
                </c:pt>
                <c:pt idx="27">
                  <c:v>0.47566227486591334</c:v>
                </c:pt>
                <c:pt idx="28" formatCode="0.0">
                  <c:v>0.87939049904241562</c:v>
                </c:pt>
                <c:pt idx="29">
                  <c:v>0.58337098073108518</c:v>
                </c:pt>
                <c:pt idx="30">
                  <c:v>1.6505219369769721</c:v>
                </c:pt>
              </c:numCache>
            </c:numRef>
          </c:val>
          <c:extLst xmlns:c16r2="http://schemas.microsoft.com/office/drawing/2015/06/chart">
            <c:ext xmlns:c16="http://schemas.microsoft.com/office/drawing/2014/chart" uri="{C3380CC4-5D6E-409C-BE32-E72D297353CC}">
              <c16:uniqueId val="{00000003-07E5-41C8-84E6-3BC5EA3F3FD3}"/>
            </c:ext>
          </c:extLst>
        </c:ser>
        <c:ser>
          <c:idx val="4"/>
          <c:order val="4"/>
          <c:tx>
            <c:strRef>
              <c:f>'Trh práce 1'!$G$7</c:f>
              <c:strCache>
                <c:ptCount val="1"/>
                <c:pt idx="0">
                  <c:v>Obchod, doprava, ubytování a pohost.</c:v>
                </c:pt>
              </c:strCache>
            </c:strRef>
          </c:tx>
          <c:spPr>
            <a:ln w="19050">
              <a:solidFill>
                <a:srgbClr val="7DBB2D"/>
              </a:solidFill>
            </a:ln>
          </c:spPr>
          <c:marker>
            <c:symbol val="none"/>
          </c:marke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1'!$G$8:$G$38</c:f>
              <c:numCache>
                <c:formatCode>#,##0.0</c:formatCode>
                <c:ptCount val="31"/>
                <c:pt idx="0" formatCode="0.0">
                  <c:v>-1.4811264631436956</c:v>
                </c:pt>
                <c:pt idx="1">
                  <c:v>-0.55415302001367195</c:v>
                </c:pt>
                <c:pt idx="2">
                  <c:v>0.60230497012719364</c:v>
                </c:pt>
                <c:pt idx="3">
                  <c:v>1.1873384060302081</c:v>
                </c:pt>
                <c:pt idx="4" formatCode="0.0">
                  <c:v>-0.26525714239460285</c:v>
                </c:pt>
                <c:pt idx="5">
                  <c:v>-0.33716708681508778</c:v>
                </c:pt>
                <c:pt idx="6">
                  <c:v>-0.36196666950499851</c:v>
                </c:pt>
                <c:pt idx="7">
                  <c:v>-0.6159301049051038</c:v>
                </c:pt>
                <c:pt idx="8" formatCode="0.0">
                  <c:v>-0.54434279555370324</c:v>
                </c:pt>
                <c:pt idx="9">
                  <c:v>-0.40514396083042931</c:v>
                </c:pt>
                <c:pt idx="10">
                  <c:v>-0.37311748202134282</c:v>
                </c:pt>
                <c:pt idx="11">
                  <c:v>-0.76815794371515267</c:v>
                </c:pt>
                <c:pt idx="12" formatCode="0.0">
                  <c:v>0.77369328581768571</c:v>
                </c:pt>
                <c:pt idx="13">
                  <c:v>0.60429784295405464</c:v>
                </c:pt>
                <c:pt idx="14">
                  <c:v>7.7201205439365581E-2</c:v>
                </c:pt>
                <c:pt idx="15">
                  <c:v>0.17659710770475101</c:v>
                </c:pt>
                <c:pt idx="16" formatCode="0.0">
                  <c:v>-0.27532549141551532</c:v>
                </c:pt>
                <c:pt idx="17">
                  <c:v>-1.0247212280180378</c:v>
                </c:pt>
                <c:pt idx="18">
                  <c:v>-0.43357812735003504</c:v>
                </c:pt>
                <c:pt idx="19">
                  <c:v>0.64735384894699166</c:v>
                </c:pt>
                <c:pt idx="20" formatCode="0.0">
                  <c:v>0.50702313110330977</c:v>
                </c:pt>
                <c:pt idx="21">
                  <c:v>1.5961990830606112</c:v>
                </c:pt>
                <c:pt idx="22">
                  <c:v>0.93704012916178669</c:v>
                </c:pt>
                <c:pt idx="23">
                  <c:v>0.33427848272518401</c:v>
                </c:pt>
                <c:pt idx="24" formatCode="0.0">
                  <c:v>1.0009323399146552</c:v>
                </c:pt>
                <c:pt idx="25">
                  <c:v>1.7066855557750682</c:v>
                </c:pt>
                <c:pt idx="26">
                  <c:v>0.78520382793907162</c:v>
                </c:pt>
                <c:pt idx="27">
                  <c:v>1.1320860722512633</c:v>
                </c:pt>
                <c:pt idx="28" formatCode="0.0">
                  <c:v>2.2366384430481281</c:v>
                </c:pt>
                <c:pt idx="29">
                  <c:v>1.5235156303670294</c:v>
                </c:pt>
                <c:pt idx="30">
                  <c:v>3.2730570539692248</c:v>
                </c:pt>
              </c:numCache>
            </c:numRef>
          </c:val>
          <c:extLst xmlns:c16r2="http://schemas.microsoft.com/office/drawing/2015/06/chart">
            <c:ext xmlns:c16="http://schemas.microsoft.com/office/drawing/2014/chart" uri="{C3380CC4-5D6E-409C-BE32-E72D297353CC}">
              <c16:uniqueId val="{00000004-07E5-41C8-84E6-3BC5EA3F3FD3}"/>
            </c:ext>
          </c:extLst>
        </c:ser>
        <c:ser>
          <c:idx val="5"/>
          <c:order val="5"/>
          <c:tx>
            <c:strRef>
              <c:f>'Trh práce 1'!$H$7</c:f>
              <c:strCache>
                <c:ptCount val="1"/>
                <c:pt idx="0">
                  <c:v>Veř.spr.,obrana,vzděl.,zdrav.,soc.péče</c:v>
                </c:pt>
              </c:strCache>
            </c:strRef>
          </c:tx>
          <c:spPr>
            <a:ln w="19050">
              <a:solidFill>
                <a:srgbClr val="F8A124"/>
              </a:solidFill>
            </a:ln>
          </c:spPr>
          <c:marker>
            <c:symbol val="none"/>
          </c:marke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1'!$H$8:$H$38</c:f>
              <c:numCache>
                <c:formatCode>#,##0.0</c:formatCode>
                <c:ptCount val="31"/>
                <c:pt idx="0" formatCode="0.0">
                  <c:v>-1.855806077102784E-2</c:v>
                </c:pt>
                <c:pt idx="1">
                  <c:v>-0.22689757528192456</c:v>
                </c:pt>
                <c:pt idx="2">
                  <c:v>-0.29433275456824531</c:v>
                </c:pt>
                <c:pt idx="3">
                  <c:v>-0.22704563055180127</c:v>
                </c:pt>
                <c:pt idx="4" formatCode="0.0">
                  <c:v>-0.47110868534822997</c:v>
                </c:pt>
                <c:pt idx="5">
                  <c:v>-0.76334858695398511</c:v>
                </c:pt>
                <c:pt idx="6">
                  <c:v>-1.0474282405825948</c:v>
                </c:pt>
                <c:pt idx="7">
                  <c:v>-0.76086919786541785</c:v>
                </c:pt>
                <c:pt idx="8" formatCode="0.0">
                  <c:v>-2.5354254663728577</c:v>
                </c:pt>
                <c:pt idx="9">
                  <c:v>-1.902141619073888</c:v>
                </c:pt>
                <c:pt idx="10">
                  <c:v>-0.31903720704937688</c:v>
                </c:pt>
                <c:pt idx="11">
                  <c:v>0.36291810220055593</c:v>
                </c:pt>
                <c:pt idx="12" formatCode="0.0">
                  <c:v>0.82471995854189684</c:v>
                </c:pt>
                <c:pt idx="13">
                  <c:v>2.1008576235233787</c:v>
                </c:pt>
                <c:pt idx="14">
                  <c:v>1.1395620003701339</c:v>
                </c:pt>
                <c:pt idx="15">
                  <c:v>0.93291347702553662</c:v>
                </c:pt>
                <c:pt idx="16" formatCode="0.0">
                  <c:v>1.5775454229154633</c:v>
                </c:pt>
                <c:pt idx="17">
                  <c:v>0.97071946520879215</c:v>
                </c:pt>
                <c:pt idx="18">
                  <c:v>2.0062549533347998</c:v>
                </c:pt>
                <c:pt idx="19">
                  <c:v>1.909431171276182</c:v>
                </c:pt>
                <c:pt idx="20" formatCode="0.0">
                  <c:v>1.5186815850960897</c:v>
                </c:pt>
                <c:pt idx="21">
                  <c:v>1.3439686041484278</c:v>
                </c:pt>
                <c:pt idx="22">
                  <c:v>0.58259948981275755</c:v>
                </c:pt>
                <c:pt idx="23">
                  <c:v>0.49868099701011503</c:v>
                </c:pt>
                <c:pt idx="24" formatCode="0.0">
                  <c:v>0.63503922301082616</c:v>
                </c:pt>
                <c:pt idx="25">
                  <c:v>0.46250463543849207</c:v>
                </c:pt>
                <c:pt idx="26">
                  <c:v>0.92616906278036026</c:v>
                </c:pt>
                <c:pt idx="27">
                  <c:v>1.4567791547310804</c:v>
                </c:pt>
                <c:pt idx="28" formatCode="0.0">
                  <c:v>0.68284686073320744</c:v>
                </c:pt>
                <c:pt idx="29">
                  <c:v>0.93708384646460274</c:v>
                </c:pt>
                <c:pt idx="30">
                  <c:v>1.5259446362655846</c:v>
                </c:pt>
              </c:numCache>
            </c:numRef>
          </c:val>
          <c:extLst xmlns:c16r2="http://schemas.microsoft.com/office/drawing/2015/06/chart">
            <c:ext xmlns:c16="http://schemas.microsoft.com/office/drawing/2014/chart" uri="{C3380CC4-5D6E-409C-BE32-E72D297353CC}">
              <c16:uniqueId val="{00000005-07E5-41C8-84E6-3BC5EA3F3FD3}"/>
            </c:ext>
          </c:extLst>
        </c:ser>
        <c:ser>
          <c:idx val="6"/>
          <c:order val="6"/>
          <c:tx>
            <c:strRef>
              <c:f>'Trh práce 1'!$I$7</c:f>
              <c:strCache>
                <c:ptCount val="1"/>
                <c:pt idx="0">
                  <c:v>Profesní, vědecké, technic. a  admin.čin.</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1'!$A$8:$B$38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1'!$I$8:$I$38</c:f>
              <c:numCache>
                <c:formatCode>#,##0.0</c:formatCode>
                <c:ptCount val="31"/>
                <c:pt idx="0" formatCode="0.0">
                  <c:v>-1.7361900970579185</c:v>
                </c:pt>
                <c:pt idx="1">
                  <c:v>-0.71964829861366975</c:v>
                </c:pt>
                <c:pt idx="2">
                  <c:v>-0.11701441372717625</c:v>
                </c:pt>
                <c:pt idx="3">
                  <c:v>-0.63412618780617469</c:v>
                </c:pt>
                <c:pt idx="4" formatCode="0.0">
                  <c:v>-2.4230206250949493</c:v>
                </c:pt>
                <c:pt idx="5">
                  <c:v>-2.8585508924448937</c:v>
                </c:pt>
                <c:pt idx="6">
                  <c:v>-4.6837027416279096</c:v>
                </c:pt>
                <c:pt idx="7">
                  <c:v>-3.5802788858820236</c:v>
                </c:pt>
                <c:pt idx="8" formatCode="0.0">
                  <c:v>1.6068564480613787</c:v>
                </c:pt>
                <c:pt idx="9">
                  <c:v>1.6977786534009738</c:v>
                </c:pt>
                <c:pt idx="10">
                  <c:v>2.5449653408908119</c:v>
                </c:pt>
                <c:pt idx="11">
                  <c:v>2.9858065152037767</c:v>
                </c:pt>
                <c:pt idx="12" formatCode="0.0">
                  <c:v>0.66302965148380799</c:v>
                </c:pt>
                <c:pt idx="13">
                  <c:v>1.9421049317841721</c:v>
                </c:pt>
                <c:pt idx="14">
                  <c:v>2.6322897423901201</c:v>
                </c:pt>
                <c:pt idx="15">
                  <c:v>2.3513113220413602</c:v>
                </c:pt>
                <c:pt idx="16" formatCode="0.0">
                  <c:v>4.0126223515170238</c:v>
                </c:pt>
                <c:pt idx="17">
                  <c:v>2.8253526346044811</c:v>
                </c:pt>
                <c:pt idx="18">
                  <c:v>1.4570943175436204</c:v>
                </c:pt>
                <c:pt idx="19">
                  <c:v>0.92527655436174427</c:v>
                </c:pt>
                <c:pt idx="20" formatCode="0.0">
                  <c:v>1.3229541252009369</c:v>
                </c:pt>
                <c:pt idx="21">
                  <c:v>1.2904626814640918</c:v>
                </c:pt>
                <c:pt idx="22">
                  <c:v>2.6152570557745487</c:v>
                </c:pt>
                <c:pt idx="23">
                  <c:v>4.1302041591579695</c:v>
                </c:pt>
                <c:pt idx="24" formatCode="0.0">
                  <c:v>3.3963743577633636</c:v>
                </c:pt>
                <c:pt idx="25">
                  <c:v>2.9950690380290768</c:v>
                </c:pt>
                <c:pt idx="26">
                  <c:v>3.032053915218027</c:v>
                </c:pt>
                <c:pt idx="27">
                  <c:v>3.0136602358342577</c:v>
                </c:pt>
                <c:pt idx="28" formatCode="0.0">
                  <c:v>5.6372163153985042</c:v>
                </c:pt>
                <c:pt idx="29">
                  <c:v>4.4779953320076373</c:v>
                </c:pt>
                <c:pt idx="30">
                  <c:v>3.6201533406352842</c:v>
                </c:pt>
              </c:numCache>
            </c:numRef>
          </c:val>
          <c:extLst xmlns:c16r2="http://schemas.microsoft.com/office/drawing/2015/06/chart">
            <c:ext xmlns:c16="http://schemas.microsoft.com/office/drawing/2014/chart" uri="{C3380CC4-5D6E-409C-BE32-E72D297353CC}">
              <c16:uniqueId val="{00000006-07E5-41C8-84E6-3BC5EA3F3FD3}"/>
            </c:ext>
          </c:extLst>
        </c:ser>
        <c:marker val="1"/>
        <c:axId val="178250496"/>
        <c:axId val="178252416"/>
      </c:lineChart>
      <c:catAx>
        <c:axId val="178250496"/>
        <c:scaling>
          <c:orientation val="minMax"/>
        </c:scaling>
        <c:axPos val="b"/>
        <c:numFmt formatCode="General" sourceLinked="0"/>
        <c:tickLblPos val="low"/>
        <c:spPr>
          <a:ln>
            <a:solidFill>
              <a:schemeClr val="tx1"/>
            </a:solidFill>
          </a:ln>
        </c:spPr>
        <c:crossAx val="178252416"/>
        <c:crosses val="autoZero"/>
        <c:auto val="1"/>
        <c:lblAlgn val="ctr"/>
        <c:lblOffset val="10"/>
      </c:catAx>
      <c:valAx>
        <c:axId val="178252416"/>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78250496"/>
        <c:crosses val="autoZero"/>
        <c:crossBetween val="between"/>
        <c:majorUnit val="1"/>
      </c:valAx>
      <c:spPr>
        <a:ln>
          <a:solidFill>
            <a:schemeClr val="tx1"/>
          </a:solidFill>
        </a:ln>
      </c:spPr>
    </c:plotArea>
    <c:legend>
      <c:legendPos val="b"/>
      <c:layout>
        <c:manualLayout>
          <c:xMode val="edge"/>
          <c:yMode val="edge"/>
          <c:x val="5.5392487973752201E-2"/>
          <c:y val="0.85256264172335006"/>
          <c:w val="0.92505743233709492"/>
          <c:h val="0.1366210317460317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64838092894683E-2"/>
          <c:y val="1.643251153889452E-2"/>
          <c:w val="0.8844876162264117"/>
          <c:h val="0.75762726757370735"/>
        </c:manualLayout>
      </c:layout>
      <c:barChart>
        <c:barDir val="col"/>
        <c:grouping val="clustered"/>
        <c:ser>
          <c:idx val="0"/>
          <c:order val="0"/>
          <c:tx>
            <c:strRef>
              <c:f>'Trh práce-2'!$A$32</c:f>
              <c:strCache>
                <c:ptCount val="1"/>
                <c:pt idx="0">
                  <c:v>Míra nezaměstn. mužů (pravá osa)</c:v>
                </c:pt>
              </c:strCache>
            </c:strRef>
          </c:tx>
          <c:spPr>
            <a:solidFill>
              <a:srgbClr val="BCBCBC"/>
            </a:solidFill>
          </c:spPr>
          <c:cat>
            <c:multiLvlStrRef>
              <c:f>'Trh práce-2'!$B$30:$AF$31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práce-2'!$B$32:$AF$32</c:f>
              <c:numCache>
                <c:formatCode>#,##0.0</c:formatCode>
                <c:ptCount val="31"/>
                <c:pt idx="0">
                  <c:v>7.0926487048530875</c:v>
                </c:pt>
                <c:pt idx="1">
                  <c:v>6.4947019107100816</c:v>
                </c:pt>
                <c:pt idx="2">
                  <c:v>6.1900276943604</c:v>
                </c:pt>
                <c:pt idx="3">
                  <c:v>6.091786288249728</c:v>
                </c:pt>
                <c:pt idx="4">
                  <c:v>6.0440409628576477</c:v>
                </c:pt>
                <c:pt idx="5">
                  <c:v>5.9795057808636933</c:v>
                </c:pt>
                <c:pt idx="6">
                  <c:v>5.7710892410270764</c:v>
                </c:pt>
                <c:pt idx="7">
                  <c:v>5.6860249603977246</c:v>
                </c:pt>
                <c:pt idx="8">
                  <c:v>5.9909168783150717</c:v>
                </c:pt>
                <c:pt idx="9">
                  <c:v>5.9711322085536924</c:v>
                </c:pt>
                <c:pt idx="10">
                  <c:v>6.0637903642009761</c:v>
                </c:pt>
                <c:pt idx="11">
                  <c:v>6.2580889460257616</c:v>
                </c:pt>
                <c:pt idx="12">
                  <c:v>6.2496572689731114</c:v>
                </c:pt>
                <c:pt idx="13">
                  <c:v>5.8769126866686712</c:v>
                </c:pt>
                <c:pt idx="14">
                  <c:v>5.9640356008688755</c:v>
                </c:pt>
                <c:pt idx="15">
                  <c:v>5.7563528190622151</c:v>
                </c:pt>
                <c:pt idx="16">
                  <c:v>5.534093397770282</c:v>
                </c:pt>
                <c:pt idx="17">
                  <c:v>5.1939928756653755</c:v>
                </c:pt>
                <c:pt idx="18">
                  <c:v>4.949534989284011</c:v>
                </c:pt>
                <c:pt idx="19">
                  <c:v>5.0245115228187878</c:v>
                </c:pt>
                <c:pt idx="20">
                  <c:v>4.9827908726571772</c:v>
                </c:pt>
                <c:pt idx="21">
                  <c:v>4.3372703861581181</c:v>
                </c:pt>
                <c:pt idx="22">
                  <c:v>4.1009539332398237</c:v>
                </c:pt>
                <c:pt idx="23">
                  <c:v>3.7855673329458002</c:v>
                </c:pt>
                <c:pt idx="24">
                  <c:v>3.6050621359668327</c:v>
                </c:pt>
                <c:pt idx="25">
                  <c:v>3.5564160913399867</c:v>
                </c:pt>
                <c:pt idx="26">
                  <c:v>3.4129448487936798</c:v>
                </c:pt>
                <c:pt idx="27">
                  <c:v>3.1733633135200989</c:v>
                </c:pt>
                <c:pt idx="28">
                  <c:v>2.6557074288365246</c:v>
                </c:pt>
                <c:pt idx="29">
                  <c:v>2.4419069842099983</c:v>
                </c:pt>
                <c:pt idx="30">
                  <c:v>2.3055754576266989</c:v>
                </c:pt>
              </c:numCache>
            </c:numRef>
          </c:val>
          <c:extLst xmlns:c16r2="http://schemas.microsoft.com/office/drawing/2015/06/chart">
            <c:ext xmlns:c16="http://schemas.microsoft.com/office/drawing/2014/chart" uri="{C3380CC4-5D6E-409C-BE32-E72D297353CC}">
              <c16:uniqueId val="{00000000-31FF-4321-9B9F-7F137E9D8472}"/>
            </c:ext>
          </c:extLst>
        </c:ser>
        <c:ser>
          <c:idx val="1"/>
          <c:order val="1"/>
          <c:tx>
            <c:strRef>
              <c:f>'Trh práce-2'!$A$33</c:f>
              <c:strCache>
                <c:ptCount val="1"/>
                <c:pt idx="0">
                  <c:v>Míra nezaměstn. žen (pravá osa)</c:v>
                </c:pt>
              </c:strCache>
            </c:strRef>
          </c:tx>
          <c:spPr>
            <a:solidFill>
              <a:srgbClr val="DBDBDB"/>
            </a:solidFill>
          </c:spPr>
          <c:cat>
            <c:multiLvlStrRef>
              <c:f>'Trh práce-2'!$B$30:$AF$31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práce-2'!$B$33:$AF$33</c:f>
              <c:numCache>
                <c:formatCode>#,##0.0</c:formatCode>
                <c:ptCount val="31"/>
                <c:pt idx="0">
                  <c:v>8.8063386478230505</c:v>
                </c:pt>
                <c:pt idx="1">
                  <c:v>8.5507228076770048</c:v>
                </c:pt>
                <c:pt idx="2">
                  <c:v>8.4768568971518548</c:v>
                </c:pt>
                <c:pt idx="3">
                  <c:v>8.3069383714024276</c:v>
                </c:pt>
                <c:pt idx="4">
                  <c:v>8.1991124702917979</c:v>
                </c:pt>
                <c:pt idx="5">
                  <c:v>8.1105317430955459</c:v>
                </c:pt>
                <c:pt idx="6">
                  <c:v>7.8142193431627236</c:v>
                </c:pt>
                <c:pt idx="7">
                  <c:v>7.7311146961777775</c:v>
                </c:pt>
                <c:pt idx="8">
                  <c:v>8.0959427646929214</c:v>
                </c:pt>
                <c:pt idx="9">
                  <c:v>8.1785223994268517</c:v>
                </c:pt>
                <c:pt idx="10">
                  <c:v>8.2845240834045839</c:v>
                </c:pt>
                <c:pt idx="11">
                  <c:v>8.4982684337214689</c:v>
                </c:pt>
                <c:pt idx="12">
                  <c:v>8.5095244197965805</c:v>
                </c:pt>
                <c:pt idx="13">
                  <c:v>8.419378585674238</c:v>
                </c:pt>
                <c:pt idx="14">
                  <c:v>8.3702844577778528</c:v>
                </c:pt>
                <c:pt idx="15">
                  <c:v>8.1801496737540731</c:v>
                </c:pt>
                <c:pt idx="16">
                  <c:v>8.01056550423956</c:v>
                </c:pt>
                <c:pt idx="17">
                  <c:v>7.7064363368837565</c:v>
                </c:pt>
                <c:pt idx="18">
                  <c:v>7.3433147291431684</c:v>
                </c:pt>
                <c:pt idx="19">
                  <c:v>6.9486703338698534</c:v>
                </c:pt>
                <c:pt idx="20">
                  <c:v>6.8321880345211374</c:v>
                </c:pt>
                <c:pt idx="21">
                  <c:v>6.2560382666930279</c:v>
                </c:pt>
                <c:pt idx="22">
                  <c:v>5.9669783605028881</c:v>
                </c:pt>
                <c:pt idx="23">
                  <c:v>5.5983721518324394</c:v>
                </c:pt>
                <c:pt idx="24">
                  <c:v>5.1462050206813492</c:v>
                </c:pt>
                <c:pt idx="25">
                  <c:v>4.8210015864501985</c:v>
                </c:pt>
                <c:pt idx="26">
                  <c:v>4.7400184517948594</c:v>
                </c:pt>
                <c:pt idx="27">
                  <c:v>4.3510916375920585</c:v>
                </c:pt>
                <c:pt idx="28">
                  <c:v>4.4050547111937171</c:v>
                </c:pt>
                <c:pt idx="29">
                  <c:v>3.8727692250795127</c:v>
                </c:pt>
                <c:pt idx="30">
                  <c:v>3.387344399799666</c:v>
                </c:pt>
              </c:numCache>
            </c:numRef>
          </c:val>
          <c:extLst xmlns:c16r2="http://schemas.microsoft.com/office/drawing/2015/06/chart">
            <c:ext xmlns:c16="http://schemas.microsoft.com/office/drawing/2014/chart" uri="{C3380CC4-5D6E-409C-BE32-E72D297353CC}">
              <c16:uniqueId val="{00000001-31FF-4321-9B9F-7F137E9D8472}"/>
            </c:ext>
          </c:extLst>
        </c:ser>
        <c:gapWidth val="68"/>
        <c:axId val="178394240"/>
        <c:axId val="178306432"/>
      </c:barChart>
      <c:lineChart>
        <c:grouping val="standard"/>
        <c:ser>
          <c:idx val="2"/>
          <c:order val="2"/>
          <c:tx>
            <c:strRef>
              <c:f>'Trh práce-2'!$A$34</c:f>
              <c:strCache>
                <c:ptCount val="1"/>
                <c:pt idx="0">
                  <c:v>Nezaměstnaní s max. základ. vzděl.</c:v>
                </c:pt>
              </c:strCache>
            </c:strRef>
          </c:tx>
          <c:spPr>
            <a:ln w="19050">
              <a:solidFill>
                <a:srgbClr val="0071BC"/>
              </a:solidFill>
              <a:prstDash val="solid"/>
            </a:ln>
          </c:spPr>
          <c:marker>
            <c:symbol val="none"/>
          </c:marker>
          <c:cat>
            <c:multiLvlStrRef>
              <c:f>'Trh práce-2'!$B$30:$AF$31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práce-2'!$B$34:$AF$34</c:f>
              <c:numCache>
                <c:formatCode>0</c:formatCode>
                <c:ptCount val="31"/>
                <c:pt idx="0">
                  <c:v>21.714768670214291</c:v>
                </c:pt>
                <c:pt idx="1">
                  <c:v>-1.21634331078873</c:v>
                </c:pt>
                <c:pt idx="2">
                  <c:v>-16.17582875054989</c:v>
                </c:pt>
                <c:pt idx="3">
                  <c:v>-17.326849096450193</c:v>
                </c:pt>
                <c:pt idx="4">
                  <c:v>-20.685159269353587</c:v>
                </c:pt>
                <c:pt idx="5">
                  <c:v>-13.109667018498977</c:v>
                </c:pt>
                <c:pt idx="6">
                  <c:v>-3.4347558981075395</c:v>
                </c:pt>
                <c:pt idx="7">
                  <c:v>-1.2914192636035153</c:v>
                </c:pt>
                <c:pt idx="8">
                  <c:v>15.116142329292568</c:v>
                </c:pt>
                <c:pt idx="9">
                  <c:v>20.564252208332089</c:v>
                </c:pt>
                <c:pt idx="10">
                  <c:v>17.300096375591224</c:v>
                </c:pt>
                <c:pt idx="11">
                  <c:v>21.054278842458295</c:v>
                </c:pt>
                <c:pt idx="12">
                  <c:v>1.5586037838760241</c:v>
                </c:pt>
                <c:pt idx="13">
                  <c:v>-14.506006075302381</c:v>
                </c:pt>
                <c:pt idx="14">
                  <c:v>-19.243419598176754</c:v>
                </c:pt>
                <c:pt idx="15">
                  <c:v>-25.150929504907829</c:v>
                </c:pt>
                <c:pt idx="16">
                  <c:v>-25.77535118359669</c:v>
                </c:pt>
                <c:pt idx="17">
                  <c:v>-22.26063113150278</c:v>
                </c:pt>
                <c:pt idx="18">
                  <c:v>-14.590196785136953</c:v>
                </c:pt>
                <c:pt idx="19">
                  <c:v>-9.444471544328108</c:v>
                </c:pt>
                <c:pt idx="20">
                  <c:v>-1.188370832677478</c:v>
                </c:pt>
                <c:pt idx="21">
                  <c:v>2.1795435785889632</c:v>
                </c:pt>
                <c:pt idx="22">
                  <c:v>-0.63856381013110364</c:v>
                </c:pt>
                <c:pt idx="23">
                  <c:v>4.3365931482174886</c:v>
                </c:pt>
                <c:pt idx="24">
                  <c:v>-7.7096667806765389</c:v>
                </c:pt>
                <c:pt idx="25">
                  <c:v>-3.419288831345217</c:v>
                </c:pt>
                <c:pt idx="26">
                  <c:v>-5.2224150656789687</c:v>
                </c:pt>
                <c:pt idx="27">
                  <c:v>-15.506068308866634</c:v>
                </c:pt>
                <c:pt idx="28">
                  <c:v>-27.918696562118029</c:v>
                </c:pt>
                <c:pt idx="29">
                  <c:v>-33.500879210484243</c:v>
                </c:pt>
                <c:pt idx="30">
                  <c:v>-45.812807881772969</c:v>
                </c:pt>
              </c:numCache>
            </c:numRef>
          </c:val>
          <c:extLst xmlns:c16r2="http://schemas.microsoft.com/office/drawing/2015/06/chart">
            <c:ext xmlns:c16="http://schemas.microsoft.com/office/drawing/2014/chart" uri="{C3380CC4-5D6E-409C-BE32-E72D297353CC}">
              <c16:uniqueId val="{00000002-31FF-4321-9B9F-7F137E9D8472}"/>
            </c:ext>
          </c:extLst>
        </c:ser>
        <c:ser>
          <c:idx val="3"/>
          <c:order val="3"/>
          <c:tx>
            <c:strRef>
              <c:f>'Trh práce-2'!$A$35</c:f>
              <c:strCache>
                <c:ptCount val="1"/>
                <c:pt idx="0">
                  <c:v>Nezaměstn. se střed.vzděl.bez mat.</c:v>
                </c:pt>
              </c:strCache>
            </c:strRef>
          </c:tx>
          <c:spPr>
            <a:ln w="19050">
              <a:solidFill>
                <a:srgbClr val="BD1B21"/>
              </a:solidFill>
              <a:prstDash val="solid"/>
            </a:ln>
          </c:spPr>
          <c:marker>
            <c:symbol val="none"/>
          </c:marker>
          <c:cat>
            <c:multiLvlStrRef>
              <c:f>'Trh práce-2'!$B$30:$AF$31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práce-2'!$B$35:$AF$35</c:f>
              <c:numCache>
                <c:formatCode>0</c:formatCode>
                <c:ptCount val="31"/>
                <c:pt idx="0">
                  <c:v>49.784188022706395</c:v>
                </c:pt>
                <c:pt idx="1">
                  <c:v>13.867544627418576</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1.5130013110978582</c:v>
                </c:pt>
                <c:pt idx="11">
                  <c:v>15.444727754266269</c:v>
                </c:pt>
                <c:pt idx="12">
                  <c:v>11.295553399301276</c:v>
                </c:pt>
                <c:pt idx="13">
                  <c:v>11.135950773644549</c:v>
                </c:pt>
                <c:pt idx="14">
                  <c:v>2.1227982768583051</c:v>
                </c:pt>
                <c:pt idx="15">
                  <c:v>-8.1974891991531127</c:v>
                </c:pt>
                <c:pt idx="16">
                  <c:v>-9.6245134843654139</c:v>
                </c:pt>
                <c:pt idx="17">
                  <c:v>-16.231929719850875</c:v>
                </c:pt>
                <c:pt idx="18">
                  <c:v>-19.827481877336286</c:v>
                </c:pt>
                <c:pt idx="19">
                  <c:v>-16.693209567708788</c:v>
                </c:pt>
                <c:pt idx="20">
                  <c:v>-16.454778753219031</c:v>
                </c:pt>
                <c:pt idx="21">
                  <c:v>-22.216756280012163</c:v>
                </c:pt>
                <c:pt idx="22">
                  <c:v>-16.999907523882399</c:v>
                </c:pt>
                <c:pt idx="23">
                  <c:v>-31.514681784053035</c:v>
                </c:pt>
                <c:pt idx="24">
                  <c:v>-32.064032560839479</c:v>
                </c:pt>
                <c:pt idx="25">
                  <c:v>-26.106419495499964</c:v>
                </c:pt>
                <c:pt idx="26">
                  <c:v>-25.857804572569627</c:v>
                </c:pt>
                <c:pt idx="27">
                  <c:v>-16.01088869599258</c:v>
                </c:pt>
                <c:pt idx="28">
                  <c:v>-18.906457523972289</c:v>
                </c:pt>
                <c:pt idx="29">
                  <c:v>-22.991543113790527</c:v>
                </c:pt>
                <c:pt idx="30">
                  <c:v>-21.951219512194989</c:v>
                </c:pt>
              </c:numCache>
            </c:numRef>
          </c:val>
          <c:extLst xmlns:c16r2="http://schemas.microsoft.com/office/drawing/2015/06/chart">
            <c:ext xmlns:c16="http://schemas.microsoft.com/office/drawing/2014/chart" uri="{C3380CC4-5D6E-409C-BE32-E72D297353CC}">
              <c16:uniqueId val="{00000003-31FF-4321-9B9F-7F137E9D8472}"/>
            </c:ext>
          </c:extLst>
        </c:ser>
        <c:ser>
          <c:idx val="5"/>
          <c:order val="4"/>
          <c:tx>
            <c:strRef>
              <c:f>'Trh práce-2'!$A$37</c:f>
              <c:strCache>
                <c:ptCount val="1"/>
                <c:pt idx="0">
                  <c:v>Dlouhodobě nezaměstnaní (&gt;1 rok)</c:v>
                </c:pt>
              </c:strCache>
            </c:strRef>
          </c:tx>
          <c:spPr>
            <a:ln w="19050">
              <a:solidFill>
                <a:srgbClr val="7DBB2D"/>
              </a:solidFill>
              <a:prstDash val="solid"/>
            </a:ln>
          </c:spPr>
          <c:marker>
            <c:symbol val="none"/>
          </c:marker>
          <c:cat>
            <c:multiLvlStrRef>
              <c:f>'Trh práce-2'!$B$30:$AF$31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práce-2'!$B$37:$AF$37</c:f>
              <c:numCache>
                <c:formatCode>0</c:formatCode>
                <c:ptCount val="31"/>
                <c:pt idx="0">
                  <c:v>44.412607449856324</c:v>
                </c:pt>
                <c:pt idx="1">
                  <c:v>60</c:v>
                </c:pt>
                <c:pt idx="2">
                  <c:v>47.702205882352963</c:v>
                </c:pt>
                <c:pt idx="3">
                  <c:v>40.757042253521149</c:v>
                </c:pt>
                <c:pt idx="4">
                  <c:v>-1.4550264550264549</c:v>
                </c:pt>
                <c:pt idx="5">
                  <c:v>-11.639871382636551</c:v>
                </c:pt>
                <c:pt idx="6">
                  <c:v>-14.18792781580585</c:v>
                </c:pt>
                <c:pt idx="7">
                  <c:v>-10.318949343339597</c:v>
                </c:pt>
                <c:pt idx="8">
                  <c:v>6.3758389261745085</c:v>
                </c:pt>
                <c:pt idx="9">
                  <c:v>12.590975254730694</c:v>
                </c:pt>
                <c:pt idx="10">
                  <c:v>15.155910079768056</c:v>
                </c:pt>
                <c:pt idx="11">
                  <c:v>12.482566248256749</c:v>
                </c:pt>
                <c:pt idx="12">
                  <c:v>6.6876971608832889</c:v>
                </c:pt>
                <c:pt idx="13">
                  <c:v>2.2624434389140187</c:v>
                </c:pt>
                <c:pt idx="14">
                  <c:v>1.4483627204030121</c:v>
                </c:pt>
                <c:pt idx="15">
                  <c:v>-7.1915685058896734</c:v>
                </c:pt>
                <c:pt idx="16">
                  <c:v>-13.18746303962152</c:v>
                </c:pt>
                <c:pt idx="17">
                  <c:v>-13.211125158027798</c:v>
                </c:pt>
                <c:pt idx="18">
                  <c:v>-14.959652389820084</c:v>
                </c:pt>
                <c:pt idx="19">
                  <c:v>-5.8116232464929851</c:v>
                </c:pt>
                <c:pt idx="20">
                  <c:v>-1.8392370572207284</c:v>
                </c:pt>
                <c:pt idx="21">
                  <c:v>-11.070648215586415</c:v>
                </c:pt>
                <c:pt idx="22">
                  <c:v>-9.1240875912408779</c:v>
                </c:pt>
                <c:pt idx="23">
                  <c:v>-18.581560283687889</c:v>
                </c:pt>
                <c:pt idx="24">
                  <c:v>-26.578764746703669</c:v>
                </c:pt>
                <c:pt idx="25">
                  <c:v>-25.389025389025289</c:v>
                </c:pt>
                <c:pt idx="26">
                  <c:v>-33.092369477911646</c:v>
                </c:pt>
                <c:pt idx="27">
                  <c:v>-35.017421602786975</c:v>
                </c:pt>
                <c:pt idx="28">
                  <c:v>-35.727788279773165</c:v>
                </c:pt>
                <c:pt idx="29">
                  <c:v>-35.016465422611994</c:v>
                </c:pt>
                <c:pt idx="30">
                  <c:v>-41.288782816229407</c:v>
                </c:pt>
              </c:numCache>
            </c:numRef>
          </c:val>
          <c:extLst xmlns:c16r2="http://schemas.microsoft.com/office/drawing/2015/06/chart">
            <c:ext xmlns:c16="http://schemas.microsoft.com/office/drawing/2014/chart" uri="{C3380CC4-5D6E-409C-BE32-E72D297353CC}">
              <c16:uniqueId val="{00000004-31FF-4321-9B9F-7F137E9D8472}"/>
            </c:ext>
          </c:extLst>
        </c:ser>
        <c:marker val="1"/>
        <c:axId val="178303360"/>
        <c:axId val="178304896"/>
      </c:lineChart>
      <c:catAx>
        <c:axId val="178303360"/>
        <c:scaling>
          <c:orientation val="minMax"/>
        </c:scaling>
        <c:axPos val="b"/>
        <c:numFmt formatCode="General" sourceLinked="0"/>
        <c:tickLblPos val="low"/>
        <c:spPr>
          <a:ln>
            <a:solidFill>
              <a:schemeClr val="tx1"/>
            </a:solidFill>
          </a:ln>
        </c:spPr>
        <c:crossAx val="178304896"/>
        <c:crossesAt val="-50"/>
        <c:auto val="1"/>
        <c:lblAlgn val="ctr"/>
        <c:lblOffset val="0"/>
      </c:catAx>
      <c:valAx>
        <c:axId val="178304896"/>
        <c:scaling>
          <c:orientation val="minMax"/>
          <c:max val="60"/>
          <c:min val="-50"/>
        </c:scaling>
        <c:axPos val="l"/>
        <c:majorGridlines>
          <c:spPr>
            <a:ln w="6350">
              <a:solidFill>
                <a:schemeClr val="bg1">
                  <a:lumMod val="75000"/>
                </a:schemeClr>
              </a:solidFill>
            </a:ln>
          </c:spPr>
        </c:majorGridlines>
        <c:numFmt formatCode="0" sourceLinked="0"/>
        <c:tickLblPos val="nextTo"/>
        <c:spPr>
          <a:ln>
            <a:solidFill>
              <a:schemeClr val="tx1"/>
            </a:solidFill>
          </a:ln>
        </c:spPr>
        <c:crossAx val="178303360"/>
        <c:crosses val="autoZero"/>
        <c:crossBetween val="between"/>
        <c:majorUnit val="10"/>
      </c:valAx>
      <c:valAx>
        <c:axId val="178306432"/>
        <c:scaling>
          <c:orientation val="minMax"/>
          <c:max val="11"/>
          <c:min val="0"/>
        </c:scaling>
        <c:axPos val="r"/>
        <c:numFmt formatCode="#,##0" sourceLinked="0"/>
        <c:tickLblPos val="nextTo"/>
        <c:crossAx val="178394240"/>
        <c:crosses val="max"/>
        <c:crossBetween val="between"/>
        <c:majorUnit val="1"/>
      </c:valAx>
      <c:catAx>
        <c:axId val="178394240"/>
        <c:scaling>
          <c:orientation val="minMax"/>
        </c:scaling>
        <c:delete val="1"/>
        <c:axPos val="b"/>
        <c:numFmt formatCode="General" sourceLinked="1"/>
        <c:tickLblPos val="none"/>
        <c:crossAx val="178306432"/>
        <c:crosses val="autoZero"/>
        <c:auto val="1"/>
        <c:lblAlgn val="ctr"/>
        <c:lblOffset val="100"/>
      </c:catAx>
      <c:spPr>
        <a:ln>
          <a:solidFill>
            <a:schemeClr val="tx1"/>
          </a:solidFill>
        </a:ln>
      </c:spPr>
    </c:plotArea>
    <c:legend>
      <c:legendPos val="b"/>
      <c:layout>
        <c:manualLayout>
          <c:xMode val="edge"/>
          <c:yMode val="edge"/>
          <c:x val="4.9958329787081639E-2"/>
          <c:y val="0.86998849777404264"/>
          <c:w val="0.88690640708897361"/>
          <c:h val="0.1121402318784866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663"/>
          <c:h val="0.77475149161320633"/>
        </c:manualLayout>
      </c:layout>
      <c:barChart>
        <c:barDir val="col"/>
        <c:grouping val="clustered"/>
        <c:ser>
          <c:idx val="2"/>
          <c:order val="2"/>
          <c:tx>
            <c:strRef>
              <c:f>'Trh práce 3'!$E$8</c:f>
              <c:strCache>
                <c:ptCount val="1"/>
                <c:pt idx="0">
                  <c:v>Průměrná mzda (reálně)</c:v>
                </c:pt>
              </c:strCache>
            </c:strRef>
          </c:tx>
          <c:spPr>
            <a:solidFill>
              <a:srgbClr val="A6A6A6"/>
            </a:solidFill>
            <a:ln w="19050">
              <a:noFill/>
            </a:ln>
          </c:spPr>
          <c:cat>
            <c:multiLvlStrRef>
              <c:f>'Trh práce 3'!$A$9:$B$39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3'!$E$9:$E$39</c:f>
              <c:numCache>
                <c:formatCode>#,##0.0</c:formatCode>
                <c:ptCount val="31"/>
                <c:pt idx="0">
                  <c:v>2.0999999999999943</c:v>
                </c:pt>
                <c:pt idx="1">
                  <c:v>1.9000000000000061</c:v>
                </c:pt>
                <c:pt idx="2">
                  <c:v>0.3000000000000001</c:v>
                </c:pt>
                <c:pt idx="3">
                  <c:v>-1.4000000000000057</c:v>
                </c:pt>
                <c:pt idx="4">
                  <c:v>1.0999999999999857</c:v>
                </c:pt>
                <c:pt idx="5">
                  <c:v>0.7999999999999976</c:v>
                </c:pt>
                <c:pt idx="6">
                  <c:v>0.3000000000000001</c:v>
                </c:pt>
                <c:pt idx="7">
                  <c:v>0</c:v>
                </c:pt>
                <c:pt idx="8">
                  <c:v>-0.5</c:v>
                </c:pt>
                <c:pt idx="9">
                  <c:v>-1.2999999999999872</c:v>
                </c:pt>
                <c:pt idx="10">
                  <c:v>-1.7999999999999872</c:v>
                </c:pt>
                <c:pt idx="11">
                  <c:v>0.40000000000000568</c:v>
                </c:pt>
                <c:pt idx="12">
                  <c:v>-2.4000000000000057</c:v>
                </c:pt>
                <c:pt idx="13">
                  <c:v>-0.5</c:v>
                </c:pt>
                <c:pt idx="14">
                  <c:v>0</c:v>
                </c:pt>
                <c:pt idx="15">
                  <c:v>-3.0999999999999943</c:v>
                </c:pt>
                <c:pt idx="16">
                  <c:v>3.7000000000000042</c:v>
                </c:pt>
                <c:pt idx="17">
                  <c:v>2.5999999999999943</c:v>
                </c:pt>
                <c:pt idx="18">
                  <c:v>1.5999999999999857</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c:v>2.2999999999999972</c:v>
                </c:pt>
                <c:pt idx="28">
                  <c:v>2.7999999999999972</c:v>
                </c:pt>
                <c:pt idx="29">
                  <c:v>5.2999999999999972</c:v>
                </c:pt>
                <c:pt idx="30">
                  <c:v>4.2000000000000028</c:v>
                </c:pt>
              </c:numCache>
            </c:numRef>
          </c:val>
          <c:extLst xmlns:c16r2="http://schemas.microsoft.com/office/drawing/2015/06/chart">
            <c:ext xmlns:c16="http://schemas.microsoft.com/office/drawing/2014/chart" uri="{C3380CC4-5D6E-409C-BE32-E72D297353CC}">
              <c16:uniqueId val="{00000000-69D0-4FD4-8453-73FC3ED67489}"/>
            </c:ext>
          </c:extLst>
        </c:ser>
        <c:gapWidth val="78"/>
        <c:axId val="178430336"/>
        <c:axId val="178432256"/>
      </c:barChart>
      <c:lineChart>
        <c:grouping val="standard"/>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3'!$A$9:$B$39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3'!$C$9:$C$39</c:f>
              <c:numCache>
                <c:formatCode>0.0</c:formatCode>
                <c:ptCount val="31"/>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5.2999999999999972</c:v>
                </c:pt>
                <c:pt idx="29">
                  <c:v>7.5999999999999943</c:v>
                </c:pt>
                <c:pt idx="30">
                  <c:v>6.7999999999999972</c:v>
                </c:pt>
              </c:numCache>
            </c:numRef>
          </c:val>
          <c:extLst xmlns:c16r2="http://schemas.microsoft.com/office/drawing/2015/06/chart">
            <c:ext xmlns:c16="http://schemas.microsoft.com/office/drawing/2014/chart" uri="{C3380CC4-5D6E-409C-BE32-E72D297353CC}">
              <c16:uniqueId val="{00000001-69D0-4FD4-8453-73FC3ED67489}"/>
            </c:ext>
          </c:extLst>
        </c:ser>
        <c:ser>
          <c:idx val="1"/>
          <c:order val="1"/>
          <c:tx>
            <c:strRef>
              <c:f>'Trh práce 3'!$D$8</c:f>
              <c:strCache>
                <c:ptCount val="1"/>
                <c:pt idx="0">
                  <c:v>Mediánová mzda (nominálně)</c:v>
                </c:pt>
              </c:strCache>
            </c:strRef>
          </c:tx>
          <c:spPr>
            <a:ln w="19050">
              <a:solidFill>
                <a:srgbClr val="BD1B21"/>
              </a:solidFill>
              <a:prstDash val="solid"/>
            </a:ln>
          </c:spPr>
          <c:marker>
            <c:symbol val="none"/>
          </c:marker>
          <c:cat>
            <c:multiLvlStrRef>
              <c:f>'Trh práce 3'!$A$9:$B$39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3'!$D$9:$D$39</c:f>
              <c:numCache>
                <c:formatCode>0.0</c:formatCode>
                <c:ptCount val="31"/>
                <c:pt idx="0">
                  <c:v>3.2000000000000042</c:v>
                </c:pt>
                <c:pt idx="1">
                  <c:v>2.5999999999999943</c:v>
                </c:pt>
                <c:pt idx="2">
                  <c:v>2.7999999999999972</c:v>
                </c:pt>
                <c:pt idx="3">
                  <c:v>1.7999999999999872</c:v>
                </c:pt>
                <c:pt idx="4">
                  <c:v>2.7999999999999972</c:v>
                </c:pt>
                <c:pt idx="5">
                  <c:v>2.2000000000000042</c:v>
                </c:pt>
                <c:pt idx="6">
                  <c:v>1.7000000000000028</c:v>
                </c:pt>
                <c:pt idx="7">
                  <c:v>2.2000000000000042</c:v>
                </c:pt>
                <c:pt idx="8">
                  <c:v>1.4000000000000057</c:v>
                </c:pt>
                <c:pt idx="9">
                  <c:v>1.2999999999999872</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3.7999999999999972</c:v>
                </c:pt>
                <c:pt idx="26">
                  <c:v>4.5999999999999943</c:v>
                </c:pt>
                <c:pt idx="27">
                  <c:v>5.5999999999999943</c:v>
                </c:pt>
                <c:pt idx="28">
                  <c:v>5.2000000000000028</c:v>
                </c:pt>
                <c:pt idx="29">
                  <c:v>8.1000000000000014</c:v>
                </c:pt>
                <c:pt idx="30">
                  <c:v>7.0999999999999943</c:v>
                </c:pt>
              </c:numCache>
            </c:numRef>
          </c:val>
          <c:extLst xmlns:c16r2="http://schemas.microsoft.com/office/drawing/2015/06/chart">
            <c:ext xmlns:c16="http://schemas.microsoft.com/office/drawing/2014/chart" uri="{C3380CC4-5D6E-409C-BE32-E72D297353CC}">
              <c16:uniqueId val="{00000002-69D0-4FD4-8453-73FC3ED67489}"/>
            </c:ext>
          </c:extLst>
        </c:ser>
        <c:ser>
          <c:idx val="3"/>
          <c:order val="3"/>
          <c:tx>
            <c:strRef>
              <c:f>'Trh práce 3'!$F$8</c:f>
              <c:strCache>
                <c:ptCount val="1"/>
                <c:pt idx="0">
                  <c:v>Produktivita práce v NH (reálně)*</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3'!$A$9:$B$39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'Trh práce 3'!$F$9:$F$39</c:f>
              <c:numCache>
                <c:formatCode>#,##0.0</c:formatCode>
                <c:ptCount val="31"/>
                <c:pt idx="0">
                  <c:v>3.5332846838865208</c:v>
                </c:pt>
                <c:pt idx="1">
                  <c:v>4.425122650740704</c:v>
                </c:pt>
                <c:pt idx="2">
                  <c:v>2.3152819998793177</c:v>
                </c:pt>
                <c:pt idx="3">
                  <c:v>2.9717863026053952</c:v>
                </c:pt>
                <c:pt idx="4">
                  <c:v>2.9527260280244287</c:v>
                </c:pt>
                <c:pt idx="5">
                  <c:v>2.0923191727528945</c:v>
                </c:pt>
                <c:pt idx="6">
                  <c:v>1.8080251400873948</c:v>
                </c:pt>
                <c:pt idx="7">
                  <c:v>1.5019620723850626</c:v>
                </c:pt>
                <c:pt idx="8">
                  <c:v>0.41537995919813397</c:v>
                </c:pt>
                <c:pt idx="9">
                  <c:v>-1.2819231607880959</c:v>
                </c:pt>
                <c:pt idx="10">
                  <c:v>-1.8249350322319771</c:v>
                </c:pt>
                <c:pt idx="11">
                  <c:v>-2.0588258996494337</c:v>
                </c:pt>
                <c:pt idx="12">
                  <c:v>-2.8802810421720642</c:v>
                </c:pt>
                <c:pt idx="13">
                  <c:v>-1.827948004663384</c:v>
                </c:pt>
                <c:pt idx="14">
                  <c:v>0.40461936993752273</c:v>
                </c:pt>
                <c:pt idx="15">
                  <c:v>0.95515229453818551</c:v>
                </c:pt>
                <c:pt idx="16">
                  <c:v>1.7448585072078089</c:v>
                </c:pt>
                <c:pt idx="17">
                  <c:v>2.7515963261383551</c:v>
                </c:pt>
                <c:pt idx="18">
                  <c:v>3.0294730201186377</c:v>
                </c:pt>
                <c:pt idx="19">
                  <c:v>1.0840279704352798</c:v>
                </c:pt>
                <c:pt idx="20">
                  <c:v>3.7518410336967767</c:v>
                </c:pt>
                <c:pt idx="21">
                  <c:v>4.1202609165826694</c:v>
                </c:pt>
                <c:pt idx="22">
                  <c:v>3.76028698995718</c:v>
                </c:pt>
                <c:pt idx="23">
                  <c:v>3.6745015563025007</c:v>
                </c:pt>
                <c:pt idx="24">
                  <c:v>1.8399838919702489</c:v>
                </c:pt>
                <c:pt idx="25">
                  <c:v>2.8834334980329612</c:v>
                </c:pt>
                <c:pt idx="26">
                  <c:v>0.36633315668368027</c:v>
                </c:pt>
                <c:pt idx="27">
                  <c:v>0.17270104557236907</c:v>
                </c:pt>
                <c:pt idx="28">
                  <c:v>2.4660114822129082</c:v>
                </c:pt>
                <c:pt idx="29">
                  <c:v>2.0730408147778827</c:v>
                </c:pt>
                <c:pt idx="30">
                  <c:v>2.5862093454237107</c:v>
                </c:pt>
              </c:numCache>
            </c:numRef>
          </c:val>
          <c:extLst xmlns:c16r2="http://schemas.microsoft.com/office/drawing/2015/06/chart">
            <c:ext xmlns:c16="http://schemas.microsoft.com/office/drawing/2014/chart" uri="{C3380CC4-5D6E-409C-BE32-E72D297353CC}">
              <c16:uniqueId val="{00000003-69D0-4FD4-8453-73FC3ED67489}"/>
            </c:ext>
          </c:extLst>
        </c:ser>
        <c:marker val="1"/>
        <c:axId val="178430336"/>
        <c:axId val="178432256"/>
      </c:lineChart>
      <c:catAx>
        <c:axId val="178430336"/>
        <c:scaling>
          <c:orientation val="minMax"/>
        </c:scaling>
        <c:axPos val="b"/>
        <c:numFmt formatCode="General" sourceLinked="1"/>
        <c:tickLblPos val="low"/>
        <c:spPr>
          <a:ln>
            <a:solidFill>
              <a:schemeClr val="tx1"/>
            </a:solidFill>
          </a:ln>
        </c:spPr>
        <c:txPr>
          <a:bodyPr rot="0" vert="horz"/>
          <a:lstStyle/>
          <a:p>
            <a:pPr>
              <a:defRPr/>
            </a:pPr>
            <a:endParaRPr lang="cs-CZ"/>
          </a:p>
        </c:txPr>
        <c:crossAx val="178432256"/>
        <c:crosses val="autoZero"/>
        <c:auto val="1"/>
        <c:lblAlgn val="ctr"/>
        <c:lblOffset val="0"/>
        <c:tickMarkSkip val="4"/>
      </c:catAx>
      <c:valAx>
        <c:axId val="178432256"/>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178430336"/>
        <c:crosses val="autoZero"/>
        <c:crossBetween val="between"/>
        <c:majorUnit val="1"/>
      </c:valAx>
      <c:spPr>
        <a:ln>
          <a:solidFill>
            <a:schemeClr val="tx1"/>
          </a:solidFill>
        </a:ln>
      </c:spPr>
    </c:plotArea>
    <c:legend>
      <c:legendPos val="b"/>
      <c:layout>
        <c:manualLayout>
          <c:xMode val="edge"/>
          <c:yMode val="edge"/>
          <c:x val="3.6639859844647071E-2"/>
          <c:y val="0.89378061224490313"/>
          <c:w val="0.94842536305302261"/>
          <c:h val="9.5420068027211244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10006E-2"/>
          <c:w val="0.93757303275920301"/>
          <c:h val="0.73130361364404906"/>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'Měnové podmínky 1'!$C$18:$C$74</c:f>
              <c:numCache>
                <c:formatCode>0.00</c:formatCode>
                <c:ptCount val="57"/>
                <c:pt idx="0">
                  <c:v>5.0000000000000093E-2</c:v>
                </c:pt>
                <c:pt idx="1">
                  <c:v>5.0000000000000093E-2</c:v>
                </c:pt>
                <c:pt idx="2">
                  <c:v>5.0000000000000093E-2</c:v>
                </c:pt>
                <c:pt idx="3">
                  <c:v>5.0000000000000093E-2</c:v>
                </c:pt>
                <c:pt idx="4">
                  <c:v>5.0000000000000093E-2</c:v>
                </c:pt>
                <c:pt idx="5">
                  <c:v>5.0000000000000093E-2</c:v>
                </c:pt>
                <c:pt idx="6">
                  <c:v>5.0000000000000093E-2</c:v>
                </c:pt>
                <c:pt idx="7">
                  <c:v>5.0000000000000093E-2</c:v>
                </c:pt>
                <c:pt idx="8">
                  <c:v>5.0000000000000093E-2</c:v>
                </c:pt>
                <c:pt idx="9">
                  <c:v>5.0000000000000093E-2</c:v>
                </c:pt>
                <c:pt idx="10">
                  <c:v>5.0000000000000093E-2</c:v>
                </c:pt>
                <c:pt idx="11">
                  <c:v>5.0000000000000093E-2</c:v>
                </c:pt>
                <c:pt idx="12">
                  <c:v>5.0000000000000093E-2</c:v>
                </c:pt>
                <c:pt idx="13">
                  <c:v>5.0000000000000093E-2</c:v>
                </c:pt>
                <c:pt idx="14">
                  <c:v>5.0000000000000093E-2</c:v>
                </c:pt>
                <c:pt idx="15">
                  <c:v>5.0000000000000093E-2</c:v>
                </c:pt>
                <c:pt idx="16">
                  <c:v>5.0000000000000093E-2</c:v>
                </c:pt>
                <c:pt idx="17">
                  <c:v>5.0000000000000093E-2</c:v>
                </c:pt>
                <c:pt idx="18">
                  <c:v>5.0000000000000093E-2</c:v>
                </c:pt>
                <c:pt idx="19">
                  <c:v>5.0000000000000093E-2</c:v>
                </c:pt>
                <c:pt idx="20">
                  <c:v>5.0000000000000093E-2</c:v>
                </c:pt>
                <c:pt idx="21">
                  <c:v>5.0000000000000093E-2</c:v>
                </c:pt>
                <c:pt idx="22">
                  <c:v>5.0000000000000093E-2</c:v>
                </c:pt>
                <c:pt idx="23">
                  <c:v>5.0000000000000093E-2</c:v>
                </c:pt>
                <c:pt idx="24">
                  <c:v>5.0000000000000093E-2</c:v>
                </c:pt>
                <c:pt idx="25">
                  <c:v>5.0000000000000093E-2</c:v>
                </c:pt>
                <c:pt idx="26">
                  <c:v>5.0000000000000093E-2</c:v>
                </c:pt>
                <c:pt idx="27">
                  <c:v>5.0000000000000093E-2</c:v>
                </c:pt>
                <c:pt idx="28">
                  <c:v>5.0000000000000093E-2</c:v>
                </c:pt>
                <c:pt idx="29">
                  <c:v>5.0000000000000093E-2</c:v>
                </c:pt>
                <c:pt idx="30">
                  <c:v>5.0000000000000093E-2</c:v>
                </c:pt>
                <c:pt idx="31">
                  <c:v>5.0000000000000093E-2</c:v>
                </c:pt>
                <c:pt idx="32">
                  <c:v>5.0000000000000093E-2</c:v>
                </c:pt>
                <c:pt idx="33">
                  <c:v>5.0000000000000093E-2</c:v>
                </c:pt>
                <c:pt idx="34">
                  <c:v>5.0000000000000093E-2</c:v>
                </c:pt>
                <c:pt idx="35">
                  <c:v>5.0000000000000093E-2</c:v>
                </c:pt>
                <c:pt idx="36">
                  <c:v>5.0000000000000093E-2</c:v>
                </c:pt>
                <c:pt idx="37">
                  <c:v>5.0000000000000093E-2</c:v>
                </c:pt>
                <c:pt idx="38">
                  <c:v>5.0000000000000093E-2</c:v>
                </c:pt>
                <c:pt idx="39">
                  <c:v>5.0000000000000093E-2</c:v>
                </c:pt>
                <c:pt idx="40">
                  <c:v>5.0000000000000093E-2</c:v>
                </c:pt>
                <c:pt idx="41">
                  <c:v>5.0000000000000093E-2</c:v>
                </c:pt>
                <c:pt idx="42">
                  <c:v>5.0000000000000093E-2</c:v>
                </c:pt>
                <c:pt idx="43">
                  <c:v>5.0000000000000093E-2</c:v>
                </c:pt>
                <c:pt idx="44">
                  <c:v>5.0000000000000093E-2</c:v>
                </c:pt>
                <c:pt idx="45">
                  <c:v>5.0000000000000093E-2</c:v>
                </c:pt>
                <c:pt idx="46">
                  <c:v>5.0000000000000093E-2</c:v>
                </c:pt>
                <c:pt idx="47">
                  <c:v>5.0000000000000093E-2</c:v>
                </c:pt>
                <c:pt idx="48" formatCode="General">
                  <c:v>5.0000000000000093E-2</c:v>
                </c:pt>
                <c:pt idx="49" formatCode="General">
                  <c:v>5.0000000000000093E-2</c:v>
                </c:pt>
                <c:pt idx="50" formatCode="General">
                  <c:v>5.0000000000000093E-2</c:v>
                </c:pt>
                <c:pt idx="51" formatCode="General">
                  <c:v>5.0000000000000093E-2</c:v>
                </c:pt>
                <c:pt idx="52" formatCode="General">
                  <c:v>5.0000000000000093E-2</c:v>
                </c:pt>
                <c:pt idx="53" formatCode="General">
                  <c:v>5.0000000000000093E-2</c:v>
                </c:pt>
                <c:pt idx="54" formatCode="General">
                  <c:v>5.0000000000000093E-2</c:v>
                </c:pt>
                <c:pt idx="55" formatCode="General">
                  <c:v>0.25</c:v>
                </c:pt>
                <c:pt idx="56" formatCode="General">
                  <c:v>0.25</c:v>
                </c:pt>
              </c:numCache>
            </c:numRef>
          </c:val>
          <c:extLst xmlns:c16r2="http://schemas.microsoft.com/office/drawing/2015/06/chart">
            <c:ext xmlns:c16="http://schemas.microsoft.com/office/drawing/2014/chart" uri="{C3380CC4-5D6E-409C-BE32-E72D297353CC}">
              <c16:uniqueId val="{00000000-4994-4F13-A23E-5D15BB9D711A}"/>
            </c:ext>
          </c:extLst>
        </c:ser>
        <c:gapWidth val="31"/>
        <c:axId val="181535104"/>
        <c:axId val="181536640"/>
      </c:barChart>
      <c:lineChart>
        <c:grouping val="standard"/>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'Měnové podmínky 1'!$F$18:$F$74</c:f>
              <c:numCache>
                <c:formatCode>0.00</c:formatCode>
                <c:ptCount val="57"/>
                <c:pt idx="0">
                  <c:v>0.30000000000000032</c:v>
                </c:pt>
                <c:pt idx="1">
                  <c:v>0.36000000000000032</c:v>
                </c:pt>
                <c:pt idx="2">
                  <c:v>0.31000000000000227</c:v>
                </c:pt>
                <c:pt idx="3">
                  <c:v>0.30000000000000032</c:v>
                </c:pt>
                <c:pt idx="4">
                  <c:v>0.29000000000000031</c:v>
                </c:pt>
                <c:pt idx="5">
                  <c:v>0.43000000000000038</c:v>
                </c:pt>
                <c:pt idx="6">
                  <c:v>0.41000000000000031</c:v>
                </c:pt>
                <c:pt idx="7">
                  <c:v>0.4</c:v>
                </c:pt>
                <c:pt idx="8">
                  <c:v>0.37000000000000038</c:v>
                </c:pt>
                <c:pt idx="9">
                  <c:v>0.33000000000000285</c:v>
                </c:pt>
                <c:pt idx="10">
                  <c:v>0.2</c:v>
                </c:pt>
                <c:pt idx="11">
                  <c:v>0.19000000000000011</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9.0000000000000066E-2</c:v>
                </c:pt>
                <c:pt idx="25">
                  <c:v>6.0000000000000102E-2</c:v>
                </c:pt>
                <c:pt idx="26">
                  <c:v>4.0000000000000084E-2</c:v>
                </c:pt>
                <c:pt idx="27">
                  <c:v>-3.0000000000000051E-2</c:v>
                </c:pt>
                <c:pt idx="28">
                  <c:v>4.0000000000000084E-2</c:v>
                </c:pt>
                <c:pt idx="29">
                  <c:v>0.11000000000000006</c:v>
                </c:pt>
                <c:pt idx="30">
                  <c:v>2.0000000000000042E-2</c:v>
                </c:pt>
                <c:pt idx="31">
                  <c:v>-7.0000000000000034E-2</c:v>
                </c:pt>
                <c:pt idx="32">
                  <c:v>-0.30000000000000032</c:v>
                </c:pt>
                <c:pt idx="33">
                  <c:v>-0.28000000000000008</c:v>
                </c:pt>
                <c:pt idx="34">
                  <c:v>-0.33000000000000285</c:v>
                </c:pt>
                <c:pt idx="35">
                  <c:v>-0.3800000000000025</c:v>
                </c:pt>
                <c:pt idx="36" formatCode="General">
                  <c:v>-0.21000000000000021</c:v>
                </c:pt>
                <c:pt idx="37" formatCode="General">
                  <c:v>-0.18000000000000024</c:v>
                </c:pt>
                <c:pt idx="38" formatCode="General">
                  <c:v>-0.17</c:v>
                </c:pt>
                <c:pt idx="39" formatCode="General">
                  <c:v>-8.0000000000000168E-2</c:v>
                </c:pt>
                <c:pt idx="40" formatCode="General">
                  <c:v>-4.0000000000000084E-2</c:v>
                </c:pt>
                <c:pt idx="41" formatCode="General">
                  <c:v>-5.0000000000000093E-2</c:v>
                </c:pt>
                <c:pt idx="42" formatCode="General">
                  <c:v>-0.13</c:v>
                </c:pt>
                <c:pt idx="43" formatCode="General">
                  <c:v>-0.22000000000000011</c:v>
                </c:pt>
                <c:pt idx="44" formatCode="General">
                  <c:v>-0.5</c:v>
                </c:pt>
                <c:pt idx="45" formatCode="General">
                  <c:v>-0.74000000000000365</c:v>
                </c:pt>
                <c:pt idx="46" formatCode="General">
                  <c:v>-0.73000000000000065</c:v>
                </c:pt>
                <c:pt idx="47" formatCode="General">
                  <c:v>-0.81</c:v>
                </c:pt>
                <c:pt idx="48" formatCode="General">
                  <c:v>-0.88000000000000045</c:v>
                </c:pt>
                <c:pt idx="49" formatCode="General">
                  <c:v>-0.53</c:v>
                </c:pt>
                <c:pt idx="50" formatCode="General">
                  <c:v>-0.44000000000000022</c:v>
                </c:pt>
                <c:pt idx="51" formatCode="General">
                  <c:v>-0.23</c:v>
                </c:pt>
                <c:pt idx="52" formatCode="General">
                  <c:v>-0.24000000000000021</c:v>
                </c:pt>
                <c:pt idx="53" formatCode="General">
                  <c:v>-0.25</c:v>
                </c:pt>
                <c:pt idx="54" formatCode="General">
                  <c:v>-0.29000000000000031</c:v>
                </c:pt>
                <c:pt idx="55" formatCode="General">
                  <c:v>-0.33000000000000285</c:v>
                </c:pt>
                <c:pt idx="56" formatCode="General">
                  <c:v>-0.29000000000000031</c:v>
                </c:pt>
              </c:numCache>
            </c:numRef>
          </c:val>
          <c:extLst xmlns:c16r2="http://schemas.microsoft.com/office/drawing/2015/06/chart">
            <c:ext xmlns:c16="http://schemas.microsoft.com/office/drawing/2014/chart" uri="{C3380CC4-5D6E-409C-BE32-E72D297353CC}">
              <c16:uniqueId val="{00000001-4994-4F13-A23E-5D15BB9D711A}"/>
            </c:ext>
          </c:extLst>
        </c:ser>
        <c:ser>
          <c:idx val="1"/>
          <c:order val="2"/>
          <c:tx>
            <c:strRef>
              <c:f>'Měnové podmínky 1'!$D$5</c:f>
              <c:strCache>
                <c:ptCount val="1"/>
                <c:pt idx="0">
                  <c:v>PRIBOR (3M)</c:v>
                </c:pt>
              </c:strCache>
            </c:strRef>
          </c:tx>
          <c:spPr>
            <a:ln w="19050">
              <a:solidFill>
                <a:srgbClr val="7030A0"/>
              </a:solidFill>
            </a:ln>
          </c:spPr>
          <c:marker>
            <c:symbol val="none"/>
          </c:marker>
          <c:cat>
            <c:multiLvlStrRef>
              <c:f>'Měnové podmínky 1'!$A$18:$B$74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'Měnové podmínky 1'!$D$18:$D$74</c:f>
              <c:numCache>
                <c:formatCode>0.00</c:formatCode>
                <c:ptCount val="57"/>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0.3800000000000025</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0.34000000000000036</c:v>
                </c:pt>
                <c:pt idx="23">
                  <c:v>0.34000000000000036</c:v>
                </c:pt>
                <c:pt idx="24">
                  <c:v>0.33000000000000285</c:v>
                </c:pt>
                <c:pt idx="25">
                  <c:v>0.33000000000000285</c:v>
                </c:pt>
                <c:pt idx="26">
                  <c:v>0.32000000000000256</c:v>
                </c:pt>
                <c:pt idx="27">
                  <c:v>0.31000000000000227</c:v>
                </c:pt>
                <c:pt idx="28">
                  <c:v>0.31000000000000227</c:v>
                </c:pt>
                <c:pt idx="29">
                  <c:v>0.31000000000000227</c:v>
                </c:pt>
                <c:pt idx="30">
                  <c:v>0.31000000000000227</c:v>
                </c:pt>
                <c:pt idx="31">
                  <c:v>0.31000000000000227</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0.28000000000000008</c:v>
                </c:pt>
                <c:pt idx="51" formatCode="General">
                  <c:v>0.29000000000000031</c:v>
                </c:pt>
                <c:pt idx="52" formatCode="General">
                  <c:v>0.30000000000000032</c:v>
                </c:pt>
                <c:pt idx="53" formatCode="General">
                  <c:v>0.30000000000000032</c:v>
                </c:pt>
                <c:pt idx="54" formatCode="General">
                  <c:v>0.30000000000000032</c:v>
                </c:pt>
                <c:pt idx="55" formatCode="General">
                  <c:v>0.43000000000000038</c:v>
                </c:pt>
                <c:pt idx="56" formatCode="General">
                  <c:v>0.46</c:v>
                </c:pt>
              </c:numCache>
            </c:numRef>
          </c:val>
          <c:extLst xmlns:c16r2="http://schemas.microsoft.com/office/drawing/2015/06/chart">
            <c:ext xmlns:c16="http://schemas.microsoft.com/office/drawing/2014/chart" uri="{C3380CC4-5D6E-409C-BE32-E72D297353CC}">
              <c16:uniqueId val="{00000002-4994-4F13-A23E-5D15BB9D711A}"/>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'Měnové podmínky 1'!$G$18:$G$74</c:f>
              <c:numCache>
                <c:formatCode>0.00</c:formatCode>
                <c:ptCount val="57"/>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1.1399999999999897</c:v>
                </c:pt>
                <c:pt idx="15">
                  <c:v>0.99</c:v>
                </c:pt>
                <c:pt idx="16">
                  <c:v>0.8</c:v>
                </c:pt>
                <c:pt idx="17">
                  <c:v>0.68000000000000083</c:v>
                </c:pt>
                <c:pt idx="18">
                  <c:v>0.65000000000000524</c:v>
                </c:pt>
                <c:pt idx="19">
                  <c:v>0.62000000000000455</c:v>
                </c:pt>
                <c:pt idx="20">
                  <c:v>0.51</c:v>
                </c:pt>
                <c:pt idx="21">
                  <c:v>0.37000000000000038</c:v>
                </c:pt>
                <c:pt idx="22">
                  <c:v>0.24000000000000021</c:v>
                </c:pt>
                <c:pt idx="23">
                  <c:v>0.22000000000000011</c:v>
                </c:pt>
                <c:pt idx="24">
                  <c:v>0.13</c:v>
                </c:pt>
                <c:pt idx="25">
                  <c:v>0.17</c:v>
                </c:pt>
                <c:pt idx="26">
                  <c:v>0.14000000000000001</c:v>
                </c:pt>
                <c:pt idx="27">
                  <c:v>5.0000000000000093E-2</c:v>
                </c:pt>
                <c:pt idx="28">
                  <c:v>0.22000000000000011</c:v>
                </c:pt>
                <c:pt idx="29">
                  <c:v>0.43000000000000038</c:v>
                </c:pt>
                <c:pt idx="30">
                  <c:v>0.35000000000000031</c:v>
                </c:pt>
                <c:pt idx="31">
                  <c:v>0.2</c:v>
                </c:pt>
                <c:pt idx="32">
                  <c:v>6.0000000000000102E-2</c:v>
                </c:pt>
                <c:pt idx="33">
                  <c:v>-5.0000000000000093E-2</c:v>
                </c:pt>
                <c:pt idx="34">
                  <c:v>-5.0000000000000093E-2</c:v>
                </c:pt>
                <c:pt idx="35">
                  <c:v>-0.11000000000000006</c:v>
                </c:pt>
                <c:pt idx="36" formatCode="General">
                  <c:v>4.0000000000000084E-2</c:v>
                </c:pt>
                <c:pt idx="37" formatCode="General">
                  <c:v>-8.0000000000000168E-2</c:v>
                </c:pt>
                <c:pt idx="38" formatCode="General">
                  <c:v>-0.1</c:v>
                </c:pt>
                <c:pt idx="39" formatCode="General">
                  <c:v>4.0000000000000084E-2</c:v>
                </c:pt>
                <c:pt idx="40" formatCode="General">
                  <c:v>7.0000000000000034E-2</c:v>
                </c:pt>
                <c:pt idx="41" formatCode="General">
                  <c:v>5.0000000000000093E-2</c:v>
                </c:pt>
                <c:pt idx="42" formatCode="General">
                  <c:v>-2.0000000000000042E-2</c:v>
                </c:pt>
                <c:pt idx="43" formatCode="General">
                  <c:v>-9.0000000000000066E-2</c:v>
                </c:pt>
                <c:pt idx="44" formatCode="General">
                  <c:v>-0.19000000000000011</c:v>
                </c:pt>
                <c:pt idx="45" formatCode="General">
                  <c:v>-0.17</c:v>
                </c:pt>
                <c:pt idx="46" formatCode="General">
                  <c:v>-0.17</c:v>
                </c:pt>
                <c:pt idx="47" formatCode="General">
                  <c:v>-0.21000000000000021</c:v>
                </c:pt>
                <c:pt idx="48" formatCode="General">
                  <c:v>-0.22000000000000011</c:v>
                </c:pt>
                <c:pt idx="49" formatCode="General">
                  <c:v>9.0000000000000066E-2</c:v>
                </c:pt>
                <c:pt idx="50" formatCode="General">
                  <c:v>0.1</c:v>
                </c:pt>
                <c:pt idx="51" formatCode="General">
                  <c:v>0.16000000000000011</c:v>
                </c:pt>
                <c:pt idx="52" formatCode="General">
                  <c:v>4.0000000000000084E-2</c:v>
                </c:pt>
                <c:pt idx="53" formatCode="General">
                  <c:v>-3.0000000000000051E-2</c:v>
                </c:pt>
                <c:pt idx="54" formatCode="General">
                  <c:v>0.14000000000000001</c:v>
                </c:pt>
                <c:pt idx="55" formatCode="General">
                  <c:v>9.0000000000000066E-2</c:v>
                </c:pt>
                <c:pt idx="56" formatCode="General">
                  <c:v>0.1</c:v>
                </c:pt>
              </c:numCache>
            </c:numRef>
          </c:val>
          <c:extLst xmlns:c16r2="http://schemas.microsoft.com/office/drawing/2015/06/chart">
            <c:ext xmlns:c16="http://schemas.microsoft.com/office/drawing/2014/chart" uri="{C3380CC4-5D6E-409C-BE32-E72D297353CC}">
              <c16:uniqueId val="{00000003-4994-4F13-A23E-5D15BB9D711A}"/>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'Měnové podmínky 1'!$E$18:$E$74</c:f>
              <c:numCache>
                <c:formatCode>0.00</c:formatCode>
                <c:ptCount val="57"/>
                <c:pt idx="0">
                  <c:v>0.86000000000000065</c:v>
                </c:pt>
                <c:pt idx="1">
                  <c:v>0.83000000000000063</c:v>
                </c:pt>
                <c:pt idx="2">
                  <c:v>0.78</c:v>
                </c:pt>
                <c:pt idx="3">
                  <c:v>0.76000000000000512</c:v>
                </c:pt>
                <c:pt idx="4">
                  <c:v>0.76000000000000512</c:v>
                </c:pt>
                <c:pt idx="5">
                  <c:v>0.76000000000000512</c:v>
                </c:pt>
                <c:pt idx="6">
                  <c:v>0.75000000000000466</c:v>
                </c:pt>
                <c:pt idx="7">
                  <c:v>0.75000000000000466</c:v>
                </c:pt>
                <c:pt idx="8">
                  <c:v>0.74000000000000365</c:v>
                </c:pt>
                <c:pt idx="9">
                  <c:v>0.73000000000000065</c:v>
                </c:pt>
                <c:pt idx="10">
                  <c:v>0.65000000000000524</c:v>
                </c:pt>
                <c:pt idx="11">
                  <c:v>0.61000000000000065</c:v>
                </c:pt>
                <c:pt idx="12">
                  <c:v>0.58000000000000052</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0.44000000000000022</c:v>
                </c:pt>
                <c:pt idx="49" formatCode="General">
                  <c:v>0.44000000000000022</c:v>
                </c:pt>
                <c:pt idx="50" formatCode="General">
                  <c:v>0.44000000000000022</c:v>
                </c:pt>
                <c:pt idx="51" formatCode="General">
                  <c:v>0.45</c:v>
                </c:pt>
                <c:pt idx="52" formatCode="General">
                  <c:v>0.46</c:v>
                </c:pt>
                <c:pt idx="53" formatCode="General">
                  <c:v>0.46</c:v>
                </c:pt>
                <c:pt idx="54" formatCode="General">
                  <c:v>0.47000000000000008</c:v>
                </c:pt>
                <c:pt idx="55" formatCode="General">
                  <c:v>0.60000000000000064</c:v>
                </c:pt>
                <c:pt idx="56" formatCode="General">
                  <c:v>0.64000000000000512</c:v>
                </c:pt>
              </c:numCache>
            </c:numRef>
          </c:val>
          <c:extLst xmlns:c16r2="http://schemas.microsoft.com/office/drawing/2015/06/chart">
            <c:ext xmlns:c16="http://schemas.microsoft.com/office/drawing/2014/chart" uri="{C3380CC4-5D6E-409C-BE32-E72D297353CC}">
              <c16:uniqueId val="{00000004-4994-4F13-A23E-5D15BB9D711A}"/>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'Měnové podmínky 1'!$H$18:$H$74</c:f>
              <c:numCache>
                <c:formatCode>0.00</c:formatCode>
                <c:ptCount val="57"/>
                <c:pt idx="0">
                  <c:v>1.9600000000000082</c:v>
                </c:pt>
                <c:pt idx="1">
                  <c:v>2.0099999999999998</c:v>
                </c:pt>
                <c:pt idx="2">
                  <c:v>1.9800000000000091</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1.7300000000000009</c:v>
                </c:pt>
                <c:pt idx="17">
                  <c:v>1.55</c:v>
                </c:pt>
                <c:pt idx="18">
                  <c:v>1.49</c:v>
                </c:pt>
                <c:pt idx="19">
                  <c:v>1.3800000000000001</c:v>
                </c:pt>
                <c:pt idx="20">
                  <c:v>1.21</c:v>
                </c:pt>
                <c:pt idx="21">
                  <c:v>1.1000000000000001</c:v>
                </c:pt>
                <c:pt idx="22">
                  <c:v>0.87000000000000455</c:v>
                </c:pt>
                <c:pt idx="23">
                  <c:v>0.67000000000000592</c:v>
                </c:pt>
                <c:pt idx="24">
                  <c:v>0.35000000000000031</c:v>
                </c:pt>
                <c:pt idx="25">
                  <c:v>0.4</c:v>
                </c:pt>
                <c:pt idx="26">
                  <c:v>0.35000000000000031</c:v>
                </c:pt>
                <c:pt idx="27">
                  <c:v>0.26</c:v>
                </c:pt>
                <c:pt idx="28">
                  <c:v>0.60000000000000064</c:v>
                </c:pt>
                <c:pt idx="29">
                  <c:v>1.01</c:v>
                </c:pt>
                <c:pt idx="30">
                  <c:v>0.97000000000000064</c:v>
                </c:pt>
                <c:pt idx="31">
                  <c:v>0.74000000000000365</c:v>
                </c:pt>
                <c:pt idx="32">
                  <c:v>0.68000000000000083</c:v>
                </c:pt>
                <c:pt idx="33">
                  <c:v>0.56000000000000005</c:v>
                </c:pt>
                <c:pt idx="34">
                  <c:v>0.49000000000000032</c:v>
                </c:pt>
                <c:pt idx="35">
                  <c:v>0.49000000000000032</c:v>
                </c:pt>
                <c:pt idx="36" formatCode="General">
                  <c:v>0.62000000000000455</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0.47000000000000008</c:v>
                </c:pt>
                <c:pt idx="49" formatCode="General">
                  <c:v>0.63000000000000511</c:v>
                </c:pt>
                <c:pt idx="50" formatCode="General">
                  <c:v>0.87000000000000455</c:v>
                </c:pt>
                <c:pt idx="51" formatCode="General">
                  <c:v>0.96000000000000063</c:v>
                </c:pt>
                <c:pt idx="52" formatCode="General">
                  <c:v>0.74000000000000365</c:v>
                </c:pt>
                <c:pt idx="53" formatCode="General">
                  <c:v>0.77000000000000468</c:v>
                </c:pt>
                <c:pt idx="54" formatCode="General">
                  <c:v>0.9</c:v>
                </c:pt>
                <c:pt idx="55" formatCode="General">
                  <c:v>0.83000000000000063</c:v>
                </c:pt>
                <c:pt idx="56" formatCode="General">
                  <c:v>0.97000000000000064</c:v>
                </c:pt>
              </c:numCache>
            </c:numRef>
          </c:val>
          <c:extLst xmlns:c16r2="http://schemas.microsoft.com/office/drawing/2015/06/chart">
            <c:ext xmlns:c16="http://schemas.microsoft.com/office/drawing/2014/chart" uri="{C3380CC4-5D6E-409C-BE32-E72D297353CC}">
              <c16:uniqueId val="{00000005-4994-4F13-A23E-5D15BB9D711A}"/>
            </c:ext>
          </c:extLst>
        </c:ser>
        <c:marker val="1"/>
        <c:axId val="181535104"/>
        <c:axId val="181536640"/>
      </c:lineChart>
      <c:catAx>
        <c:axId val="181535104"/>
        <c:scaling>
          <c:orientation val="minMax"/>
        </c:scaling>
        <c:axPos val="b"/>
        <c:numFmt formatCode="General" sourceLinked="0"/>
        <c:tickLblPos val="low"/>
        <c:spPr>
          <a:ln>
            <a:solidFill>
              <a:schemeClr val="tx1"/>
            </a:solidFill>
          </a:ln>
        </c:spPr>
        <c:crossAx val="181536640"/>
        <c:crosses val="autoZero"/>
        <c:auto val="1"/>
        <c:lblAlgn val="ctr"/>
        <c:lblOffset val="100"/>
      </c:catAx>
      <c:valAx>
        <c:axId val="181536640"/>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81535104"/>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5577477727787412E-2"/>
          <c:y val="1.7107238390107485E-2"/>
          <c:w val="0.90191712370541888"/>
          <c:h val="0.80441990809425656"/>
        </c:manualLayout>
      </c:layout>
      <c:barChart>
        <c:barDir val="col"/>
        <c:grouping val="clustered"/>
        <c:ser>
          <c:idx val="2"/>
          <c:order val="4"/>
          <c:tx>
            <c:strRef>
              <c:f>'Státní rozpočet 1'!$A$40</c:f>
              <c:strCache>
                <c:ptCount val="1"/>
                <c:pt idx="0">
                  <c:v>Saldo státního rozpočtu</c:v>
                </c:pt>
              </c:strCache>
            </c:strRef>
          </c:tx>
          <c:spPr>
            <a:solidFill>
              <a:sysClr val="window" lastClr="FFFFFF">
                <a:lumMod val="75000"/>
              </a:sysClr>
            </a:solidFill>
            <a:ln>
              <a:noFill/>
            </a:ln>
          </c:spP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1'!$B$40:$N$40</c:f>
              <c:numCache>
                <c:formatCode>#,##0.0</c:formatCode>
                <c:ptCount val="13"/>
                <c:pt idx="0">
                  <c:v>25.75</c:v>
                </c:pt>
                <c:pt idx="1">
                  <c:v>1.49</c:v>
                </c:pt>
                <c:pt idx="2">
                  <c:v>36.315999999999995</c:v>
                </c:pt>
                <c:pt idx="3">
                  <c:v>10.473000000000004</c:v>
                </c:pt>
                <c:pt idx="4">
                  <c:v>-87.296000000000006</c:v>
                </c:pt>
                <c:pt idx="5">
                  <c:v>-99.554999999999993</c:v>
                </c:pt>
                <c:pt idx="6">
                  <c:v>-105.13800000000001</c:v>
                </c:pt>
                <c:pt idx="7">
                  <c:v>-71.412000000000006</c:v>
                </c:pt>
                <c:pt idx="8">
                  <c:v>-38.241</c:v>
                </c:pt>
                <c:pt idx="9">
                  <c:v>-34.39</c:v>
                </c:pt>
                <c:pt idx="10">
                  <c:v>-2.77</c:v>
                </c:pt>
                <c:pt idx="11">
                  <c:v>82.27</c:v>
                </c:pt>
                <c:pt idx="12">
                  <c:v>17.399999999999999</c:v>
                </c:pt>
              </c:numCache>
            </c:numRef>
          </c:val>
          <c:extLst xmlns:c16r2="http://schemas.microsoft.com/office/drawing/2015/06/chart">
            <c:ext xmlns:c16="http://schemas.microsoft.com/office/drawing/2014/chart" uri="{C3380CC4-5D6E-409C-BE32-E72D297353CC}">
              <c16:uniqueId val="{00000000-39FB-4823-9C54-16C9ACB4D9AD}"/>
            </c:ext>
          </c:extLst>
        </c:ser>
        <c:gapWidth val="43"/>
        <c:axId val="181584256"/>
        <c:axId val="181582464"/>
      </c:barChart>
      <c:lineChart>
        <c:grouping val="standard"/>
        <c:ser>
          <c:idx val="0"/>
          <c:order val="0"/>
          <c:tx>
            <c:strRef>
              <c:f>'Státní rozpočet 1'!$A$36</c:f>
              <c:strCache>
                <c:ptCount val="1"/>
                <c:pt idx="0">
                  <c:v>DPH</c:v>
                </c:pt>
              </c:strCache>
            </c:strRef>
          </c:tx>
          <c:spPr>
            <a:ln w="19050">
              <a:solidFill>
                <a:srgbClr val="BD1B25"/>
              </a:solidFill>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1'!$B$36:$N$36</c:f>
              <c:numCache>
                <c:formatCode>0.0</c:formatCode>
                <c:ptCount val="13"/>
                <c:pt idx="0">
                  <c:v>16.110035495321085</c:v>
                </c:pt>
                <c:pt idx="1">
                  <c:v>6.6838046272493346</c:v>
                </c:pt>
                <c:pt idx="2">
                  <c:v>10.322370563334403</c:v>
                </c:pt>
                <c:pt idx="3">
                  <c:v>8.1404958677685926</c:v>
                </c:pt>
                <c:pt idx="4">
                  <c:v>-0.38757574103391623</c:v>
                </c:pt>
                <c:pt idx="5">
                  <c:v>8.3187198597106704</c:v>
                </c:pt>
                <c:pt idx="6">
                  <c:v>1.6897703126581118</c:v>
                </c:pt>
                <c:pt idx="7">
                  <c:v>-0.7960199004975127</c:v>
                </c:pt>
                <c:pt idx="8">
                  <c:v>11.143430290872622</c:v>
                </c:pt>
                <c:pt idx="9">
                  <c:v>5.0536955148452307</c:v>
                </c:pt>
                <c:pt idx="10">
                  <c:v>0.11167425478910872</c:v>
                </c:pt>
                <c:pt idx="11">
                  <c:v>5.8649390767117886</c:v>
                </c:pt>
                <c:pt idx="12">
                  <c:v>10.561296859169378</c:v>
                </c:pt>
              </c:numCache>
            </c:numRef>
          </c:val>
          <c:extLst xmlns:c16r2="http://schemas.microsoft.com/office/drawing/2015/06/chart">
            <c:ext xmlns:c16="http://schemas.microsoft.com/office/drawing/2014/chart" uri="{C3380CC4-5D6E-409C-BE32-E72D297353CC}">
              <c16:uniqueId val="{00000001-39FB-4823-9C54-16C9ACB4D9AD}"/>
            </c:ext>
          </c:extLst>
        </c:ser>
        <c:ser>
          <c:idx val="1"/>
          <c:order val="1"/>
          <c:tx>
            <c:strRef>
              <c:f>'Státní rozpočet 1'!$A$37</c:f>
              <c:strCache>
                <c:ptCount val="1"/>
                <c:pt idx="0">
                  <c:v>Spotřební daň</c:v>
                </c:pt>
              </c:strCache>
            </c:strRef>
          </c:tx>
          <c:spPr>
            <a:ln w="19050">
              <a:solidFill>
                <a:srgbClr val="7DBB2D"/>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1'!$B$37:$N$37</c:f>
              <c:numCache>
                <c:formatCode>0.0</c:formatCode>
                <c:ptCount val="13"/>
                <c:pt idx="0">
                  <c:v>25.978904782545829</c:v>
                </c:pt>
                <c:pt idx="1">
                  <c:v>4.1633214818212991</c:v>
                </c:pt>
                <c:pt idx="2">
                  <c:v>4.5474565073771851</c:v>
                </c:pt>
                <c:pt idx="3">
                  <c:v>3.2859399684044392</c:v>
                </c:pt>
                <c:pt idx="4">
                  <c:v>-3.4771081880289501</c:v>
                </c:pt>
                <c:pt idx="5">
                  <c:v>6.8666807521656485</c:v>
                </c:pt>
                <c:pt idx="6">
                  <c:v>6.3068406484776602</c:v>
                </c:pt>
                <c:pt idx="7">
                  <c:v>-1.4692207550678735</c:v>
                </c:pt>
                <c:pt idx="8">
                  <c:v>-3.6145715364288407</c:v>
                </c:pt>
                <c:pt idx="9">
                  <c:v>2.134534416919621</c:v>
                </c:pt>
                <c:pt idx="10">
                  <c:v>4.4195187422107125</c:v>
                </c:pt>
                <c:pt idx="11">
                  <c:v>6.6011751744399447</c:v>
                </c:pt>
                <c:pt idx="12">
                  <c:v>2.9627077771079597</c:v>
                </c:pt>
              </c:numCache>
            </c:numRef>
          </c:val>
          <c:extLst xmlns:c16r2="http://schemas.microsoft.com/office/drawing/2015/06/chart">
            <c:ext xmlns:c16="http://schemas.microsoft.com/office/drawing/2014/chart" uri="{C3380CC4-5D6E-409C-BE32-E72D297353CC}">
              <c16:uniqueId val="{00000002-39FB-4823-9C54-16C9ACB4D9AD}"/>
            </c:ext>
          </c:extLst>
        </c:ser>
        <c:ser>
          <c:idx val="3"/>
          <c:order val="2"/>
          <c:tx>
            <c:strRef>
              <c:f>'Státní rozpočet 1'!$A$38</c:f>
              <c:strCache>
                <c:ptCount val="1"/>
                <c:pt idx="0">
                  <c:v>Daně z příjmů FO ze závislé činnosti</c:v>
                </c:pt>
              </c:strCache>
            </c:strRef>
          </c:tx>
          <c:spPr>
            <a:ln w="19050">
              <a:solidFill>
                <a:srgbClr val="0071BC"/>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1'!$B$38:$N$38</c:f>
              <c:numCache>
                <c:formatCode>0.0</c:formatCode>
                <c:ptCount val="13"/>
                <c:pt idx="0">
                  <c:v>8.3720930232558146</c:v>
                </c:pt>
                <c:pt idx="1">
                  <c:v>1.0224690734662971</c:v>
                </c:pt>
                <c:pt idx="2">
                  <c:v>13.007622141696848</c:v>
                </c:pt>
                <c:pt idx="3">
                  <c:v>-7.5961963732861619</c:v>
                </c:pt>
                <c:pt idx="4">
                  <c:v>-4.5470862749790655</c:v>
                </c:pt>
                <c:pt idx="5">
                  <c:v>0.46383352137395928</c:v>
                </c:pt>
                <c:pt idx="6">
                  <c:v>6.8754679311205535</c:v>
                </c:pt>
                <c:pt idx="7">
                  <c:v>0.93403385872736056</c:v>
                </c:pt>
                <c:pt idx="8">
                  <c:v>5.6217466743782385</c:v>
                </c:pt>
                <c:pt idx="9">
                  <c:v>4.1616471361296732</c:v>
                </c:pt>
                <c:pt idx="10">
                  <c:v>2.5864788140047921</c:v>
                </c:pt>
                <c:pt idx="11">
                  <c:v>10.17730859895461</c:v>
                </c:pt>
                <c:pt idx="12">
                  <c:v>12.865116279069991</c:v>
                </c:pt>
              </c:numCache>
            </c:numRef>
          </c:val>
          <c:extLst xmlns:c16r2="http://schemas.microsoft.com/office/drawing/2015/06/chart">
            <c:ext xmlns:c16="http://schemas.microsoft.com/office/drawing/2014/chart" uri="{C3380CC4-5D6E-409C-BE32-E72D297353CC}">
              <c16:uniqueId val="{00000003-39FB-4823-9C54-16C9ACB4D9AD}"/>
            </c:ext>
          </c:extLst>
        </c:ser>
        <c:ser>
          <c:idx val="4"/>
          <c:order val="3"/>
          <c:tx>
            <c:strRef>
              <c:f>'Státní rozpočet 1'!$A$39</c:f>
              <c:strCache>
                <c:ptCount val="1"/>
                <c:pt idx="0">
                  <c:v>Daně z příjmů PO</c:v>
                </c:pt>
              </c:strCache>
            </c:strRef>
          </c:tx>
          <c:spPr>
            <a:ln w="19050">
              <a:noFill/>
            </a:ln>
          </c:spPr>
          <c:marker>
            <c:symbol val="diamond"/>
            <c:size val="6"/>
            <c:spPr>
              <a:solidFill>
                <a:srgbClr val="984807"/>
              </a:solidFill>
              <a:ln>
                <a:noFill/>
              </a:ln>
            </c:spPr>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1'!$B$39:$N$39</c:f>
              <c:numCache>
                <c:formatCode>0.0</c:formatCode>
                <c:ptCount val="13"/>
                <c:pt idx="0">
                  <c:v>24.216106474170889</c:v>
                </c:pt>
                <c:pt idx="1">
                  <c:v>-5.7568328339235304</c:v>
                </c:pt>
                <c:pt idx="2">
                  <c:v>21.023219963387589</c:v>
                </c:pt>
                <c:pt idx="3">
                  <c:v>16.598996895151672</c:v>
                </c:pt>
                <c:pt idx="4">
                  <c:v>-35.982520824798584</c:v>
                </c:pt>
                <c:pt idx="5">
                  <c:v>5.5140784982935003</c:v>
                </c:pt>
                <c:pt idx="6">
                  <c:v>-6.1356514707368888</c:v>
                </c:pt>
                <c:pt idx="7">
                  <c:v>8.981262115011841</c:v>
                </c:pt>
                <c:pt idx="8">
                  <c:v>-5.8794466403162176</c:v>
                </c:pt>
                <c:pt idx="9">
                  <c:v>8.8503937007874214</c:v>
                </c:pt>
                <c:pt idx="10">
                  <c:v>11.140046296296306</c:v>
                </c:pt>
                <c:pt idx="11">
                  <c:v>12.921982122711098</c:v>
                </c:pt>
                <c:pt idx="12">
                  <c:v>0.20750076852134244</c:v>
                </c:pt>
              </c:numCache>
            </c:numRef>
          </c:val>
          <c:extLst xmlns:c16r2="http://schemas.microsoft.com/office/drawing/2015/06/chart">
            <c:ext xmlns:c16="http://schemas.microsoft.com/office/drawing/2014/chart" uri="{C3380CC4-5D6E-409C-BE32-E72D297353CC}">
              <c16:uniqueId val="{00000004-39FB-4823-9C54-16C9ACB4D9AD}"/>
            </c:ext>
          </c:extLst>
        </c:ser>
        <c:marker val="1"/>
        <c:axId val="181570560"/>
        <c:axId val="181580928"/>
      </c:lineChart>
      <c:catAx>
        <c:axId val="181570560"/>
        <c:scaling>
          <c:orientation val="minMax"/>
        </c:scaling>
        <c:axPos val="b"/>
        <c:numFmt formatCode="General" sourceLinked="1"/>
        <c:tickLblPos val="low"/>
        <c:spPr>
          <a:ln>
            <a:solidFill>
              <a:schemeClr val="tx1"/>
            </a:solidFill>
          </a:ln>
        </c:spPr>
        <c:crossAx val="181580928"/>
        <c:crosses val="autoZero"/>
        <c:auto val="1"/>
        <c:lblAlgn val="ctr"/>
        <c:lblOffset val="0"/>
      </c:catAx>
      <c:valAx>
        <c:axId val="181580928"/>
        <c:scaling>
          <c:orientation val="minMax"/>
          <c:max val="3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81570560"/>
        <c:crosses val="autoZero"/>
        <c:crossBetween val="between"/>
        <c:majorUnit val="5"/>
      </c:valAx>
      <c:valAx>
        <c:axId val="181582464"/>
        <c:scaling>
          <c:orientation val="minMax"/>
          <c:max val="90"/>
          <c:min val="-120"/>
        </c:scaling>
        <c:axPos val="r"/>
        <c:numFmt formatCode="#,##0" sourceLinked="0"/>
        <c:tickLblPos val="nextTo"/>
        <c:crossAx val="181584256"/>
        <c:crosses val="max"/>
        <c:crossBetween val="between"/>
        <c:majorUnit val="15"/>
      </c:valAx>
      <c:catAx>
        <c:axId val="181584256"/>
        <c:scaling>
          <c:orientation val="minMax"/>
        </c:scaling>
        <c:delete val="1"/>
        <c:axPos val="b"/>
        <c:numFmt formatCode="General" sourceLinked="1"/>
        <c:tickLblPos val="none"/>
        <c:crossAx val="181582464"/>
        <c:crosses val="autoZero"/>
        <c:auto val="1"/>
        <c:lblAlgn val="ctr"/>
        <c:lblOffset val="100"/>
      </c:catAx>
      <c:spPr>
        <a:ln>
          <a:solidFill>
            <a:schemeClr val="tx1"/>
          </a:solidFill>
        </a:ln>
      </c:spPr>
    </c:plotArea>
    <c:legend>
      <c:legendPos val="b"/>
      <c:layout>
        <c:manualLayout>
          <c:xMode val="edge"/>
          <c:yMode val="edge"/>
          <c:x val="5.1878156565656246E-2"/>
          <c:y val="0.8726901927437738"/>
          <c:w val="0.88910690235690248"/>
          <c:h val="0.12011026077097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3724701079031984E-2"/>
          <c:y val="2.6970778117567564E-2"/>
          <c:w val="0.87770649039241211"/>
          <c:h val="0.76009512552065761"/>
        </c:manualLayout>
      </c:layout>
      <c:barChart>
        <c:barDir val="col"/>
        <c:grouping val="clustered"/>
        <c:ser>
          <c:idx val="0"/>
          <c:order val="0"/>
          <c:tx>
            <c:strRef>
              <c:f>'souhrnná výkonnost 2'!$C$5</c:f>
              <c:strCache>
                <c:ptCount val="1"/>
                <c:pt idx="0">
                  <c:v>HDP (pravá osa)</c:v>
                </c:pt>
              </c:strCache>
            </c:strRef>
          </c:tx>
          <c:spPr>
            <a:solidFill>
              <a:schemeClr val="bg1">
                <a:lumMod val="65000"/>
              </a:schemeClr>
            </a:solidFill>
            <a:ln>
              <a:noFill/>
            </a:ln>
          </c:spPr>
          <c:val>
            <c:numRef>
              <c:f>'souhrnná výkonnost 2'!$C$18:$C$74</c:f>
              <c:numCache>
                <c:formatCode>0.0</c:formatCode>
                <c:ptCount val="57"/>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4.7</c:v>
                </c:pt>
                <c:pt idx="52" formatCode="General">
                  <c:v>4.7</c:v>
                </c:pt>
                <c:pt idx="53" formatCode="General">
                  <c:v>4.7</c:v>
                </c:pt>
                <c:pt idx="54" formatCode="General">
                  <c:v>5</c:v>
                </c:pt>
                <c:pt idx="55" formatCode="General">
                  <c:v>5</c:v>
                </c:pt>
                <c:pt idx="56" formatCode="General">
                  <c:v>5</c:v>
                </c:pt>
              </c:numCache>
            </c:numRef>
          </c:val>
          <c:extLst xmlns:c16r2="http://schemas.microsoft.com/office/drawing/2015/06/chart">
            <c:ext xmlns:c16="http://schemas.microsoft.com/office/drawing/2014/chart" uri="{C3380CC4-5D6E-409C-BE32-E72D297353CC}">
              <c16:uniqueId val="{00000000-2114-4FD3-93C1-0D1136939108}"/>
            </c:ext>
          </c:extLst>
        </c:ser>
        <c:gapWidth val="30"/>
        <c:axId val="156482944"/>
        <c:axId val="156481408"/>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'souhrnná výkonnost 2'!$D$18:$D$74</c:f>
              <c:numCache>
                <c:formatCode>###,###,##0.0</c:formatCode>
                <c:ptCount val="57"/>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numCache>
            </c:numRef>
          </c:val>
          <c:extLst xmlns:c16r2="http://schemas.microsoft.com/office/drawing/2015/06/chart">
            <c:ext xmlns:c16="http://schemas.microsoft.com/office/drawing/2014/chart" uri="{C3380CC4-5D6E-409C-BE32-E72D297353CC}">
              <c16:uniqueId val="{00000001-2114-4FD3-93C1-0D1136939108}"/>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'souhrnná výkonnost 2'!$E$18:$E$74</c:f>
              <c:numCache>
                <c:formatCode>###,###,##0.0</c:formatCode>
                <c:ptCount val="57"/>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numCache>
            </c:numRef>
          </c:val>
          <c:extLst xmlns:c16r2="http://schemas.microsoft.com/office/drawing/2015/06/chart">
            <c:ext xmlns:c16="http://schemas.microsoft.com/office/drawing/2014/chart" uri="{C3380CC4-5D6E-409C-BE32-E72D297353CC}">
              <c16:uniqueId val="{00000002-2114-4FD3-93C1-0D1136939108}"/>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2013</c:v>
                  </c:pt>
                  <c:pt idx="12">
                    <c:v>2014</c:v>
                  </c:pt>
                  <c:pt idx="24">
                    <c:v>2015</c:v>
                  </c:pt>
                  <c:pt idx="36">
                    <c:v>2016</c:v>
                  </c:pt>
                  <c:pt idx="48">
                    <c:v>2017</c:v>
                  </c:pt>
                </c:lvl>
              </c:multiLvlStrCache>
            </c:multiLvlStrRef>
          </c:cat>
          <c:val>
            <c:numRef>
              <c:f>'souhrnná výkonnost 2'!$F$18:$F$74</c:f>
              <c:numCache>
                <c:formatCode>###,###,##0.0</c:formatCode>
                <c:ptCount val="57"/>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numCache>
            </c:numRef>
          </c:val>
          <c:extLst xmlns:c16r2="http://schemas.microsoft.com/office/drawing/2015/06/chart">
            <c:ext xmlns:c16="http://schemas.microsoft.com/office/drawing/2014/chart" uri="{C3380CC4-5D6E-409C-BE32-E72D297353CC}">
              <c16:uniqueId val="{00000003-2114-4FD3-93C1-0D1136939108}"/>
            </c:ext>
          </c:extLst>
        </c:ser>
        <c:marker val="1"/>
        <c:axId val="156478080"/>
        <c:axId val="156479872"/>
      </c:lineChart>
      <c:catAx>
        <c:axId val="156478080"/>
        <c:scaling>
          <c:orientation val="minMax"/>
        </c:scaling>
        <c:axPos val="b"/>
        <c:numFmt formatCode="General" sourceLinked="0"/>
        <c:tickLblPos val="low"/>
        <c:spPr>
          <a:ln>
            <a:solidFill>
              <a:schemeClr val="tx1"/>
            </a:solidFill>
          </a:ln>
        </c:spPr>
        <c:crossAx val="156479872"/>
        <c:crossesAt val="100"/>
        <c:auto val="1"/>
        <c:lblAlgn val="ctr"/>
        <c:lblOffset val="100"/>
      </c:catAx>
      <c:valAx>
        <c:axId val="156479872"/>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56478080"/>
        <c:crosses val="autoZero"/>
        <c:crossBetween val="between"/>
        <c:majorUnit val="5"/>
      </c:valAx>
      <c:valAx>
        <c:axId val="156481408"/>
        <c:scaling>
          <c:orientation val="minMax"/>
          <c:min val="-6"/>
        </c:scaling>
        <c:axPos val="r"/>
        <c:numFmt formatCode="0" sourceLinked="0"/>
        <c:tickLblPos val="nextTo"/>
        <c:spPr>
          <a:ln>
            <a:solidFill>
              <a:schemeClr val="tx1"/>
            </a:solidFill>
          </a:ln>
        </c:spPr>
        <c:crossAx val="156482944"/>
        <c:crosses val="max"/>
        <c:crossBetween val="between"/>
        <c:majorUnit val="1"/>
      </c:valAx>
      <c:catAx>
        <c:axId val="156482944"/>
        <c:scaling>
          <c:orientation val="minMax"/>
        </c:scaling>
        <c:delete val="1"/>
        <c:axPos val="b"/>
        <c:tickLblPos val="none"/>
        <c:crossAx val="156481408"/>
        <c:crossesAt val="0"/>
        <c:auto val="1"/>
        <c:lblAlgn val="ctr"/>
        <c:lblOffset val="100"/>
      </c:catAx>
      <c:spPr>
        <a:ln>
          <a:solidFill>
            <a:schemeClr val="tx1"/>
          </a:solidFill>
        </a:ln>
      </c:spPr>
    </c:plotArea>
    <c:legend>
      <c:legendPos val="b"/>
      <c:layout>
        <c:manualLayout>
          <c:xMode val="edge"/>
          <c:yMode val="edge"/>
          <c:x val="6.2295583422442583E-2"/>
          <c:y val="0.90228835978835276"/>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1857900718404552E-2"/>
          <c:y val="1.544165056508486E-2"/>
          <c:w val="0.86855180193698733"/>
          <c:h val="0.79972056504783351"/>
        </c:manualLayout>
      </c:layout>
      <c:barChart>
        <c:barDir val="col"/>
        <c:grouping val="clustered"/>
        <c:ser>
          <c:idx val="4"/>
          <c:order val="4"/>
          <c:tx>
            <c:strRef>
              <c:f>'Státní rozpočet 4'!$F$22</c:f>
              <c:strCache>
                <c:ptCount val="1"/>
                <c:pt idx="0">
                  <c:v>Saldo příjmů a výdajů (pravá osa)</c:v>
                </c:pt>
              </c:strCache>
            </c:strRef>
          </c:tx>
          <c:spPr>
            <a:solidFill>
              <a:srgbClr val="BFBFBF"/>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-2.0700000000000212</c:v>
                </c:pt>
                <c:pt idx="1">
                  <c:v>-3.3299999999999836</c:v>
                </c:pt>
                <c:pt idx="2">
                  <c:v>5.460000000000008</c:v>
                </c:pt>
                <c:pt idx="3">
                  <c:v>5.3100000000000014</c:v>
                </c:pt>
                <c:pt idx="4">
                  <c:v>-20.63999999999999</c:v>
                </c:pt>
                <c:pt idx="5">
                  <c:v>-25.170000000000019</c:v>
                </c:pt>
                <c:pt idx="6">
                  <c:v>-33.620000000000033</c:v>
                </c:pt>
                <c:pt idx="7">
                  <c:v>-32.980000000000011</c:v>
                </c:pt>
                <c:pt idx="8">
                  <c:v>-32.120000000000012</c:v>
                </c:pt>
                <c:pt idx="9">
                  <c:v>-27.52000000000001</c:v>
                </c:pt>
                <c:pt idx="10">
                  <c:v>-20.839999999999975</c:v>
                </c:pt>
                <c:pt idx="11">
                  <c:v>-13.329999999999986</c:v>
                </c:pt>
                <c:pt idx="12">
                  <c:v>-3.9600000000000368</c:v>
                </c:pt>
              </c:numCache>
            </c:numRef>
          </c:val>
        </c:ser>
        <c:gapWidth val="43"/>
        <c:axId val="181728000"/>
        <c:axId val="181697536"/>
      </c:barChart>
      <c:lineChart>
        <c:grouping val="standard"/>
        <c:ser>
          <c:idx val="2"/>
          <c:order val="0"/>
          <c:tx>
            <c:strRef>
              <c:f>'Státní rozpočet 4'!$D$22</c:f>
              <c:strCache>
                <c:ptCount val="1"/>
                <c:pt idx="0">
                  <c:v>Příjmy na důchody</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6.2910904556789697</c:v>
                </c:pt>
                <c:pt idx="1">
                  <c:v>7.1398101738295878</c:v>
                </c:pt>
                <c:pt idx="2">
                  <c:v>10.033344946001094</c:v>
                </c:pt>
                <c:pt idx="3">
                  <c:v>6.9157356732552264</c:v>
                </c:pt>
                <c:pt idx="4">
                  <c:v>-1.8825619764785417</c:v>
                </c:pt>
                <c:pt idx="5">
                  <c:v>0.84077092226102945</c:v>
                </c:pt>
                <c:pt idx="6">
                  <c:v>3.4077304600649976</c:v>
                </c:pt>
                <c:pt idx="7">
                  <c:v>2.4684721935083607</c:v>
                </c:pt>
                <c:pt idx="8">
                  <c:v>-0.23404083609071338</c:v>
                </c:pt>
                <c:pt idx="9">
                  <c:v>2.6007118589224958</c:v>
                </c:pt>
                <c:pt idx="10">
                  <c:v>5.5741711672645513</c:v>
                </c:pt>
                <c:pt idx="11">
                  <c:v>6.0229267017661803</c:v>
                </c:pt>
                <c:pt idx="12">
                  <c:v>7.624850320490224</c:v>
                </c:pt>
              </c:numCache>
            </c:numRef>
          </c:val>
        </c:ser>
        <c:ser>
          <c:idx val="0"/>
          <c:order val="1"/>
          <c:tx>
            <c:strRef>
              <c:f>'Státní rozpočet 4'!$B$22</c:f>
              <c:strCache>
                <c:ptCount val="1"/>
                <c:pt idx="0">
                  <c:v>Počet příjemců důchodů celkem</c:v>
                </c:pt>
              </c:strCache>
            </c:strRef>
          </c:tx>
          <c:spPr>
            <a:ln w="19050">
              <a:solidFill>
                <a:srgbClr val="7DBB2D"/>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0.77226478546860733</c:v>
                </c:pt>
                <c:pt idx="1">
                  <c:v>1.6092555848802026</c:v>
                </c:pt>
                <c:pt idx="2">
                  <c:v>1.1089708999843424</c:v>
                </c:pt>
                <c:pt idx="3">
                  <c:v>1.2806567827247477</c:v>
                </c:pt>
                <c:pt idx="4">
                  <c:v>1.1725873606979607</c:v>
                </c:pt>
                <c:pt idx="5">
                  <c:v>1.364116242598584</c:v>
                </c:pt>
                <c:pt idx="6">
                  <c:v>1.2193866995871896</c:v>
                </c:pt>
                <c:pt idx="7">
                  <c:v>0.45728875855547818</c:v>
                </c:pt>
                <c:pt idx="8">
                  <c:v>-0.31121054845125684</c:v>
                </c:pt>
                <c:pt idx="9">
                  <c:v>0.36859757982475128</c:v>
                </c:pt>
                <c:pt idx="10">
                  <c:v>0.12543621809804506</c:v>
                </c:pt>
                <c:pt idx="11">
                  <c:v>0.69434807518003083</c:v>
                </c:pt>
                <c:pt idx="12">
                  <c:v>6.033303976806792E-2</c:v>
                </c:pt>
              </c:numCache>
            </c:numRef>
          </c:val>
        </c:ser>
        <c:ser>
          <c:idx val="3"/>
          <c:order val="2"/>
          <c:tx>
            <c:strRef>
              <c:f>'Státní rozpočet 4'!$E$22</c:f>
              <c:strCache>
                <c:ptCount val="1"/>
                <c:pt idx="0">
                  <c:v>Výdaje na důchody</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9.1720405343159985</c:v>
                </c:pt>
                <c:pt idx="1">
                  <c:v>7.7263857391487676</c:v>
                </c:pt>
                <c:pt idx="2">
                  <c:v>5.566434935866055</c:v>
                </c:pt>
                <c:pt idx="3">
                  <c:v>7.160413671567027</c:v>
                </c:pt>
                <c:pt idx="4">
                  <c:v>9.3045397498593463</c:v>
                </c:pt>
                <c:pt idx="5">
                  <c:v>2.5656253711842392</c:v>
                </c:pt>
                <c:pt idx="6">
                  <c:v>6.3385446824937333</c:v>
                </c:pt>
                <c:pt idx="7">
                  <c:v>1.9348749410098947</c:v>
                </c:pt>
                <c:pt idx="8">
                  <c:v>-0.51282051282051111</c:v>
                </c:pt>
                <c:pt idx="9">
                  <c:v>0.65506872852232334</c:v>
                </c:pt>
                <c:pt idx="10">
                  <c:v>2.6530104200006974</c:v>
                </c:pt>
                <c:pt idx="11">
                  <c:v>2.9863156071366745</c:v>
                </c:pt>
                <c:pt idx="12">
                  <c:v>4.1309247485451106</c:v>
                </c:pt>
              </c:numCache>
            </c:numRef>
          </c:val>
        </c:ser>
        <c:ser>
          <c:idx val="1"/>
          <c:order val="3"/>
          <c:tx>
            <c:strRef>
              <c:f>'Státní rozpočet 4'!$C$22</c:f>
              <c:strCache>
                <c:ptCount val="1"/>
                <c:pt idx="0">
                  <c:v>z toho starobních trvale krácených*</c:v>
                </c:pt>
              </c:strCache>
            </c:strRef>
          </c:tx>
          <c:spPr>
            <a:ln w="19050">
              <a:noFill/>
            </a:ln>
          </c:spPr>
          <c:marker>
            <c:symbol val="diamond"/>
            <c:size val="6"/>
            <c:spPr>
              <a:solidFill>
                <a:srgbClr val="7DBB2D"/>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2.5482108693596501</c:v>
                </c:pt>
                <c:pt idx="1">
                  <c:v>7.1645433135658143</c:v>
                </c:pt>
                <c:pt idx="2">
                  <c:v>8.6961846007201729</c:v>
                </c:pt>
                <c:pt idx="3">
                  <c:v>7.6271470286432912</c:v>
                </c:pt>
                <c:pt idx="4">
                  <c:v>8.5054375502167172</c:v>
                </c:pt>
                <c:pt idx="5">
                  <c:v>9.9926472888833366</c:v>
                </c:pt>
                <c:pt idx="6">
                  <c:v>12.198446392972032</c:v>
                </c:pt>
                <c:pt idx="7">
                  <c:v>9.6983628308300762</c:v>
                </c:pt>
                <c:pt idx="8">
                  <c:v>3.6943806201983311</c:v>
                </c:pt>
                <c:pt idx="9">
                  <c:v>3.8937375906152032</c:v>
                </c:pt>
                <c:pt idx="10">
                  <c:v>3.8280770942869395</c:v>
                </c:pt>
                <c:pt idx="11">
                  <c:v>3.252866834257389</c:v>
                </c:pt>
                <c:pt idx="12">
                  <c:v>2.5540628877119644</c:v>
                </c:pt>
              </c:numCache>
            </c:numRef>
          </c:val>
        </c:ser>
        <c:marker val="1"/>
        <c:axId val="181689728"/>
        <c:axId val="181696000"/>
      </c:lineChart>
      <c:catAx>
        <c:axId val="181689728"/>
        <c:scaling>
          <c:orientation val="minMax"/>
        </c:scaling>
        <c:axPos val="b"/>
        <c:numFmt formatCode="General" sourceLinked="1"/>
        <c:tickLblPos val="low"/>
        <c:spPr>
          <a:ln>
            <a:solidFill>
              <a:schemeClr val="bg1">
                <a:lumMod val="50000"/>
              </a:schemeClr>
            </a:solidFill>
          </a:ln>
        </c:spPr>
        <c:crossAx val="181696000"/>
        <c:crossesAt val="0"/>
        <c:auto val="1"/>
        <c:lblAlgn val="ctr"/>
        <c:lblOffset val="0"/>
      </c:catAx>
      <c:valAx>
        <c:axId val="181696000"/>
        <c:scaling>
          <c:orientation val="minMax"/>
          <c:max val="15"/>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181689728"/>
        <c:crosses val="autoZero"/>
        <c:crossBetween val="between"/>
        <c:majorUnit val="3"/>
      </c:valAx>
      <c:valAx>
        <c:axId val="181697536"/>
        <c:scaling>
          <c:orientation val="minMax"/>
          <c:max val="40"/>
          <c:min val="-40"/>
        </c:scaling>
        <c:axPos val="r"/>
        <c:numFmt formatCode="0" sourceLinked="0"/>
        <c:tickLblPos val="nextTo"/>
        <c:spPr>
          <a:ln>
            <a:solidFill>
              <a:schemeClr val="tx1"/>
            </a:solidFill>
          </a:ln>
        </c:spPr>
        <c:crossAx val="181728000"/>
        <c:crosses val="max"/>
        <c:crossBetween val="between"/>
        <c:majorUnit val="10"/>
      </c:valAx>
      <c:catAx>
        <c:axId val="181728000"/>
        <c:scaling>
          <c:orientation val="minMax"/>
        </c:scaling>
        <c:delete val="1"/>
        <c:axPos val="b"/>
        <c:numFmt formatCode="General" sourceLinked="1"/>
        <c:tickLblPos val="none"/>
        <c:crossAx val="181697536"/>
        <c:crosses val="autoZero"/>
        <c:auto val="1"/>
        <c:lblAlgn val="ctr"/>
        <c:lblOffset val="100"/>
      </c:catAx>
      <c:spPr>
        <a:ln>
          <a:solidFill>
            <a:schemeClr val="tx1"/>
          </a:solidFill>
        </a:ln>
      </c:spPr>
    </c:plotArea>
    <c:legend>
      <c:legendPos val="b"/>
      <c:layout>
        <c:manualLayout>
          <c:xMode val="edge"/>
          <c:yMode val="edge"/>
          <c:x val="6.2962331649832212E-2"/>
          <c:y val="0.8723506235827666"/>
          <c:w val="0.86057601724928745"/>
          <c:h val="0.1207964852607715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654503640965086E-2"/>
          <c:y val="2.5575113378684816E-2"/>
          <c:w val="0.88571919735113291"/>
          <c:h val="0.75695549886621361"/>
        </c:manualLayout>
      </c:layout>
      <c:barChart>
        <c:barDir val="col"/>
        <c:grouping val="clustered"/>
        <c:ser>
          <c:idx val="0"/>
          <c:order val="0"/>
          <c:tx>
            <c:strRef>
              <c:f>'Státní rozpočet 3'!$B$31</c:f>
              <c:strCache>
                <c:ptCount val="1"/>
                <c:pt idx="0">
                  <c:v>Běžné výdaje (pravá osa)</c:v>
                </c:pt>
              </c:strCache>
            </c:strRef>
          </c:tx>
          <c:spPr>
            <a:solidFill>
              <a:schemeClr val="bg1">
                <a:lumMod val="75000"/>
              </a:schemeClr>
            </a:solidFill>
            <a:ln>
              <a:noFill/>
            </a:ln>
          </c:spP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3'!$B$32:$B$44</c:f>
              <c:numCache>
                <c:formatCode>0.0</c:formatCode>
                <c:ptCount val="13"/>
                <c:pt idx="0">
                  <c:v>572.84999999999798</c:v>
                </c:pt>
                <c:pt idx="1">
                  <c:v>623.23</c:v>
                </c:pt>
                <c:pt idx="2">
                  <c:v>657.35999999999797</c:v>
                </c:pt>
                <c:pt idx="3">
                  <c:v>707.04</c:v>
                </c:pt>
                <c:pt idx="4">
                  <c:v>734.05</c:v>
                </c:pt>
                <c:pt idx="5">
                  <c:v>754.15</c:v>
                </c:pt>
                <c:pt idx="6">
                  <c:v>764.93</c:v>
                </c:pt>
                <c:pt idx="7">
                  <c:v>755.57</c:v>
                </c:pt>
                <c:pt idx="8">
                  <c:v>786.27000000000055</c:v>
                </c:pt>
                <c:pt idx="9">
                  <c:v>801.1</c:v>
                </c:pt>
                <c:pt idx="10">
                  <c:v>822.78000000000054</c:v>
                </c:pt>
                <c:pt idx="11">
                  <c:v>831.32999999999947</c:v>
                </c:pt>
                <c:pt idx="12">
                  <c:v>881.39</c:v>
                </c:pt>
              </c:numCache>
            </c:numRef>
          </c:val>
          <c:extLst xmlns:c16r2="http://schemas.microsoft.com/office/drawing/2015/06/chart">
            <c:ext xmlns:c16="http://schemas.microsoft.com/office/drawing/2014/chart" uri="{C3380CC4-5D6E-409C-BE32-E72D297353CC}">
              <c16:uniqueId val="{00000000-0213-4A16-93EC-D9F4AD921F12}"/>
            </c:ext>
          </c:extLst>
        </c:ser>
        <c:gapWidth val="70"/>
        <c:axId val="181820032"/>
        <c:axId val="181818496"/>
      </c:barChart>
      <c:lineChart>
        <c:grouping val="standard"/>
        <c:ser>
          <c:idx val="1"/>
          <c:order val="1"/>
          <c:tx>
            <c:strRef>
              <c:f>'Státní rozpočet 3'!$C$31</c:f>
              <c:strCache>
                <c:ptCount val="1"/>
                <c:pt idx="0">
                  <c:v>Platy státních zaměstnanců</c:v>
                </c:pt>
              </c:strCache>
            </c:strRef>
          </c:tx>
          <c:spPr>
            <a:ln w="19050">
              <a:solidFill>
                <a:srgbClr val="0071BC"/>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3'!$C$32:$C$44</c:f>
              <c:numCache>
                <c:formatCode>0.0</c:formatCode>
                <c:ptCount val="13"/>
                <c:pt idx="0">
                  <c:v>55.24</c:v>
                </c:pt>
                <c:pt idx="1">
                  <c:v>57.61</c:v>
                </c:pt>
                <c:pt idx="2">
                  <c:v>61.349999999999994</c:v>
                </c:pt>
                <c:pt idx="3">
                  <c:v>61.44</c:v>
                </c:pt>
                <c:pt idx="4">
                  <c:v>63.790000000000013</c:v>
                </c:pt>
                <c:pt idx="5">
                  <c:v>63.5</c:v>
                </c:pt>
                <c:pt idx="6">
                  <c:v>57.879999999999995</c:v>
                </c:pt>
                <c:pt idx="7">
                  <c:v>58.77</c:v>
                </c:pt>
                <c:pt idx="8">
                  <c:v>60.04</c:v>
                </c:pt>
                <c:pt idx="9">
                  <c:v>61.89</c:v>
                </c:pt>
                <c:pt idx="10">
                  <c:v>67.66</c:v>
                </c:pt>
                <c:pt idx="11">
                  <c:v>70.25</c:v>
                </c:pt>
                <c:pt idx="12">
                  <c:v>76.149999999999991</c:v>
                </c:pt>
              </c:numCache>
            </c:numRef>
          </c:val>
          <c:extLst xmlns:c16r2="http://schemas.microsoft.com/office/drawing/2015/06/chart">
            <c:ext xmlns:c16="http://schemas.microsoft.com/office/drawing/2014/chart" uri="{C3380CC4-5D6E-409C-BE32-E72D297353CC}">
              <c16:uniqueId val="{00000001-0213-4A16-93EC-D9F4AD921F12}"/>
            </c:ext>
          </c:extLst>
        </c:ser>
        <c:ser>
          <c:idx val="2"/>
          <c:order val="2"/>
          <c:tx>
            <c:strRef>
              <c:f>'Státní rozpočet 3'!$D$31</c:f>
              <c:strCache>
                <c:ptCount val="1"/>
                <c:pt idx="0">
                  <c:v>Podpora v nezaměstnanosti</c:v>
                </c:pt>
              </c:strCache>
            </c:strRef>
          </c:tx>
          <c:spPr>
            <a:ln w="19050">
              <a:solidFill>
                <a:srgbClr val="98480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3'!$D$32:$D$44</c:f>
              <c:numCache>
                <c:formatCode>0.0</c:formatCode>
                <c:ptCount val="13"/>
                <c:pt idx="0">
                  <c:v>5.38</c:v>
                </c:pt>
                <c:pt idx="1">
                  <c:v>5.63</c:v>
                </c:pt>
                <c:pt idx="2">
                  <c:v>5.44</c:v>
                </c:pt>
                <c:pt idx="3">
                  <c:v>5.29</c:v>
                </c:pt>
                <c:pt idx="4">
                  <c:v>11.41</c:v>
                </c:pt>
                <c:pt idx="5">
                  <c:v>10.65</c:v>
                </c:pt>
                <c:pt idx="6">
                  <c:v>8.3600000000000048</c:v>
                </c:pt>
                <c:pt idx="7">
                  <c:v>6.78</c:v>
                </c:pt>
                <c:pt idx="8">
                  <c:v>7.53</c:v>
                </c:pt>
                <c:pt idx="9">
                  <c:v>7.33</c:v>
                </c:pt>
                <c:pt idx="10">
                  <c:v>6.46</c:v>
                </c:pt>
                <c:pt idx="11">
                  <c:v>6.39</c:v>
                </c:pt>
                <c:pt idx="12">
                  <c:v>6.1199999999999966</c:v>
                </c:pt>
              </c:numCache>
            </c:numRef>
          </c:val>
          <c:extLst xmlns:c16r2="http://schemas.microsoft.com/office/drawing/2015/06/chart">
            <c:ext xmlns:c16="http://schemas.microsoft.com/office/drawing/2014/chart" uri="{C3380CC4-5D6E-409C-BE32-E72D297353CC}">
              <c16:uniqueId val="{00000002-0213-4A16-93EC-D9F4AD921F12}"/>
            </c:ext>
          </c:extLst>
        </c:ser>
        <c:ser>
          <c:idx val="3"/>
          <c:order val="3"/>
          <c:tx>
            <c:strRef>
              <c:f>'Státní rozpočet 3'!$E$31</c:f>
              <c:strCache>
                <c:ptCount val="1"/>
                <c:pt idx="0">
                  <c:v>Státní sociální podpora*</c:v>
                </c:pt>
              </c:strCache>
            </c:strRef>
          </c:tx>
          <c:spPr>
            <a:ln w="19050">
              <a:solidFill>
                <a:srgbClr val="7DBB2D"/>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3'!$E$32:$E$44</c:f>
              <c:numCache>
                <c:formatCode>General</c:formatCode>
                <c:ptCount val="13"/>
                <c:pt idx="0">
                  <c:v>25.01</c:v>
                </c:pt>
                <c:pt idx="1">
                  <c:v>25.77</c:v>
                </c:pt>
                <c:pt idx="2">
                  <c:v>36.410000000000004</c:v>
                </c:pt>
                <c:pt idx="3">
                  <c:v>31.979999999999986</c:v>
                </c:pt>
                <c:pt idx="4">
                  <c:v>30.95</c:v>
                </c:pt>
                <c:pt idx="5">
                  <c:v>30.85</c:v>
                </c:pt>
                <c:pt idx="6">
                  <c:v>27.32</c:v>
                </c:pt>
                <c:pt idx="7">
                  <c:v>26.77</c:v>
                </c:pt>
                <c:pt idx="8">
                  <c:v>28.04</c:v>
                </c:pt>
                <c:pt idx="9">
                  <c:v>28.22</c:v>
                </c:pt>
                <c:pt idx="10">
                  <c:v>28.27</c:v>
                </c:pt>
                <c:pt idx="11">
                  <c:v>28.38</c:v>
                </c:pt>
                <c:pt idx="12">
                  <c:v>28.04</c:v>
                </c:pt>
              </c:numCache>
            </c:numRef>
          </c:val>
          <c:extLst xmlns:c16r2="http://schemas.microsoft.com/office/drawing/2015/06/chart">
            <c:ext xmlns:c16="http://schemas.microsoft.com/office/drawing/2014/chart" uri="{C3380CC4-5D6E-409C-BE32-E72D297353CC}">
              <c16:uniqueId val="{00000003-0213-4A16-93EC-D9F4AD921F12}"/>
            </c:ext>
          </c:extLst>
        </c:ser>
        <c:ser>
          <c:idx val="4"/>
          <c:order val="4"/>
          <c:tx>
            <c:strRef>
              <c:f>'Státní rozpočet 3'!$F$31</c:f>
              <c:strCache>
                <c:ptCount val="1"/>
                <c:pt idx="0">
                  <c:v>Dávky nemocenského pojištění</c:v>
                </c:pt>
              </c:strCache>
            </c:strRef>
          </c:tx>
          <c:spPr>
            <a:ln w="19050">
              <a:solidFill>
                <a:srgbClr val="F8A124"/>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3'!$F$32:$F$44</c:f>
              <c:numCache>
                <c:formatCode>0.00</c:formatCode>
                <c:ptCount val="13"/>
                <c:pt idx="0">
                  <c:v>24.5</c:v>
                </c:pt>
                <c:pt idx="1">
                  <c:v>25.2</c:v>
                </c:pt>
                <c:pt idx="2">
                  <c:v>26.130000000000031</c:v>
                </c:pt>
                <c:pt idx="3">
                  <c:v>24.12</c:v>
                </c:pt>
                <c:pt idx="4">
                  <c:v>20.07</c:v>
                </c:pt>
                <c:pt idx="5">
                  <c:v>16.8</c:v>
                </c:pt>
                <c:pt idx="6">
                  <c:v>16.82</c:v>
                </c:pt>
                <c:pt idx="7">
                  <c:v>14.84</c:v>
                </c:pt>
                <c:pt idx="8">
                  <c:v>15.44</c:v>
                </c:pt>
                <c:pt idx="9">
                  <c:v>16.649999999999999</c:v>
                </c:pt>
                <c:pt idx="10">
                  <c:v>18.23</c:v>
                </c:pt>
                <c:pt idx="11">
                  <c:v>19.88</c:v>
                </c:pt>
                <c:pt idx="12">
                  <c:v>21.4</c:v>
                </c:pt>
              </c:numCache>
            </c:numRef>
          </c:val>
          <c:extLst xmlns:c16r2="http://schemas.microsoft.com/office/drawing/2015/06/chart">
            <c:ext xmlns:c16="http://schemas.microsoft.com/office/drawing/2014/chart" uri="{C3380CC4-5D6E-409C-BE32-E72D297353CC}">
              <c16:uniqueId val="{00000004-0213-4A16-93EC-D9F4AD921F12}"/>
            </c:ext>
          </c:extLst>
        </c:ser>
        <c:ser>
          <c:idx val="5"/>
          <c:order val="5"/>
          <c:tx>
            <c:strRef>
              <c:f>'Státní rozpočet 3'!$G$31</c:f>
              <c:strCache>
                <c:ptCount val="1"/>
                <c:pt idx="0">
                  <c:v>Dávky sociální péče**</c:v>
                </c:pt>
              </c:strCache>
            </c:strRef>
          </c:tx>
          <c:spPr>
            <a:ln w="19050">
              <a:solidFill>
                <a:srgbClr val="48AEE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3'!$G$32:$G$44</c:f>
              <c:numCache>
                <c:formatCode>General</c:formatCode>
                <c:ptCount val="13"/>
                <c:pt idx="2" formatCode="0.00">
                  <c:v>16.7</c:v>
                </c:pt>
                <c:pt idx="3" formatCode="0.00">
                  <c:v>18.600000000000001</c:v>
                </c:pt>
                <c:pt idx="4" formatCode="0.00">
                  <c:v>18.899999999999999</c:v>
                </c:pt>
                <c:pt idx="5" formatCode="0.00">
                  <c:v>19.600000000000001</c:v>
                </c:pt>
                <c:pt idx="6" formatCode="0.00">
                  <c:v>19.100000000000001</c:v>
                </c:pt>
                <c:pt idx="7" formatCode="0.00">
                  <c:v>20.309999999999999</c:v>
                </c:pt>
                <c:pt idx="8" formatCode="0.00">
                  <c:v>23.73</c:v>
                </c:pt>
                <c:pt idx="9" formatCode="0.00">
                  <c:v>25.18</c:v>
                </c:pt>
                <c:pt idx="10" formatCode="0.00">
                  <c:v>25.259999999999987</c:v>
                </c:pt>
                <c:pt idx="11" formatCode="0.00">
                  <c:v>25.4</c:v>
                </c:pt>
                <c:pt idx="12" formatCode="0.00">
                  <c:v>25.959999999999987</c:v>
                </c:pt>
              </c:numCache>
            </c:numRef>
          </c:val>
          <c:extLst xmlns:c16r2="http://schemas.microsoft.com/office/drawing/2015/06/chart">
            <c:ext xmlns:c16="http://schemas.microsoft.com/office/drawing/2014/chart" uri="{C3380CC4-5D6E-409C-BE32-E72D297353CC}">
              <c16:uniqueId val="{00000005-0213-4A16-93EC-D9F4AD921F12}"/>
            </c:ext>
          </c:extLst>
        </c:ser>
        <c:ser>
          <c:idx val="6"/>
          <c:order val="6"/>
          <c:tx>
            <c:strRef>
              <c:f>'Státní rozpočet 3'!$H$31</c:f>
              <c:strCache>
                <c:ptCount val="1"/>
                <c:pt idx="0">
                  <c:v>Neinvestiční nákupy a souvis.výdaje***</c:v>
                </c:pt>
              </c:strCache>
            </c:strRef>
          </c:tx>
          <c:spPr>
            <a:ln w="19050">
              <a:solidFill>
                <a:srgbClr val="7030A0"/>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3'!$H$32:$H$44</c:f>
              <c:numCache>
                <c:formatCode>0.0</c:formatCode>
                <c:ptCount val="13"/>
                <c:pt idx="0">
                  <c:v>36.356999999999999</c:v>
                </c:pt>
                <c:pt idx="1">
                  <c:v>39.716000000000001</c:v>
                </c:pt>
                <c:pt idx="2">
                  <c:v>41.124000000000002</c:v>
                </c:pt>
                <c:pt idx="3">
                  <c:v>46.384999999999998</c:v>
                </c:pt>
                <c:pt idx="4">
                  <c:v>46.423000000000002</c:v>
                </c:pt>
                <c:pt idx="5">
                  <c:v>43.089000000000006</c:v>
                </c:pt>
                <c:pt idx="6">
                  <c:v>38.638000000000012</c:v>
                </c:pt>
                <c:pt idx="7">
                  <c:v>35.333999999999996</c:v>
                </c:pt>
                <c:pt idx="8">
                  <c:v>32.835000000000001</c:v>
                </c:pt>
                <c:pt idx="9">
                  <c:v>31.260999999999989</c:v>
                </c:pt>
                <c:pt idx="10">
                  <c:v>36.513999999999996</c:v>
                </c:pt>
                <c:pt idx="11">
                  <c:v>35</c:v>
                </c:pt>
                <c:pt idx="12">
                  <c:v>39.200000000000003</c:v>
                </c:pt>
              </c:numCache>
            </c:numRef>
          </c:val>
          <c:extLst xmlns:c16r2="http://schemas.microsoft.com/office/drawing/2015/06/chart">
            <c:ext xmlns:c16="http://schemas.microsoft.com/office/drawing/2014/chart" uri="{C3380CC4-5D6E-409C-BE32-E72D297353CC}">
              <c16:uniqueId val="{00000006-0213-4A16-93EC-D9F4AD921F12}"/>
            </c:ext>
          </c:extLst>
        </c:ser>
        <c:ser>
          <c:idx val="7"/>
          <c:order val="7"/>
          <c:tx>
            <c:strRef>
              <c:f>'Státní rozpočet 3'!$I$31</c:f>
              <c:strCache>
                <c:ptCount val="1"/>
                <c:pt idx="0">
                  <c:v>Kapitálové výdaje</c:v>
                </c:pt>
              </c:strCache>
            </c:strRef>
          </c:tx>
          <c:spPr>
            <a:ln w="19050">
              <a:solidFill>
                <a:srgbClr val="BD1B21"/>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3'!$I$32:$I$44</c:f>
              <c:numCache>
                <c:formatCode>0.0</c:formatCode>
                <c:ptCount val="13"/>
                <c:pt idx="0">
                  <c:v>35.47</c:v>
                </c:pt>
                <c:pt idx="1">
                  <c:v>48.78</c:v>
                </c:pt>
                <c:pt idx="2">
                  <c:v>54.849999999999994</c:v>
                </c:pt>
                <c:pt idx="3">
                  <c:v>76.95</c:v>
                </c:pt>
                <c:pt idx="4">
                  <c:v>80.024000000000001</c:v>
                </c:pt>
                <c:pt idx="5">
                  <c:v>91.36</c:v>
                </c:pt>
                <c:pt idx="6">
                  <c:v>82.07</c:v>
                </c:pt>
                <c:pt idx="7">
                  <c:v>72.98</c:v>
                </c:pt>
                <c:pt idx="8">
                  <c:v>58.39</c:v>
                </c:pt>
                <c:pt idx="9">
                  <c:v>59.67</c:v>
                </c:pt>
                <c:pt idx="10">
                  <c:v>88.53</c:v>
                </c:pt>
                <c:pt idx="11">
                  <c:v>51.6</c:v>
                </c:pt>
                <c:pt idx="12">
                  <c:v>41.349999999999994</c:v>
                </c:pt>
              </c:numCache>
            </c:numRef>
          </c:val>
          <c:extLst xmlns:c16r2="http://schemas.microsoft.com/office/drawing/2015/06/chart">
            <c:ext xmlns:c16="http://schemas.microsoft.com/office/drawing/2014/chart" uri="{C3380CC4-5D6E-409C-BE32-E72D297353CC}">
              <c16:uniqueId val="{00000007-0213-4A16-93EC-D9F4AD921F12}"/>
            </c:ext>
          </c:extLst>
        </c:ser>
        <c:marker val="1"/>
        <c:axId val="181790592"/>
        <c:axId val="181792128"/>
      </c:lineChart>
      <c:catAx>
        <c:axId val="181790592"/>
        <c:scaling>
          <c:orientation val="minMax"/>
        </c:scaling>
        <c:axPos val="b"/>
        <c:numFmt formatCode="General" sourceLinked="1"/>
        <c:tickLblPos val="low"/>
        <c:spPr>
          <a:ln>
            <a:solidFill>
              <a:schemeClr val="bg1">
                <a:lumMod val="50000"/>
              </a:schemeClr>
            </a:solidFill>
          </a:ln>
        </c:spPr>
        <c:crossAx val="181792128"/>
        <c:crosses val="autoZero"/>
        <c:auto val="1"/>
        <c:lblAlgn val="ctr"/>
        <c:lblOffset val="20"/>
      </c:catAx>
      <c:valAx>
        <c:axId val="181792128"/>
        <c:scaling>
          <c:orientation val="minMax"/>
          <c:max val="10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81790592"/>
        <c:crosses val="autoZero"/>
        <c:crossBetween val="between"/>
        <c:majorUnit val="10"/>
      </c:valAx>
      <c:valAx>
        <c:axId val="181818496"/>
        <c:scaling>
          <c:orientation val="minMax"/>
          <c:max val="1000"/>
          <c:min val="0"/>
        </c:scaling>
        <c:axPos val="r"/>
        <c:numFmt formatCode="0" sourceLinked="0"/>
        <c:tickLblPos val="nextTo"/>
        <c:spPr>
          <a:ln>
            <a:solidFill>
              <a:schemeClr val="tx1"/>
            </a:solidFill>
          </a:ln>
        </c:spPr>
        <c:crossAx val="181820032"/>
        <c:crosses val="max"/>
        <c:crossBetween val="between"/>
        <c:majorUnit val="100"/>
      </c:valAx>
      <c:catAx>
        <c:axId val="181820032"/>
        <c:scaling>
          <c:orientation val="minMax"/>
        </c:scaling>
        <c:delete val="1"/>
        <c:axPos val="b"/>
        <c:numFmt formatCode="General" sourceLinked="1"/>
        <c:tickLblPos val="none"/>
        <c:crossAx val="181818496"/>
        <c:crosses val="autoZero"/>
        <c:auto val="1"/>
        <c:lblAlgn val="ctr"/>
        <c:lblOffset val="100"/>
      </c:catAx>
      <c:spPr>
        <a:ln>
          <a:solidFill>
            <a:schemeClr val="tx1"/>
          </a:solidFill>
        </a:ln>
      </c:spPr>
    </c:plotArea>
    <c:legend>
      <c:legendPos val="b"/>
      <c:layout>
        <c:manualLayout>
          <c:xMode val="edge"/>
          <c:yMode val="edge"/>
          <c:x val="5.3073638025823766E-2"/>
          <c:y val="0.83424149659865188"/>
          <c:w val="0.88356227363293927"/>
          <c:h val="0.1568200113378684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8967687074829931E-2"/>
          <c:w val="0.87842537233566564"/>
          <c:h val="0.78411111111111109"/>
        </c:manualLayout>
      </c:layout>
      <c:barChart>
        <c:barDir val="col"/>
        <c:grouping val="stacked"/>
        <c:ser>
          <c:idx val="0"/>
          <c:order val="0"/>
          <c:tx>
            <c:strRef>
              <c:f>'Státní rozpočet 5'!$B$27</c:f>
              <c:strCache>
                <c:ptCount val="1"/>
                <c:pt idx="0">
                  <c:v>Státní pokladniční poukázky</c:v>
                </c:pt>
              </c:strCache>
            </c:strRef>
          </c:tx>
          <c:spPr>
            <a:solidFill>
              <a:srgbClr val="BD1B21"/>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5'!$C$27:$O$27</c:f>
              <c:numCache>
                <c:formatCode>#,##0</c:formatCode>
                <c:ptCount val="13"/>
                <c:pt idx="0">
                  <c:v>98.034000000000006</c:v>
                </c:pt>
                <c:pt idx="1">
                  <c:v>71.884</c:v>
                </c:pt>
                <c:pt idx="2">
                  <c:v>54.649000000000001</c:v>
                </c:pt>
                <c:pt idx="3">
                  <c:v>45.340999999999994</c:v>
                </c:pt>
                <c:pt idx="4">
                  <c:v>79.491000000000227</c:v>
                </c:pt>
                <c:pt idx="5">
                  <c:v>128.47800000000001</c:v>
                </c:pt>
                <c:pt idx="6">
                  <c:v>143.268</c:v>
                </c:pt>
                <c:pt idx="7">
                  <c:v>172.06700000000001</c:v>
                </c:pt>
                <c:pt idx="8">
                  <c:v>137.51599999999999</c:v>
                </c:pt>
                <c:pt idx="9">
                  <c:v>90.838999999999999</c:v>
                </c:pt>
                <c:pt idx="10">
                  <c:v>104.687</c:v>
                </c:pt>
                <c:pt idx="11">
                  <c:v>17.7</c:v>
                </c:pt>
                <c:pt idx="12" formatCode="0.0">
                  <c:v>0</c:v>
                </c:pt>
              </c:numCache>
            </c:numRef>
          </c:val>
          <c:extLst xmlns:c16r2="http://schemas.microsoft.com/office/drawing/2015/06/chart">
            <c:ext xmlns:c16="http://schemas.microsoft.com/office/drawing/2014/chart" uri="{C3380CC4-5D6E-409C-BE32-E72D297353CC}">
              <c16:uniqueId val="{00000000-57C5-43CE-B103-57810E8D651C}"/>
            </c:ext>
          </c:extLst>
        </c:ser>
        <c:ser>
          <c:idx val="1"/>
          <c:order val="1"/>
          <c:tx>
            <c:strRef>
              <c:f>'Státní rozpočet 5'!$B$28</c:f>
              <c:strCache>
                <c:ptCount val="1"/>
                <c:pt idx="0">
                  <c:v>Spořící státní dluhopisy</c:v>
                </c:pt>
              </c:strCache>
            </c:strRef>
          </c:tx>
          <c:spPr>
            <a:solidFill>
              <a:srgbClr val="E8AFB2"/>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5'!$C$28:$O$28</c:f>
              <c:numCache>
                <c:formatCode>#,##0</c:formatCode>
                <c:ptCount val="13"/>
                <c:pt idx="0">
                  <c:v>0</c:v>
                </c:pt>
                <c:pt idx="1">
                  <c:v>0</c:v>
                </c:pt>
                <c:pt idx="2">
                  <c:v>0</c:v>
                </c:pt>
                <c:pt idx="3">
                  <c:v>0</c:v>
                </c:pt>
                <c:pt idx="4">
                  <c:v>0</c:v>
                </c:pt>
                <c:pt idx="5">
                  <c:v>0</c:v>
                </c:pt>
                <c:pt idx="6">
                  <c:v>0</c:v>
                </c:pt>
                <c:pt idx="7">
                  <c:v>35.708000000000013</c:v>
                </c:pt>
                <c:pt idx="8">
                  <c:v>73.738</c:v>
                </c:pt>
                <c:pt idx="9">
                  <c:v>80.60899999999998</c:v>
                </c:pt>
                <c:pt idx="10">
                  <c:v>77.801000000000002</c:v>
                </c:pt>
                <c:pt idx="11">
                  <c:v>59.9</c:v>
                </c:pt>
                <c:pt idx="12" formatCode="0.0">
                  <c:v>31</c:v>
                </c:pt>
              </c:numCache>
            </c:numRef>
          </c:val>
          <c:extLst xmlns:c16r2="http://schemas.microsoft.com/office/drawing/2015/06/chart">
            <c:ext xmlns:c16="http://schemas.microsoft.com/office/drawing/2014/chart" uri="{C3380CC4-5D6E-409C-BE32-E72D297353CC}">
              <c16:uniqueId val="{00000001-57C5-43CE-B103-57810E8D651C}"/>
            </c:ext>
          </c:extLst>
        </c:ser>
        <c:ser>
          <c:idx val="2"/>
          <c:order val="2"/>
          <c:tx>
            <c:strRef>
              <c:f>'Státní rozpočet 5'!$B$29</c:f>
              <c:strCache>
                <c:ptCount val="1"/>
                <c:pt idx="0">
                  <c:v>Dlouho-(středně-)dobé státní dluhopisy</c:v>
                </c:pt>
              </c:strCache>
            </c:strRef>
          </c:tx>
          <c:spPr>
            <a:solidFill>
              <a:srgbClr val="A6CDE8"/>
            </a:solidFill>
            <a:ln>
              <a:noFill/>
            </a:ln>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5'!$C$29:$O$29</c:f>
              <c:numCache>
                <c:formatCode>#,##0</c:formatCode>
                <c:ptCount val="13"/>
                <c:pt idx="0">
                  <c:v>456.56</c:v>
                </c:pt>
                <c:pt idx="1">
                  <c:v>554.81699999999796</c:v>
                </c:pt>
                <c:pt idx="2">
                  <c:v>664.79500000000053</c:v>
                </c:pt>
                <c:pt idx="3">
                  <c:v>700.70399999999995</c:v>
                </c:pt>
                <c:pt idx="4">
                  <c:v>861.48699999999997</c:v>
                </c:pt>
                <c:pt idx="5">
                  <c:v>956.30699999999797</c:v>
                </c:pt>
                <c:pt idx="6">
                  <c:v>1003.614</c:v>
                </c:pt>
                <c:pt idx="7">
                  <c:v>1085.259</c:v>
                </c:pt>
                <c:pt idx="8">
                  <c:v>1059.616</c:v>
                </c:pt>
                <c:pt idx="9">
                  <c:v>1159.375</c:v>
                </c:pt>
                <c:pt idx="10">
                  <c:v>1177.1919999999998</c:v>
                </c:pt>
                <c:pt idx="11">
                  <c:v>1298.0999999999999</c:v>
                </c:pt>
                <c:pt idx="12" formatCode="0.0">
                  <c:v>1319</c:v>
                </c:pt>
              </c:numCache>
            </c:numRef>
          </c:val>
          <c:extLst xmlns:c16r2="http://schemas.microsoft.com/office/drawing/2015/06/chart">
            <c:ext xmlns:c16="http://schemas.microsoft.com/office/drawing/2014/chart" uri="{C3380CC4-5D6E-409C-BE32-E72D297353CC}">
              <c16:uniqueId val="{00000002-57C5-43CE-B103-57810E8D651C}"/>
            </c:ext>
          </c:extLst>
        </c:ser>
        <c:ser>
          <c:idx val="3"/>
          <c:order val="3"/>
          <c:tx>
            <c:strRef>
              <c:f>'Státní rozpočet 5'!$B$30</c:f>
              <c:strCache>
                <c:ptCount val="1"/>
                <c:pt idx="0">
                  <c:v>Krátkodobé zápůjčky a směnky</c:v>
                </c:pt>
              </c:strCache>
            </c:strRef>
          </c:tx>
          <c:spPr>
            <a:solidFill>
              <a:srgbClr val="0071BC"/>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5'!$C$30:$O$30</c:f>
              <c:numCache>
                <c:formatCode>#,##0</c:formatCode>
                <c:ptCount val="13"/>
                <c:pt idx="0">
                  <c:v>0</c:v>
                </c:pt>
                <c:pt idx="1">
                  <c:v>0</c:v>
                </c:pt>
                <c:pt idx="2">
                  <c:v>0</c:v>
                </c:pt>
                <c:pt idx="3">
                  <c:v>0</c:v>
                </c:pt>
                <c:pt idx="4">
                  <c:v>0</c:v>
                </c:pt>
                <c:pt idx="5">
                  <c:v>0</c:v>
                </c:pt>
                <c:pt idx="6">
                  <c:v>0</c:v>
                </c:pt>
                <c:pt idx="7">
                  <c:v>0</c:v>
                </c:pt>
                <c:pt idx="8">
                  <c:v>1.585</c:v>
                </c:pt>
                <c:pt idx="9">
                  <c:v>12.352000000000109</c:v>
                </c:pt>
                <c:pt idx="10">
                  <c:v>10.553000000000004</c:v>
                </c:pt>
                <c:pt idx="11">
                  <c:v>1.5</c:v>
                </c:pt>
                <c:pt idx="12" formatCode="0.0">
                  <c:v>2.9</c:v>
                </c:pt>
              </c:numCache>
            </c:numRef>
          </c:val>
          <c:extLst xmlns:c16r2="http://schemas.microsoft.com/office/drawing/2015/06/chart">
            <c:ext xmlns:c16="http://schemas.microsoft.com/office/drawing/2014/chart" uri="{C3380CC4-5D6E-409C-BE32-E72D297353CC}">
              <c16:uniqueId val="{00000003-57C5-43CE-B103-57810E8D651C}"/>
            </c:ext>
          </c:extLst>
        </c:ser>
        <c:ser>
          <c:idx val="4"/>
          <c:order val="4"/>
          <c:tx>
            <c:strRef>
              <c:f>'Státní rozpočet 5'!$B$31</c:f>
              <c:strCache>
                <c:ptCount val="1"/>
                <c:pt idx="0">
                  <c:v>Zahraniční emise dluhopisů</c:v>
                </c:pt>
              </c:strCache>
            </c:strRef>
          </c:tx>
          <c:spPr>
            <a:solidFill>
              <a:srgbClr val="7DBB2D"/>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5'!$C$31:$O$31</c:f>
              <c:numCache>
                <c:formatCode>#,##0</c:formatCode>
                <c:ptCount val="13"/>
                <c:pt idx="0">
                  <c:v>78.88</c:v>
                </c:pt>
                <c:pt idx="1">
                  <c:v>84.557999999999993</c:v>
                </c:pt>
                <c:pt idx="2">
                  <c:v>83.929000000000002</c:v>
                </c:pt>
                <c:pt idx="3">
                  <c:v>133.07299999999998</c:v>
                </c:pt>
                <c:pt idx="4">
                  <c:v>173.05600000000001</c:v>
                </c:pt>
                <c:pt idx="5">
                  <c:v>237.06300000000002</c:v>
                </c:pt>
                <c:pt idx="6">
                  <c:v>240.11599999999999</c:v>
                </c:pt>
                <c:pt idx="7">
                  <c:v>290.82499999999999</c:v>
                </c:pt>
                <c:pt idx="8">
                  <c:v>313.14100000000002</c:v>
                </c:pt>
                <c:pt idx="9">
                  <c:v>275.81900000000002</c:v>
                </c:pt>
                <c:pt idx="10">
                  <c:v>234.67299999999997</c:v>
                </c:pt>
                <c:pt idx="11">
                  <c:v>226.5</c:v>
                </c:pt>
                <c:pt idx="12" formatCode="0.0">
                  <c:v>205.7</c:v>
                </c:pt>
              </c:numCache>
            </c:numRef>
          </c:val>
          <c:extLst xmlns:c16r2="http://schemas.microsoft.com/office/drawing/2015/06/chart">
            <c:ext xmlns:c16="http://schemas.microsoft.com/office/drawing/2014/chart" uri="{C3380CC4-5D6E-409C-BE32-E72D297353CC}">
              <c16:uniqueId val="{00000004-57C5-43CE-B103-57810E8D651C}"/>
            </c:ext>
          </c:extLst>
        </c:ser>
        <c:ser>
          <c:idx val="5"/>
          <c:order val="5"/>
          <c:tx>
            <c:strRef>
              <c:f>'Státní rozpočet 5'!$B$32</c:f>
              <c:strCache>
                <c:ptCount val="1"/>
                <c:pt idx="0">
                  <c:v>Úvěry od EIB</c:v>
                </c:pt>
              </c:strCache>
            </c:strRef>
          </c:tx>
          <c:spPr>
            <a:solidFill>
              <a:srgbClr val="D2E7B6"/>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5'!$C$32:$O$32</c:f>
              <c:numCache>
                <c:formatCode>#,##0</c:formatCode>
                <c:ptCount val="13"/>
                <c:pt idx="0">
                  <c:v>28.332000000000001</c:v>
                </c:pt>
                <c:pt idx="1">
                  <c:v>34.298000000000378</c:v>
                </c:pt>
                <c:pt idx="2">
                  <c:v>38.743000000000002</c:v>
                </c:pt>
                <c:pt idx="3">
                  <c:v>45.838000000000001</c:v>
                </c:pt>
                <c:pt idx="4">
                  <c:v>53.134</c:v>
                </c:pt>
                <c:pt idx="5">
                  <c:v>62.394000000000005</c:v>
                </c:pt>
                <c:pt idx="6">
                  <c:v>69.516000000000005</c:v>
                </c:pt>
                <c:pt idx="7">
                  <c:v>68.459000000000003</c:v>
                </c:pt>
                <c:pt idx="8">
                  <c:v>67.870999999999981</c:v>
                </c:pt>
                <c:pt idx="9">
                  <c:v>64.012</c:v>
                </c:pt>
                <c:pt idx="10">
                  <c:v>58.134</c:v>
                </c:pt>
                <c:pt idx="11">
                  <c:v>56.5</c:v>
                </c:pt>
                <c:pt idx="12" formatCode="0.0">
                  <c:v>51.4</c:v>
                </c:pt>
              </c:numCache>
            </c:numRef>
          </c:val>
          <c:extLst xmlns:c16r2="http://schemas.microsoft.com/office/drawing/2015/06/chart">
            <c:ext xmlns:c16="http://schemas.microsoft.com/office/drawing/2014/chart" uri="{C3380CC4-5D6E-409C-BE32-E72D297353CC}">
              <c16:uniqueId val="{00000005-57C5-43CE-B103-57810E8D651C}"/>
            </c:ext>
          </c:extLst>
        </c:ser>
        <c:gapWidth val="45"/>
        <c:overlap val="100"/>
        <c:axId val="182094464"/>
        <c:axId val="182116736"/>
      </c:barChart>
      <c:lineChart>
        <c:grouping val="standard"/>
        <c:ser>
          <c:idx val="6"/>
          <c:order val="6"/>
          <c:tx>
            <c:strRef>
              <c:f>'Státní rozpočet 5'!$B$33</c:f>
              <c:strCache>
                <c:ptCount val="1"/>
                <c:pt idx="0">
                  <c:v>Čisté výdaje na státní dluh (pravá osa)</c:v>
                </c:pt>
              </c:strCache>
            </c:strRef>
          </c:tx>
          <c:spPr>
            <a:ln w="19050">
              <a:solidFill>
                <a:schemeClr val="tx1"/>
              </a:solidFill>
            </a:ln>
          </c:spPr>
          <c:marker>
            <c:symbol val="none"/>
          </c:marke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5'!$C$33:$O$33</c:f>
              <c:numCache>
                <c:formatCode>0.0</c:formatCode>
                <c:ptCount val="13"/>
                <c:pt idx="0">
                  <c:v>18.25</c:v>
                </c:pt>
                <c:pt idx="1">
                  <c:v>23.29</c:v>
                </c:pt>
                <c:pt idx="2">
                  <c:v>25.08</c:v>
                </c:pt>
                <c:pt idx="3">
                  <c:v>24.459999999999987</c:v>
                </c:pt>
                <c:pt idx="4">
                  <c:v>33.33</c:v>
                </c:pt>
                <c:pt idx="5">
                  <c:v>24.919999999999987</c:v>
                </c:pt>
                <c:pt idx="6">
                  <c:v>35.89</c:v>
                </c:pt>
                <c:pt idx="7">
                  <c:v>35.86</c:v>
                </c:pt>
                <c:pt idx="8">
                  <c:v>44.55</c:v>
                </c:pt>
                <c:pt idx="9">
                  <c:v>43.160000000000011</c:v>
                </c:pt>
                <c:pt idx="10">
                  <c:v>41.03</c:v>
                </c:pt>
                <c:pt idx="11">
                  <c:v>38.1</c:v>
                </c:pt>
                <c:pt idx="12">
                  <c:v>33.85</c:v>
                </c:pt>
              </c:numCache>
            </c:numRef>
          </c:val>
          <c:extLst xmlns:c16r2="http://schemas.microsoft.com/office/drawing/2015/06/chart">
            <c:ext xmlns:c16="http://schemas.microsoft.com/office/drawing/2014/chart" uri="{C3380CC4-5D6E-409C-BE32-E72D297353CC}">
              <c16:uniqueId val="{00000006-57C5-43CE-B103-57810E8D651C}"/>
            </c:ext>
          </c:extLst>
        </c:ser>
        <c:marker val="1"/>
        <c:axId val="182119808"/>
        <c:axId val="182118272"/>
      </c:lineChart>
      <c:catAx>
        <c:axId val="182094464"/>
        <c:scaling>
          <c:orientation val="minMax"/>
        </c:scaling>
        <c:axPos val="b"/>
        <c:numFmt formatCode="General" sourceLinked="1"/>
        <c:tickLblPos val="nextTo"/>
        <c:spPr>
          <a:ln>
            <a:solidFill>
              <a:schemeClr val="tx1"/>
            </a:solidFill>
          </a:ln>
        </c:spPr>
        <c:crossAx val="182116736"/>
        <c:crosses val="autoZero"/>
        <c:auto val="1"/>
        <c:lblAlgn val="ctr"/>
        <c:lblOffset val="10"/>
      </c:catAx>
      <c:valAx>
        <c:axId val="182116736"/>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182094464"/>
        <c:crosses val="autoZero"/>
        <c:crossBetween val="between"/>
      </c:valAx>
      <c:valAx>
        <c:axId val="182118272"/>
        <c:scaling>
          <c:orientation val="minMax"/>
          <c:max val="60"/>
        </c:scaling>
        <c:axPos val="r"/>
        <c:numFmt formatCode="0" sourceLinked="0"/>
        <c:tickLblPos val="nextTo"/>
        <c:spPr>
          <a:ln>
            <a:solidFill>
              <a:schemeClr val="tx1"/>
            </a:solidFill>
          </a:ln>
        </c:spPr>
        <c:crossAx val="182119808"/>
        <c:crosses val="max"/>
        <c:crossBetween val="between"/>
        <c:majorUnit val="5"/>
      </c:valAx>
      <c:catAx>
        <c:axId val="182119808"/>
        <c:scaling>
          <c:orientation val="minMax"/>
        </c:scaling>
        <c:delete val="1"/>
        <c:axPos val="b"/>
        <c:numFmt formatCode="General" sourceLinked="1"/>
        <c:tickLblPos val="none"/>
        <c:crossAx val="182118272"/>
        <c:crosses val="autoZero"/>
        <c:auto val="1"/>
        <c:lblAlgn val="ctr"/>
        <c:lblOffset val="100"/>
      </c:catAx>
      <c:spPr>
        <a:ln w="9525">
          <a:solidFill>
            <a:schemeClr val="tx1"/>
          </a:solidFill>
        </a:ln>
      </c:spPr>
    </c:plotArea>
    <c:legend>
      <c:legendPos val="b"/>
      <c:layout>
        <c:manualLayout>
          <c:xMode val="edge"/>
          <c:yMode val="edge"/>
          <c:x val="7.1917809656383364E-2"/>
          <c:y val="0.85316553287982477"/>
          <c:w val="0.88530576599325683"/>
          <c:h val="0.1299391707058513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3'!$D$10:$D$28</c:f>
              <c:numCache>
                <c:formatCode>#,##0.0</c:formatCode>
                <c:ptCount val="19"/>
                <c:pt idx="0">
                  <c:v>0.40597446298277129</c:v>
                </c:pt>
                <c:pt idx="1">
                  <c:v>0.39628462481417892</c:v>
                </c:pt>
                <c:pt idx="2">
                  <c:v>0.10072438430113206</c:v>
                </c:pt>
                <c:pt idx="3">
                  <c:v>-0.14406158457489376</c:v>
                </c:pt>
                <c:pt idx="4">
                  <c:v>-0.34191248336468083</c:v>
                </c:pt>
                <c:pt idx="5">
                  <c:v>9.7003151816959683E-3</c:v>
                </c:pt>
                <c:pt idx="6">
                  <c:v>0.64252536968968565</c:v>
                </c:pt>
                <c:pt idx="7">
                  <c:v>1.1251665920999518</c:v>
                </c:pt>
                <c:pt idx="8">
                  <c:v>0.95996723394403682</c:v>
                </c:pt>
                <c:pt idx="9">
                  <c:v>0.88418646707185988</c:v>
                </c:pt>
                <c:pt idx="10">
                  <c:v>0.95576447741814086</c:v>
                </c:pt>
                <c:pt idx="11">
                  <c:v>1.1866830908443908</c:v>
                </c:pt>
                <c:pt idx="12">
                  <c:v>1.122020889517066</c:v>
                </c:pt>
                <c:pt idx="13">
                  <c:v>1.2236602908141418</c:v>
                </c:pt>
                <c:pt idx="14">
                  <c:v>1.3569551772034671</c:v>
                </c:pt>
                <c:pt idx="15">
                  <c:v>1.1073481536560261</c:v>
                </c:pt>
                <c:pt idx="16">
                  <c:v>1.2464591170348716</c:v>
                </c:pt>
                <c:pt idx="17">
                  <c:v>1.5265698564589758</c:v>
                </c:pt>
                <c:pt idx="18">
                  <c:v>1.490171965026496</c:v>
                </c:pt>
              </c:numCache>
            </c:numRef>
          </c:val>
          <c:extLst xmlns:c16r2="http://schemas.microsoft.com/office/drawing/2015/06/chart">
            <c:ext xmlns:c16="http://schemas.microsoft.com/office/drawing/2014/chart" uri="{C3380CC4-5D6E-409C-BE32-E72D297353CC}">
              <c16:uniqueId val="{00000000-8F30-445C-BCC3-CD3A4FC8F84A}"/>
            </c:ext>
          </c:extLst>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3'!$E$10:$E$28</c:f>
              <c:numCache>
                <c:formatCode>#,##0.0</c:formatCode>
                <c:ptCount val="19"/>
                <c:pt idx="0">
                  <c:v>0.29182349651824302</c:v>
                </c:pt>
                <c:pt idx="1">
                  <c:v>0.3988382743668541</c:v>
                </c:pt>
                <c:pt idx="2">
                  <c:v>0.61835595894915063</c:v>
                </c:pt>
                <c:pt idx="3">
                  <c:v>0.49997414143888541</c:v>
                </c:pt>
                <c:pt idx="4">
                  <c:v>0.24721971722961228</c:v>
                </c:pt>
                <c:pt idx="5">
                  <c:v>0.35050457281023251</c:v>
                </c:pt>
                <c:pt idx="6">
                  <c:v>8.4527068204703473E-2</c:v>
                </c:pt>
                <c:pt idx="7">
                  <c:v>0.28017686102842976</c:v>
                </c:pt>
                <c:pt idx="8">
                  <c:v>0.38356988684026977</c:v>
                </c:pt>
                <c:pt idx="9">
                  <c:v>0.38665907102931762</c:v>
                </c:pt>
                <c:pt idx="10">
                  <c:v>0.60627256929248252</c:v>
                </c:pt>
                <c:pt idx="11">
                  <c:v>0.5639728704360647</c:v>
                </c:pt>
                <c:pt idx="12">
                  <c:v>0.33602278185610729</c:v>
                </c:pt>
                <c:pt idx="13">
                  <c:v>0.41149254163913818</c:v>
                </c:pt>
                <c:pt idx="14">
                  <c:v>0.34012918105702838</c:v>
                </c:pt>
                <c:pt idx="15">
                  <c:v>0.38626077717024643</c:v>
                </c:pt>
                <c:pt idx="16">
                  <c:v>0.46184951166605931</c:v>
                </c:pt>
                <c:pt idx="17">
                  <c:v>0.29403498961681468</c:v>
                </c:pt>
                <c:pt idx="18">
                  <c:v>0.19804103404117268</c:v>
                </c:pt>
              </c:numCache>
            </c:numRef>
          </c:val>
          <c:extLst xmlns:c16r2="http://schemas.microsoft.com/office/drawing/2015/06/chart">
            <c:ext xmlns:c16="http://schemas.microsoft.com/office/drawing/2014/chart" uri="{C3380CC4-5D6E-409C-BE32-E72D297353CC}">
              <c16:uniqueId val="{00000001-8F30-445C-BCC3-CD3A4FC8F84A}"/>
            </c:ext>
          </c:extLst>
        </c:ser>
        <c:ser>
          <c:idx val="3"/>
          <c:order val="3"/>
          <c:tx>
            <c:strRef>
              <c:f>'souhrnná výkonnost 3'!$J$5</c:f>
              <c:strCache>
                <c:ptCount val="1"/>
                <c:pt idx="0">
                  <c:v>Tvorba hrubého kapitálu</c:v>
                </c:pt>
              </c:strCache>
            </c:strRef>
          </c:tx>
          <c:spPr>
            <a:solidFill>
              <a:srgbClr val="BD1B21"/>
            </a:solidFill>
            <a:ln>
              <a:noFill/>
            </a:ln>
          </c:spPr>
          <c:val>
            <c:numRef>
              <c:f>'souhrnná výkonnost 3'!$J$10:$J$28</c:f>
              <c:numCache>
                <c:formatCode>#,##0.0</c:formatCode>
                <c:ptCount val="19"/>
                <c:pt idx="0">
                  <c:v>-1.3565537417116815</c:v>
                </c:pt>
                <c:pt idx="1">
                  <c:v>-2.8563879245256727</c:v>
                </c:pt>
                <c:pt idx="2">
                  <c:v>-8.4138539479111193E-2</c:v>
                </c:pt>
                <c:pt idx="3">
                  <c:v>0.37621790098269675</c:v>
                </c:pt>
                <c:pt idx="4">
                  <c:v>-6.421771790176492E-2</c:v>
                </c:pt>
                <c:pt idx="5">
                  <c:v>1.7432034404711898</c:v>
                </c:pt>
                <c:pt idx="6">
                  <c:v>1.1897955210010318</c:v>
                </c:pt>
                <c:pt idx="7">
                  <c:v>0.47141627966226968</c:v>
                </c:pt>
                <c:pt idx="8">
                  <c:v>2.995551102866798</c:v>
                </c:pt>
                <c:pt idx="9">
                  <c:v>3.9932674109015083</c:v>
                </c:pt>
                <c:pt idx="10">
                  <c:v>2.7507831059265202</c:v>
                </c:pt>
                <c:pt idx="11">
                  <c:v>1.0081209599196153</c:v>
                </c:pt>
                <c:pt idx="12">
                  <c:v>1.0273007963049254</c:v>
                </c:pt>
                <c:pt idx="13">
                  <c:v>-0.96946155529155886</c:v>
                </c:pt>
                <c:pt idx="14">
                  <c:v>-0.51354041218170265</c:v>
                </c:pt>
                <c:pt idx="15">
                  <c:v>-0.21949598559679137</c:v>
                </c:pt>
                <c:pt idx="16">
                  <c:v>-0.94975804772474504</c:v>
                </c:pt>
                <c:pt idx="17">
                  <c:v>0.59855978044147207</c:v>
                </c:pt>
                <c:pt idx="18">
                  <c:v>1.7711362346229598</c:v>
                </c:pt>
              </c:numCache>
            </c:numRef>
          </c:val>
          <c:extLst xmlns:c16r2="http://schemas.microsoft.com/office/drawing/2015/06/chart">
            <c:ext xmlns:c16="http://schemas.microsoft.com/office/drawing/2014/chart" uri="{C3380CC4-5D6E-409C-BE32-E72D297353CC}">
              <c16:uniqueId val="{00000002-8F30-445C-BCC3-CD3A4FC8F84A}"/>
            </c:ext>
          </c:extLst>
        </c:ser>
        <c:ser>
          <c:idx val="1"/>
          <c:order val="4"/>
          <c:tx>
            <c:strRef>
              <c:f>'souhrnná výkonnost 3'!$H$5</c:f>
              <c:strCache>
                <c:ptCount val="1"/>
                <c:pt idx="0">
                  <c:v>Bilance zahraničního obchodu</c:v>
                </c:pt>
              </c:strCache>
            </c:strRef>
          </c:tx>
          <c:spPr>
            <a:solidFill>
              <a:srgbClr val="7DBB2D"/>
            </a:solidFill>
            <a:ln>
              <a:noFill/>
            </a:ln>
          </c:spPr>
          <c:val>
            <c:numRef>
              <c:f>'souhrnná výkonnost 3'!$H$10:$H$28</c:f>
              <c:numCache>
                <c:formatCode>#,##0.0</c:formatCode>
                <c:ptCount val="19"/>
                <c:pt idx="0">
                  <c:v>-1.121253986306687</c:v>
                </c:pt>
                <c:pt idx="1">
                  <c:v>0.92540979141000812</c:v>
                </c:pt>
                <c:pt idx="2">
                  <c:v>-1.0354498395259251</c:v>
                </c:pt>
                <c:pt idx="3">
                  <c:v>0.55721289260918416</c:v>
                </c:pt>
                <c:pt idx="4">
                  <c:v>1.8104123228453401</c:v>
                </c:pt>
                <c:pt idx="5">
                  <c:v>0.25472480422095473</c:v>
                </c:pt>
                <c:pt idx="6">
                  <c:v>1.4702269856408019</c:v>
                </c:pt>
                <c:pt idx="7">
                  <c:v>1.4755441754070078</c:v>
                </c:pt>
                <c:pt idx="8">
                  <c:v>0.87270670480565737</c:v>
                </c:pt>
                <c:pt idx="9">
                  <c:v>0.56954370937031307</c:v>
                </c:pt>
                <c:pt idx="10">
                  <c:v>1.4131260319789174</c:v>
                </c:pt>
                <c:pt idx="11">
                  <c:v>2.1455063702622859</c:v>
                </c:pt>
                <c:pt idx="12">
                  <c:v>1.0557410423051168</c:v>
                </c:pt>
                <c:pt idx="13">
                  <c:v>2.1496812176394129</c:v>
                </c:pt>
                <c:pt idx="14">
                  <c:v>0.65095065525561968</c:v>
                </c:pt>
                <c:pt idx="15">
                  <c:v>0.49407696770870413</c:v>
                </c:pt>
                <c:pt idx="16">
                  <c:v>2.1936810298638867</c:v>
                </c:pt>
                <c:pt idx="17">
                  <c:v>2.2294615070074859</c:v>
                </c:pt>
                <c:pt idx="18">
                  <c:v>1.4733453049564904</c:v>
                </c:pt>
              </c:numCache>
            </c:numRef>
          </c:val>
          <c:extLst xmlns:c16r2="http://schemas.microsoft.com/office/drawing/2015/06/chart">
            <c:ext xmlns:c16="http://schemas.microsoft.com/office/drawing/2014/chart" uri="{C3380CC4-5D6E-409C-BE32-E72D297353CC}">
              <c16:uniqueId val="{00000003-8F30-445C-BCC3-CD3A4FC8F84A}"/>
            </c:ext>
          </c:extLst>
        </c:ser>
        <c:gapWidth val="40"/>
        <c:overlap val="100"/>
        <c:axId val="157446528"/>
        <c:axId val="157448064"/>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'souhrnná výkonnost 3'!$C$10:$C$28</c:f>
              <c:numCache>
                <c:formatCode>#,##0.0</c:formatCode>
                <c:ptCount val="19"/>
                <c:pt idx="0">
                  <c:v>-1.7511683134985219</c:v>
                </c:pt>
                <c:pt idx="1">
                  <c:v>-1.122551159960864</c:v>
                </c:pt>
                <c:pt idx="2">
                  <c:v>-0.3518733567189688</c:v>
                </c:pt>
                <c:pt idx="3">
                  <c:v>1.3064560933108733</c:v>
                </c:pt>
                <c:pt idx="4">
                  <c:v>1.6429317745401271</c:v>
                </c:pt>
                <c:pt idx="5">
                  <c:v>2.3799514502212777</c:v>
                </c:pt>
                <c:pt idx="6">
                  <c:v>3.4229941989101702</c:v>
                </c:pt>
                <c:pt idx="7">
                  <c:v>3.3996850847558187</c:v>
                </c:pt>
                <c:pt idx="8">
                  <c:v>5.1924491451289025</c:v>
                </c:pt>
                <c:pt idx="9">
                  <c:v>5.7975987955825934</c:v>
                </c:pt>
                <c:pt idx="10">
                  <c:v>5.6880052521313855</c:v>
                </c:pt>
                <c:pt idx="11">
                  <c:v>4.880725514351437</c:v>
                </c:pt>
                <c:pt idx="12">
                  <c:v>3.5408169174491047</c:v>
                </c:pt>
                <c:pt idx="13">
                  <c:v>2.8477395147454412</c:v>
                </c:pt>
                <c:pt idx="14">
                  <c:v>1.843939906776336</c:v>
                </c:pt>
                <c:pt idx="15">
                  <c:v>1.765441823480645</c:v>
                </c:pt>
                <c:pt idx="16">
                  <c:v>2.9922080055663027</c:v>
                </c:pt>
                <c:pt idx="17">
                  <c:v>4.6730980983404322</c:v>
                </c:pt>
                <c:pt idx="18">
                  <c:v>4.9653619148435988</c:v>
                </c:pt>
              </c:numCache>
            </c:numRef>
          </c:val>
          <c:extLst xmlns:c16r2="http://schemas.microsoft.com/office/drawing/2015/06/chart">
            <c:ext xmlns:c16="http://schemas.microsoft.com/office/drawing/2014/chart" uri="{C3380CC4-5D6E-409C-BE32-E72D297353CC}">
              <c16:uniqueId val="{00000004-8F30-445C-BCC3-CD3A4FC8F84A}"/>
            </c:ext>
          </c:extLst>
        </c:ser>
        <c:marker val="1"/>
        <c:axId val="157446528"/>
        <c:axId val="157448064"/>
      </c:lineChart>
      <c:catAx>
        <c:axId val="157446528"/>
        <c:scaling>
          <c:orientation val="minMax"/>
        </c:scaling>
        <c:axPos val="b"/>
        <c:tickLblPos val="low"/>
        <c:spPr>
          <a:ln>
            <a:solidFill>
              <a:schemeClr val="tx1"/>
            </a:solidFill>
          </a:ln>
        </c:spPr>
        <c:txPr>
          <a:bodyPr rot="0" vert="horz"/>
          <a:lstStyle/>
          <a:p>
            <a:pPr>
              <a:defRPr/>
            </a:pPr>
            <a:endParaRPr lang="cs-CZ"/>
          </a:p>
        </c:txPr>
        <c:crossAx val="157448064"/>
        <c:crosses val="autoZero"/>
        <c:auto val="1"/>
        <c:lblAlgn val="ctr"/>
        <c:lblOffset val="100"/>
      </c:catAx>
      <c:valAx>
        <c:axId val="157448064"/>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57446528"/>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8993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4'!$C$10:$C$28</c:f>
              <c:numCache>
                <c:formatCode>#,##0.0</c:formatCode>
                <c:ptCount val="19"/>
                <c:pt idx="0">
                  <c:v>-4.4699648816173963E-2</c:v>
                </c:pt>
                <c:pt idx="1">
                  <c:v>-0.11466415714156022</c:v>
                </c:pt>
                <c:pt idx="2">
                  <c:v>-8.9941431175314654E-2</c:v>
                </c:pt>
                <c:pt idx="3">
                  <c:v>-6.1245633202245504E-3</c:v>
                </c:pt>
                <c:pt idx="4">
                  <c:v>9.4408798336974964E-2</c:v>
                </c:pt>
                <c:pt idx="5">
                  <c:v>0.23066751983404632</c:v>
                </c:pt>
                <c:pt idx="6">
                  <c:v>0.28225200568902681</c:v>
                </c:pt>
                <c:pt idx="7">
                  <c:v>0.25875789622783918</c:v>
                </c:pt>
                <c:pt idx="8">
                  <c:v>0.23202547241325647</c:v>
                </c:pt>
                <c:pt idx="9">
                  <c:v>0.1519285796170429</c:v>
                </c:pt>
                <c:pt idx="10">
                  <c:v>0.12094967534777865</c:v>
                </c:pt>
                <c:pt idx="11">
                  <c:v>0.10040143726492615</c:v>
                </c:pt>
                <c:pt idx="12">
                  <c:v>0.13957559104473763</c:v>
                </c:pt>
                <c:pt idx="13">
                  <c:v>0.21132726920557363</c:v>
                </c:pt>
                <c:pt idx="14">
                  <c:v>0.25387931030712041</c:v>
                </c:pt>
                <c:pt idx="15">
                  <c:v>0.31886734542080597</c:v>
                </c:pt>
                <c:pt idx="16">
                  <c:v>0.22179964495936691</c:v>
                </c:pt>
                <c:pt idx="17">
                  <c:v>0.15275476632298471</c:v>
                </c:pt>
                <c:pt idx="18">
                  <c:v>7.1094617194090423E-2</c:v>
                </c:pt>
              </c:numCache>
            </c:numRef>
          </c:val>
          <c:extLst xmlns:c16r2="http://schemas.microsoft.com/office/drawing/2015/06/chart">
            <c:ext xmlns:c16="http://schemas.microsoft.com/office/drawing/2014/chart" uri="{C3380CC4-5D6E-409C-BE32-E72D297353CC}">
              <c16:uniqueId val="{00000000-8438-457E-A7CA-15E3FD4D4D3E}"/>
            </c:ext>
          </c:extLst>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4'!$D$10:$D$28</c:f>
              <c:numCache>
                <c:formatCode>#,##0.0</c:formatCode>
                <c:ptCount val="19"/>
                <c:pt idx="0">
                  <c:v>-0.80190174195229758</c:v>
                </c:pt>
                <c:pt idx="1">
                  <c:v>-0.63316913532183261</c:v>
                </c:pt>
                <c:pt idx="2">
                  <c:v>-0.65799971762020892</c:v>
                </c:pt>
                <c:pt idx="3">
                  <c:v>-0.58767125058761094</c:v>
                </c:pt>
                <c:pt idx="4">
                  <c:v>0.42669631687426451</c:v>
                </c:pt>
                <c:pt idx="5">
                  <c:v>1.1788143597117224</c:v>
                </c:pt>
                <c:pt idx="6">
                  <c:v>1.9647162979641026</c:v>
                </c:pt>
                <c:pt idx="7">
                  <c:v>2.5539363152168306</c:v>
                </c:pt>
                <c:pt idx="8">
                  <c:v>2.1478703755568072</c:v>
                </c:pt>
                <c:pt idx="9">
                  <c:v>1.6166800300274804</c:v>
                </c:pt>
                <c:pt idx="10">
                  <c:v>1.4270095405518384</c:v>
                </c:pt>
                <c:pt idx="11">
                  <c:v>0.65863363852356582</c:v>
                </c:pt>
                <c:pt idx="12">
                  <c:v>1.1730324306135331</c:v>
                </c:pt>
                <c:pt idx="13">
                  <c:v>1.8409531560333301</c:v>
                </c:pt>
                <c:pt idx="14">
                  <c:v>1.8950378832938781</c:v>
                </c:pt>
                <c:pt idx="15">
                  <c:v>2.2496949915383992</c:v>
                </c:pt>
                <c:pt idx="16">
                  <c:v>1.9001481433077783</c:v>
                </c:pt>
                <c:pt idx="17">
                  <c:v>2.1983353111732749</c:v>
                </c:pt>
                <c:pt idx="18">
                  <c:v>2.1449167825475417</c:v>
                </c:pt>
              </c:numCache>
            </c:numRef>
          </c:val>
          <c:extLst xmlns:c16r2="http://schemas.microsoft.com/office/drawing/2015/06/chart">
            <c:ext xmlns:c16="http://schemas.microsoft.com/office/drawing/2014/chart" uri="{C3380CC4-5D6E-409C-BE32-E72D297353CC}">
              <c16:uniqueId val="{00000001-8438-457E-A7CA-15E3FD4D4D3E}"/>
            </c:ext>
          </c:extLst>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4'!$E$10:$E$28</c:f>
              <c:numCache>
                <c:formatCode>0.0</c:formatCode>
                <c:ptCount val="19"/>
                <c:pt idx="0">
                  <c:v>-0.99676396653493249</c:v>
                </c:pt>
                <c:pt idx="1">
                  <c:v>-0.99862189727618556</c:v>
                </c:pt>
                <c:pt idx="2">
                  <c:v>-0.64102712488527125</c:v>
                </c:pt>
                <c:pt idx="3">
                  <c:v>-0.2376831237571034</c:v>
                </c:pt>
                <c:pt idx="4">
                  <c:v>0.34101321981670818</c:v>
                </c:pt>
                <c:pt idx="5">
                  <c:v>0.10905314809036515</c:v>
                </c:pt>
                <c:pt idx="6">
                  <c:v>-0.12299518913780627</c:v>
                </c:pt>
                <c:pt idx="7">
                  <c:v>-0.11606163720933306</c:v>
                </c:pt>
                <c:pt idx="8">
                  <c:v>-0.13641374514700463</c:v>
                </c:pt>
                <c:pt idx="9">
                  <c:v>2.6994603690324401E-2</c:v>
                </c:pt>
                <c:pt idx="10">
                  <c:v>-2.4696121131873472E-2</c:v>
                </c:pt>
                <c:pt idx="11">
                  <c:v>-8.1123422474820725E-2</c:v>
                </c:pt>
                <c:pt idx="12">
                  <c:v>-0.25523928298471665</c:v>
                </c:pt>
                <c:pt idx="13">
                  <c:v>-0.25608606894098512</c:v>
                </c:pt>
                <c:pt idx="14">
                  <c:v>-0.25707511147730044</c:v>
                </c:pt>
                <c:pt idx="15">
                  <c:v>-0.26726875277732276</c:v>
                </c:pt>
                <c:pt idx="16">
                  <c:v>8.3792902420034066E-2</c:v>
                </c:pt>
                <c:pt idx="17">
                  <c:v>-5.8350930799313992E-2</c:v>
                </c:pt>
                <c:pt idx="18" formatCode="General">
                  <c:v>0.34057476972483147</c:v>
                </c:pt>
              </c:numCache>
            </c:numRef>
          </c:val>
          <c:extLst xmlns:c16r2="http://schemas.microsoft.com/office/drawing/2015/06/chart">
            <c:ext xmlns:c16="http://schemas.microsoft.com/office/drawing/2014/chart" uri="{C3380CC4-5D6E-409C-BE32-E72D297353CC}">
              <c16:uniqueId val="{00000002-8438-457E-A7CA-15E3FD4D4D3E}"/>
            </c:ext>
          </c:extLst>
        </c:ser>
        <c:ser>
          <c:idx val="1"/>
          <c:order val="3"/>
          <c:tx>
            <c:strRef>
              <c:f>'souhrnná výkonnost 4'!$F$5</c:f>
              <c:strCache>
                <c:ptCount val="1"/>
                <c:pt idx="0">
                  <c:v>Stavebnictví</c:v>
                </c:pt>
              </c:strCache>
            </c:strRef>
          </c:tx>
          <c:spPr>
            <a:solidFill>
              <a:srgbClr val="E8AFB2"/>
            </a:solidFill>
            <a:ln>
              <a:noFill/>
            </a:ln>
          </c:spPr>
          <c:val>
            <c:numRef>
              <c:f>'souhrnná výkonnost 4'!$F$10:$F$28</c:f>
              <c:numCache>
                <c:formatCode>#,##0.0</c:formatCode>
                <c:ptCount val="19"/>
                <c:pt idx="0">
                  <c:v>-9.7833498488409248E-2</c:v>
                </c:pt>
                <c:pt idx="1">
                  <c:v>7.0101451917918584E-2</c:v>
                </c:pt>
                <c:pt idx="2">
                  <c:v>0.14066955556231231</c:v>
                </c:pt>
                <c:pt idx="3">
                  <c:v>0.16590826997768471</c:v>
                </c:pt>
                <c:pt idx="4">
                  <c:v>0.20380087901239571</c:v>
                </c:pt>
                <c:pt idx="5">
                  <c:v>7.707944200185142E-2</c:v>
                </c:pt>
                <c:pt idx="6">
                  <c:v>3.6125144783951582E-2</c:v>
                </c:pt>
                <c:pt idx="7">
                  <c:v>0.13861192388176091</c:v>
                </c:pt>
                <c:pt idx="8">
                  <c:v>0.1004407238403428</c:v>
                </c:pt>
                <c:pt idx="9">
                  <c:v>0.26610784775566931</c:v>
                </c:pt>
                <c:pt idx="10">
                  <c:v>0.35569158305836607</c:v>
                </c:pt>
                <c:pt idx="11">
                  <c:v>0.16508861905557687</c:v>
                </c:pt>
                <c:pt idx="12">
                  <c:v>6.0176601627870432E-2</c:v>
                </c:pt>
                <c:pt idx="13">
                  <c:v>-0.13874288331323195</c:v>
                </c:pt>
                <c:pt idx="14">
                  <c:v>-0.25240045091449731</c:v>
                </c:pt>
                <c:pt idx="15">
                  <c:v>-0.22682214751648944</c:v>
                </c:pt>
                <c:pt idx="16">
                  <c:v>-4.8890071848386146E-2</c:v>
                </c:pt>
                <c:pt idx="17">
                  <c:v>0.16583614461812241</c:v>
                </c:pt>
                <c:pt idx="18">
                  <c:v>9.788393910025725E-2</c:v>
                </c:pt>
              </c:numCache>
            </c:numRef>
          </c:val>
          <c:extLst xmlns:c16r2="http://schemas.microsoft.com/office/drawing/2015/06/chart">
            <c:ext xmlns:c16="http://schemas.microsoft.com/office/drawing/2014/chart" uri="{C3380CC4-5D6E-409C-BE32-E72D297353CC}">
              <c16:uniqueId val="{00000003-8438-457E-A7CA-15E3FD4D4D3E}"/>
            </c:ext>
          </c:extLst>
        </c:ser>
        <c:ser>
          <c:idx val="0"/>
          <c:order val="4"/>
          <c:tx>
            <c:strRef>
              <c:f>'souhrnná výkonnost 4'!$G$5</c:f>
              <c:strCache>
                <c:ptCount val="1"/>
                <c:pt idx="0">
                  <c:v>Služby (CZ-NACE G až U)</c:v>
                </c:pt>
              </c:strCache>
            </c:strRef>
          </c:tx>
          <c:spPr>
            <a:solidFill>
              <a:srgbClr val="7DBB2D"/>
            </a:solidFill>
            <a:ln>
              <a:noFill/>
            </a:ln>
          </c:spPr>
          <c:val>
            <c:numRef>
              <c:f>'souhrnná výkonnost 4'!$G$10:$G$28</c:f>
              <c:numCache>
                <c:formatCode>0.0</c:formatCode>
                <c:ptCount val="19"/>
                <c:pt idx="0">
                  <c:v>0.3764483951999496</c:v>
                </c:pt>
                <c:pt idx="1">
                  <c:v>0.81261671036245109</c:v>
                </c:pt>
                <c:pt idx="2">
                  <c:v>1.0166947027297888</c:v>
                </c:pt>
                <c:pt idx="3">
                  <c:v>1.3689952261875691</c:v>
                </c:pt>
                <c:pt idx="4">
                  <c:v>1.2580269123348997</c:v>
                </c:pt>
                <c:pt idx="5">
                  <c:v>1.3856652786986978</c:v>
                </c:pt>
                <c:pt idx="6">
                  <c:v>1.625491558325425</c:v>
                </c:pt>
                <c:pt idx="7">
                  <c:v>1.6641765372351613</c:v>
                </c:pt>
                <c:pt idx="8">
                  <c:v>2.2624440762395142</c:v>
                </c:pt>
                <c:pt idx="9">
                  <c:v>2.9696553573602107</c:v>
                </c:pt>
                <c:pt idx="10">
                  <c:v>3.3867849325780148</c:v>
                </c:pt>
                <c:pt idx="11">
                  <c:v>3.5053477898363856</c:v>
                </c:pt>
                <c:pt idx="12">
                  <c:v>2.2395224984374402</c:v>
                </c:pt>
                <c:pt idx="13">
                  <c:v>1.131058441483751</c:v>
                </c:pt>
                <c:pt idx="14">
                  <c:v>0.12888406553309981</c:v>
                </c:pt>
                <c:pt idx="15">
                  <c:v>-0.27609394109782032</c:v>
                </c:pt>
                <c:pt idx="16">
                  <c:v>0.79160926918942365</c:v>
                </c:pt>
                <c:pt idx="17">
                  <c:v>2.1417160470426624</c:v>
                </c:pt>
                <c:pt idx="18" formatCode="General">
                  <c:v>2.4259294475020412</c:v>
                </c:pt>
              </c:numCache>
            </c:numRef>
          </c:val>
          <c:extLst xmlns:c16r2="http://schemas.microsoft.com/office/drawing/2015/06/chart">
            <c:ext xmlns:c16="http://schemas.microsoft.com/office/drawing/2014/chart" uri="{C3380CC4-5D6E-409C-BE32-E72D297353CC}">
              <c16:uniqueId val="{00000004-8438-457E-A7CA-15E3FD4D4D3E}"/>
            </c:ext>
          </c:extLst>
        </c:ser>
        <c:gapWidth val="70"/>
        <c:overlap val="100"/>
        <c:axId val="157507584"/>
        <c:axId val="157509120"/>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4'!$A$10:$B$28</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2013</c:v>
                  </c:pt>
                  <c:pt idx="4">
                    <c:v>2014</c:v>
                  </c:pt>
                  <c:pt idx="8">
                    <c:v>2015</c:v>
                  </c:pt>
                  <c:pt idx="12">
                    <c:v>2016</c:v>
                  </c:pt>
                  <c:pt idx="16">
                    <c:v>2017</c:v>
                  </c:pt>
                </c:lvl>
              </c:multiLvlStrCache>
            </c:multiLvlStrRef>
          </c:cat>
          <c:val>
            <c:numRef>
              <c:f>'souhrnná výkonnost 4'!$H$10:$H$28</c:f>
              <c:numCache>
                <c:formatCode>#,##0.0</c:formatCode>
                <c:ptCount val="19"/>
                <c:pt idx="0">
                  <c:v>-1.5564064599066569</c:v>
                </c:pt>
                <c:pt idx="1">
                  <c:v>-0.85476160118254663</c:v>
                </c:pt>
                <c:pt idx="2">
                  <c:v>-0.23921578851919675</c:v>
                </c:pt>
                <c:pt idx="3">
                  <c:v>0.69357314385265845</c:v>
                </c:pt>
                <c:pt idx="4">
                  <c:v>2.3418618184973092</c:v>
                </c:pt>
                <c:pt idx="5">
                  <c:v>2.9853700509145402</c:v>
                </c:pt>
                <c:pt idx="6">
                  <c:v>3.7747323841488187</c:v>
                </c:pt>
                <c:pt idx="7">
                  <c:v>4.4884230044466928</c:v>
                </c:pt>
                <c:pt idx="8">
                  <c:v>4.6030533672095215</c:v>
                </c:pt>
                <c:pt idx="9">
                  <c:v>5.0290309680465421</c:v>
                </c:pt>
                <c:pt idx="10">
                  <c:v>5.2622941596795165</c:v>
                </c:pt>
                <c:pt idx="11">
                  <c:v>4.357242052869359</c:v>
                </c:pt>
                <c:pt idx="12">
                  <c:v>3.3617514038440377</c:v>
                </c:pt>
                <c:pt idx="13">
                  <c:v>2.7921029280771741</c:v>
                </c:pt>
                <c:pt idx="14">
                  <c:v>1.7671103559341037</c:v>
                </c:pt>
                <c:pt idx="15">
                  <c:v>1.7915027023020438</c:v>
                </c:pt>
                <c:pt idx="16">
                  <c:v>2.9901649850960625</c:v>
                </c:pt>
                <c:pt idx="17">
                  <c:v>4.6107914660521585</c:v>
                </c:pt>
                <c:pt idx="18">
                  <c:v>5.068078766204632</c:v>
                </c:pt>
              </c:numCache>
            </c:numRef>
          </c:val>
          <c:extLst xmlns:c16r2="http://schemas.microsoft.com/office/drawing/2015/06/chart">
            <c:ext xmlns:c16="http://schemas.microsoft.com/office/drawing/2014/chart" uri="{C3380CC4-5D6E-409C-BE32-E72D297353CC}">
              <c16:uniqueId val="{00000005-8438-457E-A7CA-15E3FD4D4D3E}"/>
            </c:ext>
          </c:extLst>
        </c:ser>
        <c:marker val="1"/>
        <c:axId val="157507584"/>
        <c:axId val="157509120"/>
      </c:lineChart>
      <c:catAx>
        <c:axId val="157507584"/>
        <c:scaling>
          <c:orientation val="minMax"/>
        </c:scaling>
        <c:axPos val="b"/>
        <c:tickLblPos val="low"/>
        <c:spPr>
          <a:ln>
            <a:solidFill>
              <a:schemeClr val="tx1"/>
            </a:solidFill>
          </a:ln>
        </c:spPr>
        <c:txPr>
          <a:bodyPr rot="0" vert="horz"/>
          <a:lstStyle/>
          <a:p>
            <a:pPr>
              <a:defRPr/>
            </a:pPr>
            <a:endParaRPr lang="cs-CZ"/>
          </a:p>
        </c:txPr>
        <c:crossAx val="157509120"/>
        <c:crosses val="autoZero"/>
        <c:auto val="1"/>
        <c:lblAlgn val="ctr"/>
        <c:lblOffset val="100"/>
      </c:catAx>
      <c:valAx>
        <c:axId val="157509120"/>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57507584"/>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4977"/>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2040029038385534E-2"/>
          <c:y val="1.9513175616352643E-2"/>
          <c:w val="0.92433548575002844"/>
          <c:h val="0.75083417764269356"/>
        </c:manualLayout>
      </c:layout>
      <c:barChart>
        <c:barDir val="col"/>
        <c:grouping val="clustered"/>
        <c:ser>
          <c:idx val="0"/>
          <c:order val="0"/>
          <c:tx>
            <c:strRef>
              <c:f>'výkonnost odvětví 1'!$B$30</c:f>
              <c:strCache>
                <c:ptCount val="1"/>
                <c:pt idx="0">
                  <c:v>Průmysl celkem (B+C+D)</c:v>
                </c:pt>
              </c:strCache>
            </c:strRef>
          </c:tx>
          <c:spPr>
            <a:solidFill>
              <a:schemeClr val="bg1">
                <a:lumMod val="65000"/>
              </a:schemeClr>
            </a:solidFill>
            <a:ln w="12700">
              <a:noFill/>
              <a:prstDash val="solid"/>
            </a:ln>
          </c:spP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1'!$C$30:$AG$30</c:f>
              <c:numCache>
                <c:formatCode>#,##0.0</c:formatCode>
                <c:ptCount val="31"/>
                <c:pt idx="0">
                  <c:v>4.8</c:v>
                </c:pt>
                <c:pt idx="1">
                  <c:v>7.8</c:v>
                </c:pt>
                <c:pt idx="2">
                  <c:v>10.5</c:v>
                </c:pt>
                <c:pt idx="3">
                  <c:v>9.5</c:v>
                </c:pt>
                <c:pt idx="4">
                  <c:v>9.9</c:v>
                </c:pt>
                <c:pt idx="5">
                  <c:v>8.3000000000000007</c:v>
                </c:pt>
                <c:pt idx="6">
                  <c:v>2.2999999999999998</c:v>
                </c:pt>
                <c:pt idx="7">
                  <c:v>3.4</c:v>
                </c:pt>
                <c:pt idx="8">
                  <c:v>1.4</c:v>
                </c:pt>
                <c:pt idx="9">
                  <c:v>0.8</c:v>
                </c:pt>
                <c:pt idx="10">
                  <c:v>0</c:v>
                </c:pt>
                <c:pt idx="11">
                  <c:v>-5.2</c:v>
                </c:pt>
                <c:pt idx="12">
                  <c:v>-3.5</c:v>
                </c:pt>
                <c:pt idx="13">
                  <c:v>-3.1</c:v>
                </c:pt>
                <c:pt idx="14">
                  <c:v>1.2</c:v>
                </c:pt>
                <c:pt idx="15">
                  <c:v>6</c:v>
                </c:pt>
                <c:pt idx="16">
                  <c:v>6.5</c:v>
                </c:pt>
                <c:pt idx="17">
                  <c:v>6.4</c:v>
                </c:pt>
                <c:pt idx="18">
                  <c:v>3</c:v>
                </c:pt>
                <c:pt idx="19">
                  <c:v>4</c:v>
                </c:pt>
                <c:pt idx="20">
                  <c:v>5.0999999999999996</c:v>
                </c:pt>
                <c:pt idx="21">
                  <c:v>5.5</c:v>
                </c:pt>
                <c:pt idx="22">
                  <c:v>5.8</c:v>
                </c:pt>
                <c:pt idx="23">
                  <c:v>2.9</c:v>
                </c:pt>
                <c:pt idx="24">
                  <c:v>4</c:v>
                </c:pt>
                <c:pt idx="25">
                  <c:v>2.9</c:v>
                </c:pt>
                <c:pt idx="26">
                  <c:v>1.4</c:v>
                </c:pt>
                <c:pt idx="27">
                  <c:v>3.3</c:v>
                </c:pt>
                <c:pt idx="28">
                  <c:v>4.9000000000000004</c:v>
                </c:pt>
                <c:pt idx="29">
                  <c:v>6.8</c:v>
                </c:pt>
                <c:pt idx="30">
                  <c:v>5.9</c:v>
                </c:pt>
              </c:numCache>
            </c:numRef>
          </c:val>
          <c:extLst xmlns:c16r2="http://schemas.microsoft.com/office/drawing/2015/06/chart">
            <c:ext xmlns:c16="http://schemas.microsoft.com/office/drawing/2014/chart" uri="{C3380CC4-5D6E-409C-BE32-E72D297353CC}">
              <c16:uniqueId val="{00000000-4DD1-401B-B2AE-BCCCA77A00B3}"/>
            </c:ext>
          </c:extLst>
        </c:ser>
        <c:gapWidth val="30"/>
        <c:axId val="157563904"/>
        <c:axId val="157582464"/>
      </c:barChart>
      <c:lineChart>
        <c:grouping val="standard"/>
        <c:ser>
          <c:idx val="3"/>
          <c:order val="1"/>
          <c:tx>
            <c:strRef>
              <c:f>'výkonnost odvětví 1'!$B$31</c:f>
              <c:strCache>
                <c:ptCount val="1"/>
                <c:pt idx="0">
                  <c:v>Potravinářství a výroba nápojů</c:v>
                </c:pt>
              </c:strCache>
            </c:strRef>
          </c:tx>
          <c:spPr>
            <a:ln w="19050">
              <a:solidFill>
                <a:srgbClr val="7DBB2D"/>
              </a:solidFill>
              <a:prstDash val="solid"/>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1'!$C$31:$AG$31</c:f>
              <c:numCache>
                <c:formatCode>#,##0.0</c:formatCode>
                <c:ptCount val="31"/>
                <c:pt idx="0">
                  <c:v>-1.4</c:v>
                </c:pt>
                <c:pt idx="1">
                  <c:v>-4.7</c:v>
                </c:pt>
                <c:pt idx="2">
                  <c:v>-3.1</c:v>
                </c:pt>
                <c:pt idx="3">
                  <c:v>-4.0999999999999996</c:v>
                </c:pt>
                <c:pt idx="4">
                  <c:v>-0.30000000000000032</c:v>
                </c:pt>
                <c:pt idx="5">
                  <c:v>0</c:v>
                </c:pt>
                <c:pt idx="6">
                  <c:v>-4.0999999999999996</c:v>
                </c:pt>
                <c:pt idx="7">
                  <c:v>-1.7</c:v>
                </c:pt>
                <c:pt idx="8">
                  <c:v>-4.3</c:v>
                </c:pt>
                <c:pt idx="9">
                  <c:v>-1.3</c:v>
                </c:pt>
                <c:pt idx="10">
                  <c:v>0</c:v>
                </c:pt>
                <c:pt idx="11">
                  <c:v>-1.8</c:v>
                </c:pt>
                <c:pt idx="12">
                  <c:v>1</c:v>
                </c:pt>
                <c:pt idx="13">
                  <c:v>-1.4</c:v>
                </c:pt>
                <c:pt idx="14">
                  <c:v>-1</c:v>
                </c:pt>
                <c:pt idx="15">
                  <c:v>0.8</c:v>
                </c:pt>
                <c:pt idx="16">
                  <c:v>2.4</c:v>
                </c:pt>
                <c:pt idx="17">
                  <c:v>4.2</c:v>
                </c:pt>
                <c:pt idx="18">
                  <c:v>0.60000000000000064</c:v>
                </c:pt>
                <c:pt idx="19">
                  <c:v>5.7</c:v>
                </c:pt>
                <c:pt idx="20">
                  <c:v>4.4000000000000004</c:v>
                </c:pt>
                <c:pt idx="21">
                  <c:v>1.1000000000000001</c:v>
                </c:pt>
                <c:pt idx="22">
                  <c:v>8.2000000000000011</c:v>
                </c:pt>
                <c:pt idx="23">
                  <c:v>3.8</c:v>
                </c:pt>
                <c:pt idx="24">
                  <c:v>-0.8</c:v>
                </c:pt>
                <c:pt idx="25">
                  <c:v>0.8</c:v>
                </c:pt>
                <c:pt idx="26">
                  <c:v>0.60000000000000064</c:v>
                </c:pt>
                <c:pt idx="27">
                  <c:v>-1.9000000000000001</c:v>
                </c:pt>
                <c:pt idx="28">
                  <c:v>2.6</c:v>
                </c:pt>
                <c:pt idx="29">
                  <c:v>5</c:v>
                </c:pt>
                <c:pt idx="30">
                  <c:v>-1.1000000000000001</c:v>
                </c:pt>
              </c:numCache>
            </c:numRef>
          </c:val>
          <c:extLst xmlns:c16r2="http://schemas.microsoft.com/office/drawing/2015/06/chart">
            <c:ext xmlns:c16="http://schemas.microsoft.com/office/drawing/2014/chart" uri="{C3380CC4-5D6E-409C-BE32-E72D297353CC}">
              <c16:uniqueId val="{00000001-4DD1-401B-B2AE-BCCCA77A00B3}"/>
            </c:ext>
          </c:extLst>
        </c:ser>
        <c:ser>
          <c:idx val="1"/>
          <c:order val="2"/>
          <c:tx>
            <c:strRef>
              <c:f>'výkonnost odvětví 1'!$B$32</c:f>
              <c:strCache>
                <c:ptCount val="1"/>
                <c:pt idx="0">
                  <c:v>Chemický průmysl</c:v>
                </c:pt>
              </c:strCache>
            </c:strRef>
          </c:tx>
          <c:spPr>
            <a:ln w="19050">
              <a:solidFill>
                <a:srgbClr val="F8A124"/>
              </a:solidFill>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1'!$C$32:$AG$32</c:f>
              <c:numCache>
                <c:formatCode>#,##0.0</c:formatCode>
                <c:ptCount val="31"/>
                <c:pt idx="0">
                  <c:v>0</c:v>
                </c:pt>
                <c:pt idx="1">
                  <c:v>-1.3</c:v>
                </c:pt>
                <c:pt idx="2">
                  <c:v>13.8</c:v>
                </c:pt>
                <c:pt idx="3">
                  <c:v>12.1</c:v>
                </c:pt>
                <c:pt idx="4">
                  <c:v>2.6</c:v>
                </c:pt>
                <c:pt idx="5">
                  <c:v>-4.7</c:v>
                </c:pt>
                <c:pt idx="6">
                  <c:v>-8.5</c:v>
                </c:pt>
                <c:pt idx="7">
                  <c:v>-8</c:v>
                </c:pt>
                <c:pt idx="8">
                  <c:v>3.1</c:v>
                </c:pt>
                <c:pt idx="9">
                  <c:v>0.60000000000000064</c:v>
                </c:pt>
                <c:pt idx="10">
                  <c:v>10.1</c:v>
                </c:pt>
                <c:pt idx="11">
                  <c:v>6.8</c:v>
                </c:pt>
                <c:pt idx="12">
                  <c:v>-5.0999999999999996</c:v>
                </c:pt>
                <c:pt idx="13">
                  <c:v>-0.9</c:v>
                </c:pt>
                <c:pt idx="14">
                  <c:v>-9.9</c:v>
                </c:pt>
                <c:pt idx="15">
                  <c:v>4</c:v>
                </c:pt>
                <c:pt idx="16">
                  <c:v>9</c:v>
                </c:pt>
                <c:pt idx="17">
                  <c:v>9.7000000000000011</c:v>
                </c:pt>
                <c:pt idx="18">
                  <c:v>15.8</c:v>
                </c:pt>
                <c:pt idx="19">
                  <c:v>4.0999999999999996</c:v>
                </c:pt>
                <c:pt idx="20">
                  <c:v>2.9</c:v>
                </c:pt>
                <c:pt idx="21">
                  <c:v>3.5</c:v>
                </c:pt>
                <c:pt idx="22">
                  <c:v>-7.9</c:v>
                </c:pt>
                <c:pt idx="23">
                  <c:v>-15.9</c:v>
                </c:pt>
                <c:pt idx="24">
                  <c:v>-13.8</c:v>
                </c:pt>
                <c:pt idx="25">
                  <c:v>-16.399999999999999</c:v>
                </c:pt>
                <c:pt idx="26">
                  <c:v>-5.9</c:v>
                </c:pt>
                <c:pt idx="27">
                  <c:v>10.8</c:v>
                </c:pt>
                <c:pt idx="28">
                  <c:v>17.7</c:v>
                </c:pt>
                <c:pt idx="29">
                  <c:v>24</c:v>
                </c:pt>
                <c:pt idx="30">
                  <c:v>20.100000000000001</c:v>
                </c:pt>
              </c:numCache>
            </c:numRef>
          </c:val>
          <c:extLst xmlns:c16r2="http://schemas.microsoft.com/office/drawing/2015/06/chart">
            <c:ext xmlns:c16="http://schemas.microsoft.com/office/drawing/2014/chart" uri="{C3380CC4-5D6E-409C-BE32-E72D297353CC}">
              <c16:uniqueId val="{00000002-4DD1-401B-B2AE-BCCCA77A00B3}"/>
            </c:ext>
          </c:extLst>
        </c:ser>
        <c:ser>
          <c:idx val="7"/>
          <c:order val="3"/>
          <c:tx>
            <c:strRef>
              <c:f>'výkonnost odvětví 1'!$B$33</c:f>
              <c:strCache>
                <c:ptCount val="1"/>
                <c:pt idx="0">
                  <c:v>Výroba PC, elektronic. a optic. přístrojů</c:v>
                </c:pt>
              </c:strCache>
            </c:strRef>
          </c:tx>
          <c:spPr>
            <a:ln w="19050">
              <a:solidFill>
                <a:srgbClr val="48AEE7"/>
              </a:solidFill>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1'!$C$33:$AG$33</c:f>
              <c:numCache>
                <c:formatCode>#,##0.0</c:formatCode>
                <c:ptCount val="31"/>
                <c:pt idx="0">
                  <c:v>13.6</c:v>
                </c:pt>
                <c:pt idx="1">
                  <c:v>36.9</c:v>
                </c:pt>
                <c:pt idx="2">
                  <c:v>39.1</c:v>
                </c:pt>
                <c:pt idx="3">
                  <c:v>27.2</c:v>
                </c:pt>
                <c:pt idx="4">
                  <c:v>12.5</c:v>
                </c:pt>
                <c:pt idx="5">
                  <c:v>6</c:v>
                </c:pt>
                <c:pt idx="6">
                  <c:v>-5.9</c:v>
                </c:pt>
                <c:pt idx="7">
                  <c:v>-18.399999999999999</c:v>
                </c:pt>
                <c:pt idx="8">
                  <c:v>-19</c:v>
                </c:pt>
                <c:pt idx="9">
                  <c:v>-22.7</c:v>
                </c:pt>
                <c:pt idx="10">
                  <c:v>-19.2</c:v>
                </c:pt>
                <c:pt idx="11">
                  <c:v>-13.5</c:v>
                </c:pt>
                <c:pt idx="12">
                  <c:v>10.6</c:v>
                </c:pt>
                <c:pt idx="13">
                  <c:v>13</c:v>
                </c:pt>
                <c:pt idx="14">
                  <c:v>18.100000000000001</c:v>
                </c:pt>
                <c:pt idx="15">
                  <c:v>22.1</c:v>
                </c:pt>
                <c:pt idx="16">
                  <c:v>18.3</c:v>
                </c:pt>
                <c:pt idx="17">
                  <c:v>19.2</c:v>
                </c:pt>
                <c:pt idx="18">
                  <c:v>14.5</c:v>
                </c:pt>
                <c:pt idx="19">
                  <c:v>21.4</c:v>
                </c:pt>
                <c:pt idx="20">
                  <c:v>7</c:v>
                </c:pt>
                <c:pt idx="21">
                  <c:v>3.5</c:v>
                </c:pt>
                <c:pt idx="22">
                  <c:v>3.1</c:v>
                </c:pt>
                <c:pt idx="23">
                  <c:v>-1.3</c:v>
                </c:pt>
                <c:pt idx="24">
                  <c:v>0.5</c:v>
                </c:pt>
                <c:pt idx="25">
                  <c:v>3.5</c:v>
                </c:pt>
                <c:pt idx="26">
                  <c:v>2.5</c:v>
                </c:pt>
                <c:pt idx="27">
                  <c:v>8.9</c:v>
                </c:pt>
                <c:pt idx="28">
                  <c:v>7.5</c:v>
                </c:pt>
                <c:pt idx="29">
                  <c:v>18.100000000000001</c:v>
                </c:pt>
                <c:pt idx="30">
                  <c:v>10</c:v>
                </c:pt>
              </c:numCache>
            </c:numRef>
          </c:val>
          <c:extLst xmlns:c16r2="http://schemas.microsoft.com/office/drawing/2015/06/chart">
            <c:ext xmlns:c16="http://schemas.microsoft.com/office/drawing/2014/chart" uri="{C3380CC4-5D6E-409C-BE32-E72D297353CC}">
              <c16:uniqueId val="{00000003-4DD1-401B-B2AE-BCCCA77A00B3}"/>
            </c:ext>
          </c:extLst>
        </c:ser>
        <c:ser>
          <c:idx val="2"/>
          <c:order val="4"/>
          <c:tx>
            <c:strRef>
              <c:f>'výkonnost odvětví 1'!$B$34</c:f>
              <c:strCache>
                <c:ptCount val="1"/>
                <c:pt idx="0">
                  <c:v>Výroba motor. voz.</c:v>
                </c:pt>
              </c:strCache>
            </c:strRef>
          </c:tx>
          <c:spPr>
            <a:ln w="19050">
              <a:solidFill>
                <a:srgbClr val="BD1B21"/>
              </a:solidFill>
              <a:prstDash val="solid"/>
            </a:ln>
          </c:spPr>
          <c:marker>
            <c:symbol val="none"/>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1'!$C$34:$AG$34</c:f>
              <c:numCache>
                <c:formatCode>#,##0.0</c:formatCode>
                <c:ptCount val="31"/>
                <c:pt idx="0">
                  <c:v>36.200000000000003</c:v>
                </c:pt>
                <c:pt idx="1">
                  <c:v>18.399999999999999</c:v>
                </c:pt>
                <c:pt idx="2">
                  <c:v>13.3</c:v>
                </c:pt>
                <c:pt idx="3">
                  <c:v>21.4</c:v>
                </c:pt>
                <c:pt idx="4">
                  <c:v>27.1</c:v>
                </c:pt>
                <c:pt idx="5">
                  <c:v>21.6</c:v>
                </c:pt>
                <c:pt idx="6">
                  <c:v>20.8</c:v>
                </c:pt>
                <c:pt idx="7">
                  <c:v>16</c:v>
                </c:pt>
                <c:pt idx="8">
                  <c:v>9.9</c:v>
                </c:pt>
                <c:pt idx="9">
                  <c:v>4.3</c:v>
                </c:pt>
                <c:pt idx="10">
                  <c:v>-2.9</c:v>
                </c:pt>
                <c:pt idx="11">
                  <c:v>-6.9</c:v>
                </c:pt>
                <c:pt idx="12">
                  <c:v>-15</c:v>
                </c:pt>
                <c:pt idx="13">
                  <c:v>-6.6</c:v>
                </c:pt>
                <c:pt idx="14">
                  <c:v>3.9</c:v>
                </c:pt>
                <c:pt idx="15">
                  <c:v>8.3000000000000007</c:v>
                </c:pt>
                <c:pt idx="16">
                  <c:v>20.7</c:v>
                </c:pt>
                <c:pt idx="17">
                  <c:v>13.6</c:v>
                </c:pt>
                <c:pt idx="18">
                  <c:v>10.6</c:v>
                </c:pt>
                <c:pt idx="19">
                  <c:v>9.1</c:v>
                </c:pt>
                <c:pt idx="20">
                  <c:v>7.6</c:v>
                </c:pt>
                <c:pt idx="21">
                  <c:v>12.2</c:v>
                </c:pt>
                <c:pt idx="22">
                  <c:v>14.1</c:v>
                </c:pt>
                <c:pt idx="23">
                  <c:v>16.100000000000001</c:v>
                </c:pt>
                <c:pt idx="24">
                  <c:v>15.7</c:v>
                </c:pt>
                <c:pt idx="25">
                  <c:v>14.6</c:v>
                </c:pt>
                <c:pt idx="26">
                  <c:v>6.5</c:v>
                </c:pt>
                <c:pt idx="27">
                  <c:v>7</c:v>
                </c:pt>
                <c:pt idx="28">
                  <c:v>10.5</c:v>
                </c:pt>
                <c:pt idx="29">
                  <c:v>9.8000000000000007</c:v>
                </c:pt>
                <c:pt idx="30">
                  <c:v>9.4</c:v>
                </c:pt>
              </c:numCache>
            </c:numRef>
          </c:val>
          <c:extLst xmlns:c16r2="http://schemas.microsoft.com/office/drawing/2015/06/chart">
            <c:ext xmlns:c16="http://schemas.microsoft.com/office/drawing/2014/chart" uri="{C3380CC4-5D6E-409C-BE32-E72D297353CC}">
              <c16:uniqueId val="{00000004-4DD1-401B-B2AE-BCCCA77A00B3}"/>
            </c:ext>
          </c:extLst>
        </c:ser>
        <c:ser>
          <c:idx val="5"/>
          <c:order val="5"/>
          <c:tx>
            <c:strRef>
              <c:f>'výkonnost odvětví 1'!$B$35</c:f>
              <c:strCache>
                <c:ptCount val="1"/>
                <c:pt idx="0">
                  <c:v>Energetika</c:v>
                </c:pt>
              </c:strCache>
            </c:strRef>
          </c:tx>
          <c:spPr>
            <a:ln w="19050">
              <a:noFill/>
            </a:ln>
          </c:spPr>
          <c:marker>
            <c:symbol val="diamond"/>
            <c:size val="5"/>
            <c:spPr>
              <a:solidFill>
                <a:schemeClr val="tx1">
                  <a:lumMod val="95000"/>
                  <a:lumOff val="5000"/>
                </a:schemeClr>
              </a:solidFill>
              <a:ln>
                <a:noFill/>
              </a:ln>
            </c:spPr>
          </c:marker>
          <c:cat>
            <c:multiLvlStrRef>
              <c:f>'výkonnost odvětví 1'!$C$28:$AG$29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1'!$C$35:$AG$35</c:f>
              <c:numCache>
                <c:formatCode>#,##0.0</c:formatCode>
                <c:ptCount val="31"/>
                <c:pt idx="0">
                  <c:v>3.3</c:v>
                </c:pt>
                <c:pt idx="1">
                  <c:v>5</c:v>
                </c:pt>
                <c:pt idx="2">
                  <c:v>8.5</c:v>
                </c:pt>
                <c:pt idx="3">
                  <c:v>2.6</c:v>
                </c:pt>
                <c:pt idx="4">
                  <c:v>-4</c:v>
                </c:pt>
                <c:pt idx="5">
                  <c:v>0.30000000000000032</c:v>
                </c:pt>
                <c:pt idx="6">
                  <c:v>-5.2</c:v>
                </c:pt>
                <c:pt idx="7">
                  <c:v>2.5</c:v>
                </c:pt>
                <c:pt idx="8">
                  <c:v>1.9000000000000001</c:v>
                </c:pt>
                <c:pt idx="9">
                  <c:v>4.5</c:v>
                </c:pt>
                <c:pt idx="10">
                  <c:v>1.1000000000000001</c:v>
                </c:pt>
                <c:pt idx="11">
                  <c:v>-7.9</c:v>
                </c:pt>
                <c:pt idx="12">
                  <c:v>-3.4</c:v>
                </c:pt>
                <c:pt idx="13">
                  <c:v>-4</c:v>
                </c:pt>
                <c:pt idx="14">
                  <c:v>-3.4</c:v>
                </c:pt>
                <c:pt idx="15">
                  <c:v>4.2</c:v>
                </c:pt>
                <c:pt idx="16">
                  <c:v>-3.4</c:v>
                </c:pt>
                <c:pt idx="17">
                  <c:v>-2.5</c:v>
                </c:pt>
                <c:pt idx="18">
                  <c:v>-2</c:v>
                </c:pt>
                <c:pt idx="19">
                  <c:v>-3.8</c:v>
                </c:pt>
                <c:pt idx="20">
                  <c:v>2.7</c:v>
                </c:pt>
                <c:pt idx="21">
                  <c:v>-1.4</c:v>
                </c:pt>
                <c:pt idx="22">
                  <c:v>-4.2</c:v>
                </c:pt>
                <c:pt idx="23">
                  <c:v>-7.9</c:v>
                </c:pt>
                <c:pt idx="24">
                  <c:v>-3.8</c:v>
                </c:pt>
                <c:pt idx="25">
                  <c:v>2.7</c:v>
                </c:pt>
                <c:pt idx="26">
                  <c:v>-2</c:v>
                </c:pt>
                <c:pt idx="27">
                  <c:v>7.3</c:v>
                </c:pt>
                <c:pt idx="28">
                  <c:v>4.4000000000000004</c:v>
                </c:pt>
                <c:pt idx="29">
                  <c:v>0.30000000000000032</c:v>
                </c:pt>
                <c:pt idx="30">
                  <c:v>12.8</c:v>
                </c:pt>
              </c:numCache>
            </c:numRef>
          </c:val>
          <c:extLst xmlns:c16r2="http://schemas.microsoft.com/office/drawing/2015/06/chart">
            <c:ext xmlns:c16="http://schemas.microsoft.com/office/drawing/2014/chart" uri="{C3380CC4-5D6E-409C-BE32-E72D297353CC}">
              <c16:uniqueId val="{00000005-4DD1-401B-B2AE-BCCCA77A00B3}"/>
            </c:ext>
          </c:extLst>
        </c:ser>
        <c:marker val="1"/>
        <c:axId val="157563904"/>
        <c:axId val="157582464"/>
      </c:lineChart>
      <c:catAx>
        <c:axId val="157563904"/>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7582464"/>
        <c:crossesAt val="0"/>
        <c:lblAlgn val="ctr"/>
        <c:lblOffset val="0"/>
        <c:tickLblSkip val="1"/>
        <c:tickMarkSkip val="4"/>
      </c:catAx>
      <c:valAx>
        <c:axId val="157582464"/>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7563904"/>
        <c:crosses val="autoZero"/>
        <c:crossBetween val="between"/>
        <c:majorUnit val="5"/>
      </c:valAx>
      <c:spPr>
        <a:noFill/>
        <a:ln w="9525">
          <a:solidFill>
            <a:schemeClr val="tx1"/>
          </a:solidFill>
        </a:ln>
      </c:spPr>
    </c:plotArea>
    <c:legend>
      <c:legendPos val="b"/>
      <c:layout>
        <c:manualLayout>
          <c:xMode val="edge"/>
          <c:yMode val="edge"/>
          <c:x val="6.0825137685827313E-2"/>
          <c:y val="0.87213891703253565"/>
          <c:w val="0.9258012889558157"/>
          <c:h val="0.120712597095575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174E-2"/>
          <c:w val="0.92988062751698064"/>
          <c:h val="0.74907069683665461"/>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2'!$C$31:$AG$31</c:f>
              <c:numCache>
                <c:formatCode>#,##0__</c:formatCode>
                <c:ptCount val="31"/>
                <c:pt idx="0">
                  <c:v>12.055392746813197</c:v>
                </c:pt>
                <c:pt idx="1">
                  <c:v>18.791785748936761</c:v>
                </c:pt>
                <c:pt idx="2">
                  <c:v>17.444096590215729</c:v>
                </c:pt>
                <c:pt idx="3">
                  <c:v>13.260899648585324</c:v>
                </c:pt>
                <c:pt idx="4" formatCode="#,##0.0__">
                  <c:v>12.043109882578847</c:v>
                </c:pt>
                <c:pt idx="5" formatCode="#,##0.0__">
                  <c:v>5.329288738434343</c:v>
                </c:pt>
                <c:pt idx="6" formatCode="#,##0.0__">
                  <c:v>-1.5038252425140883</c:v>
                </c:pt>
                <c:pt idx="7" formatCode="#,##0.0__">
                  <c:v>0.49985212637597154</c:v>
                </c:pt>
                <c:pt idx="8" formatCode="#,##0.0__">
                  <c:v>7.8919813268951016</c:v>
                </c:pt>
                <c:pt idx="9" formatCode="#,##0.0__">
                  <c:v>0.24365995359797032</c:v>
                </c:pt>
                <c:pt idx="10" formatCode="#,##0.0__">
                  <c:v>2.6780171683964737</c:v>
                </c:pt>
                <c:pt idx="11" formatCode="#,##0.0__">
                  <c:v>-2.2928067612426872</c:v>
                </c:pt>
                <c:pt idx="12" formatCode="#,##0.0__">
                  <c:v>-6.7566807507372015</c:v>
                </c:pt>
                <c:pt idx="13" formatCode="#,##0.0__">
                  <c:v>-0.77743655462338024</c:v>
                </c:pt>
                <c:pt idx="14" formatCode="#,##0.0__">
                  <c:v>12.110633355214674</c:v>
                </c:pt>
                <c:pt idx="15" formatCode="#,##0.0__">
                  <c:v>12.61158784734172</c:v>
                </c:pt>
                <c:pt idx="16" formatCode="#,##0.0__">
                  <c:v>18.162563874667068</c:v>
                </c:pt>
                <c:pt idx="17" formatCode="#,##0.0__">
                  <c:v>13.482126304908077</c:v>
                </c:pt>
                <c:pt idx="18" formatCode="#,##0.0__">
                  <c:v>11.650462908552004</c:v>
                </c:pt>
                <c:pt idx="19" formatCode="#,##0.0__">
                  <c:v>7.4466461221971532</c:v>
                </c:pt>
                <c:pt idx="20" formatCode="#,##0.0__">
                  <c:v>8.660128167930413</c:v>
                </c:pt>
                <c:pt idx="21" formatCode="#,##0.0__">
                  <c:v>7.0703444338271924</c:v>
                </c:pt>
                <c:pt idx="22" formatCode="#,##0.0__">
                  <c:v>3.8319900533634268</c:v>
                </c:pt>
                <c:pt idx="23" formatCode="#,##0.0__">
                  <c:v>6.2462982413050714</c:v>
                </c:pt>
                <c:pt idx="24" formatCode="#,##0.0__">
                  <c:v>1.7408408111983675</c:v>
                </c:pt>
                <c:pt idx="25" formatCode="#,##0.0__">
                  <c:v>10.948509388317888</c:v>
                </c:pt>
                <c:pt idx="26" formatCode="#,##0.0__">
                  <c:v>1.6291665033355542</c:v>
                </c:pt>
                <c:pt idx="27" formatCode="#,##0.0__">
                  <c:v>6.4782911884818439</c:v>
                </c:pt>
                <c:pt idx="28" formatCode="#,##0.0__">
                  <c:v>9.9432376163981502</c:v>
                </c:pt>
                <c:pt idx="29" formatCode="#,##0.0__">
                  <c:v>3.6195909194471625</c:v>
                </c:pt>
                <c:pt idx="30" formatCode="#,##0.0__">
                  <c:v>6.0641433803063478</c:v>
                </c:pt>
              </c:numCache>
            </c:numRef>
          </c:val>
          <c:extLst xmlns:c16r2="http://schemas.microsoft.com/office/drawing/2015/06/chart">
            <c:ext xmlns:c16="http://schemas.microsoft.com/office/drawing/2014/chart" uri="{C3380CC4-5D6E-409C-BE32-E72D297353CC}">
              <c16:uniqueId val="{00000000-7CCC-464F-91C5-560995853069}"/>
            </c:ext>
          </c:extLst>
        </c:ser>
        <c:gapWidth val="34"/>
        <c:overlap val="28"/>
        <c:axId val="158014080"/>
        <c:axId val="158028544"/>
      </c:barChart>
      <c:lineChart>
        <c:grouping val="standard"/>
        <c:ser>
          <c:idx val="2"/>
          <c:order val="1"/>
          <c:tx>
            <c:strRef>
              <c:f>'výkonnost odvětví 2'!$B$32</c:f>
              <c:strCache>
                <c:ptCount val="1"/>
                <c:pt idx="0">
                  <c:v>Průmyslové zakázky z tuzemska</c:v>
                </c:pt>
              </c:strCache>
            </c:strRef>
          </c:tx>
          <c:spPr>
            <a:ln w="19050">
              <a:solidFill>
                <a:srgbClr val="0071BC"/>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2'!$C$32:$AG$32</c:f>
              <c:numCache>
                <c:formatCode>#,##0__</c:formatCode>
                <c:ptCount val="31"/>
                <c:pt idx="0">
                  <c:v>9.3690276852933057</c:v>
                </c:pt>
                <c:pt idx="1">
                  <c:v>20.682181592692444</c:v>
                </c:pt>
                <c:pt idx="2">
                  <c:v>16.573478131898707</c:v>
                </c:pt>
                <c:pt idx="3">
                  <c:v>7.6006939720973321</c:v>
                </c:pt>
                <c:pt idx="4" formatCode="#,##0.0__">
                  <c:v>2.8145828625014992</c:v>
                </c:pt>
                <c:pt idx="5" formatCode="#,##0.0__">
                  <c:v>-0.65160236646085179</c:v>
                </c:pt>
                <c:pt idx="6" formatCode="#,##0.0__">
                  <c:v>-11.671779874966376</c:v>
                </c:pt>
                <c:pt idx="7" formatCode="#,##0.0__">
                  <c:v>-10.696553928195002</c:v>
                </c:pt>
                <c:pt idx="8" formatCode="#,##0.0__">
                  <c:v>2.6214089523072488</c:v>
                </c:pt>
                <c:pt idx="9" formatCode="#,##0.0__">
                  <c:v>-9.2467358771092947</c:v>
                </c:pt>
                <c:pt idx="10" formatCode="#,##0.0__">
                  <c:v>-2.8571327008706082</c:v>
                </c:pt>
                <c:pt idx="11" formatCode="#,##0.0__">
                  <c:v>-4.0487131301687915</c:v>
                </c:pt>
                <c:pt idx="12" formatCode="#,##0.0__">
                  <c:v>-7.1126687487238414</c:v>
                </c:pt>
                <c:pt idx="13" formatCode="#,##0.0__">
                  <c:v>-0.59564647244366165</c:v>
                </c:pt>
                <c:pt idx="14" formatCode="#,##0.0__">
                  <c:v>9.3846900381038747</c:v>
                </c:pt>
                <c:pt idx="15" formatCode="#,##0.0__">
                  <c:v>7.0781764130708797</c:v>
                </c:pt>
                <c:pt idx="16" formatCode="#,##0.0__">
                  <c:v>13.320088621608226</c:v>
                </c:pt>
                <c:pt idx="17" formatCode="#,##0.0__">
                  <c:v>7.6021800914440689</c:v>
                </c:pt>
                <c:pt idx="18" formatCode="#,##0.0__">
                  <c:v>17.491767655905477</c:v>
                </c:pt>
                <c:pt idx="19" formatCode="#,##0.0__">
                  <c:v>10.07772805392962</c:v>
                </c:pt>
                <c:pt idx="20" formatCode="#,##0.0__">
                  <c:v>5.7894297437900129</c:v>
                </c:pt>
                <c:pt idx="21" formatCode="#,##0.0__">
                  <c:v>11.162593735327274</c:v>
                </c:pt>
                <c:pt idx="22" formatCode="#,##0.0__">
                  <c:v>-4.0508483479998176</c:v>
                </c:pt>
                <c:pt idx="23" formatCode="#,##0.0__">
                  <c:v>1.8219061224914839</c:v>
                </c:pt>
                <c:pt idx="24" formatCode="#,##0.0__">
                  <c:v>1.3670231871965086</c:v>
                </c:pt>
                <c:pt idx="25" formatCode="#,##0.0__">
                  <c:v>6.1144874584533255</c:v>
                </c:pt>
                <c:pt idx="26" formatCode="#,##0.0__">
                  <c:v>-0.208282602941253</c:v>
                </c:pt>
                <c:pt idx="27" formatCode="#,##0.0__">
                  <c:v>3.0760686001194331</c:v>
                </c:pt>
                <c:pt idx="28" formatCode="#,##0.0__">
                  <c:v>10.978389781409588</c:v>
                </c:pt>
                <c:pt idx="29" formatCode="#,##0.0__">
                  <c:v>6.3261882148095845</c:v>
                </c:pt>
                <c:pt idx="30" formatCode="#,##0.0__">
                  <c:v>8.5667505369249586</c:v>
                </c:pt>
              </c:numCache>
            </c:numRef>
          </c:val>
          <c:extLst xmlns:c16r2="http://schemas.microsoft.com/office/drawing/2015/06/chart">
            <c:ext xmlns:c16="http://schemas.microsoft.com/office/drawing/2014/chart" uri="{C3380CC4-5D6E-409C-BE32-E72D297353CC}">
              <c16:uniqueId val="{00000001-7CCC-464F-91C5-560995853069}"/>
            </c:ext>
          </c:extLst>
        </c:ser>
        <c:ser>
          <c:idx val="5"/>
          <c:order val="2"/>
          <c:tx>
            <c:strRef>
              <c:f>'výkonnost odvětví 2'!$B$33</c:f>
              <c:strCache>
                <c:ptCount val="1"/>
                <c:pt idx="0">
                  <c:v>Průmyslové zakázky ze zahraničí</c:v>
                </c:pt>
              </c:strCache>
            </c:strRef>
          </c:tx>
          <c:spPr>
            <a:ln w="19050">
              <a:solidFill>
                <a:srgbClr val="BD1B21"/>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2'!$C$33:$AG$33</c:f>
              <c:numCache>
                <c:formatCode>#,##0__</c:formatCode>
                <c:ptCount val="31"/>
                <c:pt idx="0">
                  <c:v>13.967994717912196</c:v>
                </c:pt>
                <c:pt idx="1">
                  <c:v>17.5019515808862</c:v>
                </c:pt>
                <c:pt idx="2">
                  <c:v>18.066389248755819</c:v>
                </c:pt>
                <c:pt idx="3">
                  <c:v>17.763791144855006</c:v>
                </c:pt>
                <c:pt idx="4" formatCode="#,##0.0__">
                  <c:v>18.34835983012443</c:v>
                </c:pt>
                <c:pt idx="5" formatCode="#,##0.0__">
                  <c:v>9.5205485847743709</c:v>
                </c:pt>
                <c:pt idx="6" formatCode="#,##0.0__">
                  <c:v>5.6719989098307195</c:v>
                </c:pt>
                <c:pt idx="7" formatCode="#,##0.0__">
                  <c:v>8.6383086882355613</c:v>
                </c:pt>
                <c:pt idx="8" formatCode="#,##0.0__">
                  <c:v>11.020367044503203</c:v>
                </c:pt>
                <c:pt idx="9" formatCode="#,##0.0__">
                  <c:v>6.2765550752876891</c:v>
                </c:pt>
                <c:pt idx="10" formatCode="#,##0.0__">
                  <c:v>5.9432809771147106</c:v>
                </c:pt>
                <c:pt idx="11" formatCode="#,##0.0__">
                  <c:v>-1.2435707077734535</c:v>
                </c:pt>
                <c:pt idx="12" formatCode="#,##0.0__">
                  <c:v>-6.5613810568299265</c:v>
                </c:pt>
                <c:pt idx="13" formatCode="#,##0.0__">
                  <c:v>-0.87612893265552283</c:v>
                </c:pt>
                <c:pt idx="14" formatCode="#,##0.0__">
                  <c:v>13.585017236629096</c:v>
                </c:pt>
                <c:pt idx="15" formatCode="#,##0.0__">
                  <c:v>15.823868051866199</c:v>
                </c:pt>
                <c:pt idx="16" formatCode="#,##0.0__">
                  <c:v>20.803737843093895</c:v>
                </c:pt>
                <c:pt idx="17" formatCode="#,##0.0__">
                  <c:v>16.683085155498301</c:v>
                </c:pt>
                <c:pt idx="18" formatCode="#,##0.0__">
                  <c:v>8.6077426037905482</c:v>
                </c:pt>
                <c:pt idx="19" formatCode="#,##0.0__">
                  <c:v>6.0345642153573777</c:v>
                </c:pt>
                <c:pt idx="20" formatCode="#,##0.0__">
                  <c:v>10.128880629251862</c:v>
                </c:pt>
                <c:pt idx="21" formatCode="#,##0.0__">
                  <c:v>5.0159759230793242</c:v>
                </c:pt>
                <c:pt idx="22" formatCode="#,##0.0__">
                  <c:v>8.2739940886640966</c:v>
                </c:pt>
                <c:pt idx="23" formatCode="#,##0.0__">
                  <c:v>8.7114357834965919</c:v>
                </c:pt>
                <c:pt idx="24" formatCode="#,##0.0__">
                  <c:v>1.9245605566923001</c:v>
                </c:pt>
                <c:pt idx="25" formatCode="#,##0.0__">
                  <c:v>13.517252250841864</c:v>
                </c:pt>
                <c:pt idx="26" formatCode="#,##0.0__">
                  <c:v>2.5467160757470992</c:v>
                </c:pt>
                <c:pt idx="27" formatCode="#,##0.0__">
                  <c:v>8.2537778544595994</c:v>
                </c:pt>
                <c:pt idx="28" formatCode="#,##0.0__">
                  <c:v>9.4372753873574791</c:v>
                </c:pt>
                <c:pt idx="29" formatCode="#,##0.0__">
                  <c:v>2.2751291102671312</c:v>
                </c:pt>
                <c:pt idx="30" formatCode="#,##0.0__">
                  <c:v>4.8480143912486815</c:v>
                </c:pt>
              </c:numCache>
            </c:numRef>
          </c:val>
          <c:extLst xmlns:c16r2="http://schemas.microsoft.com/office/drawing/2015/06/chart">
            <c:ext xmlns:c16="http://schemas.microsoft.com/office/drawing/2014/chart" uri="{C3380CC4-5D6E-409C-BE32-E72D297353CC}">
              <c16:uniqueId val="{00000002-7CCC-464F-91C5-560995853069}"/>
            </c:ext>
          </c:extLst>
        </c:ser>
        <c:ser>
          <c:idx val="3"/>
          <c:order val="3"/>
          <c:tx>
            <c:strRef>
              <c:f>'výkonnost odvětví 2'!$B$34</c:f>
              <c:strCache>
                <c:ptCount val="1"/>
                <c:pt idx="0">
                  <c:v>Celkové zakázky ve výrobě motor.voz.</c:v>
                </c:pt>
              </c:strCache>
            </c:strRef>
          </c:tx>
          <c:spPr>
            <a:ln w="19050">
              <a:solidFill>
                <a:srgbClr val="7DBB2D"/>
              </a:solidFill>
              <a:prstDash val="sysDash"/>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2'!$C$34:$AG$34</c:f>
              <c:numCache>
                <c:formatCode>#,##0__</c:formatCode>
                <c:ptCount val="31"/>
                <c:pt idx="0">
                  <c:v>22.397283057705607</c:v>
                </c:pt>
                <c:pt idx="1">
                  <c:v>13.97319302651168</c:v>
                </c:pt>
                <c:pt idx="2">
                  <c:v>7.1944771497167279</c:v>
                </c:pt>
                <c:pt idx="3">
                  <c:v>11.191663864871268</c:v>
                </c:pt>
                <c:pt idx="4" formatCode="#,##0.0__">
                  <c:v>11.429402386477452</c:v>
                </c:pt>
                <c:pt idx="5" formatCode="#,##0.0__">
                  <c:v>9.2048305726435871</c:v>
                </c:pt>
                <c:pt idx="6" formatCode="#,##0.0__">
                  <c:v>4.4139979160091229</c:v>
                </c:pt>
                <c:pt idx="7" formatCode="#,##0.0__">
                  <c:v>5.3718762099036104</c:v>
                </c:pt>
                <c:pt idx="8" formatCode="#,##0.0__">
                  <c:v>19.546364960067962</c:v>
                </c:pt>
                <c:pt idx="9" formatCode="#,##0.0__">
                  <c:v>4.6887472536184545</c:v>
                </c:pt>
                <c:pt idx="10" formatCode="#,##0.0__">
                  <c:v>1.3322076250665489</c:v>
                </c:pt>
                <c:pt idx="11" formatCode="#,##0.0__">
                  <c:v>-2.0218867913281429</c:v>
                </c:pt>
                <c:pt idx="12" formatCode="#,##0.0__">
                  <c:v>-15.423727423981818</c:v>
                </c:pt>
                <c:pt idx="13" formatCode="#,##0.0__">
                  <c:v>-3.0233496760853602</c:v>
                </c:pt>
                <c:pt idx="14" formatCode="#,##0.0__">
                  <c:v>24.6541923398335</c:v>
                </c:pt>
                <c:pt idx="15" formatCode="#,##0.0__">
                  <c:v>18.470977722262504</c:v>
                </c:pt>
                <c:pt idx="16" formatCode="#,##0.0__">
                  <c:v>32.857924641754245</c:v>
                </c:pt>
                <c:pt idx="17" formatCode="#,##0.0__">
                  <c:v>21.510093669639033</c:v>
                </c:pt>
                <c:pt idx="18" formatCode="#,##0.0__">
                  <c:v>18.020323646174209</c:v>
                </c:pt>
                <c:pt idx="19" formatCode="#,##0.0__">
                  <c:v>12.881775988021868</c:v>
                </c:pt>
                <c:pt idx="20" formatCode="#,##0.0__">
                  <c:v>15.24629352397284</c:v>
                </c:pt>
                <c:pt idx="21" formatCode="#,##0.0__">
                  <c:v>6.8791958260229649</c:v>
                </c:pt>
                <c:pt idx="22" formatCode="#,##0.0__">
                  <c:v>12.567873991728405</c:v>
                </c:pt>
                <c:pt idx="23" formatCode="#,##0.0__">
                  <c:v>18.260229737036489</c:v>
                </c:pt>
                <c:pt idx="24" formatCode="#,##0.0__">
                  <c:v>11.749683619623852</c:v>
                </c:pt>
                <c:pt idx="25" formatCode="#,##0.0__">
                  <c:v>31.720945586356066</c:v>
                </c:pt>
                <c:pt idx="26" formatCode="#,##0.0__">
                  <c:v>5.5580496491434115</c:v>
                </c:pt>
                <c:pt idx="27" formatCode="#,##0.0__">
                  <c:v>11.524691177371963</c:v>
                </c:pt>
                <c:pt idx="28" formatCode="#,##0.0__">
                  <c:v>7.3911878589177631</c:v>
                </c:pt>
                <c:pt idx="29" formatCode="#,##0.0__">
                  <c:v>-1.825653301071384</c:v>
                </c:pt>
                <c:pt idx="30" formatCode="#,##0.0__">
                  <c:v>3.4805984999952937</c:v>
                </c:pt>
              </c:numCache>
            </c:numRef>
          </c:val>
          <c:extLst xmlns:c16r2="http://schemas.microsoft.com/office/drawing/2015/06/chart">
            <c:ext xmlns:c16="http://schemas.microsoft.com/office/drawing/2014/chart" uri="{C3380CC4-5D6E-409C-BE32-E72D297353CC}">
              <c16:uniqueId val="{00000003-7CCC-464F-91C5-560995853069}"/>
            </c:ext>
          </c:extLst>
        </c:ser>
        <c:marker val="1"/>
        <c:axId val="158014080"/>
        <c:axId val="158028544"/>
      </c:lineChart>
      <c:lineChart>
        <c:grouping val="standard"/>
        <c:ser>
          <c:idx val="4"/>
          <c:order val="4"/>
          <c:tx>
            <c:strRef>
              <c:f>'výkonnost odvětví 2'!$B$35</c:f>
              <c:strCache>
                <c:ptCount val="1"/>
                <c:pt idx="0">
                  <c:v>Saldo souhr. indikát. důvěry v průmyslu</c:v>
                </c:pt>
              </c:strCache>
            </c:strRef>
          </c:tx>
          <c:spPr>
            <a:ln w="19050">
              <a:noFill/>
            </a:ln>
          </c:spPr>
          <c:marker>
            <c:symbol val="dash"/>
            <c:size val="9"/>
            <c:spPr>
              <a:solidFill>
                <a:srgbClr val="984807"/>
              </a:solidFill>
              <a:ln>
                <a:noFill/>
              </a:ln>
            </c:spPr>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2'!$C$35:$AG$35</c:f>
              <c:numCache>
                <c:formatCode>0.0</c:formatCode>
                <c:ptCount val="31"/>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-6.2333333333333547</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5.3333333333333508</c:v>
                </c:pt>
                <c:pt idx="28">
                  <c:v>3.3333333333333335</c:v>
                </c:pt>
                <c:pt idx="29">
                  <c:v>0.8333333333333337</c:v>
                </c:pt>
                <c:pt idx="30">
                  <c:v>3.8666666666666667</c:v>
                </c:pt>
              </c:numCache>
            </c:numRef>
          </c:val>
          <c:extLst xmlns:c16r2="http://schemas.microsoft.com/office/drawing/2015/06/chart">
            <c:ext xmlns:c16="http://schemas.microsoft.com/office/drawing/2014/chart" uri="{C3380CC4-5D6E-409C-BE32-E72D297353CC}">
              <c16:uniqueId val="{00000004-7CCC-464F-91C5-560995853069}"/>
            </c:ext>
          </c:extLst>
        </c:ser>
        <c:marker val="1"/>
        <c:axId val="158030080"/>
        <c:axId val="158031872"/>
      </c:lineChart>
      <c:catAx>
        <c:axId val="15801408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8028544"/>
        <c:crossesAt val="0"/>
        <c:lblAlgn val="ctr"/>
        <c:lblOffset val="0"/>
        <c:tickLblSkip val="1"/>
        <c:tickMarkSkip val="4"/>
      </c:catAx>
      <c:valAx>
        <c:axId val="158028544"/>
        <c:scaling>
          <c:orientation val="minMax"/>
          <c:max val="3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8014080"/>
        <c:crosses val="autoZero"/>
        <c:crossBetween val="between"/>
        <c:majorUnit val="5"/>
      </c:valAx>
      <c:catAx>
        <c:axId val="158030080"/>
        <c:scaling>
          <c:orientation val="minMax"/>
        </c:scaling>
        <c:delete val="1"/>
        <c:axPos val="b"/>
        <c:numFmt formatCode="General" sourceLinked="1"/>
        <c:tickLblPos val="none"/>
        <c:crossAx val="158031872"/>
        <c:crosses val="autoZero"/>
        <c:auto val="1"/>
        <c:lblAlgn val="ctr"/>
        <c:lblOffset val="100"/>
      </c:catAx>
      <c:valAx>
        <c:axId val="158031872"/>
        <c:scaling>
          <c:orientation val="minMax"/>
          <c:max val="40"/>
          <c:min val="-30"/>
        </c:scaling>
        <c:delete val="1"/>
        <c:axPos val="r"/>
        <c:numFmt formatCode="0" sourceLinked="0"/>
        <c:majorTickMark val="in"/>
        <c:tickLblPos val="none"/>
        <c:crossAx val="158030080"/>
        <c:crosses val="max"/>
        <c:crossBetween val="between"/>
        <c:majorUnit val="10"/>
      </c:valAx>
      <c:spPr>
        <a:solidFill>
          <a:srgbClr val="FFFFFF"/>
        </a:solidFill>
        <a:ln w="9525">
          <a:solidFill>
            <a:schemeClr val="tx1"/>
          </a:solidFill>
        </a:ln>
      </c:spPr>
    </c:plotArea>
    <c:legend>
      <c:legendPos val="b"/>
      <c:layout>
        <c:manualLayout>
          <c:xMode val="edge"/>
          <c:yMode val="edge"/>
          <c:x val="5.2455780139263733E-2"/>
          <c:y val="0.86823820781267591"/>
          <c:w val="0.93069499440685233"/>
          <c:h val="0.1176024428684010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1.656318784295285E-2"/>
          <c:w val="0.92847707700101312"/>
          <c:h val="0.74964447062339401"/>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3'!$C$11:$C$41</c:f>
              <c:numCache>
                <c:formatCode>0.0</c:formatCode>
                <c:ptCount val="31"/>
                <c:pt idx="0">
                  <c:v>-22.648298835873486</c:v>
                </c:pt>
                <c:pt idx="1">
                  <c:v>-9.2248861421679464</c:v>
                </c:pt>
                <c:pt idx="2">
                  <c:v>-2.5767735511134049</c:v>
                </c:pt>
                <c:pt idx="3">
                  <c:v>-2.654731509242465</c:v>
                </c:pt>
                <c:pt idx="4">
                  <c:v>4.8122335569358317</c:v>
                </c:pt>
                <c:pt idx="5">
                  <c:v>-5.294658666068468</c:v>
                </c:pt>
                <c:pt idx="6">
                  <c:v>-9.1130444296804711</c:v>
                </c:pt>
                <c:pt idx="7">
                  <c:v>-0.5219510209705337</c:v>
                </c:pt>
                <c:pt idx="8">
                  <c:v>-10.320587053826841</c:v>
                </c:pt>
                <c:pt idx="9">
                  <c:v>-5.0190415547493394</c:v>
                </c:pt>
                <c:pt idx="10">
                  <c:v>-5.7483416688628921</c:v>
                </c:pt>
                <c:pt idx="11">
                  <c:v>-9.3412318326088695</c:v>
                </c:pt>
                <c:pt idx="12">
                  <c:v>-10.138257435037348</c:v>
                </c:pt>
                <c:pt idx="13">
                  <c:v>-11.697763850276388</c:v>
                </c:pt>
                <c:pt idx="14">
                  <c:v>-5.1769905790982369</c:v>
                </c:pt>
                <c:pt idx="15">
                  <c:v>-2.7344780359236771</c:v>
                </c:pt>
                <c:pt idx="16">
                  <c:v>13.258676722445145</c:v>
                </c:pt>
                <c:pt idx="17">
                  <c:v>5.588102718588047</c:v>
                </c:pt>
                <c:pt idx="18">
                  <c:v>2.4031023286082558</c:v>
                </c:pt>
                <c:pt idx="19">
                  <c:v>1.0880252067508849</c:v>
                </c:pt>
                <c:pt idx="20">
                  <c:v>9.4917754251796485</c:v>
                </c:pt>
                <c:pt idx="21">
                  <c:v>12.219872774546431</c:v>
                </c:pt>
                <c:pt idx="22">
                  <c:v>8.3535506852148167</c:v>
                </c:pt>
                <c:pt idx="23">
                  <c:v>1.0671204793156335</c:v>
                </c:pt>
                <c:pt idx="24">
                  <c:v>-6.3701671236768824</c:v>
                </c:pt>
                <c:pt idx="25">
                  <c:v>-10.626660804601823</c:v>
                </c:pt>
                <c:pt idx="26">
                  <c:v>-6.2186661733281916</c:v>
                </c:pt>
                <c:pt idx="27">
                  <c:v>-2.0138703453589808</c:v>
                </c:pt>
                <c:pt idx="28">
                  <c:v>-2.3461801084681184</c:v>
                </c:pt>
                <c:pt idx="29">
                  <c:v>7.700541247624642</c:v>
                </c:pt>
                <c:pt idx="30">
                  <c:v>0.23189528477141241</c:v>
                </c:pt>
              </c:numCache>
            </c:numRef>
          </c:val>
          <c:extLst xmlns:c16r2="http://schemas.microsoft.com/office/drawing/2015/06/chart">
            <c:ext xmlns:c16="http://schemas.microsoft.com/office/drawing/2014/chart" uri="{C3380CC4-5D6E-409C-BE32-E72D297353CC}">
              <c16:uniqueId val="{00000000-CDFE-4508-895E-A900559FE52E}"/>
            </c:ext>
          </c:extLst>
        </c:ser>
        <c:gapWidth val="31"/>
        <c:axId val="158151040"/>
        <c:axId val="158152960"/>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3'!$D$11:$D$41</c:f>
              <c:numCache>
                <c:formatCode>0.0</c:formatCode>
                <c:ptCount val="31"/>
                <c:pt idx="0">
                  <c:v>-27.130490002335087</c:v>
                </c:pt>
                <c:pt idx="1">
                  <c:v>-10.263825867508899</c:v>
                </c:pt>
                <c:pt idx="2">
                  <c:v>-0.58550816301914022</c:v>
                </c:pt>
                <c:pt idx="3">
                  <c:v>0.23433855878722967</c:v>
                </c:pt>
                <c:pt idx="4">
                  <c:v>8.1315734936921142</c:v>
                </c:pt>
                <c:pt idx="5">
                  <c:v>-1.7000539622082065</c:v>
                </c:pt>
                <c:pt idx="6">
                  <c:v>-6.3339338536312875</c:v>
                </c:pt>
                <c:pt idx="7">
                  <c:v>2.1924315746014789</c:v>
                </c:pt>
                <c:pt idx="8">
                  <c:v>-7.4955361368726727</c:v>
                </c:pt>
                <c:pt idx="9">
                  <c:v>-2.2986716299360381</c:v>
                </c:pt>
                <c:pt idx="10">
                  <c:v>-5.2487940711487369</c:v>
                </c:pt>
                <c:pt idx="11">
                  <c:v>-9.6066927715583876</c:v>
                </c:pt>
                <c:pt idx="12">
                  <c:v>-9.3630113335441507</c:v>
                </c:pt>
                <c:pt idx="13">
                  <c:v>-11.121228566757889</c:v>
                </c:pt>
                <c:pt idx="14">
                  <c:v>-1.5618316531320526</c:v>
                </c:pt>
                <c:pt idx="15">
                  <c:v>-2.9736240044856288</c:v>
                </c:pt>
                <c:pt idx="16">
                  <c:v>16.805627710236507</c:v>
                </c:pt>
                <c:pt idx="17">
                  <c:v>5.0880854257084849</c:v>
                </c:pt>
                <c:pt idx="18">
                  <c:v>-1.0692331859807069</c:v>
                </c:pt>
                <c:pt idx="19">
                  <c:v>-0.32934185584807213</c:v>
                </c:pt>
                <c:pt idx="20">
                  <c:v>7.9281464242892525</c:v>
                </c:pt>
                <c:pt idx="21">
                  <c:v>7.3315459166584045</c:v>
                </c:pt>
                <c:pt idx="22">
                  <c:v>1.3204119901125893</c:v>
                </c:pt>
                <c:pt idx="23">
                  <c:v>-2.6495212406974327</c:v>
                </c:pt>
                <c:pt idx="24">
                  <c:v>-6.643000607261115</c:v>
                </c:pt>
                <c:pt idx="25">
                  <c:v>-7.7693588647274652</c:v>
                </c:pt>
                <c:pt idx="26">
                  <c:v>1.3251957403558379</c:v>
                </c:pt>
                <c:pt idx="27">
                  <c:v>6.0909358315349307</c:v>
                </c:pt>
                <c:pt idx="28">
                  <c:v>1.6221568490928642</c:v>
                </c:pt>
                <c:pt idx="29">
                  <c:v>13.434571983211248</c:v>
                </c:pt>
                <c:pt idx="30">
                  <c:v>3.1759424113997508</c:v>
                </c:pt>
              </c:numCache>
            </c:numRef>
          </c:val>
          <c:extLst xmlns:c16r2="http://schemas.microsoft.com/office/drawing/2015/06/chart">
            <c:ext xmlns:c16="http://schemas.microsoft.com/office/drawing/2014/chart" uri="{C3380CC4-5D6E-409C-BE32-E72D297353CC}">
              <c16:uniqueId val="{00000001-CDFE-4508-895E-A900559FE52E}"/>
            </c:ext>
          </c:extLst>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3'!$E$11:$E$41</c:f>
              <c:numCache>
                <c:formatCode>0.0</c:formatCode>
                <c:ptCount val="31"/>
                <c:pt idx="0">
                  <c:v>-9.218740176496544</c:v>
                </c:pt>
                <c:pt idx="1">
                  <c:v>-7.2920042019275355</c:v>
                </c:pt>
                <c:pt idx="2">
                  <c:v>-6.0887357738821404</c:v>
                </c:pt>
                <c:pt idx="3">
                  <c:v>-7.8002083175169465</c:v>
                </c:pt>
                <c:pt idx="4">
                  <c:v>-3.1708879618726002</c:v>
                </c:pt>
                <c:pt idx="5">
                  <c:v>-11.767820596482252</c:v>
                </c:pt>
                <c:pt idx="6">
                  <c:v>-14.301744025475974</c:v>
                </c:pt>
                <c:pt idx="7">
                  <c:v>-5.7775860827501484</c:v>
                </c:pt>
                <c:pt idx="8">
                  <c:v>-17.908002461432602</c:v>
                </c:pt>
                <c:pt idx="9">
                  <c:v>-10.476866104892352</c:v>
                </c:pt>
                <c:pt idx="10">
                  <c:v>-6.7677305035211663</c:v>
                </c:pt>
                <c:pt idx="11">
                  <c:v>-8.7837646937806166</c:v>
                </c:pt>
                <c:pt idx="12">
                  <c:v>-12.484479098093729</c:v>
                </c:pt>
                <c:pt idx="13">
                  <c:v>-12.960122290777322</c:v>
                </c:pt>
                <c:pt idx="14">
                  <c:v>-12.674359501554818</c:v>
                </c:pt>
                <c:pt idx="15">
                  <c:v>-2.2368030163927557</c:v>
                </c:pt>
                <c:pt idx="16">
                  <c:v>2.1412308737428991</c:v>
                </c:pt>
                <c:pt idx="17">
                  <c:v>6.7060506902522121</c:v>
                </c:pt>
                <c:pt idx="18">
                  <c:v>10.520651243536568</c:v>
                </c:pt>
                <c:pt idx="19">
                  <c:v>4.0154080934528134</c:v>
                </c:pt>
                <c:pt idx="20">
                  <c:v>15.096396205125124</c:v>
                </c:pt>
                <c:pt idx="21">
                  <c:v>22.983564189995587</c:v>
                </c:pt>
                <c:pt idx="22">
                  <c:v>23.071264501942085</c:v>
                </c:pt>
                <c:pt idx="23">
                  <c:v>8.4227109201932677</c:v>
                </c:pt>
                <c:pt idx="24">
                  <c:v>-5.4531378976917608</c:v>
                </c:pt>
                <c:pt idx="25">
                  <c:v>-16.117483835737886</c:v>
                </c:pt>
                <c:pt idx="26">
                  <c:v>-19.215129526972934</c:v>
                </c:pt>
                <c:pt idx="27">
                  <c:v>-16.416019530524785</c:v>
                </c:pt>
                <c:pt idx="28">
                  <c:v>-15.516423932726306</c:v>
                </c:pt>
                <c:pt idx="29">
                  <c:v>-4.4150637460411728</c:v>
                </c:pt>
                <c:pt idx="30">
                  <c:v>-6.1296647837287024</c:v>
                </c:pt>
              </c:numCache>
            </c:numRef>
          </c:val>
          <c:extLst xmlns:c16r2="http://schemas.microsoft.com/office/drawing/2015/06/chart">
            <c:ext xmlns:c16="http://schemas.microsoft.com/office/drawing/2014/chart" uri="{C3380CC4-5D6E-409C-BE32-E72D297353CC}">
              <c16:uniqueId val="{00000002-CDFE-4508-895E-A900559FE52E}"/>
            </c:ext>
          </c:extLst>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3'!$F$11:$F$41</c:f>
              <c:numCache>
                <c:formatCode>0.0</c:formatCode>
                <c:ptCount val="31"/>
                <c:pt idx="0">
                  <c:v>0.82757088505651666</c:v>
                </c:pt>
                <c:pt idx="1">
                  <c:v>8.7687755178484537</c:v>
                </c:pt>
                <c:pt idx="2">
                  <c:v>30.894711890703729</c:v>
                </c:pt>
                <c:pt idx="3">
                  <c:v>-13.41541380519296</c:v>
                </c:pt>
                <c:pt idx="4">
                  <c:v>37.795405718063265</c:v>
                </c:pt>
                <c:pt idx="5">
                  <c:v>-23.565672566981085</c:v>
                </c:pt>
                <c:pt idx="6">
                  <c:v>-23.360716461156017</c:v>
                </c:pt>
                <c:pt idx="7">
                  <c:v>-9.1653963414634205</c:v>
                </c:pt>
                <c:pt idx="8">
                  <c:v>-46.322059646598021</c:v>
                </c:pt>
                <c:pt idx="9">
                  <c:v>-13.714800630772698</c:v>
                </c:pt>
                <c:pt idx="10">
                  <c:v>-7.6729748888363645</c:v>
                </c:pt>
                <c:pt idx="11">
                  <c:v>7.5624082232011753</c:v>
                </c:pt>
                <c:pt idx="12">
                  <c:v>-17.695687793252468</c:v>
                </c:pt>
                <c:pt idx="13">
                  <c:v>-1.584773641063137</c:v>
                </c:pt>
                <c:pt idx="14">
                  <c:v>-1.3308205951467045</c:v>
                </c:pt>
                <c:pt idx="15">
                  <c:v>16.153096050706978</c:v>
                </c:pt>
                <c:pt idx="16">
                  <c:v>67.509727626458826</c:v>
                </c:pt>
                <c:pt idx="17">
                  <c:v>18.978644382544008</c:v>
                </c:pt>
                <c:pt idx="18">
                  <c:v>34.050931384107542</c:v>
                </c:pt>
                <c:pt idx="19">
                  <c:v>-1</c:v>
                </c:pt>
                <c:pt idx="20">
                  <c:v>-3.1547956675580053</c:v>
                </c:pt>
                <c:pt idx="21">
                  <c:v>9.7504961091663613</c:v>
                </c:pt>
                <c:pt idx="22">
                  <c:v>-1.0976060227612561</c:v>
                </c:pt>
                <c:pt idx="23">
                  <c:v>-2.3987783410040464</c:v>
                </c:pt>
                <c:pt idx="24">
                  <c:v>-6.6406358945753805</c:v>
                </c:pt>
                <c:pt idx="25">
                  <c:v>-0.49977652269311085</c:v>
                </c:pt>
                <c:pt idx="26">
                  <c:v>-7.0322087253454839</c:v>
                </c:pt>
                <c:pt idx="27">
                  <c:v>10.122126124559955</c:v>
                </c:pt>
                <c:pt idx="28">
                  <c:v>16.610402413885833</c:v>
                </c:pt>
                <c:pt idx="29">
                  <c:v>9.3574534985810036</c:v>
                </c:pt>
                <c:pt idx="30">
                  <c:v>1.0866030264189845</c:v>
                </c:pt>
              </c:numCache>
            </c:numRef>
          </c:val>
          <c:extLst xmlns:c16r2="http://schemas.microsoft.com/office/drawing/2015/06/chart">
            <c:ext xmlns:c16="http://schemas.microsoft.com/office/drawing/2014/chart" uri="{C3380CC4-5D6E-409C-BE32-E72D297353CC}">
              <c16:uniqueId val="{00000003-CDFE-4508-895E-A900559FE52E}"/>
            </c:ext>
          </c:extLst>
        </c:ser>
        <c:ser>
          <c:idx val="4"/>
          <c:order val="4"/>
          <c:tx>
            <c:strRef>
              <c:f>'výkonnost odvětví 3'!$G$10</c:f>
              <c:strCache>
                <c:ptCount val="1"/>
                <c:pt idx="0">
                  <c:v>Saldo indik. důvěry ve stavebnictví</c:v>
                </c:pt>
              </c:strCache>
            </c:strRef>
          </c:tx>
          <c:spPr>
            <a:ln w="19050">
              <a:noFill/>
              <a:prstDash val="solid"/>
            </a:ln>
          </c:spPr>
          <c:marker>
            <c:symbol val="dash"/>
            <c:size val="9"/>
            <c:spPr>
              <a:solidFill>
                <a:srgbClr val="984807"/>
              </a:solidFill>
              <a:ln>
                <a:noFill/>
              </a:ln>
            </c:spPr>
          </c:marker>
          <c:cat>
            <c:multiLvlStrRef>
              <c:f>'výkonnost odvětví 3'!$A$11:$B$41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3'!$G$11:$G$41</c:f>
              <c:numCache>
                <c:formatCode>0.0</c:formatCode>
                <c:ptCount val="31"/>
                <c:pt idx="0">
                  <c:v>-32.166666666666437</c:v>
                </c:pt>
                <c:pt idx="1">
                  <c:v>-32.5</c:v>
                </c:pt>
                <c:pt idx="2">
                  <c:v>-37</c:v>
                </c:pt>
                <c:pt idx="3">
                  <c:v>-42.5</c:v>
                </c:pt>
                <c:pt idx="4">
                  <c:v>-40</c:v>
                </c:pt>
                <c:pt idx="5">
                  <c:v>-40.333333333333336</c:v>
                </c:pt>
                <c:pt idx="6">
                  <c:v>-39.166666666666437</c:v>
                </c:pt>
                <c:pt idx="7">
                  <c:v>-39.333333333333336</c:v>
                </c:pt>
                <c:pt idx="8">
                  <c:v>-46</c:v>
                </c:pt>
                <c:pt idx="9">
                  <c:v>-45.333333333333336</c:v>
                </c:pt>
                <c:pt idx="10">
                  <c:v>-43.5</c:v>
                </c:pt>
                <c:pt idx="11">
                  <c:v>-44.666666666666437</c:v>
                </c:pt>
                <c:pt idx="12">
                  <c:v>-46</c:v>
                </c:pt>
                <c:pt idx="13">
                  <c:v>-53.333333333333336</c:v>
                </c:pt>
                <c:pt idx="14">
                  <c:v>-49.5</c:v>
                </c:pt>
                <c:pt idx="15">
                  <c:v>-50.833333333333336</c:v>
                </c:pt>
                <c:pt idx="16">
                  <c:v>-45.166666666666437</c:v>
                </c:pt>
                <c:pt idx="17">
                  <c:v>-38.333333333333336</c:v>
                </c:pt>
                <c:pt idx="18">
                  <c:v>-32</c:v>
                </c:pt>
                <c:pt idx="19">
                  <c:v>-25.166666666666668</c:v>
                </c:pt>
                <c:pt idx="20">
                  <c:v>-20.833333333333222</c:v>
                </c:pt>
                <c:pt idx="21">
                  <c:v>-16.333333333333222</c:v>
                </c:pt>
                <c:pt idx="22">
                  <c:v>-18.666666666666668</c:v>
                </c:pt>
                <c:pt idx="23">
                  <c:v>-15.666666666666702</c:v>
                </c:pt>
                <c:pt idx="24">
                  <c:v>-17.166666666666668</c:v>
                </c:pt>
                <c:pt idx="25">
                  <c:v>-24</c:v>
                </c:pt>
                <c:pt idx="26">
                  <c:v>-26.666666666666668</c:v>
                </c:pt>
                <c:pt idx="27">
                  <c:v>-25.833333333333222</c:v>
                </c:pt>
                <c:pt idx="28">
                  <c:v>-24.5</c:v>
                </c:pt>
                <c:pt idx="29">
                  <c:v>-22.666666666666668</c:v>
                </c:pt>
                <c:pt idx="30">
                  <c:v>-19.833333333333222</c:v>
                </c:pt>
              </c:numCache>
            </c:numRef>
          </c:val>
          <c:extLst xmlns:c16r2="http://schemas.microsoft.com/office/drawing/2015/06/chart">
            <c:ext xmlns:c16="http://schemas.microsoft.com/office/drawing/2014/chart" uri="{C3380CC4-5D6E-409C-BE32-E72D297353CC}">
              <c16:uniqueId val="{00000004-CDFE-4508-895E-A900559FE52E}"/>
            </c:ext>
          </c:extLst>
        </c:ser>
        <c:marker val="1"/>
        <c:axId val="158151040"/>
        <c:axId val="158152960"/>
      </c:lineChart>
      <c:catAx>
        <c:axId val="15815104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8152960"/>
        <c:crossesAt val="0"/>
        <c:lblAlgn val="ctr"/>
        <c:lblOffset val="0"/>
        <c:tickLblSkip val="1"/>
        <c:tickMarkSkip val="4"/>
      </c:catAx>
      <c:valAx>
        <c:axId val="158152960"/>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8151040"/>
        <c:crosses val="autoZero"/>
        <c:crossBetween val="between"/>
        <c:majorUnit val="10"/>
      </c:valAx>
      <c:spPr>
        <a:solidFill>
          <a:srgbClr val="FFFFFF"/>
        </a:solidFill>
        <a:ln w="9525">
          <a:solidFill>
            <a:schemeClr val="tx1"/>
          </a:solidFill>
        </a:ln>
      </c:spPr>
    </c:plotArea>
    <c:legend>
      <c:legendPos val="b"/>
      <c:layout>
        <c:manualLayout>
          <c:xMode val="edge"/>
          <c:yMode val="edge"/>
          <c:x val="5.4756708056613715E-2"/>
          <c:y val="0.87003886444790779"/>
          <c:w val="0.92610625633232013"/>
          <c:h val="0.1146535032960096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3337294494629933E-2"/>
          <c:y val="2.1718077717576636E-2"/>
          <c:w val="0.91372590696101663"/>
          <c:h val="0.72599103236105256"/>
        </c:manualLayout>
      </c:layout>
      <c:barChart>
        <c:barDir val="col"/>
        <c:grouping val="clustered"/>
        <c:ser>
          <c:idx val="0"/>
          <c:order val="0"/>
          <c:tx>
            <c:strRef>
              <c:f>'výkonnost odvětví 4'!$C$10</c:f>
              <c:strCache>
                <c:ptCount val="1"/>
                <c:pt idx="0">
                  <c:v>Služby celkem*</c:v>
                </c:pt>
              </c:strCache>
            </c:strRef>
          </c:tx>
          <c:spPr>
            <a:solidFill>
              <a:schemeClr val="bg1">
                <a:lumMod val="65000"/>
              </a:schemeClr>
            </a:solidFill>
            <a:ln w="12700">
              <a:noFill/>
              <a:prstDash val="solid"/>
            </a:ln>
          </c:spP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4'!$C$11:$C$41</c:f>
              <c:numCache>
                <c:formatCode>#,##0.0</c:formatCode>
                <c:ptCount val="31"/>
                <c:pt idx="0">
                  <c:v>-4.5086821461459685</c:v>
                </c:pt>
                <c:pt idx="1">
                  <c:v>-0.32835885535858911</c:v>
                </c:pt>
                <c:pt idx="2">
                  <c:v>0.73946053993891758</c:v>
                </c:pt>
                <c:pt idx="3">
                  <c:v>-2.5152236064232767</c:v>
                </c:pt>
                <c:pt idx="4">
                  <c:v>0.28391768756938623</c:v>
                </c:pt>
                <c:pt idx="5">
                  <c:v>-0.70805078172122371</c:v>
                </c:pt>
                <c:pt idx="6">
                  <c:v>-4.5203767606311374</c:v>
                </c:pt>
                <c:pt idx="7">
                  <c:v>-2.2655181443709602</c:v>
                </c:pt>
                <c:pt idx="8">
                  <c:v>0.37351297841811981</c:v>
                </c:pt>
                <c:pt idx="9">
                  <c:v>-1.1871830565365584</c:v>
                </c:pt>
                <c:pt idx="10">
                  <c:v>1.1226178720515685</c:v>
                </c:pt>
                <c:pt idx="11">
                  <c:v>-1.3757772010385321</c:v>
                </c:pt>
                <c:pt idx="12">
                  <c:v>-0.13738089259027267</c:v>
                </c:pt>
                <c:pt idx="13">
                  <c:v>-0.88320355282115759</c:v>
                </c:pt>
                <c:pt idx="14">
                  <c:v>-1.390692156642402</c:v>
                </c:pt>
                <c:pt idx="15">
                  <c:v>1.6364179776865702</c:v>
                </c:pt>
                <c:pt idx="16">
                  <c:v>2.8771336307295448</c:v>
                </c:pt>
                <c:pt idx="17">
                  <c:v>1.002019192308552</c:v>
                </c:pt>
                <c:pt idx="18">
                  <c:v>0.49159162809337426</c:v>
                </c:pt>
                <c:pt idx="19">
                  <c:v>-0.25866374543002729</c:v>
                </c:pt>
                <c:pt idx="20">
                  <c:v>3.6461757644775985</c:v>
                </c:pt>
                <c:pt idx="21">
                  <c:v>3.0546031719619742</c:v>
                </c:pt>
                <c:pt idx="22">
                  <c:v>3.647984423755247</c:v>
                </c:pt>
                <c:pt idx="23">
                  <c:v>2.3368507053215524</c:v>
                </c:pt>
                <c:pt idx="24">
                  <c:v>1.3201546203116981</c:v>
                </c:pt>
                <c:pt idx="25">
                  <c:v>-0.70323122890518164</c:v>
                </c:pt>
                <c:pt idx="26">
                  <c:v>1.421959263257601</c:v>
                </c:pt>
                <c:pt idx="27">
                  <c:v>1.6211618392301546</c:v>
                </c:pt>
                <c:pt idx="28">
                  <c:v>5.3414780247255322</c:v>
                </c:pt>
                <c:pt idx="29">
                  <c:v>5.7121893969718505</c:v>
                </c:pt>
                <c:pt idx="30">
                  <c:v>3.2522754836907257</c:v>
                </c:pt>
              </c:numCache>
            </c:numRef>
          </c:val>
          <c:extLst xmlns:c16r2="http://schemas.microsoft.com/office/drawing/2015/06/chart">
            <c:ext xmlns:c16="http://schemas.microsoft.com/office/drawing/2014/chart" uri="{C3380CC4-5D6E-409C-BE32-E72D297353CC}">
              <c16:uniqueId val="{00000000-F249-4EAB-B137-D4CD330A9051}"/>
            </c:ext>
          </c:extLst>
        </c:ser>
        <c:gapWidth val="31"/>
        <c:axId val="161202176"/>
        <c:axId val="161204096"/>
      </c:barChart>
      <c:lineChart>
        <c:grouping val="standard"/>
        <c:ser>
          <c:idx val="1"/>
          <c:order val="1"/>
          <c:tx>
            <c:strRef>
              <c:f>'výkonnost odvětví 4'!$D$10</c:f>
              <c:strCache>
                <c:ptCount val="1"/>
                <c:pt idx="0">
                  <c:v>Doprava a skladování</c:v>
                </c:pt>
              </c:strCache>
            </c:strRef>
          </c:tx>
          <c:spPr>
            <a:ln w="19050">
              <a:solidFill>
                <a:schemeClr val="tx1">
                  <a:lumMod val="95000"/>
                  <a:lumOff val="5000"/>
                </a:schemeClr>
              </a:solidFill>
              <a:prstDash val="solid"/>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4'!$D$11:$D$41</c:f>
              <c:numCache>
                <c:formatCode>#,##0.0</c:formatCode>
                <c:ptCount val="31"/>
                <c:pt idx="0">
                  <c:v>1.1947172056579101</c:v>
                </c:pt>
                <c:pt idx="1">
                  <c:v>6.1612006923673164</c:v>
                </c:pt>
                <c:pt idx="2">
                  <c:v>3.8321763739405186</c:v>
                </c:pt>
                <c:pt idx="3">
                  <c:v>1.9422562614741141</c:v>
                </c:pt>
                <c:pt idx="4">
                  <c:v>3.9905907077130012</c:v>
                </c:pt>
                <c:pt idx="5">
                  <c:v>0.66863750176709402</c:v>
                </c:pt>
                <c:pt idx="6">
                  <c:v>-0.96992608501065547</c:v>
                </c:pt>
                <c:pt idx="7">
                  <c:v>1.53701358146796</c:v>
                </c:pt>
                <c:pt idx="8">
                  <c:v>0.86419433077047603</c:v>
                </c:pt>
                <c:pt idx="9">
                  <c:v>1.820374106952102</c:v>
                </c:pt>
                <c:pt idx="10">
                  <c:v>3.4982887263413289</c:v>
                </c:pt>
                <c:pt idx="11">
                  <c:v>-1.8034409137813583</c:v>
                </c:pt>
                <c:pt idx="12">
                  <c:v>3.392654037139097</c:v>
                </c:pt>
                <c:pt idx="13">
                  <c:v>2.7604642355407671</c:v>
                </c:pt>
                <c:pt idx="14">
                  <c:v>2.2208650522536715</c:v>
                </c:pt>
                <c:pt idx="15">
                  <c:v>10.115669423589594</c:v>
                </c:pt>
                <c:pt idx="16">
                  <c:v>6.7018833973273502</c:v>
                </c:pt>
                <c:pt idx="17">
                  <c:v>2.7333521657622981</c:v>
                </c:pt>
                <c:pt idx="18">
                  <c:v>2.0465515678918011</c:v>
                </c:pt>
                <c:pt idx="19">
                  <c:v>-1.530844720104767</c:v>
                </c:pt>
                <c:pt idx="20">
                  <c:v>1.002169684302757</c:v>
                </c:pt>
                <c:pt idx="21">
                  <c:v>9.8032147612841E-2</c:v>
                </c:pt>
                <c:pt idx="22">
                  <c:v>0.86950159365595425</c:v>
                </c:pt>
                <c:pt idx="23">
                  <c:v>0.28377530048348376</c:v>
                </c:pt>
                <c:pt idx="24">
                  <c:v>0.39004135456362121</c:v>
                </c:pt>
                <c:pt idx="25">
                  <c:v>0.85652658073075538</c:v>
                </c:pt>
                <c:pt idx="26">
                  <c:v>0.45460658671727588</c:v>
                </c:pt>
                <c:pt idx="27">
                  <c:v>2.9315490427268287</c:v>
                </c:pt>
                <c:pt idx="28">
                  <c:v>5.622584965083532</c:v>
                </c:pt>
                <c:pt idx="29">
                  <c:v>3.6536825071874213</c:v>
                </c:pt>
                <c:pt idx="30">
                  <c:v>3.5517385487238755</c:v>
                </c:pt>
              </c:numCache>
            </c:numRef>
          </c:val>
          <c:extLst xmlns:c16r2="http://schemas.microsoft.com/office/drawing/2015/06/chart">
            <c:ext xmlns:c16="http://schemas.microsoft.com/office/drawing/2014/chart" uri="{C3380CC4-5D6E-409C-BE32-E72D297353CC}">
              <c16:uniqueId val="{00000001-F249-4EAB-B137-D4CD330A9051}"/>
            </c:ext>
          </c:extLst>
        </c:ser>
        <c:ser>
          <c:idx val="2"/>
          <c:order val="2"/>
          <c:tx>
            <c:strRef>
              <c:f>'výkonnost odvětví 4'!$E$10</c:f>
              <c:strCache>
                <c:ptCount val="1"/>
                <c:pt idx="0">
                  <c:v> Ubytování, stravování a pohostinství</c:v>
                </c:pt>
              </c:strCache>
            </c:strRef>
          </c:tx>
          <c:spPr>
            <a:ln w="19050">
              <a:solidFill>
                <a:schemeClr val="accent6">
                  <a:lumMod val="75000"/>
                </a:schemeClr>
              </a:solidFill>
              <a:prstDash val="solid"/>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4'!$E$11:$E$41</c:f>
              <c:numCache>
                <c:formatCode>#,##0.0</c:formatCode>
                <c:ptCount val="31"/>
                <c:pt idx="0">
                  <c:v>-5.6975334622339355</c:v>
                </c:pt>
                <c:pt idx="1">
                  <c:v>-6.4566291711690571</c:v>
                </c:pt>
                <c:pt idx="2">
                  <c:v>-2.3613693441163552</c:v>
                </c:pt>
                <c:pt idx="3">
                  <c:v>-4.3794822068248322</c:v>
                </c:pt>
                <c:pt idx="4">
                  <c:v>-0.4555737275375123</c:v>
                </c:pt>
                <c:pt idx="5">
                  <c:v>2.8719283904406567</c:v>
                </c:pt>
                <c:pt idx="6">
                  <c:v>-2.0593466230799167</c:v>
                </c:pt>
                <c:pt idx="7">
                  <c:v>-1.7256463028242972</c:v>
                </c:pt>
                <c:pt idx="8">
                  <c:v>-2.0799940910439592</c:v>
                </c:pt>
                <c:pt idx="9">
                  <c:v>-2.7104496472732067</c:v>
                </c:pt>
                <c:pt idx="10">
                  <c:v>-1.7795460053675638</c:v>
                </c:pt>
                <c:pt idx="11">
                  <c:v>-3.5479456831717822</c:v>
                </c:pt>
                <c:pt idx="12">
                  <c:v>0.89755614973260267</c:v>
                </c:pt>
                <c:pt idx="13">
                  <c:v>0.22924413123806231</c:v>
                </c:pt>
                <c:pt idx="14">
                  <c:v>1.6544632966843258</c:v>
                </c:pt>
                <c:pt idx="15">
                  <c:v>0.76912142555656493</c:v>
                </c:pt>
                <c:pt idx="16">
                  <c:v>2.8501068964853005</c:v>
                </c:pt>
                <c:pt idx="17">
                  <c:v>2.4958042132578977</c:v>
                </c:pt>
                <c:pt idx="18">
                  <c:v>-0.14347203797564134</c:v>
                </c:pt>
                <c:pt idx="19">
                  <c:v>9.4433474314613006E-2</c:v>
                </c:pt>
                <c:pt idx="20">
                  <c:v>2.7050589721666398</c:v>
                </c:pt>
                <c:pt idx="21">
                  <c:v>7.5318806290230071</c:v>
                </c:pt>
                <c:pt idx="22">
                  <c:v>7.8389885799991887</c:v>
                </c:pt>
                <c:pt idx="23">
                  <c:v>4.8733206144871861</c:v>
                </c:pt>
                <c:pt idx="24">
                  <c:v>5.5782241405589019</c:v>
                </c:pt>
                <c:pt idx="25">
                  <c:v>2.058514914094502</c:v>
                </c:pt>
                <c:pt idx="26">
                  <c:v>6.8375251195024545</c:v>
                </c:pt>
                <c:pt idx="27">
                  <c:v>7.3108025341731784</c:v>
                </c:pt>
                <c:pt idx="28">
                  <c:v>12.00829980631562</c:v>
                </c:pt>
                <c:pt idx="29">
                  <c:v>13.435934769141404</c:v>
                </c:pt>
                <c:pt idx="30">
                  <c:v>5.2190801962285613</c:v>
                </c:pt>
              </c:numCache>
            </c:numRef>
          </c:val>
          <c:extLst xmlns:c16r2="http://schemas.microsoft.com/office/drawing/2015/06/chart">
            <c:ext xmlns:c16="http://schemas.microsoft.com/office/drawing/2014/chart" uri="{C3380CC4-5D6E-409C-BE32-E72D297353CC}">
              <c16:uniqueId val="{00000002-F249-4EAB-B137-D4CD330A9051}"/>
            </c:ext>
          </c:extLst>
        </c:ser>
        <c:ser>
          <c:idx val="3"/>
          <c:order val="3"/>
          <c:tx>
            <c:strRef>
              <c:f>'výkonnost odvětví 4'!$F$10</c:f>
              <c:strCache>
                <c:ptCount val="1"/>
                <c:pt idx="0">
                  <c:v>Profesní, vědecké a technické čin.</c:v>
                </c:pt>
              </c:strCache>
            </c:strRef>
          </c:tx>
          <c:spPr>
            <a:ln w="19050">
              <a:solidFill>
                <a:srgbClr val="48AEE7"/>
              </a:solidFill>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4'!$F$11:$F$41</c:f>
              <c:numCache>
                <c:formatCode>#,##0.0</c:formatCode>
                <c:ptCount val="31"/>
                <c:pt idx="0">
                  <c:v>-12.29140286587932</c:v>
                </c:pt>
                <c:pt idx="1">
                  <c:v>-4.2369590371524453</c:v>
                </c:pt>
                <c:pt idx="2">
                  <c:v>-1.2080379480757168</c:v>
                </c:pt>
                <c:pt idx="3">
                  <c:v>-7.4305239361272575</c:v>
                </c:pt>
                <c:pt idx="4">
                  <c:v>-5.3334335616924555</c:v>
                </c:pt>
                <c:pt idx="5">
                  <c:v>-4.4160578473172265</c:v>
                </c:pt>
                <c:pt idx="6">
                  <c:v>-16.037856901980945</c:v>
                </c:pt>
                <c:pt idx="7">
                  <c:v>-8.5897289971528039</c:v>
                </c:pt>
                <c:pt idx="8">
                  <c:v>1.7788922355555599</c:v>
                </c:pt>
                <c:pt idx="9">
                  <c:v>-5.9954391231438464</c:v>
                </c:pt>
                <c:pt idx="10">
                  <c:v>-0.72796001543736111</c:v>
                </c:pt>
                <c:pt idx="11">
                  <c:v>0.13792425546452591</c:v>
                </c:pt>
                <c:pt idx="12">
                  <c:v>-4.5792020329988325</c:v>
                </c:pt>
                <c:pt idx="13">
                  <c:v>-7.3603324814945523</c:v>
                </c:pt>
                <c:pt idx="14">
                  <c:v>-9.2524678147347359</c:v>
                </c:pt>
                <c:pt idx="15">
                  <c:v>-5.1127026831459688</c:v>
                </c:pt>
                <c:pt idx="16">
                  <c:v>-3.1398591187232272</c:v>
                </c:pt>
                <c:pt idx="17">
                  <c:v>-2.2337848171194397</c:v>
                </c:pt>
                <c:pt idx="18">
                  <c:v>-3.2082111393684301</c:v>
                </c:pt>
                <c:pt idx="19">
                  <c:v>-0.51190205487802132</c:v>
                </c:pt>
                <c:pt idx="20">
                  <c:v>5.0596405878540809</c:v>
                </c:pt>
                <c:pt idx="21">
                  <c:v>3.9939192273867832</c:v>
                </c:pt>
                <c:pt idx="22">
                  <c:v>5.6343976736692696</c:v>
                </c:pt>
                <c:pt idx="23">
                  <c:v>-0.90536959838848963</c:v>
                </c:pt>
                <c:pt idx="24">
                  <c:v>-1.6283771135000549</c:v>
                </c:pt>
                <c:pt idx="25">
                  <c:v>-7.4064779750107324</c:v>
                </c:pt>
                <c:pt idx="26">
                  <c:v>-0.53409395066332099</c:v>
                </c:pt>
                <c:pt idx="27">
                  <c:v>-1.4896673386361239</c:v>
                </c:pt>
                <c:pt idx="28">
                  <c:v>2.3067220934771338</c:v>
                </c:pt>
                <c:pt idx="29">
                  <c:v>3.9796499108853567</c:v>
                </c:pt>
                <c:pt idx="30">
                  <c:v>0.5324512464589477</c:v>
                </c:pt>
              </c:numCache>
            </c:numRef>
          </c:val>
          <c:extLst xmlns:c16r2="http://schemas.microsoft.com/office/drawing/2015/06/chart">
            <c:ext xmlns:c16="http://schemas.microsoft.com/office/drawing/2014/chart" uri="{C3380CC4-5D6E-409C-BE32-E72D297353CC}">
              <c16:uniqueId val="{00000003-F249-4EAB-B137-D4CD330A9051}"/>
            </c:ext>
          </c:extLst>
        </c:ser>
        <c:ser>
          <c:idx val="4"/>
          <c:order val="4"/>
          <c:tx>
            <c:strRef>
              <c:f>'výkonnost odvětví 4'!$G$10</c:f>
              <c:strCache>
                <c:ptCount val="1"/>
                <c:pt idx="0">
                  <c:v>Administrativní a podpůrné činnosti</c:v>
                </c:pt>
              </c:strCache>
            </c:strRef>
          </c:tx>
          <c:spPr>
            <a:ln w="19050">
              <a:solidFill>
                <a:srgbClr val="7DBB2D"/>
              </a:solidFill>
            </a:ln>
          </c:spPr>
          <c:marker>
            <c:symbol val="none"/>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4'!$G$11:$G$41</c:f>
              <c:numCache>
                <c:formatCode>#,##0.0</c:formatCode>
                <c:ptCount val="31"/>
                <c:pt idx="0">
                  <c:v>-1.6549602302955009</c:v>
                </c:pt>
                <c:pt idx="1">
                  <c:v>-2.3594924008949767</c:v>
                </c:pt>
                <c:pt idx="2">
                  <c:v>1.0685094464073757</c:v>
                </c:pt>
                <c:pt idx="3">
                  <c:v>1.802428689681236</c:v>
                </c:pt>
                <c:pt idx="4">
                  <c:v>4.5715948454982955</c:v>
                </c:pt>
                <c:pt idx="5">
                  <c:v>5.6146067882748127</c:v>
                </c:pt>
                <c:pt idx="6">
                  <c:v>5.0768754367534825</c:v>
                </c:pt>
                <c:pt idx="7">
                  <c:v>3.1246108505308001</c:v>
                </c:pt>
                <c:pt idx="8">
                  <c:v>4.9368462848572445</c:v>
                </c:pt>
                <c:pt idx="9">
                  <c:v>2.4137029520887547</c:v>
                </c:pt>
                <c:pt idx="10">
                  <c:v>4.1629831718919004</c:v>
                </c:pt>
                <c:pt idx="11">
                  <c:v>-1.7756569206553507</c:v>
                </c:pt>
                <c:pt idx="12">
                  <c:v>-0.44871471439856236</c:v>
                </c:pt>
                <c:pt idx="13">
                  <c:v>0.9939088783912382</c:v>
                </c:pt>
                <c:pt idx="14">
                  <c:v>0.7362302514327016</c:v>
                </c:pt>
                <c:pt idx="15">
                  <c:v>3.5140731651337425</c:v>
                </c:pt>
                <c:pt idx="16">
                  <c:v>5.1516745001737263</c:v>
                </c:pt>
                <c:pt idx="17">
                  <c:v>3.2158782239781822</c:v>
                </c:pt>
                <c:pt idx="18">
                  <c:v>1.6599049809022119</c:v>
                </c:pt>
                <c:pt idx="19">
                  <c:v>2.1099084628199742</c:v>
                </c:pt>
                <c:pt idx="20">
                  <c:v>6.1376093301024781</c:v>
                </c:pt>
                <c:pt idx="21">
                  <c:v>6.6225322026989648</c:v>
                </c:pt>
                <c:pt idx="22">
                  <c:v>5.29807791431341</c:v>
                </c:pt>
                <c:pt idx="23">
                  <c:v>6.7528747274731273</c:v>
                </c:pt>
                <c:pt idx="24">
                  <c:v>5.6113763982608589</c:v>
                </c:pt>
                <c:pt idx="25">
                  <c:v>3.1599869758994714</c:v>
                </c:pt>
                <c:pt idx="26">
                  <c:v>3.1913401196739528</c:v>
                </c:pt>
                <c:pt idx="27">
                  <c:v>5.1831722314395066</c:v>
                </c:pt>
                <c:pt idx="28">
                  <c:v>9.5483567013076485</c:v>
                </c:pt>
                <c:pt idx="29">
                  <c:v>9.7092531579511459</c:v>
                </c:pt>
                <c:pt idx="30">
                  <c:v>5.4669153712398053</c:v>
                </c:pt>
              </c:numCache>
            </c:numRef>
          </c:val>
          <c:extLst xmlns:c16r2="http://schemas.microsoft.com/office/drawing/2015/06/chart">
            <c:ext xmlns:c16="http://schemas.microsoft.com/office/drawing/2014/chart" uri="{C3380CC4-5D6E-409C-BE32-E72D297353CC}">
              <c16:uniqueId val="{00000004-F249-4EAB-B137-D4CD330A9051}"/>
            </c:ext>
          </c:extLst>
        </c:ser>
        <c:ser>
          <c:idx val="5"/>
          <c:order val="5"/>
          <c:tx>
            <c:strRef>
              <c:f>'výkonnost odvětví 4'!$H$10</c:f>
              <c:strCache>
                <c:ptCount val="1"/>
                <c:pt idx="0">
                  <c:v> Informační a komunikační činnosti</c:v>
                </c:pt>
              </c:strCache>
            </c:strRef>
          </c:tx>
          <c:spPr>
            <a:ln>
              <a:noFill/>
            </a:ln>
          </c:spPr>
          <c:marker>
            <c:symbol val="diamond"/>
            <c:size val="5"/>
            <c:spPr>
              <a:solidFill>
                <a:srgbClr val="984807"/>
              </a:solidFill>
            </c:spPr>
          </c:marker>
          <c:cat>
            <c:multiLvlStrRef>
              <c:f>'výkonnost odvětví 4'!$A$11:$B$41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2010</c:v>
                  </c:pt>
                  <c:pt idx="4">
                    <c:v>2011</c:v>
                  </c:pt>
                  <c:pt idx="8">
                    <c:v>2012</c:v>
                  </c:pt>
                  <c:pt idx="12">
                    <c:v>2013</c:v>
                  </c:pt>
                  <c:pt idx="16">
                    <c:v>2014</c:v>
                  </c:pt>
                  <c:pt idx="20">
                    <c:v>2015</c:v>
                  </c:pt>
                  <c:pt idx="24">
                    <c:v>2016</c:v>
                  </c:pt>
                  <c:pt idx="28">
                    <c:v>2017</c:v>
                  </c:pt>
                </c:lvl>
              </c:multiLvlStrCache>
            </c:multiLvlStrRef>
          </c:cat>
          <c:val>
            <c:numRef>
              <c:f>'výkonnost odvětví 4'!$H$11:$H$41</c:f>
              <c:numCache>
                <c:formatCode>#,##0.0</c:formatCode>
                <c:ptCount val="31"/>
                <c:pt idx="0">
                  <c:v>-1.7569841865706759</c:v>
                </c:pt>
                <c:pt idx="1">
                  <c:v>-8.6221143980481266E-2</c:v>
                </c:pt>
                <c:pt idx="2">
                  <c:v>1.8716313577688866</c:v>
                </c:pt>
                <c:pt idx="3">
                  <c:v>-1.0298863480790417</c:v>
                </c:pt>
                <c:pt idx="4">
                  <c:v>-3.1095049529597106E-3</c:v>
                </c:pt>
                <c:pt idx="5">
                  <c:v>-1.157799683532015</c:v>
                </c:pt>
                <c:pt idx="6">
                  <c:v>-2.7988947786483749</c:v>
                </c:pt>
                <c:pt idx="7">
                  <c:v>-0.57350199072186558</c:v>
                </c:pt>
                <c:pt idx="8">
                  <c:v>0.65614782340553712</c:v>
                </c:pt>
                <c:pt idx="9">
                  <c:v>-2.1574519074576456E-2</c:v>
                </c:pt>
                <c:pt idx="10">
                  <c:v>1.5164530209313143</c:v>
                </c:pt>
                <c:pt idx="11">
                  <c:v>-0.56278965630770295</c:v>
                </c:pt>
                <c:pt idx="12">
                  <c:v>-1.909567586633472</c:v>
                </c:pt>
                <c:pt idx="13">
                  <c:v>0.34072038449770048</c:v>
                </c:pt>
                <c:pt idx="14">
                  <c:v>-2.0549451083956267</c:v>
                </c:pt>
                <c:pt idx="15">
                  <c:v>0.4473527259021079</c:v>
                </c:pt>
                <c:pt idx="16">
                  <c:v>3.063936628069039</c:v>
                </c:pt>
                <c:pt idx="17">
                  <c:v>0.28792896096983894</c:v>
                </c:pt>
                <c:pt idx="18">
                  <c:v>1.8965571581991867</c:v>
                </c:pt>
                <c:pt idx="19">
                  <c:v>1.189685340428156</c:v>
                </c:pt>
                <c:pt idx="20">
                  <c:v>6.8982667032687734</c:v>
                </c:pt>
                <c:pt idx="21">
                  <c:v>4.4697876545021824</c:v>
                </c:pt>
                <c:pt idx="22">
                  <c:v>4.5108639908306181</c:v>
                </c:pt>
                <c:pt idx="23">
                  <c:v>6.6486532316137925</c:v>
                </c:pt>
                <c:pt idx="24">
                  <c:v>1.9983516619299209</c:v>
                </c:pt>
                <c:pt idx="25">
                  <c:v>0.47566965110716808</c:v>
                </c:pt>
                <c:pt idx="26">
                  <c:v>1.5203098872971126</c:v>
                </c:pt>
                <c:pt idx="27">
                  <c:v>0.80005970565694851</c:v>
                </c:pt>
                <c:pt idx="28">
                  <c:v>3.3155036833574627</c:v>
                </c:pt>
                <c:pt idx="29">
                  <c:v>5.5080446266329846</c:v>
                </c:pt>
                <c:pt idx="30">
                  <c:v>4.3743636404440593</c:v>
                </c:pt>
              </c:numCache>
            </c:numRef>
          </c:val>
          <c:extLst xmlns:c16r2="http://schemas.microsoft.com/office/drawing/2015/06/chart">
            <c:ext xmlns:c16="http://schemas.microsoft.com/office/drawing/2014/chart" uri="{C3380CC4-5D6E-409C-BE32-E72D297353CC}">
              <c16:uniqueId val="{00000005-F249-4EAB-B137-D4CD330A9051}"/>
            </c:ext>
          </c:extLst>
        </c:ser>
        <c:marker val="1"/>
        <c:axId val="161202176"/>
        <c:axId val="161204096"/>
      </c:lineChart>
      <c:catAx>
        <c:axId val="16120217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61204096"/>
        <c:crosses val="autoZero"/>
        <c:lblAlgn val="ctr"/>
        <c:lblOffset val="0"/>
        <c:tickLblSkip val="1"/>
        <c:tickMarkSkip val="4"/>
      </c:catAx>
      <c:valAx>
        <c:axId val="161204096"/>
        <c:scaling>
          <c:orientation val="minMax"/>
          <c:max val="14"/>
          <c:min val="-14"/>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61202176"/>
        <c:crosses val="autoZero"/>
        <c:crossBetween val="between"/>
        <c:majorUnit val="2"/>
      </c:valAx>
      <c:spPr>
        <a:solidFill>
          <a:srgbClr val="FFFFFF"/>
        </a:solidFill>
        <a:ln w="9525">
          <a:solidFill>
            <a:schemeClr val="tx1"/>
          </a:solidFill>
        </a:ln>
      </c:spPr>
    </c:plotArea>
    <c:legend>
      <c:legendPos val="b"/>
      <c:layout>
        <c:manualLayout>
          <c:xMode val="edge"/>
          <c:yMode val="edge"/>
          <c:x val="5.0503730461652213E-2"/>
          <c:y val="0.85483933686761981"/>
          <c:w val="0.91497470579305717"/>
          <c:h val="0.127054907917265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9865404755441146E-2"/>
          <c:y val="3.3960026067356604E-2"/>
          <c:w val="0.90126857480580858"/>
          <c:h val="0.78310705842620731"/>
        </c:manualLayout>
      </c:layout>
      <c:barChart>
        <c:barDir val="col"/>
        <c:grouping val="stacked"/>
        <c:ser>
          <c:idx val="3"/>
          <c:order val="1"/>
          <c:tx>
            <c:strRef>
              <c:f>'Vnější vztahy 1'!$E$5</c:f>
              <c:strCache>
                <c:ptCount val="1"/>
                <c:pt idx="0">
                  <c:v>Bilance zboží</c:v>
                </c:pt>
              </c:strCache>
            </c:strRef>
          </c:tx>
          <c:spPr>
            <a:solidFill>
              <a:srgbClr val="BD1B21"/>
            </a:solidFill>
            <a:ln>
              <a:noFill/>
            </a:ln>
          </c:spPr>
          <c:val>
            <c:numRef>
              <c:f>'Vnější vztahy 1'!$E$6:$E$15</c:f>
              <c:numCache>
                <c:formatCode>0.0</c:formatCode>
                <c:ptCount val="10"/>
                <c:pt idx="0">
                  <c:v>17.981900000000003</c:v>
                </c:pt>
                <c:pt idx="1">
                  <c:v>52.588300000000011</c:v>
                </c:pt>
                <c:pt idx="2">
                  <c:v>40.957999999999998</c:v>
                </c:pt>
                <c:pt idx="3">
                  <c:v>58.986100000000008</c:v>
                </c:pt>
                <c:pt idx="4">
                  <c:v>105.11489999999999</c:v>
                </c:pt>
                <c:pt idx="5">
                  <c:v>139.71869999999998</c:v>
                </c:pt>
                <c:pt idx="6">
                  <c:v>184.74909999999952</c:v>
                </c:pt>
                <c:pt idx="7">
                  <c:v>153.38430000000054</c:v>
                </c:pt>
                <c:pt idx="8">
                  <c:v>210.76999999999998</c:v>
                </c:pt>
                <c:pt idx="9" formatCode="General">
                  <c:v>206.5052</c:v>
                </c:pt>
              </c:numCache>
            </c:numRef>
          </c:val>
          <c:extLst xmlns:c16r2="http://schemas.microsoft.com/office/drawing/2015/06/chart">
            <c:ext xmlns:c16="http://schemas.microsoft.com/office/drawing/2014/chart" uri="{C3380CC4-5D6E-409C-BE32-E72D297353CC}">
              <c16:uniqueId val="{00000000-8BE4-4FCA-B0DD-FDC51227F858}"/>
            </c:ext>
          </c:extLst>
        </c:ser>
        <c:ser>
          <c:idx val="4"/>
          <c:order val="2"/>
          <c:tx>
            <c:strRef>
              <c:f>'Vnější vztahy 1'!$F$5</c:f>
              <c:strCache>
                <c:ptCount val="1"/>
                <c:pt idx="0">
                  <c:v>Bilance služeb</c:v>
                </c:pt>
              </c:strCache>
            </c:strRef>
          </c:tx>
          <c:spPr>
            <a:solidFill>
              <a:srgbClr val="E8AFB2"/>
            </a:solidFill>
            <a:ln>
              <a:noFill/>
            </a:ln>
          </c:spPr>
          <c:val>
            <c:numRef>
              <c:f>'Vnější vztahy 1'!$F$6:$F$15</c:f>
              <c:numCache>
                <c:formatCode>0.0</c:formatCode>
                <c:ptCount val="10"/>
                <c:pt idx="0">
                  <c:v>69.416700000000006</c:v>
                </c:pt>
                <c:pt idx="1">
                  <c:v>62.026400000000002</c:v>
                </c:pt>
                <c:pt idx="2">
                  <c:v>61.292300000000218</c:v>
                </c:pt>
                <c:pt idx="3">
                  <c:v>62.852200000000003</c:v>
                </c:pt>
                <c:pt idx="4">
                  <c:v>62.374199999999995</c:v>
                </c:pt>
                <c:pt idx="5">
                  <c:v>54.346299999999999</c:v>
                </c:pt>
                <c:pt idx="6">
                  <c:v>47.687100000000001</c:v>
                </c:pt>
                <c:pt idx="7">
                  <c:v>58.710700000000003</c:v>
                </c:pt>
                <c:pt idx="8">
                  <c:v>76.704700000000017</c:v>
                </c:pt>
                <c:pt idx="9" formatCode="General">
                  <c:v>86.326999999999998</c:v>
                </c:pt>
              </c:numCache>
            </c:numRef>
          </c:val>
          <c:extLst xmlns:c16r2="http://schemas.microsoft.com/office/drawing/2015/06/chart">
            <c:ext xmlns:c16="http://schemas.microsoft.com/office/drawing/2014/chart" uri="{C3380CC4-5D6E-409C-BE32-E72D297353CC}">
              <c16:uniqueId val="{00000001-8BE4-4FCA-B0DD-FDC51227F858}"/>
            </c:ext>
          </c:extLst>
        </c:ser>
        <c:ser>
          <c:idx val="2"/>
          <c:order val="3"/>
          <c:tx>
            <c:strRef>
              <c:f>'Vnější vztahy 1'!$D$5</c:f>
              <c:strCache>
                <c:ptCount val="1"/>
                <c:pt idx="0">
                  <c:v>Saldo prvotních důchodů</c:v>
                </c:pt>
              </c:strCache>
            </c:strRef>
          </c:tx>
          <c:spPr>
            <a:solidFill>
              <a:srgbClr val="A6CDE8"/>
            </a:solidFill>
            <a:ln>
              <a:noFill/>
            </a:ln>
          </c:spPr>
          <c:val>
            <c:numRef>
              <c:f>'Vnější vztahy 1'!$D$6:$D$15</c:f>
              <c:numCache>
                <c:formatCode>0.0</c:formatCode>
                <c:ptCount val="10"/>
                <c:pt idx="0">
                  <c:v>-115.45389999999999</c:v>
                </c:pt>
                <c:pt idx="1">
                  <c:v>-173.89430000000004</c:v>
                </c:pt>
                <c:pt idx="2">
                  <c:v>-195.2978</c:v>
                </c:pt>
                <c:pt idx="3">
                  <c:v>-178.68830000000054</c:v>
                </c:pt>
                <c:pt idx="4">
                  <c:v>-163.62909999999999</c:v>
                </c:pt>
                <c:pt idx="5">
                  <c:v>-184.54399999999998</c:v>
                </c:pt>
                <c:pt idx="6">
                  <c:v>-214.01479999999998</c:v>
                </c:pt>
                <c:pt idx="7">
                  <c:v>-225.26520000000002</c:v>
                </c:pt>
                <c:pt idx="8">
                  <c:v>-198.8246</c:v>
                </c:pt>
                <c:pt idx="9" formatCode="General">
                  <c:v>-196.7552</c:v>
                </c:pt>
              </c:numCache>
            </c:numRef>
          </c:val>
          <c:extLst xmlns:c16r2="http://schemas.microsoft.com/office/drawing/2015/06/chart">
            <c:ext xmlns:c16="http://schemas.microsoft.com/office/drawing/2014/chart" uri="{C3380CC4-5D6E-409C-BE32-E72D297353CC}">
              <c16:uniqueId val="{00000002-8BE4-4FCA-B0DD-FDC51227F858}"/>
            </c:ext>
          </c:extLst>
        </c:ser>
        <c:ser>
          <c:idx val="1"/>
          <c:order val="4"/>
          <c:tx>
            <c:strRef>
              <c:f>'Vnější vztahy 1'!$C$5</c:f>
              <c:strCache>
                <c:ptCount val="1"/>
                <c:pt idx="0">
                  <c:v>Saldo druhotných důchodů</c:v>
                </c:pt>
              </c:strCache>
            </c:strRef>
          </c:tx>
          <c:spPr>
            <a:solidFill>
              <a:srgbClr val="0071BC"/>
            </a:solidFill>
            <a:ln>
              <a:noFill/>
            </a:ln>
          </c:spPr>
          <c:val>
            <c:numRef>
              <c:f>'Vnější vztahy 1'!$C$6:$C$15</c:f>
              <c:numCache>
                <c:formatCode>0.0</c:formatCode>
                <c:ptCount val="10"/>
                <c:pt idx="0">
                  <c:v>-7.2573999999999996</c:v>
                </c:pt>
                <c:pt idx="1">
                  <c:v>-13.026900000000001</c:v>
                </c:pt>
                <c:pt idx="2">
                  <c:v>-12.653</c:v>
                </c:pt>
                <c:pt idx="3">
                  <c:v>-14.815500000000037</c:v>
                </c:pt>
                <c:pt idx="4">
                  <c:v>-32.981399999999994</c:v>
                </c:pt>
                <c:pt idx="5">
                  <c:v>-26.057700000000004</c:v>
                </c:pt>
                <c:pt idx="6">
                  <c:v>-12.629100000000001</c:v>
                </c:pt>
                <c:pt idx="7">
                  <c:v>9.7679000000000009</c:v>
                </c:pt>
                <c:pt idx="8">
                  <c:v>-13.166600000000004</c:v>
                </c:pt>
                <c:pt idx="9" formatCode="General">
                  <c:v>-44.783500000000011</c:v>
                </c:pt>
              </c:numCache>
            </c:numRef>
          </c:val>
          <c:extLst xmlns:c16r2="http://schemas.microsoft.com/office/drawing/2015/06/chart">
            <c:ext xmlns:c16="http://schemas.microsoft.com/office/drawing/2014/chart" uri="{C3380CC4-5D6E-409C-BE32-E72D297353CC}">
              <c16:uniqueId val="{00000003-8BE4-4FCA-B0DD-FDC51227F858}"/>
            </c:ext>
          </c:extLst>
        </c:ser>
        <c:gapWidth val="60"/>
        <c:overlap val="100"/>
        <c:axId val="166881920"/>
        <c:axId val="166924672"/>
      </c:barChart>
      <c:lineChart>
        <c:grouping val="standard"/>
        <c:ser>
          <c:idx val="0"/>
          <c:order val="0"/>
          <c:tx>
            <c:strRef>
              <c:f>'Vnější vztahy 1'!$B$5</c:f>
              <c:strCache>
                <c:ptCount val="1"/>
                <c:pt idx="0">
                  <c:v>Běžný účet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-35.3127</c:v>
                </c:pt>
                <c:pt idx="1">
                  <c:v>-72.3065</c:v>
                </c:pt>
                <c:pt idx="2">
                  <c:v>-105.70070000000001</c:v>
                </c:pt>
                <c:pt idx="3">
                  <c:v>-71.665699999999987</c:v>
                </c:pt>
                <c:pt idx="4">
                  <c:v>-29.121400000000001</c:v>
                </c:pt>
                <c:pt idx="5">
                  <c:v>-16.5366</c:v>
                </c:pt>
                <c:pt idx="6">
                  <c:v>5.7923000000000027</c:v>
                </c:pt>
                <c:pt idx="7">
                  <c:v>-3.4024999999999967</c:v>
                </c:pt>
                <c:pt idx="8">
                  <c:v>75.483300000000014</c:v>
                </c:pt>
                <c:pt idx="9" formatCode="General">
                  <c:v>51.293300000000158</c:v>
                </c:pt>
              </c:numCache>
            </c:numRef>
          </c:val>
          <c:extLst xmlns:c16r2="http://schemas.microsoft.com/office/drawing/2015/06/chart">
            <c:ext xmlns:c16="http://schemas.microsoft.com/office/drawing/2014/chart" uri="{C3380CC4-5D6E-409C-BE32-E72D297353CC}">
              <c16:uniqueId val="{00000004-8BE4-4FCA-B0DD-FDC51227F858}"/>
            </c:ext>
          </c:extLst>
        </c:ser>
        <c:marker val="1"/>
        <c:axId val="166881920"/>
        <c:axId val="166924672"/>
      </c:lineChart>
      <c:catAx>
        <c:axId val="166881920"/>
        <c:scaling>
          <c:orientation val="minMax"/>
        </c:scaling>
        <c:axPos val="b"/>
        <c:tickLblPos val="low"/>
        <c:spPr>
          <a:ln>
            <a:solidFill>
              <a:schemeClr val="tx1"/>
            </a:solidFill>
          </a:ln>
        </c:spPr>
        <c:txPr>
          <a:bodyPr rot="0" vert="horz"/>
          <a:lstStyle/>
          <a:p>
            <a:pPr>
              <a:defRPr/>
            </a:pPr>
            <a:endParaRPr lang="cs-CZ"/>
          </a:p>
        </c:txPr>
        <c:crossAx val="166924672"/>
        <c:crosses val="autoZero"/>
        <c:auto val="1"/>
        <c:lblAlgn val="ctr"/>
        <c:lblOffset val="100"/>
      </c:catAx>
      <c:valAx>
        <c:axId val="166924672"/>
        <c:scaling>
          <c:orientation val="minMax"/>
          <c:max val="300"/>
        </c:scaling>
        <c:axPos val="l"/>
        <c:majorGridlines>
          <c:spPr>
            <a:ln w="6350">
              <a:solidFill>
                <a:schemeClr val="bg1">
                  <a:lumMod val="75000"/>
                </a:schemeClr>
              </a:solidFill>
            </a:ln>
          </c:spPr>
        </c:majorGridlines>
        <c:numFmt formatCode="0" sourceLinked="0"/>
        <c:tickLblPos val="nextTo"/>
        <c:spPr>
          <a:ln>
            <a:solidFill>
              <a:schemeClr val="tx1"/>
            </a:solidFill>
          </a:ln>
        </c:spPr>
        <c:crossAx val="166881920"/>
        <c:crosses val="autoZero"/>
        <c:crossBetween val="between"/>
      </c:valAx>
      <c:spPr>
        <a:ln>
          <a:solidFill>
            <a:schemeClr val="tx1"/>
          </a:solidFill>
        </a:ln>
      </c:spPr>
    </c:plotArea>
    <c:legend>
      <c:legendPos val="b"/>
      <c:layout>
        <c:manualLayout>
          <c:xMode val="edge"/>
          <c:yMode val="edge"/>
          <c:x val="6.5159268884492888E-2"/>
          <c:y val="0.88053282633520458"/>
          <c:w val="0.89859169199594657"/>
          <c:h val="0.10077544407177016"/>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0.58947</cdr:x>
      <cdr:y>0.01868</cdr:y>
    </cdr:from>
    <cdr:to>
      <cdr:x>0.6376</cdr:x>
      <cdr:y>0.05626</cdr:y>
    </cdr:to>
    <cdr:sp macro="" textlink="">
      <cdr:nvSpPr>
        <cdr:cNvPr id="2" name="Přímá spojovací šipka 1"/>
        <cdr:cNvSpPr/>
      </cdr:nvSpPr>
      <cdr:spPr>
        <a:xfrm xmlns:a="http://schemas.openxmlformats.org/drawingml/2006/main" flipH="1" flipV="1">
          <a:off x="2799499" y="66271"/>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0.64912</cdr:x>
      <cdr:y>0.04249</cdr:y>
    </cdr:from>
    <cdr:to>
      <cdr:x>0.72324</cdr:x>
      <cdr:y>0.09724</cdr:y>
    </cdr:to>
    <cdr:sp macro="" textlink="">
      <cdr:nvSpPr>
        <cdr:cNvPr id="3" name="TextovéPole 2"/>
        <cdr:cNvSpPr txBox="1"/>
      </cdr:nvSpPr>
      <cdr:spPr>
        <a:xfrm xmlns:a="http://schemas.openxmlformats.org/drawingml/2006/main">
          <a:off x="3082788" y="150770"/>
          <a:ext cx="352011" cy="1942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drawings/drawing2.xml><?xml version="1.0" encoding="utf-8"?>
<c:userShapes xmlns:c="http://schemas.openxmlformats.org/drawingml/2006/chart">
  <cdr:relSizeAnchor xmlns:cdr="http://schemas.openxmlformats.org/drawingml/2006/chartDrawing">
    <cdr:from>
      <cdr:x>0.26574</cdr:x>
      <cdr:y>0.71461</cdr:y>
    </cdr:from>
    <cdr:to>
      <cdr:x>0.31164</cdr:x>
      <cdr:y>0.72853</cdr:y>
    </cdr:to>
    <cdr:sp macro="" textlink="">
      <cdr:nvSpPr>
        <cdr:cNvPr id="2" name="Přímá spojovací šipka 1"/>
        <cdr:cNvSpPr/>
      </cdr:nvSpPr>
      <cdr:spPr>
        <a:xfrm xmlns:a="http://schemas.openxmlformats.org/drawingml/2006/main" flipH="1">
          <a:off x="1260229" y="2429208"/>
          <a:ext cx="217677" cy="47292"/>
        </a:xfrm>
        <a:prstGeom xmlns:a="http://schemas.openxmlformats.org/drawingml/2006/main" prst="straightConnector1">
          <a:avLst/>
        </a:prstGeom>
        <a:noFill xmlns:a="http://schemas.openxmlformats.org/drawingml/2006/main"/>
        <a:ln xmlns:a="http://schemas.openxmlformats.org/drawingml/2006/main" w="6350" cap="flat" cmpd="sng" algn="ctr">
          <a:solidFill>
            <a:srgbClr val="00B0F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0.32547</cdr:x>
      <cdr:y>0.69521</cdr:y>
    </cdr:from>
    <cdr:to>
      <cdr:x>0.38425</cdr:x>
      <cdr:y>0.75017</cdr:y>
    </cdr:to>
    <cdr:sp macro="" textlink="">
      <cdr:nvSpPr>
        <cdr:cNvPr id="3" name="TextovéPole 2"/>
        <cdr:cNvSpPr txBox="1"/>
      </cdr:nvSpPr>
      <cdr:spPr>
        <a:xfrm xmlns:a="http://schemas.openxmlformats.org/drawingml/2006/main">
          <a:off x="1543521" y="2363267"/>
          <a:ext cx="278751" cy="18682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00B0F0"/>
              </a:solidFill>
              <a:latin typeface="Arial" pitchFamily="34" charset="0"/>
              <a:cs typeface="Arial" pitchFamily="34" charset="0"/>
            </a:rPr>
            <a:t>-16,0</a:t>
          </a:r>
        </a:p>
      </cdr:txBody>
    </cdr:sp>
  </cdr:relSizeAnchor>
</c:userShapes>
</file>

<file path=word/drawings/drawing3.xml><?xml version="1.0" encoding="utf-8"?>
<c:userShapes xmlns:c="http://schemas.openxmlformats.org/drawingml/2006/chart">
  <cdr:relSizeAnchor xmlns:cdr="http://schemas.openxmlformats.org/drawingml/2006/chartDrawing">
    <cdr:from>
      <cdr:x>0.03882</cdr:x>
      <cdr:y>0.4281</cdr:y>
    </cdr:from>
    <cdr:to>
      <cdr:x>0.94336</cdr:x>
      <cdr:y>0.42924</cdr:y>
    </cdr:to>
    <cdr:sp macro="" textlink="">
      <cdr:nvSpPr>
        <cdr:cNvPr id="3" name="Přímá spojovací čára 2"/>
        <cdr:cNvSpPr/>
      </cdr:nvSpPr>
      <cdr:spPr bwMode="auto">
        <a:xfrm xmlns:a="http://schemas.openxmlformats.org/drawingml/2006/main">
          <a:off x="183914" y="1497514"/>
          <a:ext cx="4285716" cy="398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DB8E4-97CC-4D65-819D-2A0C9889044A}">
  <ds:schemaRefs>
    <ds:schemaRef ds:uri="http://schemas.openxmlformats.org/officeDocument/2006/bibliography"/>
  </ds:schemaRefs>
</ds:datastoreItem>
</file>

<file path=customXml/itemProps2.xml><?xml version="1.0" encoding="utf-8"?>
<ds:datastoreItem xmlns:ds="http://schemas.openxmlformats.org/officeDocument/2006/customXml" ds:itemID="{B259D882-58B5-453A-A5EB-8C93E047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72</TotalTime>
  <Pages>29</Pages>
  <Words>11294</Words>
  <Characters>66641</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77780</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10</cp:revision>
  <cp:lastPrinted>2017-12-15T12:34:00Z</cp:lastPrinted>
  <dcterms:created xsi:type="dcterms:W3CDTF">2017-12-19T15:57:00Z</dcterms:created>
  <dcterms:modified xsi:type="dcterms:W3CDTF">2017-12-20T11:18:00Z</dcterms:modified>
</cp:coreProperties>
</file>