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08" w:rsidRPr="0011365A" w:rsidRDefault="00F853A5" w:rsidP="006462B8">
      <w:pPr>
        <w:pStyle w:val="Nadpis1"/>
        <w:numPr>
          <w:ilvl w:val="0"/>
          <w:numId w:val="24"/>
        </w:numPr>
        <w:jc w:val="both"/>
      </w:pPr>
      <w:bookmarkStart w:id="0" w:name="_Toc501441383"/>
      <w:r w:rsidRPr="00A74192">
        <w:t>Státní rozpočet</w:t>
      </w:r>
      <w:bookmarkEnd w:id="0"/>
    </w:p>
    <w:tbl>
      <w:tblPr>
        <w:tblW w:w="4995" w:type="pct"/>
        <w:tblInd w:w="108" w:type="dxa"/>
        <w:tblLayout w:type="fixed"/>
        <w:tblLook w:val="00A0"/>
      </w:tblPr>
      <w:tblGrid>
        <w:gridCol w:w="2000"/>
        <w:gridCol w:w="284"/>
        <w:gridCol w:w="7560"/>
      </w:tblGrid>
      <w:tr w:rsidR="00490B20" w:rsidRPr="00F06A1D" w:rsidTr="00876058">
        <w:trPr>
          <w:trHeight w:val="145"/>
        </w:trPr>
        <w:tc>
          <w:tcPr>
            <w:tcW w:w="1016" w:type="pct"/>
            <w:shd w:val="clear" w:color="auto" w:fill="auto"/>
          </w:tcPr>
          <w:p w:rsidR="00490B20" w:rsidRPr="00D607C1"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Přebytek SR byl za tři čtvrtletí meziročně výrazně slabší, přesto šlo o druhý nejlepší výsledek za posledních deset let.</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DF5BC7" w:rsidRDefault="00490B20" w:rsidP="00876058">
            <w:pPr>
              <w:pStyle w:val="Textpoznpodarou"/>
              <w:jc w:val="both"/>
              <w:rPr>
                <w:rFonts w:cs="Arial"/>
                <w:color w:val="0D0D0D" w:themeColor="text1" w:themeTint="F2"/>
                <w:spacing w:val="-4"/>
              </w:rPr>
            </w:pPr>
            <w:r w:rsidRPr="00DF5BC7">
              <w:rPr>
                <w:rFonts w:cs="Arial"/>
                <w:color w:val="0D0D0D" w:themeColor="text1" w:themeTint="F2"/>
                <w:spacing w:val="-4"/>
              </w:rPr>
              <w:t>Za tři letošní čtvrtletí dosáhl státní rozpočet (SR)</w:t>
            </w:r>
            <w:r w:rsidRPr="00DF5BC7">
              <w:rPr>
                <w:rStyle w:val="Znakapoznpodarou"/>
                <w:color w:val="0D0D0D" w:themeColor="text1" w:themeTint="F2"/>
                <w:spacing w:val="-4"/>
              </w:rPr>
              <w:footnoteReference w:id="1"/>
            </w:r>
            <w:r w:rsidRPr="00DF5BC7">
              <w:rPr>
                <w:rFonts w:cs="Arial"/>
                <w:color w:val="0D0D0D" w:themeColor="text1" w:themeTint="F2"/>
                <w:spacing w:val="-4"/>
              </w:rPr>
              <w:t xml:space="preserve"> přebytku 17,4</w:t>
            </w:r>
            <w:r w:rsidR="006D164C">
              <w:rPr>
                <w:rFonts w:cs="Arial"/>
                <w:color w:val="0D0D0D" w:themeColor="text1" w:themeTint="F2"/>
                <w:spacing w:val="-4"/>
              </w:rPr>
              <w:t> mld.</w:t>
            </w:r>
            <w:r w:rsidRPr="00DF5BC7">
              <w:rPr>
                <w:rFonts w:cs="Arial"/>
                <w:color w:val="0D0D0D" w:themeColor="text1" w:themeTint="F2"/>
                <w:spacing w:val="-4"/>
              </w:rPr>
              <w:t xml:space="preserve"> korun. Přestože výše kladného salda byla </w:t>
            </w:r>
            <w:r w:rsidR="00D64583">
              <w:rPr>
                <w:rFonts w:cs="Arial"/>
                <w:color w:val="0D0D0D" w:themeColor="text1" w:themeTint="F2"/>
                <w:spacing w:val="-4"/>
              </w:rPr>
              <w:t>o</w:t>
            </w:r>
            <w:r w:rsidRPr="00DF5BC7">
              <w:rPr>
                <w:rFonts w:cs="Arial"/>
                <w:color w:val="0D0D0D" w:themeColor="text1" w:themeTint="F2"/>
                <w:spacing w:val="-4"/>
              </w:rPr>
              <w:t>proti stejnému období loňského roku pouze pětinová, šlo zároveň o druhý nejpříznivější výsledek za posledních deset let. Ke kladnému saldu přispěl letos především vývoj ve 3</w:t>
            </w:r>
            <w:r w:rsidR="005723B7">
              <w:rPr>
                <w:rFonts w:cs="Arial"/>
                <w:color w:val="0D0D0D" w:themeColor="text1" w:themeTint="F2"/>
                <w:spacing w:val="-4"/>
              </w:rPr>
              <w:t>. čtvrtletí</w:t>
            </w:r>
            <w:r w:rsidRPr="00DF5BC7">
              <w:rPr>
                <w:rFonts w:cs="Arial"/>
                <w:color w:val="0D0D0D" w:themeColor="text1" w:themeTint="F2"/>
                <w:spacing w:val="-4"/>
              </w:rPr>
              <w:t>, stát však hospodařil s</w:t>
            </w:r>
            <w:r>
              <w:rPr>
                <w:rFonts w:cs="Arial"/>
                <w:color w:val="0D0D0D" w:themeColor="text1" w:themeTint="F2"/>
                <w:spacing w:val="-4"/>
              </w:rPr>
              <w:t xml:space="preserve"> </w:t>
            </w:r>
            <w:r w:rsidRPr="00DF5BC7">
              <w:rPr>
                <w:rFonts w:cs="Arial"/>
                <w:color w:val="0D0D0D" w:themeColor="text1" w:themeTint="F2"/>
                <w:spacing w:val="-4"/>
              </w:rPr>
              <w:t>mírným přebytkem i v první čtvrtině roku. Výši salda po celý rok podstatně ovlivňoval sílící hospodářský růst, jakož i pomalý náběh čerpání evropských fondů. Saldo</w:t>
            </w:r>
            <w:r w:rsidR="00CF58ED">
              <w:rPr>
                <w:rFonts w:cs="Arial"/>
                <w:color w:val="0D0D0D" w:themeColor="text1" w:themeTint="F2"/>
                <w:spacing w:val="-4"/>
              </w:rPr>
              <w:t> </w:t>
            </w:r>
            <w:r w:rsidRPr="00DF5BC7">
              <w:rPr>
                <w:rFonts w:cs="Arial"/>
                <w:color w:val="0D0D0D" w:themeColor="text1" w:themeTint="F2"/>
                <w:spacing w:val="-4"/>
              </w:rPr>
              <w:t>SR</w:t>
            </w:r>
            <w:r>
              <w:rPr>
                <w:rFonts w:cs="Arial"/>
                <w:color w:val="0D0D0D" w:themeColor="text1" w:themeTint="F2"/>
                <w:spacing w:val="-4"/>
              </w:rPr>
              <w:t>,</w:t>
            </w:r>
            <w:r w:rsidRPr="00DF5BC7">
              <w:rPr>
                <w:rFonts w:cs="Arial"/>
                <w:color w:val="0D0D0D" w:themeColor="text1" w:themeTint="F2"/>
                <w:spacing w:val="-4"/>
              </w:rPr>
              <w:t xml:space="preserve"> tvořící klíčovou složku deficitu či přebytku </w:t>
            </w:r>
            <w:r>
              <w:rPr>
                <w:rFonts w:cs="Arial"/>
                <w:color w:val="0D0D0D" w:themeColor="text1" w:themeTint="F2"/>
                <w:spacing w:val="-4"/>
              </w:rPr>
              <w:t xml:space="preserve">hospodaření </w:t>
            </w:r>
            <w:r w:rsidRPr="00DF5BC7">
              <w:rPr>
                <w:rFonts w:cs="Arial"/>
                <w:color w:val="0D0D0D" w:themeColor="text1" w:themeTint="F2"/>
                <w:spacing w:val="-4"/>
              </w:rPr>
              <w:t>sektoru vládních institucí</w:t>
            </w:r>
            <w:r>
              <w:rPr>
                <w:rFonts w:cs="Arial"/>
                <w:color w:val="0D0D0D" w:themeColor="text1" w:themeTint="F2"/>
                <w:spacing w:val="-4"/>
              </w:rPr>
              <w:t>,</w:t>
            </w:r>
            <w:r w:rsidRPr="00DF5BC7">
              <w:rPr>
                <w:rFonts w:cs="Arial"/>
                <w:color w:val="0D0D0D" w:themeColor="text1" w:themeTint="F2"/>
                <w:spacing w:val="-4"/>
              </w:rPr>
              <w:t xml:space="preserve"> činilo za tři čtvrtletí ve vztahu k</w:t>
            </w:r>
            <w:r w:rsidRPr="00DF5BC7">
              <w:rPr>
                <w:color w:val="0D0D0D" w:themeColor="text1" w:themeTint="F2"/>
                <w:spacing w:val="-4"/>
              </w:rPr>
              <w:t> </w:t>
            </w:r>
            <w:r w:rsidRPr="00DF5BC7">
              <w:rPr>
                <w:rFonts w:cs="Arial"/>
                <w:color w:val="000000" w:themeColor="text1"/>
                <w:spacing w:val="-4"/>
              </w:rPr>
              <w:t>nominálnímu HDP +0,5</w:t>
            </w:r>
            <w:r w:rsidR="005723B7">
              <w:rPr>
                <w:rFonts w:cs="Arial"/>
                <w:color w:val="000000" w:themeColor="text1"/>
                <w:spacing w:val="-4"/>
              </w:rPr>
              <w:t> %</w:t>
            </w:r>
            <w:r w:rsidRPr="00DF5BC7">
              <w:rPr>
                <w:rFonts w:cs="Arial"/>
                <w:color w:val="000000" w:themeColor="text1"/>
                <w:spacing w:val="-4"/>
              </w:rPr>
              <w:t xml:space="preserve"> (o rok dříve +2,3</w:t>
            </w:r>
            <w:r w:rsidR="005723B7">
              <w:rPr>
                <w:rFonts w:cs="Arial"/>
                <w:color w:val="000000" w:themeColor="text1"/>
                <w:spacing w:val="-4"/>
              </w:rPr>
              <w:t> %</w:t>
            </w:r>
            <w:r w:rsidRPr="00DF5BC7">
              <w:rPr>
                <w:rFonts w:cs="Arial"/>
                <w:color w:val="000000" w:themeColor="text1"/>
                <w:spacing w:val="-4"/>
              </w:rPr>
              <w:t>).</w:t>
            </w:r>
          </w:p>
          <w:p w:rsidR="00490B20" w:rsidRPr="001633B4" w:rsidRDefault="00490B20" w:rsidP="00876058">
            <w:pPr>
              <w:pStyle w:val="Textpoznpodarou"/>
              <w:jc w:val="both"/>
              <w:rPr>
                <w:rFonts w:cs="Arial"/>
                <w:color w:val="0D0D0D" w:themeColor="text1" w:themeTint="F2"/>
                <w:spacing w:val="-3"/>
                <w:sz w:val="15"/>
                <w:szCs w:val="15"/>
              </w:rPr>
            </w:pPr>
          </w:p>
        </w:tc>
      </w:tr>
      <w:tr w:rsidR="00490B20" w:rsidRPr="0094422D" w:rsidTr="00876058">
        <w:trPr>
          <w:trHeight w:val="145"/>
        </w:trPr>
        <w:tc>
          <w:tcPr>
            <w:tcW w:w="1016" w:type="pct"/>
            <w:shd w:val="clear" w:color="auto" w:fill="auto"/>
          </w:tcPr>
          <w:p w:rsidR="00490B20" w:rsidRDefault="00490B20" w:rsidP="00876058">
            <w:pPr>
              <w:spacing w:line="240" w:lineRule="auto"/>
              <w:rPr>
                <w:rFonts w:cs="Arial"/>
                <w:color w:val="0D0D0D" w:themeColor="text1" w:themeTint="F2"/>
                <w:spacing w:val="-4"/>
                <w:sz w:val="16"/>
                <w:szCs w:val="16"/>
              </w:rPr>
            </w:pPr>
            <w:r w:rsidRPr="0053582D">
              <w:rPr>
                <w:rFonts w:cs="Arial"/>
                <w:color w:val="0D0D0D" w:themeColor="text1" w:themeTint="F2"/>
                <w:spacing w:val="-4"/>
                <w:sz w:val="16"/>
                <w:szCs w:val="16"/>
              </w:rPr>
              <w:t>Výpadek příjmů</w:t>
            </w:r>
            <w:r>
              <w:rPr>
                <w:rFonts w:cs="Arial"/>
                <w:color w:val="0D0D0D" w:themeColor="text1" w:themeTint="F2"/>
                <w:spacing w:val="-4"/>
                <w:sz w:val="16"/>
                <w:szCs w:val="16"/>
              </w:rPr>
              <w:t xml:space="preserve"> z EU vázaných na nové programové období</w:t>
            </w:r>
            <w:r w:rsidRPr="0053582D">
              <w:rPr>
                <w:rFonts w:cs="Arial"/>
                <w:color w:val="0D0D0D" w:themeColor="text1" w:themeTint="F2"/>
                <w:spacing w:val="-4"/>
                <w:sz w:val="16"/>
                <w:szCs w:val="16"/>
              </w:rPr>
              <w:t xml:space="preserve"> byl vlivem nízkého</w:t>
            </w:r>
            <w:r>
              <w:rPr>
                <w:rFonts w:cs="Arial"/>
                <w:color w:val="0D0D0D" w:themeColor="text1" w:themeTint="F2"/>
                <w:spacing w:val="-4"/>
                <w:sz w:val="16"/>
                <w:szCs w:val="16"/>
              </w:rPr>
              <w:t xml:space="preserve"> čerpání v loňském i letošním roce hlubší než rozpočtová očekávání.</w:t>
            </w:r>
          </w:p>
          <w:p w:rsidR="00490B20" w:rsidRPr="0053582D" w:rsidRDefault="00490B20" w:rsidP="00876058">
            <w:pPr>
              <w:spacing w:line="240" w:lineRule="auto"/>
              <w:rPr>
                <w:rFonts w:cs="Arial"/>
                <w:color w:val="0D0D0D" w:themeColor="text1" w:themeTint="F2"/>
                <w:spacing w:val="-2"/>
                <w:sz w:val="16"/>
                <w:szCs w:val="16"/>
              </w:rPr>
            </w:pP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986E18">
              <w:rPr>
                <w:rFonts w:cs="Arial"/>
                <w:color w:val="000000" w:themeColor="text1"/>
                <w:spacing w:val="-4"/>
              </w:rPr>
              <w:t>Celkové příjmy SR se za tři čtvrtletí meziročně snížily o</w:t>
            </w:r>
            <w:r w:rsidR="00CF58ED">
              <w:rPr>
                <w:rFonts w:cs="Arial"/>
                <w:color w:val="000000" w:themeColor="text1"/>
                <w:spacing w:val="-4"/>
              </w:rPr>
              <w:t> </w:t>
            </w:r>
            <w:r w:rsidRPr="00986E18">
              <w:rPr>
                <w:rFonts w:cs="Arial"/>
                <w:color w:val="000000" w:themeColor="text1"/>
                <w:spacing w:val="-4"/>
              </w:rPr>
              <w:t>2,6</w:t>
            </w:r>
            <w:r w:rsidR="005723B7">
              <w:rPr>
                <w:rFonts w:cs="Arial"/>
                <w:color w:val="000000" w:themeColor="text1"/>
                <w:spacing w:val="-4"/>
              </w:rPr>
              <w:t> %</w:t>
            </w:r>
            <w:r w:rsidRPr="00986E18">
              <w:rPr>
                <w:rFonts w:cs="Arial"/>
                <w:color w:val="000000" w:themeColor="text1"/>
                <w:spacing w:val="-4"/>
              </w:rPr>
              <w:t>, neboť svižný růst daňových příjmů vč.</w:t>
            </w:r>
            <w:r w:rsidR="00CF58ED">
              <w:rPr>
                <w:rFonts w:cs="Arial"/>
                <w:color w:val="000000" w:themeColor="text1"/>
                <w:spacing w:val="-4"/>
              </w:rPr>
              <w:t> </w:t>
            </w:r>
            <w:r w:rsidRPr="00986E18">
              <w:rPr>
                <w:rFonts w:cs="Arial"/>
                <w:color w:val="000000" w:themeColor="text1"/>
                <w:spacing w:val="-4"/>
              </w:rPr>
              <w:t xml:space="preserve">pojistného </w:t>
            </w:r>
            <w:r>
              <w:rPr>
                <w:rFonts w:cs="Arial"/>
                <w:color w:val="000000" w:themeColor="text1"/>
                <w:spacing w:val="-4"/>
              </w:rPr>
              <w:t>(+56</w:t>
            </w:r>
            <w:r w:rsidR="006D164C">
              <w:rPr>
                <w:rFonts w:cs="Arial"/>
                <w:color w:val="000000" w:themeColor="text1"/>
                <w:spacing w:val="-4"/>
              </w:rPr>
              <w:t> mld.</w:t>
            </w:r>
            <w:r w:rsidRPr="00986E18">
              <w:rPr>
                <w:rFonts w:cs="Arial"/>
                <w:color w:val="000000" w:themeColor="text1"/>
                <w:spacing w:val="-4"/>
              </w:rPr>
              <w:t xml:space="preserve"> korun) nestačil plně kompenzovat </w:t>
            </w:r>
            <w:r>
              <w:rPr>
                <w:rFonts w:cs="Arial"/>
                <w:color w:val="000000" w:themeColor="text1"/>
                <w:spacing w:val="-4"/>
              </w:rPr>
              <w:t>„</w:t>
            </w:r>
            <w:r w:rsidRPr="00986E18">
              <w:rPr>
                <w:rFonts w:cs="Arial"/>
                <w:color w:val="000000" w:themeColor="text1"/>
                <w:spacing w:val="-4"/>
              </w:rPr>
              <w:t>výpadek</w:t>
            </w:r>
            <w:r>
              <w:rPr>
                <w:rFonts w:cs="Arial"/>
                <w:color w:val="000000" w:themeColor="text1"/>
                <w:spacing w:val="-4"/>
              </w:rPr>
              <w:t>“</w:t>
            </w:r>
            <w:r w:rsidRPr="00986E18">
              <w:rPr>
                <w:rFonts w:cs="Arial"/>
                <w:color w:val="000000" w:themeColor="text1"/>
                <w:spacing w:val="-4"/>
              </w:rPr>
              <w:t xml:space="preserve"> prostředků přijatých od</w:t>
            </w:r>
            <w:r w:rsidR="00CF58ED">
              <w:rPr>
                <w:rFonts w:cs="Arial"/>
                <w:color w:val="000000" w:themeColor="text1"/>
                <w:spacing w:val="-4"/>
              </w:rPr>
              <w:t> </w:t>
            </w:r>
            <w:r w:rsidRPr="00986E18">
              <w:rPr>
                <w:rFonts w:cs="Arial"/>
                <w:color w:val="000000" w:themeColor="text1"/>
                <w:spacing w:val="-4"/>
              </w:rPr>
              <w:t xml:space="preserve">EU </w:t>
            </w:r>
            <w:r>
              <w:rPr>
                <w:rFonts w:cs="Arial"/>
                <w:color w:val="000000" w:themeColor="text1"/>
                <w:spacing w:val="-4"/>
              </w:rPr>
              <w:t>(</w:t>
            </w:r>
            <w:r w:rsidRPr="00986E18">
              <w:rPr>
                <w:rFonts w:cs="Arial"/>
                <w:color w:val="000000" w:themeColor="text1"/>
                <w:spacing w:val="-4"/>
              </w:rPr>
              <w:t>o</w:t>
            </w:r>
            <w:r w:rsidR="00CF58ED">
              <w:rPr>
                <w:rFonts w:cs="Arial"/>
                <w:color w:val="000000" w:themeColor="text1"/>
                <w:spacing w:val="-4"/>
              </w:rPr>
              <w:t> </w:t>
            </w:r>
            <w:r w:rsidRPr="00986E18">
              <w:rPr>
                <w:rFonts w:cs="Arial"/>
                <w:color w:val="000000" w:themeColor="text1"/>
                <w:spacing w:val="-4"/>
              </w:rPr>
              <w:t>83,6</w:t>
            </w:r>
            <w:r w:rsidR="006D164C">
              <w:rPr>
                <w:rFonts w:cs="Arial"/>
                <w:color w:val="000000" w:themeColor="text1"/>
                <w:spacing w:val="-4"/>
              </w:rPr>
              <w:t> mld.</w:t>
            </w:r>
            <w:r w:rsidRPr="00986E18">
              <w:rPr>
                <w:rFonts w:cs="Arial"/>
                <w:color w:val="000000" w:themeColor="text1"/>
                <w:spacing w:val="-4"/>
              </w:rPr>
              <w:t xml:space="preserve"> korun, na 61,5</w:t>
            </w:r>
            <w:r w:rsidR="006D164C">
              <w:rPr>
                <w:rFonts w:cs="Arial"/>
                <w:color w:val="000000" w:themeColor="text1"/>
                <w:spacing w:val="-4"/>
              </w:rPr>
              <w:t> mld.</w:t>
            </w:r>
            <w:r w:rsidRPr="00986E18">
              <w:rPr>
                <w:rFonts w:cs="Arial"/>
                <w:color w:val="000000" w:themeColor="text1"/>
                <w:spacing w:val="-4"/>
              </w:rPr>
              <w:t>).</w:t>
            </w:r>
            <w:r w:rsidRPr="00986E18">
              <w:rPr>
                <w:rFonts w:cs="Arial"/>
                <w:color w:val="0D0D0D" w:themeColor="text1" w:themeTint="F2"/>
                <w:spacing w:val="-4"/>
              </w:rPr>
              <w:t xml:space="preserve"> Tento propad lze vysvětlit </w:t>
            </w:r>
            <w:r>
              <w:rPr>
                <w:rFonts w:cs="Arial"/>
                <w:color w:val="0D0D0D" w:themeColor="text1" w:themeTint="F2"/>
                <w:spacing w:val="-4"/>
              </w:rPr>
              <w:t xml:space="preserve">jednak </w:t>
            </w:r>
            <w:r w:rsidRPr="00986E18">
              <w:rPr>
                <w:rFonts w:cs="Arial"/>
                <w:color w:val="0D0D0D" w:themeColor="text1" w:themeTint="F2"/>
                <w:spacing w:val="-4"/>
              </w:rPr>
              <w:t>tím, že drtivá většina loňských příjmů z EU byla ještě váz</w:t>
            </w:r>
            <w:r w:rsidR="00CF58ED">
              <w:rPr>
                <w:rFonts w:cs="Arial"/>
                <w:color w:val="0D0D0D" w:themeColor="text1" w:themeTint="F2"/>
                <w:spacing w:val="-4"/>
              </w:rPr>
              <w:t>ána</w:t>
            </w:r>
            <w:r w:rsidRPr="00986E18">
              <w:rPr>
                <w:rFonts w:cs="Arial"/>
                <w:color w:val="0D0D0D" w:themeColor="text1" w:themeTint="F2"/>
                <w:spacing w:val="-4"/>
              </w:rPr>
              <w:t xml:space="preserve"> na </w:t>
            </w:r>
            <w:r w:rsidRPr="00986E18">
              <w:rPr>
                <w:spacing w:val="-4"/>
              </w:rPr>
              <w:t>programové období 2007 až 2013</w:t>
            </w:r>
            <w:r>
              <w:rPr>
                <w:spacing w:val="-4"/>
              </w:rPr>
              <w:t>,</w:t>
            </w:r>
            <w:r w:rsidRPr="00986E18">
              <w:rPr>
                <w:spacing w:val="-4"/>
              </w:rPr>
              <w:t xml:space="preserve"> a </w:t>
            </w:r>
            <w:r>
              <w:rPr>
                <w:spacing w:val="-4"/>
              </w:rPr>
              <w:t xml:space="preserve">rovněž </w:t>
            </w:r>
            <w:r w:rsidRPr="00986E18">
              <w:rPr>
                <w:spacing w:val="-4"/>
              </w:rPr>
              <w:t>pomalým loňským i</w:t>
            </w:r>
            <w:r w:rsidR="00DC53D9">
              <w:rPr>
                <w:rFonts w:cs="Arial"/>
                <w:color w:val="0D0D0D" w:themeColor="text1" w:themeTint="F2"/>
                <w:spacing w:val="-4"/>
              </w:rPr>
              <w:t xml:space="preserve"> </w:t>
            </w:r>
            <w:r w:rsidRPr="00986E18">
              <w:rPr>
                <w:spacing w:val="-4"/>
              </w:rPr>
              <w:t>letošním náběhem čerpání prostředků v novém programovém období. Pří</w:t>
            </w:r>
            <w:r>
              <w:rPr>
                <w:spacing w:val="-4"/>
              </w:rPr>
              <w:t xml:space="preserve">znivý ekonomický vývoj se </w:t>
            </w:r>
            <w:r w:rsidRPr="00986E18">
              <w:rPr>
                <w:spacing w:val="-4"/>
              </w:rPr>
              <w:t xml:space="preserve">odrážel v 7% růstu celostátního výběru všech daňových </w:t>
            </w:r>
            <w:r>
              <w:rPr>
                <w:spacing w:val="-4"/>
              </w:rPr>
              <w:t>příjmů. V</w:t>
            </w:r>
            <w:r w:rsidRPr="00986E18">
              <w:rPr>
                <w:spacing w:val="-4"/>
              </w:rPr>
              <w:t xml:space="preserve">e stejném období loňského roku však dosahovalo </w:t>
            </w:r>
            <w:r>
              <w:rPr>
                <w:spacing w:val="-4"/>
              </w:rPr>
              <w:t xml:space="preserve">jeho </w:t>
            </w:r>
            <w:r w:rsidRPr="00986E18">
              <w:rPr>
                <w:spacing w:val="-4"/>
              </w:rPr>
              <w:t>meziroční tempo téměř 9</w:t>
            </w:r>
            <w:r w:rsidR="005723B7">
              <w:rPr>
                <w:spacing w:val="-4"/>
              </w:rPr>
              <w:t> %</w:t>
            </w:r>
            <w:r w:rsidRPr="00986E18">
              <w:rPr>
                <w:spacing w:val="-4"/>
              </w:rPr>
              <w:t>.</w:t>
            </w:r>
            <w:r>
              <w:rPr>
                <w:spacing w:val="-4"/>
              </w:rPr>
              <w:t xml:space="preserve"> Za mírným zpomalením</w:t>
            </w:r>
            <w:r w:rsidRPr="00986E18">
              <w:rPr>
                <w:spacing w:val="-4"/>
              </w:rPr>
              <w:t xml:space="preserve"> stála letos slábnoucí dynamika výběru korporátní daně, a to především během letního období. </w:t>
            </w:r>
          </w:p>
          <w:p w:rsidR="00490B20" w:rsidRPr="00986E18" w:rsidRDefault="00490B20" w:rsidP="00876058">
            <w:pPr>
              <w:pStyle w:val="Textpoznpodarou"/>
              <w:jc w:val="both"/>
              <w:rPr>
                <w:rFonts w:cs="Arial"/>
                <w:color w:val="000000" w:themeColor="text1"/>
                <w:spacing w:val="-4"/>
                <w:sz w:val="15"/>
                <w:szCs w:val="15"/>
              </w:rPr>
            </w:pPr>
          </w:p>
        </w:tc>
      </w:tr>
      <w:tr w:rsidR="00490B20" w:rsidRPr="00F06A1D" w:rsidTr="00876058">
        <w:trPr>
          <w:trHeight w:val="145"/>
        </w:trPr>
        <w:tc>
          <w:tcPr>
            <w:tcW w:w="1016" w:type="pct"/>
            <w:shd w:val="clear" w:color="auto" w:fill="auto"/>
          </w:tcPr>
          <w:p w:rsidR="00490B20"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Tempo výběru DPH se ve srovnání s loňským rokem výrazně zvýšilo a rozhodující měrou přispělo k navýšení všech daňových příjmů SR.</w:t>
            </w:r>
          </w:p>
          <w:p w:rsidR="00490B20" w:rsidRPr="00D607C1" w:rsidRDefault="00490B20" w:rsidP="00876058">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 </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rFonts w:cs="Arial"/>
                <w:color w:val="0D0D0D" w:themeColor="text1" w:themeTint="F2"/>
                <w:spacing w:val="-4"/>
              </w:rPr>
            </w:pPr>
            <w:r w:rsidRPr="00986E18">
              <w:rPr>
                <w:rFonts w:cs="Arial"/>
                <w:color w:val="0D0D0D" w:themeColor="text1" w:themeTint="F2"/>
                <w:spacing w:val="-4"/>
              </w:rPr>
              <w:t>K růstu daňových příjmů SR přisp</w:t>
            </w:r>
            <w:r>
              <w:rPr>
                <w:rFonts w:cs="Arial"/>
                <w:color w:val="0D0D0D" w:themeColor="text1" w:themeTint="F2"/>
                <w:spacing w:val="-4"/>
              </w:rPr>
              <w:t xml:space="preserve">ěl letos (na rozdíl od </w:t>
            </w:r>
            <w:r w:rsidRPr="00986E18">
              <w:rPr>
                <w:rFonts w:cs="Arial"/>
                <w:color w:val="0D0D0D" w:themeColor="text1" w:themeTint="F2"/>
                <w:spacing w:val="-4"/>
              </w:rPr>
              <w:t>roku</w:t>
            </w:r>
            <w:r>
              <w:rPr>
                <w:rFonts w:cs="Arial"/>
                <w:color w:val="0D0D0D" w:themeColor="text1" w:themeTint="F2"/>
                <w:spacing w:val="-4"/>
              </w:rPr>
              <w:t xml:space="preserve"> 2016</w:t>
            </w:r>
            <w:r w:rsidRPr="00986E18">
              <w:rPr>
                <w:rFonts w:cs="Arial"/>
                <w:color w:val="0D0D0D" w:themeColor="text1" w:themeTint="F2"/>
                <w:spacing w:val="-4"/>
              </w:rPr>
              <w:t>) nejvíce rostoucí výběr DPH. Ten meziročně posílil o 9,7</w:t>
            </w:r>
            <w:r w:rsidR="005723B7">
              <w:rPr>
                <w:rFonts w:cs="Arial"/>
                <w:color w:val="0D0D0D" w:themeColor="text1" w:themeTint="F2"/>
                <w:spacing w:val="-4"/>
              </w:rPr>
              <w:t> %</w:t>
            </w:r>
            <w:r w:rsidRPr="00986E18">
              <w:rPr>
                <w:rStyle w:val="Znakapoznpodarou"/>
                <w:color w:val="000000" w:themeColor="text1"/>
                <w:spacing w:val="-4"/>
              </w:rPr>
              <w:footnoteReference w:id="2"/>
            </w:r>
            <w:r w:rsidRPr="00986E18">
              <w:rPr>
                <w:rFonts w:cs="Arial"/>
                <w:color w:val="0D0D0D" w:themeColor="text1" w:themeTint="F2"/>
                <w:spacing w:val="-4"/>
              </w:rPr>
              <w:t>, na úrovni všech veřejných rozpočtů pak o</w:t>
            </w:r>
            <w:r w:rsidRPr="00986E18">
              <w:rPr>
                <w:spacing w:val="-4"/>
              </w:rPr>
              <w:t> </w:t>
            </w:r>
            <w:r w:rsidRPr="00986E18">
              <w:rPr>
                <w:rFonts w:cs="Arial"/>
                <w:color w:val="0D0D0D" w:themeColor="text1" w:themeTint="F2"/>
                <w:spacing w:val="-4"/>
              </w:rPr>
              <w:t>10,6</w:t>
            </w:r>
            <w:r w:rsidR="005723B7">
              <w:rPr>
                <w:rFonts w:cs="Arial"/>
                <w:color w:val="0D0D0D" w:themeColor="text1" w:themeTint="F2"/>
                <w:spacing w:val="-4"/>
              </w:rPr>
              <w:t> %</w:t>
            </w:r>
            <w:r w:rsidRPr="00986E18">
              <w:rPr>
                <w:rFonts w:cs="Arial"/>
                <w:color w:val="0D0D0D" w:themeColor="text1" w:themeTint="F2"/>
                <w:spacing w:val="-4"/>
              </w:rPr>
              <w:t xml:space="preserve"> (o</w:t>
            </w:r>
            <w:r w:rsidR="00CF58ED">
              <w:rPr>
                <w:rFonts w:cs="Arial"/>
                <w:color w:val="0D0D0D" w:themeColor="text1" w:themeTint="F2"/>
                <w:spacing w:val="-4"/>
              </w:rPr>
              <w:t> </w:t>
            </w:r>
            <w:r w:rsidRPr="00986E18">
              <w:rPr>
                <w:rFonts w:cs="Arial"/>
                <w:color w:val="0D0D0D" w:themeColor="text1" w:themeTint="F2"/>
                <w:spacing w:val="-4"/>
              </w:rPr>
              <w:t>rok dříve o</w:t>
            </w:r>
            <w:r w:rsidR="00CF58ED">
              <w:rPr>
                <w:rFonts w:cs="Arial"/>
                <w:color w:val="0D0D0D" w:themeColor="text1" w:themeTint="F2"/>
                <w:spacing w:val="-4"/>
              </w:rPr>
              <w:t> </w:t>
            </w:r>
            <w:r w:rsidRPr="00986E18">
              <w:rPr>
                <w:rFonts w:cs="Arial"/>
                <w:color w:val="0D0D0D" w:themeColor="text1" w:themeTint="F2"/>
                <w:spacing w:val="-4"/>
              </w:rPr>
              <w:t>necelých 6</w:t>
            </w:r>
            <w:r w:rsidR="005723B7">
              <w:rPr>
                <w:rFonts w:cs="Arial"/>
                <w:color w:val="0D0D0D" w:themeColor="text1" w:themeTint="F2"/>
                <w:spacing w:val="-4"/>
              </w:rPr>
              <w:t> %</w:t>
            </w:r>
            <w:r w:rsidRPr="00986E18">
              <w:rPr>
                <w:rFonts w:cs="Arial"/>
                <w:color w:val="0D0D0D" w:themeColor="text1" w:themeTint="F2"/>
                <w:spacing w:val="-4"/>
              </w:rPr>
              <w:t>). Na zrychleném růstu se podílel především příznivý vývoj inkasa ve 2</w:t>
            </w:r>
            <w:r w:rsidR="005723B7">
              <w:rPr>
                <w:rFonts w:cs="Arial"/>
                <w:color w:val="0D0D0D" w:themeColor="text1" w:themeTint="F2"/>
                <w:spacing w:val="-4"/>
              </w:rPr>
              <w:t>. čtvrtletí</w:t>
            </w:r>
            <w:r w:rsidRPr="00986E18">
              <w:rPr>
                <w:rFonts w:cs="Arial"/>
                <w:color w:val="0D0D0D" w:themeColor="text1" w:themeTint="F2"/>
                <w:spacing w:val="-4"/>
              </w:rPr>
              <w:t xml:space="preserve">. Ve výběru DPH se primárně odrážel růst </w:t>
            </w:r>
            <w:r w:rsidRPr="00986E18">
              <w:rPr>
                <w:rFonts w:cs="Arial"/>
                <w:color w:val="000000" w:themeColor="text1"/>
                <w:spacing w:val="-4"/>
              </w:rPr>
              <w:t xml:space="preserve">výdajů na konečnou spotřebu. Ten dosáhl v nominálním vyjádření u domácností za </w:t>
            </w:r>
            <w:r>
              <w:rPr>
                <w:rFonts w:cs="Arial"/>
                <w:color w:val="000000" w:themeColor="text1"/>
                <w:spacing w:val="-4"/>
              </w:rPr>
              <w:t xml:space="preserve">první </w:t>
            </w:r>
            <w:r w:rsidRPr="00986E18">
              <w:rPr>
                <w:rFonts w:cs="Arial"/>
                <w:color w:val="000000" w:themeColor="text1"/>
                <w:spacing w:val="-4"/>
              </w:rPr>
              <w:t xml:space="preserve">tři čtvrtletí meziročně </w:t>
            </w:r>
            <w:r>
              <w:rPr>
                <w:rFonts w:cs="Arial"/>
                <w:color w:val="000000" w:themeColor="text1"/>
                <w:spacing w:val="-4"/>
              </w:rPr>
              <w:t>6,</w:t>
            </w:r>
            <w:r w:rsidRPr="00781871">
              <w:rPr>
                <w:rFonts w:cs="Arial"/>
                <w:color w:val="000000" w:themeColor="text1"/>
                <w:spacing w:val="-4"/>
              </w:rPr>
              <w:t>3</w:t>
            </w:r>
            <w:r w:rsidR="005723B7">
              <w:rPr>
                <w:rFonts w:cs="Arial"/>
                <w:color w:val="000000" w:themeColor="text1"/>
                <w:spacing w:val="-4"/>
              </w:rPr>
              <w:t> %</w:t>
            </w:r>
            <w:r w:rsidRPr="00781871">
              <w:rPr>
                <w:rFonts w:cs="Arial"/>
                <w:color w:val="000000" w:themeColor="text1"/>
                <w:spacing w:val="-4"/>
              </w:rPr>
              <w:t>, u vládních institucí 5,1</w:t>
            </w:r>
            <w:r w:rsidR="00CF58ED">
              <w:rPr>
                <w:rFonts w:cs="Arial"/>
                <w:color w:val="000000" w:themeColor="text1"/>
                <w:spacing w:val="-4"/>
              </w:rPr>
              <w:t> </w:t>
            </w:r>
            <w:r w:rsidRPr="00781871">
              <w:rPr>
                <w:rFonts w:cs="Arial"/>
                <w:color w:val="000000" w:themeColor="text1"/>
                <w:spacing w:val="-4"/>
              </w:rPr>
              <w:t>%.</w:t>
            </w:r>
            <w:r w:rsidRPr="00986E18">
              <w:rPr>
                <w:rFonts w:cs="Arial"/>
                <w:color w:val="000000" w:themeColor="text1"/>
                <w:spacing w:val="-4"/>
              </w:rPr>
              <w:t xml:space="preserve"> Skutečnost, že výběr DPH letos (na rozdíl od loňského roku) předčil </w:t>
            </w:r>
            <w:r>
              <w:rPr>
                <w:rFonts w:cs="Arial"/>
                <w:color w:val="000000" w:themeColor="text1"/>
                <w:spacing w:val="-4"/>
              </w:rPr>
              <w:t>rozpočtová očekávání, byla</w:t>
            </w:r>
            <w:r w:rsidRPr="00986E18">
              <w:rPr>
                <w:rFonts w:cs="Arial"/>
                <w:color w:val="000000" w:themeColor="text1"/>
                <w:spacing w:val="-4"/>
              </w:rPr>
              <w:t xml:space="preserve"> ovlivněna i</w:t>
            </w:r>
            <w:r w:rsidRPr="00986E18">
              <w:rPr>
                <w:spacing w:val="-4"/>
              </w:rPr>
              <w:t> </w:t>
            </w:r>
            <w:r w:rsidRPr="00986E18">
              <w:rPr>
                <w:rFonts w:cs="Arial"/>
                <w:color w:val="000000" w:themeColor="text1"/>
                <w:spacing w:val="-4"/>
              </w:rPr>
              <w:t>přesunem některých aktivit z šedé ekonomiky vlivem nedávných opatření zavedených na straně výběru daně. Řádově menší</w:t>
            </w:r>
            <w:r>
              <w:rPr>
                <w:rFonts w:cs="Arial"/>
                <w:color w:val="000000" w:themeColor="text1"/>
                <w:spacing w:val="-4"/>
              </w:rPr>
              <w:t xml:space="preserve"> (ale naopak negativní)</w:t>
            </w:r>
            <w:r w:rsidRPr="00986E18">
              <w:rPr>
                <w:rFonts w:cs="Arial"/>
                <w:color w:val="000000" w:themeColor="text1"/>
                <w:spacing w:val="-4"/>
              </w:rPr>
              <w:t xml:space="preserve"> dopad na inkaso mělo snížení sazby DPH v dílčích oblastech (stravovací služby, </w:t>
            </w:r>
            <w:r w:rsidRPr="00986E18">
              <w:rPr>
                <w:spacing w:val="-4"/>
              </w:rPr>
              <w:t>noviny a</w:t>
            </w:r>
            <w:r w:rsidRPr="00986E18">
              <w:rPr>
                <w:rFonts w:cs="Arial"/>
                <w:color w:val="000000" w:themeColor="text1"/>
                <w:spacing w:val="-4"/>
              </w:rPr>
              <w:t> </w:t>
            </w:r>
            <w:r w:rsidRPr="00986E18">
              <w:rPr>
                <w:spacing w:val="-4"/>
              </w:rPr>
              <w:t>časopisy).</w:t>
            </w:r>
          </w:p>
          <w:p w:rsidR="00490B20" w:rsidRPr="00986E18" w:rsidRDefault="00490B20" w:rsidP="00876058">
            <w:pPr>
              <w:pStyle w:val="Textpoznpodarou"/>
              <w:jc w:val="both"/>
              <w:rPr>
                <w:rFonts w:cs="Arial"/>
                <w:color w:val="0D0D0D" w:themeColor="text1" w:themeTint="F2"/>
                <w:spacing w:val="-4"/>
                <w:sz w:val="15"/>
                <w:szCs w:val="15"/>
              </w:rPr>
            </w:pPr>
          </w:p>
        </w:tc>
      </w:tr>
      <w:tr w:rsidR="00490B20" w:rsidRPr="0094422D" w:rsidTr="00876058">
        <w:trPr>
          <w:trHeight w:val="145"/>
        </w:trPr>
        <w:tc>
          <w:tcPr>
            <w:tcW w:w="1016" w:type="pct"/>
            <w:shd w:val="clear" w:color="auto" w:fill="auto"/>
          </w:tcPr>
          <w:p w:rsidR="00490B20" w:rsidRPr="00967629" w:rsidRDefault="00490B20" w:rsidP="00876058">
            <w:pPr>
              <w:spacing w:line="240" w:lineRule="auto"/>
              <w:rPr>
                <w:rFonts w:cs="Arial"/>
                <w:color w:val="0D0D0D" w:themeColor="text1" w:themeTint="F2"/>
                <w:spacing w:val="-2"/>
                <w:sz w:val="16"/>
                <w:szCs w:val="16"/>
              </w:rPr>
            </w:pPr>
            <w:r w:rsidRPr="00967629">
              <w:rPr>
                <w:rFonts w:cs="Arial"/>
                <w:bCs/>
                <w:iCs/>
                <w:color w:val="0D0D0D" w:themeColor="text1" w:themeTint="F2"/>
                <w:sz w:val="16"/>
                <w:szCs w:val="16"/>
              </w:rPr>
              <w:t>Inkaso daní z minerálních olejů během roku 2017 zrychlovalo svůj růst</w:t>
            </w:r>
            <w:r>
              <w:rPr>
                <w:rFonts w:cs="Arial"/>
                <w:bCs/>
                <w:iCs/>
                <w:color w:val="0D0D0D" w:themeColor="text1" w:themeTint="F2"/>
                <w:sz w:val="16"/>
                <w:szCs w:val="16"/>
              </w:rPr>
              <w:t xml:space="preserve"> a k vyššímu výběru všech spotřebních daní tak </w:t>
            </w:r>
            <w:r w:rsidRPr="00967629">
              <w:rPr>
                <w:rFonts w:cs="Arial"/>
                <w:bCs/>
                <w:iCs/>
                <w:color w:val="0D0D0D" w:themeColor="text1" w:themeTint="F2"/>
                <w:sz w:val="16"/>
                <w:szCs w:val="16"/>
              </w:rPr>
              <w:t>přispělo nej</w:t>
            </w:r>
            <w:r>
              <w:rPr>
                <w:rFonts w:cs="Arial"/>
                <w:bCs/>
                <w:iCs/>
                <w:color w:val="0D0D0D" w:themeColor="text1" w:themeTint="F2"/>
                <w:sz w:val="16"/>
                <w:szCs w:val="16"/>
              </w:rPr>
              <w:t>více.</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986E18">
              <w:rPr>
                <w:rFonts w:cs="Arial"/>
                <w:color w:val="000000" w:themeColor="text1"/>
                <w:spacing w:val="-4"/>
              </w:rPr>
              <w:t>Ze všech spotřebních daní získal SR letos meziročně o</w:t>
            </w:r>
            <w:r w:rsidR="00723581">
              <w:rPr>
                <w:rFonts w:cs="Arial"/>
                <w:color w:val="000000" w:themeColor="text1"/>
                <w:spacing w:val="-4"/>
              </w:rPr>
              <w:t> </w:t>
            </w:r>
            <w:r w:rsidRPr="00986E18">
              <w:rPr>
                <w:rFonts w:cs="Arial"/>
                <w:color w:val="000000" w:themeColor="text1"/>
                <w:spacing w:val="-4"/>
              </w:rPr>
              <w:t>3,0</w:t>
            </w:r>
            <w:r w:rsidR="005723B7">
              <w:rPr>
                <w:rFonts w:cs="Arial"/>
                <w:color w:val="000000" w:themeColor="text1"/>
                <w:spacing w:val="-4"/>
              </w:rPr>
              <w:t> %</w:t>
            </w:r>
            <w:r w:rsidRPr="00986E18">
              <w:rPr>
                <w:rFonts w:cs="Arial"/>
                <w:color w:val="000000" w:themeColor="text1"/>
                <w:spacing w:val="-4"/>
              </w:rPr>
              <w:t xml:space="preserve"> více. Podobným tempem posílilo v 1. až 3</w:t>
            </w:r>
            <w:r w:rsidR="005723B7">
              <w:rPr>
                <w:rFonts w:cs="Arial"/>
                <w:color w:val="000000" w:themeColor="text1"/>
                <w:spacing w:val="-4"/>
              </w:rPr>
              <w:t>. čtvrtletí</w:t>
            </w:r>
            <w:r w:rsidRPr="00986E18">
              <w:rPr>
                <w:rFonts w:cs="Arial"/>
                <w:color w:val="000000" w:themeColor="text1"/>
                <w:spacing w:val="-4"/>
              </w:rPr>
              <w:t xml:space="preserve"> </w:t>
            </w:r>
            <w:r>
              <w:rPr>
                <w:rFonts w:cs="Arial"/>
                <w:color w:val="000000" w:themeColor="text1"/>
                <w:spacing w:val="-4"/>
              </w:rPr>
              <w:t>i</w:t>
            </w:r>
            <w:r w:rsidRPr="00986E18">
              <w:rPr>
                <w:rFonts w:cs="Arial"/>
                <w:color w:val="000000" w:themeColor="text1"/>
                <w:spacing w:val="-4"/>
              </w:rPr>
              <w:t xml:space="preserve"> inkaso dvou nejvýznamnějších </w:t>
            </w:r>
            <w:r>
              <w:rPr>
                <w:rFonts w:cs="Arial"/>
                <w:color w:val="000000" w:themeColor="text1"/>
                <w:spacing w:val="-4"/>
              </w:rPr>
              <w:t>pod</w:t>
            </w:r>
            <w:r w:rsidRPr="00986E18">
              <w:rPr>
                <w:rFonts w:cs="Arial"/>
                <w:color w:val="000000" w:themeColor="text1"/>
                <w:spacing w:val="-4"/>
              </w:rPr>
              <w:t>skupin – daně z minerálních olejů a daně z tabákových výrobků. Výběr daně z tabákových výrobků přitom ještě v 1.</w:t>
            </w:r>
            <w:r w:rsidR="00723581">
              <w:rPr>
                <w:rFonts w:cs="Arial"/>
                <w:color w:val="000000" w:themeColor="text1"/>
                <w:spacing w:val="-4"/>
              </w:rPr>
              <w:t> </w:t>
            </w:r>
            <w:r w:rsidRPr="00986E18">
              <w:rPr>
                <w:rFonts w:cs="Arial"/>
                <w:color w:val="000000" w:themeColor="text1"/>
                <w:spacing w:val="-4"/>
              </w:rPr>
              <w:t xml:space="preserve">pololetí meziročně stagnoval, neboť dočasně působící </w:t>
            </w:r>
            <w:r w:rsidRPr="00986E18">
              <w:rPr>
                <w:rFonts w:cs="Arial"/>
                <w:color w:val="0D0D0D" w:themeColor="text1" w:themeTint="F2"/>
                <w:spacing w:val="-4"/>
              </w:rPr>
              <w:t>administrativní vlivy</w:t>
            </w:r>
            <w:r w:rsidRPr="00986E18">
              <w:rPr>
                <w:rStyle w:val="Znakapoznpodarou"/>
                <w:color w:val="0D0D0D" w:themeColor="text1" w:themeTint="F2"/>
                <w:spacing w:val="-4"/>
              </w:rPr>
              <w:footnoteReference w:id="3"/>
            </w:r>
            <w:r w:rsidRPr="00986E18">
              <w:rPr>
                <w:rFonts w:cs="Arial"/>
                <w:color w:val="0D0D0D" w:themeColor="text1" w:themeTint="F2"/>
                <w:spacing w:val="-4"/>
              </w:rPr>
              <w:t xml:space="preserve"> převýšily efekt </w:t>
            </w:r>
            <w:r w:rsidRPr="00986E18">
              <w:rPr>
                <w:spacing w:val="-4"/>
              </w:rPr>
              <w:t>nárůstu sazeb této daně. Výběr daně z minerálních olejů odrážel rostoucí dopravní výkony, resp.</w:t>
            </w:r>
            <w:r w:rsidR="00723581">
              <w:rPr>
                <w:spacing w:val="-4"/>
              </w:rPr>
              <w:t> </w:t>
            </w:r>
            <w:r w:rsidRPr="00986E18">
              <w:rPr>
                <w:spacing w:val="-4"/>
              </w:rPr>
              <w:t>vyšší spotřebu zejména motorové nafty a</w:t>
            </w:r>
            <w:r w:rsidRPr="00986E18">
              <w:rPr>
                <w:rFonts w:cs="Arial"/>
                <w:color w:val="000000" w:themeColor="text1"/>
                <w:spacing w:val="-4"/>
              </w:rPr>
              <w:t> </w:t>
            </w:r>
            <w:r w:rsidRPr="00986E18">
              <w:rPr>
                <w:spacing w:val="-4"/>
              </w:rPr>
              <w:t>leteckého petroleje. V průběhu roku se zvyšovalo tempo reálných tržeb za maloobchodní prodej pohonných hmot (v</w:t>
            </w:r>
            <w:r w:rsidR="00723581">
              <w:rPr>
                <w:spacing w:val="-4"/>
              </w:rPr>
              <w:t> </w:t>
            </w:r>
            <w:r w:rsidRPr="00986E18">
              <w:rPr>
                <w:spacing w:val="-4"/>
              </w:rPr>
              <w:t>1</w:t>
            </w:r>
            <w:r w:rsidR="005723B7">
              <w:rPr>
                <w:spacing w:val="-4"/>
              </w:rPr>
              <w:t>. čtvrtletí</w:t>
            </w:r>
            <w:r w:rsidRPr="00986E18">
              <w:rPr>
                <w:spacing w:val="-4"/>
              </w:rPr>
              <w:t xml:space="preserve"> +3,4</w:t>
            </w:r>
            <w:r w:rsidR="005723B7">
              <w:rPr>
                <w:spacing w:val="-4"/>
              </w:rPr>
              <w:t> %</w:t>
            </w:r>
            <w:r w:rsidRPr="00986E18">
              <w:rPr>
                <w:spacing w:val="-4"/>
              </w:rPr>
              <w:t>, ve 3</w:t>
            </w:r>
            <w:r w:rsidR="005723B7">
              <w:rPr>
                <w:spacing w:val="-4"/>
              </w:rPr>
              <w:t>. čtvrtletí</w:t>
            </w:r>
            <w:r w:rsidRPr="00986E18">
              <w:rPr>
                <w:spacing w:val="-4"/>
              </w:rPr>
              <w:t xml:space="preserve"> +6,2</w:t>
            </w:r>
            <w:r w:rsidR="005723B7">
              <w:rPr>
                <w:spacing w:val="-4"/>
              </w:rPr>
              <w:t> %</w:t>
            </w:r>
            <w:r w:rsidRPr="00986E18">
              <w:rPr>
                <w:spacing w:val="-4"/>
              </w:rPr>
              <w:t xml:space="preserve">). Dílčí negativní vliv </w:t>
            </w:r>
            <w:r>
              <w:rPr>
                <w:spacing w:val="-4"/>
              </w:rPr>
              <w:t xml:space="preserve">na výběr daně </w:t>
            </w:r>
            <w:r w:rsidRPr="00986E18">
              <w:rPr>
                <w:spacing w:val="-4"/>
              </w:rPr>
              <w:t>mělo naopak zavedení tzv.</w:t>
            </w:r>
            <w:r w:rsidR="00723581">
              <w:rPr>
                <w:spacing w:val="-4"/>
              </w:rPr>
              <w:t> </w:t>
            </w:r>
            <w:r w:rsidRPr="00986E18">
              <w:rPr>
                <w:spacing w:val="-4"/>
              </w:rPr>
              <w:t>zelené nafty i pro živočišnou prvovýrobu.</w:t>
            </w:r>
          </w:p>
          <w:p w:rsidR="00490B20" w:rsidRPr="00986E18" w:rsidRDefault="00490B20" w:rsidP="00876058">
            <w:pPr>
              <w:pStyle w:val="Textpoznpodarou"/>
              <w:jc w:val="both"/>
              <w:rPr>
                <w:rFonts w:cs="Arial"/>
                <w:color w:val="000000" w:themeColor="text1"/>
                <w:spacing w:val="-4"/>
                <w:sz w:val="15"/>
                <w:szCs w:val="15"/>
              </w:rPr>
            </w:pPr>
          </w:p>
        </w:tc>
      </w:tr>
      <w:tr w:rsidR="00490B20" w:rsidRPr="00751FC1" w:rsidTr="00876058">
        <w:trPr>
          <w:trHeight w:val="145"/>
        </w:trPr>
        <w:tc>
          <w:tcPr>
            <w:tcW w:w="1016" w:type="pct"/>
            <w:shd w:val="clear" w:color="auto" w:fill="auto"/>
          </w:tcPr>
          <w:p w:rsidR="00490B20" w:rsidRPr="00A87766" w:rsidRDefault="00490B20" w:rsidP="00876058">
            <w:pPr>
              <w:spacing w:line="240" w:lineRule="auto"/>
              <w:rPr>
                <w:rFonts w:cs="Arial"/>
                <w:bCs/>
                <w:iCs/>
                <w:color w:val="0D0D0D" w:themeColor="text1" w:themeTint="F2"/>
                <w:sz w:val="16"/>
                <w:szCs w:val="16"/>
              </w:rPr>
            </w:pPr>
            <w:r w:rsidRPr="00A87766">
              <w:rPr>
                <w:rFonts w:cs="Arial"/>
                <w:bCs/>
                <w:iCs/>
                <w:color w:val="0D0D0D" w:themeColor="text1" w:themeTint="F2"/>
                <w:sz w:val="16"/>
                <w:szCs w:val="16"/>
              </w:rPr>
              <w:t>Celostátní výběr korporátní daně ve 3</w:t>
            </w:r>
            <w:r w:rsidR="005723B7">
              <w:rPr>
                <w:rFonts w:cs="Arial"/>
                <w:bCs/>
                <w:iCs/>
                <w:color w:val="0D0D0D" w:themeColor="text1" w:themeTint="F2"/>
                <w:sz w:val="16"/>
                <w:szCs w:val="16"/>
              </w:rPr>
              <w:t>. čtvrtletí</w:t>
            </w:r>
            <w:r w:rsidRPr="00A87766">
              <w:rPr>
                <w:rFonts w:cs="Arial"/>
                <w:bCs/>
                <w:iCs/>
                <w:color w:val="0D0D0D" w:themeColor="text1" w:themeTint="F2"/>
                <w:sz w:val="16"/>
                <w:szCs w:val="16"/>
              </w:rPr>
              <w:t xml:space="preserve"> poprvé po čtyřech letech poklesl.</w:t>
            </w:r>
          </w:p>
          <w:p w:rsidR="00490B20" w:rsidRPr="00A87766" w:rsidRDefault="00490B20" w:rsidP="00876058">
            <w:pPr>
              <w:spacing w:line="240" w:lineRule="auto"/>
              <w:rPr>
                <w:rFonts w:cs="Arial"/>
                <w:bCs/>
                <w:iCs/>
                <w:color w:val="0D0D0D" w:themeColor="text1" w:themeTint="F2"/>
                <w:sz w:val="16"/>
                <w:szCs w:val="16"/>
              </w:rPr>
            </w:pPr>
          </w:p>
          <w:p w:rsidR="00490B20" w:rsidRDefault="00490B20" w:rsidP="00876058">
            <w:pPr>
              <w:spacing w:line="240" w:lineRule="auto"/>
              <w:rPr>
                <w:rFonts w:cs="Arial"/>
                <w:bCs/>
                <w:iCs/>
                <w:color w:val="0D0D0D" w:themeColor="text1" w:themeTint="F2"/>
                <w:sz w:val="16"/>
                <w:szCs w:val="16"/>
              </w:rPr>
            </w:pPr>
          </w:p>
          <w:p w:rsidR="00490B20" w:rsidRPr="00A87766" w:rsidRDefault="00490B20" w:rsidP="00876058">
            <w:pPr>
              <w:spacing w:line="240" w:lineRule="auto"/>
              <w:rPr>
                <w:rFonts w:cs="Arial"/>
                <w:bCs/>
                <w:iCs/>
                <w:color w:val="0D0D0D" w:themeColor="text1" w:themeTint="F2"/>
                <w:sz w:val="16"/>
                <w:szCs w:val="16"/>
              </w:rPr>
            </w:pPr>
          </w:p>
          <w:p w:rsidR="00490B20" w:rsidRPr="00A87766" w:rsidRDefault="00490B20" w:rsidP="00876058">
            <w:pPr>
              <w:spacing w:line="240" w:lineRule="auto"/>
              <w:rPr>
                <w:rFonts w:cs="Arial"/>
                <w:bCs/>
                <w:iCs/>
                <w:color w:val="0D0D0D" w:themeColor="text1" w:themeTint="F2"/>
                <w:sz w:val="16"/>
                <w:szCs w:val="16"/>
              </w:rPr>
            </w:pPr>
          </w:p>
          <w:p w:rsidR="00490B20" w:rsidRPr="00A7478D" w:rsidRDefault="00490B20" w:rsidP="00876058">
            <w:pPr>
              <w:spacing w:line="240" w:lineRule="auto"/>
              <w:rPr>
                <w:rFonts w:cs="Arial"/>
                <w:bCs/>
                <w:iCs/>
                <w:color w:val="0D0D0D" w:themeColor="text1" w:themeTint="F2"/>
                <w:spacing w:val="-2"/>
                <w:sz w:val="16"/>
                <w:szCs w:val="16"/>
              </w:rPr>
            </w:pPr>
            <w:r w:rsidRPr="00A87766">
              <w:rPr>
                <w:rFonts w:cs="Arial"/>
                <w:bCs/>
                <w:iCs/>
                <w:color w:val="0D0D0D" w:themeColor="text1" w:themeTint="F2"/>
                <w:sz w:val="16"/>
                <w:szCs w:val="16"/>
              </w:rPr>
              <w:t xml:space="preserve">Naopak </w:t>
            </w:r>
            <w:r w:rsidRPr="00A87766">
              <w:rPr>
                <w:rFonts w:cs="Arial"/>
                <w:bCs/>
                <w:iCs/>
                <w:color w:val="0D0D0D" w:themeColor="text1" w:themeTint="F2"/>
                <w:spacing w:val="-2"/>
                <w:sz w:val="16"/>
                <w:szCs w:val="16"/>
              </w:rPr>
              <w:t>inkaso daně z příjmů fyzických osob ze závislé činnosti nadále zrychlovalo, neboť těžilo z příznivé situace na pracovním trhu.</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86E18" w:rsidRDefault="00490B20" w:rsidP="00876058">
            <w:pPr>
              <w:pStyle w:val="Textpoznpodarou"/>
              <w:jc w:val="both"/>
              <w:rPr>
                <w:spacing w:val="-4"/>
              </w:rPr>
            </w:pPr>
            <w:r w:rsidRPr="00E12BB3">
              <w:rPr>
                <w:spacing w:val="-4"/>
              </w:rPr>
              <w:t xml:space="preserve">Tempo růstu </w:t>
            </w:r>
            <w:r>
              <w:rPr>
                <w:spacing w:val="-4"/>
              </w:rPr>
              <w:t>výběru korporátní daně</w:t>
            </w:r>
            <w:r w:rsidRPr="00E12BB3">
              <w:rPr>
                <w:spacing w:val="-4"/>
              </w:rPr>
              <w:t xml:space="preserve"> v p</w:t>
            </w:r>
            <w:r>
              <w:rPr>
                <w:spacing w:val="-4"/>
              </w:rPr>
              <w:t>růběhu roku 2017 sláblo a ve</w:t>
            </w:r>
            <w:r w:rsidRPr="00E12BB3">
              <w:rPr>
                <w:spacing w:val="-4"/>
              </w:rPr>
              <w:t xml:space="preserve"> 3</w:t>
            </w:r>
            <w:r w:rsidR="005723B7">
              <w:rPr>
                <w:spacing w:val="-4"/>
              </w:rPr>
              <w:t>. čtvrtletí</w:t>
            </w:r>
            <w:r w:rsidRPr="00E12BB3">
              <w:rPr>
                <w:spacing w:val="-4"/>
              </w:rPr>
              <w:t xml:space="preserve"> již bylo celostátní inkaso nižší než ve stejném období loňského roku. Šlo o</w:t>
            </w:r>
            <w:r w:rsidR="00723581">
              <w:rPr>
                <w:spacing w:val="-4"/>
              </w:rPr>
              <w:t> </w:t>
            </w:r>
            <w:r w:rsidRPr="00E12BB3">
              <w:rPr>
                <w:spacing w:val="-4"/>
              </w:rPr>
              <w:t xml:space="preserve">první meziroční pokles od konce roku 2013. </w:t>
            </w:r>
            <w:r>
              <w:rPr>
                <w:spacing w:val="-4"/>
              </w:rPr>
              <w:t>V úhrnu za 1. až 3</w:t>
            </w:r>
            <w:r w:rsidR="005723B7">
              <w:rPr>
                <w:spacing w:val="-4"/>
              </w:rPr>
              <w:t>. čtvrtletí</w:t>
            </w:r>
            <w:r>
              <w:rPr>
                <w:spacing w:val="-4"/>
              </w:rPr>
              <w:t xml:space="preserve"> inkaso stagnovalo. </w:t>
            </w:r>
            <w:r w:rsidRPr="00E12BB3">
              <w:rPr>
                <w:rFonts w:cs="Arial"/>
                <w:color w:val="0D0D0D" w:themeColor="text1" w:themeTint="F2"/>
                <w:spacing w:val="-4"/>
              </w:rPr>
              <w:t xml:space="preserve">V letošním </w:t>
            </w:r>
            <w:r>
              <w:rPr>
                <w:rFonts w:cs="Arial"/>
                <w:color w:val="0D0D0D" w:themeColor="text1" w:themeTint="F2"/>
                <w:spacing w:val="-4"/>
              </w:rPr>
              <w:t>výběru daně</w:t>
            </w:r>
            <w:r w:rsidRPr="00E12BB3">
              <w:rPr>
                <w:rFonts w:cs="Arial"/>
                <w:color w:val="0D0D0D" w:themeColor="text1" w:themeTint="F2"/>
                <w:spacing w:val="-4"/>
              </w:rPr>
              <w:t xml:space="preserve"> se již ve větší míře začíná projevovat mírně klesající ziskovost podniků z let 2016 (a</w:t>
            </w:r>
            <w:r w:rsidR="00723581">
              <w:rPr>
                <w:rFonts w:cs="Arial"/>
                <w:color w:val="0D0D0D" w:themeColor="text1" w:themeTint="F2"/>
                <w:spacing w:val="-4"/>
              </w:rPr>
              <w:t> </w:t>
            </w:r>
            <w:r w:rsidRPr="00E12BB3">
              <w:rPr>
                <w:rFonts w:cs="Arial"/>
                <w:color w:val="0D0D0D" w:themeColor="text1" w:themeTint="F2"/>
                <w:spacing w:val="-4"/>
              </w:rPr>
              <w:t>zčásti i</w:t>
            </w:r>
            <w:r w:rsidR="00723581">
              <w:rPr>
                <w:rFonts w:cs="Arial"/>
                <w:color w:val="0D0D0D" w:themeColor="text1" w:themeTint="F2"/>
                <w:spacing w:val="-4"/>
              </w:rPr>
              <w:t> </w:t>
            </w:r>
            <w:r w:rsidRPr="00E12BB3">
              <w:rPr>
                <w:rFonts w:cs="Arial"/>
                <w:color w:val="0D0D0D" w:themeColor="text1" w:themeTint="F2"/>
                <w:spacing w:val="-4"/>
              </w:rPr>
              <w:t xml:space="preserve">2017), především vlivem sílících mzdových nákladů. </w:t>
            </w:r>
            <w:r>
              <w:rPr>
                <w:rFonts w:cs="Arial"/>
                <w:color w:val="0D0D0D" w:themeColor="text1" w:themeTint="F2"/>
                <w:spacing w:val="-4"/>
              </w:rPr>
              <w:t>Naopak ve výběru</w:t>
            </w:r>
            <w:r w:rsidRPr="00E12BB3">
              <w:rPr>
                <w:rFonts w:cs="Arial"/>
                <w:color w:val="0D0D0D" w:themeColor="text1" w:themeTint="F2"/>
                <w:spacing w:val="-4"/>
              </w:rPr>
              <w:t xml:space="preserve"> daně z příjmů fyzických osob (DPFO) ze závislé činnosti se vývoj na trhu práce projevoval </w:t>
            </w:r>
            <w:r>
              <w:rPr>
                <w:rFonts w:cs="Arial"/>
                <w:color w:val="0D0D0D" w:themeColor="text1" w:themeTint="F2"/>
                <w:spacing w:val="-4"/>
              </w:rPr>
              <w:t xml:space="preserve">nadále </w:t>
            </w:r>
            <w:r w:rsidRPr="00E12BB3">
              <w:rPr>
                <w:rFonts w:cs="Arial"/>
                <w:color w:val="0D0D0D" w:themeColor="text1" w:themeTint="F2"/>
                <w:spacing w:val="-4"/>
              </w:rPr>
              <w:t xml:space="preserve">pozitivně. </w:t>
            </w:r>
            <w:r w:rsidRPr="00E12BB3">
              <w:rPr>
                <w:spacing w:val="-4"/>
              </w:rPr>
              <w:t>Rekordní počet pracuj</w:t>
            </w:r>
            <w:r>
              <w:rPr>
                <w:spacing w:val="-4"/>
              </w:rPr>
              <w:t>ících, sílící mzdový růst, vč.</w:t>
            </w:r>
            <w:r w:rsidR="00723581">
              <w:rPr>
                <w:spacing w:val="-4"/>
              </w:rPr>
              <w:t> </w:t>
            </w:r>
            <w:r>
              <w:rPr>
                <w:spacing w:val="-4"/>
              </w:rPr>
              <w:t xml:space="preserve">navyšování minimální mzdy, se </w:t>
            </w:r>
            <w:r w:rsidRPr="00E12BB3">
              <w:rPr>
                <w:spacing w:val="-4"/>
              </w:rPr>
              <w:t>v 1.</w:t>
            </w:r>
            <w:r w:rsidRPr="009F23BE">
              <w:rPr>
                <w:rFonts w:cs="Arial"/>
                <w:color w:val="0D0D0D" w:themeColor="text1" w:themeTint="F2"/>
                <w:spacing w:val="-4"/>
              </w:rPr>
              <w:t> </w:t>
            </w:r>
            <w:r w:rsidRPr="00E12BB3">
              <w:rPr>
                <w:spacing w:val="-4"/>
              </w:rPr>
              <w:t>až 3</w:t>
            </w:r>
            <w:r w:rsidR="005723B7">
              <w:rPr>
                <w:spacing w:val="-4"/>
              </w:rPr>
              <w:t>. čtvrtletí</w:t>
            </w:r>
            <w:r w:rsidRPr="00E12BB3">
              <w:rPr>
                <w:spacing w:val="-4"/>
              </w:rPr>
              <w:t xml:space="preserve"> odrazily </w:t>
            </w:r>
            <w:r>
              <w:rPr>
                <w:spacing w:val="-4"/>
              </w:rPr>
              <w:t>v bezmála 13%</w:t>
            </w:r>
            <w:r w:rsidR="00723581">
              <w:rPr>
                <w:spacing w:val="-4"/>
              </w:rPr>
              <w:t> </w:t>
            </w:r>
            <w:r>
              <w:rPr>
                <w:spacing w:val="-4"/>
              </w:rPr>
              <w:t>růstu</w:t>
            </w:r>
            <w:r w:rsidRPr="00E12BB3">
              <w:rPr>
                <w:spacing w:val="-4"/>
              </w:rPr>
              <w:t xml:space="preserve"> výběru této daně (dosáhl obdobného </w:t>
            </w:r>
            <w:r w:rsidRPr="00E12BB3">
              <w:rPr>
                <w:spacing w:val="-5"/>
              </w:rPr>
              <w:t xml:space="preserve">tempa jako v konjunkturním roce 2007). Sílící růst ekonomiky stimuloval i podnikatelskou </w:t>
            </w:r>
            <w:r>
              <w:rPr>
                <w:spacing w:val="-4"/>
              </w:rPr>
              <w:t>aktivitu a</w:t>
            </w:r>
            <w:r w:rsidR="00723581">
              <w:rPr>
                <w:spacing w:val="-4"/>
              </w:rPr>
              <w:t> </w:t>
            </w:r>
            <w:r>
              <w:rPr>
                <w:spacing w:val="-4"/>
              </w:rPr>
              <w:t>projevil se vyšším výběrem</w:t>
            </w:r>
            <w:r w:rsidRPr="00E12BB3">
              <w:rPr>
                <w:spacing w:val="-4"/>
              </w:rPr>
              <w:t xml:space="preserve"> </w:t>
            </w:r>
            <w:r w:rsidRPr="00E12BB3">
              <w:rPr>
                <w:rFonts w:cs="Arial"/>
                <w:spacing w:val="-4"/>
              </w:rPr>
              <w:t>DPFO ze samostatné výdělečné činnosti (+0,5</w:t>
            </w:r>
            <w:r w:rsidR="006D164C">
              <w:rPr>
                <w:rFonts w:cs="Arial"/>
                <w:spacing w:val="-4"/>
              </w:rPr>
              <w:t> mld.</w:t>
            </w:r>
            <w:r w:rsidRPr="00E12BB3">
              <w:rPr>
                <w:rFonts w:cs="Arial"/>
                <w:spacing w:val="-4"/>
              </w:rPr>
              <w:t xml:space="preserve"> korun, v loňském 1. až 3</w:t>
            </w:r>
            <w:r w:rsidR="005723B7">
              <w:rPr>
                <w:rFonts w:cs="Arial"/>
                <w:spacing w:val="-4"/>
              </w:rPr>
              <w:t>. čtvrtletí</w:t>
            </w:r>
            <w:r w:rsidRPr="00E12BB3">
              <w:rPr>
                <w:rFonts w:cs="Arial"/>
                <w:spacing w:val="-4"/>
              </w:rPr>
              <w:t xml:space="preserve"> však +4,0</w:t>
            </w:r>
            <w:r w:rsidR="006D164C">
              <w:rPr>
                <w:rFonts w:cs="Arial"/>
                <w:spacing w:val="-4"/>
              </w:rPr>
              <w:t> mld.</w:t>
            </w:r>
            <w:r w:rsidRPr="00E12BB3">
              <w:rPr>
                <w:rFonts w:cs="Arial"/>
                <w:spacing w:val="-4"/>
              </w:rPr>
              <w:t xml:space="preserve"> korun). Naopak o</w:t>
            </w:r>
            <w:r w:rsidRPr="00E12BB3">
              <w:rPr>
                <w:spacing w:val="-5"/>
              </w:rPr>
              <w:t> </w:t>
            </w:r>
            <w:r w:rsidRPr="00E12BB3">
              <w:rPr>
                <w:rFonts w:cs="Arial"/>
                <w:spacing w:val="-4"/>
              </w:rPr>
              <w:t>2,5</w:t>
            </w:r>
            <w:r w:rsidR="005723B7">
              <w:rPr>
                <w:rFonts w:cs="Arial"/>
                <w:spacing w:val="-4"/>
              </w:rPr>
              <w:t> %</w:t>
            </w:r>
            <w:r w:rsidRPr="00E12BB3">
              <w:rPr>
                <w:rFonts w:cs="Arial"/>
                <w:spacing w:val="-4"/>
              </w:rPr>
              <w:t xml:space="preserve"> se letos snížilo inkaso DPFO z kapitálových výnosů. Ve slabších tempech se odrážely nejen přetrvávající nízké úrokové sazby vkladů, ale zejména </w:t>
            </w:r>
            <w:r w:rsidRPr="00E12BB3">
              <w:rPr>
                <w:spacing w:val="-4"/>
              </w:rPr>
              <w:t>legislativní změna související s osvobozením daně u výsluhového nároku ozbrojených složek.</w:t>
            </w:r>
          </w:p>
        </w:tc>
      </w:tr>
    </w:tbl>
    <w:p w:rsidR="00490B20" w:rsidRPr="00E12BB3" w:rsidRDefault="00490B20" w:rsidP="00490B20">
      <w:pPr>
        <w:pStyle w:val="Textpoznpodarou"/>
        <w:jc w:val="both"/>
        <w:rPr>
          <w:rFonts w:cs="Arial"/>
          <w:color w:val="000000"/>
          <w:spacing w:val="-2"/>
          <w:sz w:val="4"/>
          <w:szCs w:val="4"/>
        </w:rPr>
      </w:pPr>
    </w:p>
    <w:tbl>
      <w:tblPr>
        <w:tblW w:w="4963" w:type="pct"/>
        <w:tblInd w:w="108" w:type="dxa"/>
        <w:tblLayout w:type="fixed"/>
        <w:tblLook w:val="00A0"/>
      </w:tblPr>
      <w:tblGrid>
        <w:gridCol w:w="1997"/>
        <w:gridCol w:w="284"/>
        <w:gridCol w:w="1119"/>
        <w:gridCol w:w="6381"/>
      </w:tblGrid>
      <w:tr w:rsidR="00490B20" w:rsidRPr="00AA4A76"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8549C5">
              <w:rPr>
                <w:color w:val="000000"/>
              </w:rPr>
              <w:t>č. </w:t>
            </w:r>
            <w:r w:rsidR="00FF761D">
              <w:rPr>
                <w:color w:val="000000"/>
              </w:rPr>
              <w:t>19</w:t>
            </w:r>
          </w:p>
        </w:tc>
        <w:tc>
          <w:tcPr>
            <w:tcW w:w="3262" w:type="pct"/>
          </w:tcPr>
          <w:p w:rsidR="00490B20" w:rsidRDefault="00490B20" w:rsidP="00876058">
            <w:pPr>
              <w:spacing w:line="240" w:lineRule="auto"/>
              <w:rPr>
                <w:rFonts w:cs="Arial"/>
                <w:bCs/>
              </w:rPr>
            </w:pP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sidR="005723B7">
              <w:rPr>
                <w:bCs/>
                <w:spacing w:val="-2"/>
              </w:rPr>
              <w:t> %</w:t>
            </w:r>
            <w:r w:rsidRPr="00E62A33">
              <w:rPr>
                <w:bCs/>
                <w:spacing w:val="-2"/>
              </w:rPr>
              <w:t>)</w:t>
            </w:r>
            <w:r>
              <w:rPr>
                <w:rFonts w:cs="Arial"/>
                <w:bCs/>
              </w:rPr>
              <w:t xml:space="preserve"> </w:t>
            </w:r>
          </w:p>
          <w:p w:rsidR="00490B20" w:rsidRPr="0007324C" w:rsidRDefault="00490B20" w:rsidP="00876058">
            <w:pPr>
              <w:spacing w:line="240" w:lineRule="auto"/>
              <w:rPr>
                <w:rFonts w:cs="Arial"/>
                <w:b/>
                <w:bCs/>
              </w:rPr>
            </w:pPr>
            <w:r>
              <w:rPr>
                <w:rFonts w:cs="Arial"/>
                <w:b/>
                <w:bCs/>
              </w:rPr>
              <w:t>a saldo státního rozpočtu</w:t>
            </w:r>
            <w:r>
              <w:t xml:space="preserve"> </w:t>
            </w:r>
            <w:r>
              <w:rPr>
                <w:rFonts w:cs="Arial"/>
                <w:bCs/>
              </w:rPr>
              <w:t>(v</w:t>
            </w:r>
            <w:r w:rsidR="006D164C">
              <w:rPr>
                <w:rFonts w:cs="Arial"/>
                <w:bCs/>
              </w:rPr>
              <w:t> mld.</w:t>
            </w:r>
            <w:r>
              <w:rPr>
                <w:rFonts w:cs="Arial"/>
                <w:bCs/>
              </w:rPr>
              <w:t xml:space="preserve"> korun) </w:t>
            </w:r>
            <w:r>
              <w:rPr>
                <w:rFonts w:cs="Arial"/>
                <w:b/>
                <w:bCs/>
              </w:rPr>
              <w:t>v 1. až 3</w:t>
            </w:r>
            <w:r w:rsidR="005723B7">
              <w:rPr>
                <w:rFonts w:cs="Arial"/>
                <w:b/>
                <w:bCs/>
              </w:rPr>
              <w:t>. čtvrtletí</w:t>
            </w:r>
            <w:r>
              <w:rPr>
                <w:rFonts w:cs="Arial"/>
                <w:b/>
                <w:bCs/>
              </w:rPr>
              <w:t>ch</w:t>
            </w:r>
            <w:r w:rsidRPr="006808C5">
              <w:rPr>
                <w:rFonts w:cs="Arial"/>
                <w:b/>
                <w:bCs/>
              </w:rPr>
              <w:t xml:space="preserve"> roku</w:t>
            </w:r>
          </w:p>
        </w:tc>
      </w:tr>
      <w:tr w:rsidR="00490B20" w:rsidRPr="00AA4A76"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A1193A">
              <w:rPr>
                <w:noProof/>
                <w:sz w:val="16"/>
                <w:szCs w:val="16"/>
              </w:rPr>
              <w:drawing>
                <wp:inline distT="0" distB="0" distL="0" distR="0">
                  <wp:extent cx="4752000" cy="3526757"/>
                  <wp:effectExtent l="19050" t="0" r="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B20" w:rsidRPr="00535F78" w:rsidRDefault="00490B20" w:rsidP="00876058">
            <w:pPr>
              <w:pStyle w:val="Textpoznpodarou"/>
              <w:ind w:left="-124"/>
              <w:jc w:val="right"/>
              <w:rPr>
                <w:sz w:val="14"/>
                <w:szCs w:val="14"/>
              </w:rPr>
            </w:pPr>
            <w:r w:rsidRPr="00535F78">
              <w:rPr>
                <w:rFonts w:cs="Arial"/>
                <w:sz w:val="14"/>
                <w:szCs w:val="14"/>
              </w:rPr>
              <w:t>Zdroj: MF</w:t>
            </w:r>
          </w:p>
        </w:tc>
      </w:tr>
    </w:tbl>
    <w:p w:rsidR="00490B20" w:rsidRDefault="00490B20" w:rsidP="00490B20">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490B20" w:rsidRPr="00F06A1D" w:rsidTr="00876058">
        <w:trPr>
          <w:trHeight w:val="145"/>
        </w:trPr>
        <w:tc>
          <w:tcPr>
            <w:tcW w:w="1016" w:type="pct"/>
            <w:shd w:val="clear" w:color="auto" w:fill="auto"/>
          </w:tcPr>
          <w:p w:rsidR="00490B20" w:rsidRPr="001D63AA" w:rsidRDefault="00490B20" w:rsidP="00876058">
            <w:pPr>
              <w:spacing w:line="240" w:lineRule="auto"/>
              <w:rPr>
                <w:rFonts w:cs="Arial"/>
                <w:bCs/>
                <w:iCs/>
                <w:color w:val="0D0D0D" w:themeColor="text1" w:themeTint="F2"/>
                <w:spacing w:val="-2"/>
                <w:sz w:val="16"/>
                <w:szCs w:val="16"/>
              </w:rPr>
            </w:pPr>
            <w:r w:rsidRPr="001D63AA">
              <w:rPr>
                <w:rFonts w:cs="Arial"/>
                <w:color w:val="0D0D0D" w:themeColor="text1" w:themeTint="F2"/>
                <w:spacing w:val="-2"/>
                <w:sz w:val="16"/>
                <w:szCs w:val="16"/>
              </w:rPr>
              <w:t>Růst běžných výdajů SR probíhal na rozdíl od čerpání investic v souladu s rozpočtovým očekáváním.</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9F23BE" w:rsidRDefault="00490B20" w:rsidP="00876058">
            <w:pPr>
              <w:pStyle w:val="Textpoznpodarou"/>
              <w:jc w:val="both"/>
              <w:rPr>
                <w:rFonts w:cs="Arial"/>
                <w:color w:val="0D0D0D" w:themeColor="text1" w:themeTint="F2"/>
                <w:spacing w:val="-4"/>
              </w:rPr>
            </w:pPr>
            <w:r w:rsidRPr="009F23BE">
              <w:rPr>
                <w:rFonts w:cs="Arial"/>
                <w:color w:val="0D0D0D" w:themeColor="text1" w:themeTint="F2"/>
                <w:spacing w:val="-4"/>
              </w:rPr>
              <w:t>Celkové výdaje SR za tři čtvrtletí meziročně posílily o 4,5</w:t>
            </w:r>
            <w:r w:rsidR="005723B7">
              <w:rPr>
                <w:rFonts w:cs="Arial"/>
                <w:color w:val="0D0D0D" w:themeColor="text1" w:themeTint="F2"/>
                <w:spacing w:val="-4"/>
              </w:rPr>
              <w:t> %</w:t>
            </w:r>
            <w:r w:rsidRPr="009F23BE">
              <w:rPr>
                <w:rFonts w:cs="Arial"/>
                <w:color w:val="0D0D0D" w:themeColor="text1" w:themeTint="F2"/>
                <w:spacing w:val="-4"/>
              </w:rPr>
              <w:t>. K růstu přispěly výhradně běžné výdaje, jejichž tempo bylo nejvyšší za posledních devět let (+6,0</w:t>
            </w:r>
            <w:r w:rsidR="005723B7">
              <w:rPr>
                <w:rFonts w:cs="Arial"/>
                <w:color w:val="0D0D0D" w:themeColor="text1" w:themeTint="F2"/>
                <w:spacing w:val="-4"/>
              </w:rPr>
              <w:t> %</w:t>
            </w:r>
            <w:r w:rsidRPr="009F23BE">
              <w:rPr>
                <w:rFonts w:cs="Arial"/>
                <w:color w:val="0D0D0D" w:themeColor="text1" w:themeTint="F2"/>
                <w:spacing w:val="-4"/>
              </w:rPr>
              <w:t xml:space="preserve">). Naopak kapitálové výdaje o pětinu poklesly. Jejich čerpání se </w:t>
            </w:r>
            <w:r>
              <w:rPr>
                <w:rFonts w:cs="Arial"/>
                <w:color w:val="0D0D0D" w:themeColor="text1" w:themeTint="F2"/>
                <w:spacing w:val="-4"/>
              </w:rPr>
              <w:t>tak navzdory mírnému zlepšení v</w:t>
            </w:r>
            <w:r w:rsidRPr="009F23BE">
              <w:rPr>
                <w:rFonts w:cs="Arial"/>
                <w:color w:val="0D0D0D" w:themeColor="text1" w:themeTint="F2"/>
                <w:spacing w:val="-4"/>
              </w:rPr>
              <w:t> letním období</w:t>
            </w:r>
            <w:r w:rsidRPr="009F23BE">
              <w:rPr>
                <w:rStyle w:val="Znakapoznpodarou"/>
                <w:color w:val="0D0D0D" w:themeColor="text1" w:themeTint="F2"/>
                <w:spacing w:val="-4"/>
              </w:rPr>
              <w:footnoteReference w:id="4"/>
            </w:r>
            <w:r>
              <w:rPr>
                <w:rFonts w:cs="Arial"/>
                <w:color w:val="0D0D0D" w:themeColor="text1" w:themeTint="F2"/>
                <w:spacing w:val="-4"/>
              </w:rPr>
              <w:t xml:space="preserve"> na rozdíl od běžných výdajů</w:t>
            </w:r>
            <w:r w:rsidRPr="009F23BE">
              <w:rPr>
                <w:rFonts w:cs="Arial"/>
                <w:color w:val="0D0D0D" w:themeColor="text1" w:themeTint="F2"/>
                <w:spacing w:val="-4"/>
              </w:rPr>
              <w:t xml:space="preserve"> stále výrazně odchylovalo od rozpočtových očekávání. Necelá polovina investic SR (19,7</w:t>
            </w:r>
            <w:r w:rsidR="006D164C">
              <w:rPr>
                <w:rFonts w:cs="Arial"/>
                <w:color w:val="0D0D0D" w:themeColor="text1" w:themeTint="F2"/>
                <w:spacing w:val="-4"/>
              </w:rPr>
              <w:t> mld.</w:t>
            </w:r>
            <w:r w:rsidRPr="009F23BE">
              <w:rPr>
                <w:rFonts w:cs="Arial"/>
                <w:color w:val="0D0D0D" w:themeColor="text1" w:themeTint="F2"/>
                <w:spacing w:val="-4"/>
              </w:rPr>
              <w:t xml:space="preserve"> korun) </w:t>
            </w:r>
            <w:r w:rsidRPr="009F23BE">
              <w:rPr>
                <w:rFonts w:cs="Arial"/>
                <w:color w:val="000000" w:themeColor="text1"/>
                <w:spacing w:val="-4"/>
              </w:rPr>
              <w:t>směřovala na financování společných programů ČR a EU</w:t>
            </w:r>
            <w:r w:rsidRPr="009F23BE">
              <w:rPr>
                <w:rStyle w:val="Znakapoznpodarou"/>
                <w:color w:val="000000" w:themeColor="text1"/>
                <w:spacing w:val="-4"/>
              </w:rPr>
              <w:footnoteReference w:id="5"/>
            </w:r>
            <w:r w:rsidRPr="009F23BE">
              <w:rPr>
                <w:rFonts w:cs="Arial"/>
                <w:color w:val="000000" w:themeColor="text1"/>
                <w:spacing w:val="-4"/>
              </w:rPr>
              <w:t>. Podíl investi</w:t>
            </w:r>
            <w:r>
              <w:rPr>
                <w:rFonts w:cs="Arial"/>
                <w:color w:val="000000" w:themeColor="text1"/>
                <w:spacing w:val="-4"/>
              </w:rPr>
              <w:t>c na celkových výdajích SR kles</w:t>
            </w:r>
            <w:r w:rsidRPr="009F23BE">
              <w:rPr>
                <w:rFonts w:cs="Arial"/>
                <w:color w:val="000000" w:themeColor="text1"/>
                <w:spacing w:val="-4"/>
              </w:rPr>
              <w:t>a</w:t>
            </w:r>
            <w:r>
              <w:rPr>
                <w:rFonts w:cs="Arial"/>
                <w:color w:val="000000" w:themeColor="text1"/>
                <w:spacing w:val="-4"/>
              </w:rPr>
              <w:t>l</w:t>
            </w:r>
            <w:r w:rsidRPr="009F23BE">
              <w:rPr>
                <w:rFonts w:cs="Arial"/>
                <w:color w:val="000000" w:themeColor="text1"/>
                <w:spacing w:val="-4"/>
              </w:rPr>
              <w:t xml:space="preserve"> již druhým</w:t>
            </w:r>
            <w:r>
              <w:rPr>
                <w:rFonts w:cs="Arial"/>
                <w:color w:val="000000" w:themeColor="text1"/>
                <w:spacing w:val="-4"/>
              </w:rPr>
              <w:t xml:space="preserve"> rokem v řadě a</w:t>
            </w:r>
            <w:r w:rsidRPr="009F23BE">
              <w:rPr>
                <w:rFonts w:cs="Arial"/>
                <w:color w:val="000000" w:themeColor="text1"/>
                <w:spacing w:val="-4"/>
              </w:rPr>
              <w:t xml:space="preserve"> činil pouze 4,5</w:t>
            </w:r>
            <w:r w:rsidR="005723B7">
              <w:rPr>
                <w:rFonts w:cs="Arial"/>
                <w:color w:val="0D0D0D" w:themeColor="text1" w:themeTint="F2"/>
                <w:spacing w:val="-4"/>
              </w:rPr>
              <w:t> %</w:t>
            </w:r>
            <w:r w:rsidRPr="009F23BE">
              <w:rPr>
                <w:rFonts w:cs="Arial"/>
                <w:color w:val="000000" w:themeColor="text1"/>
                <w:spacing w:val="-4"/>
              </w:rPr>
              <w:t>.</w:t>
            </w:r>
          </w:p>
          <w:p w:rsidR="00490B20" w:rsidRPr="00751FC1" w:rsidRDefault="00490B20" w:rsidP="00876058">
            <w:pPr>
              <w:pStyle w:val="Textpoznpodarou"/>
              <w:jc w:val="both"/>
              <w:rPr>
                <w:rFonts w:cs="Arial"/>
                <w:color w:val="0D0D0D" w:themeColor="text1" w:themeTint="F2"/>
                <w:spacing w:val="-2"/>
                <w:sz w:val="15"/>
                <w:szCs w:val="15"/>
              </w:rPr>
            </w:pPr>
          </w:p>
        </w:tc>
      </w:tr>
      <w:tr w:rsidR="00490B20" w:rsidRPr="0094422D" w:rsidTr="00876058">
        <w:trPr>
          <w:trHeight w:val="145"/>
        </w:trPr>
        <w:tc>
          <w:tcPr>
            <w:tcW w:w="1016" w:type="pct"/>
            <w:shd w:val="clear" w:color="auto" w:fill="auto"/>
          </w:tcPr>
          <w:p w:rsidR="00490B20" w:rsidRPr="00864037" w:rsidRDefault="00490B20" w:rsidP="00876058">
            <w:pPr>
              <w:spacing w:line="240" w:lineRule="auto"/>
              <w:rPr>
                <w:rFonts w:cs="Arial"/>
                <w:color w:val="0D0D0D" w:themeColor="text1" w:themeTint="F2"/>
                <w:spacing w:val="-4"/>
                <w:sz w:val="16"/>
                <w:szCs w:val="16"/>
              </w:rPr>
            </w:pPr>
            <w:r w:rsidRPr="00864037">
              <w:rPr>
                <w:rFonts w:cs="Arial"/>
                <w:color w:val="0D0D0D" w:themeColor="text1" w:themeTint="F2"/>
                <w:spacing w:val="-4"/>
                <w:sz w:val="16"/>
                <w:szCs w:val="16"/>
              </w:rPr>
              <w:t>K růstu běžných výdajů přispěly vyšší sociální dávky a výdaje na mzdy zaměstnanců v oblastech s dominancí státu.</w:t>
            </w: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color w:val="0D0D0D" w:themeColor="text1" w:themeTint="F2"/>
                <w:spacing w:val="-4"/>
                <w:sz w:val="16"/>
                <w:szCs w:val="16"/>
              </w:rPr>
            </w:pPr>
          </w:p>
          <w:p w:rsidR="00490B20" w:rsidRPr="00864037" w:rsidRDefault="00490B20" w:rsidP="00876058">
            <w:pPr>
              <w:spacing w:line="240" w:lineRule="auto"/>
              <w:rPr>
                <w:rFonts w:cs="Arial"/>
                <w:bCs/>
                <w:iCs/>
                <w:color w:val="0D0D0D" w:themeColor="text1" w:themeTint="F2"/>
                <w:spacing w:val="-4"/>
                <w:sz w:val="16"/>
                <w:szCs w:val="16"/>
              </w:rPr>
            </w:pPr>
            <w:r w:rsidRPr="00864037">
              <w:rPr>
                <w:rFonts w:cs="Arial"/>
                <w:color w:val="0D0D0D" w:themeColor="text1" w:themeTint="F2"/>
                <w:spacing w:val="-4"/>
                <w:sz w:val="16"/>
                <w:szCs w:val="16"/>
              </w:rPr>
              <w:t>Čisté výdaje na státní dluh klesaly již čtvrtým rokem v řadě.</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Default="00490B20" w:rsidP="00876058">
            <w:pPr>
              <w:pStyle w:val="Textpoznpodarou"/>
              <w:jc w:val="both"/>
              <w:rPr>
                <w:rFonts w:cs="Arial"/>
                <w:color w:val="0D0D0D" w:themeColor="text1" w:themeTint="F2"/>
                <w:spacing w:val="-2"/>
              </w:rPr>
            </w:pPr>
            <w:r>
              <w:rPr>
                <w:rFonts w:cs="Arial"/>
                <w:color w:val="0D0D0D" w:themeColor="text1" w:themeTint="F2"/>
                <w:spacing w:val="-2"/>
              </w:rPr>
              <w:t xml:space="preserve">Růst běžných výdajů </w:t>
            </w:r>
            <w:r w:rsidRPr="009F23BE">
              <w:rPr>
                <w:rFonts w:cs="Arial"/>
                <w:color w:val="0D0D0D" w:themeColor="text1" w:themeTint="F2"/>
                <w:spacing w:val="-4"/>
              </w:rPr>
              <w:t>za tři čtvrtletí</w:t>
            </w:r>
            <w:r>
              <w:rPr>
                <w:rFonts w:cs="Arial"/>
                <w:color w:val="0D0D0D" w:themeColor="text1" w:themeTint="F2"/>
                <w:spacing w:val="-4"/>
              </w:rPr>
              <w:t xml:space="preserve"> </w:t>
            </w:r>
            <w:r>
              <w:rPr>
                <w:rFonts w:cs="Arial"/>
                <w:color w:val="0D0D0D" w:themeColor="text1" w:themeTint="F2"/>
                <w:spacing w:val="-2"/>
              </w:rPr>
              <w:t>(o 50,1</w:t>
            </w:r>
            <w:r w:rsidR="006D164C">
              <w:rPr>
                <w:rFonts w:cs="Arial"/>
                <w:color w:val="0D0D0D" w:themeColor="text1" w:themeTint="F2"/>
                <w:spacing w:val="-2"/>
              </w:rPr>
              <w:t> mld.</w:t>
            </w:r>
            <w:r>
              <w:rPr>
                <w:rFonts w:cs="Arial"/>
                <w:color w:val="0D0D0D" w:themeColor="text1" w:themeTint="F2"/>
                <w:spacing w:val="-2"/>
              </w:rPr>
              <w:t xml:space="preserve"> korun meziročně)</w:t>
            </w:r>
            <w:r>
              <w:rPr>
                <w:rFonts w:cs="Arial"/>
                <w:color w:val="0D0D0D" w:themeColor="text1" w:themeTint="F2"/>
                <w:spacing w:val="-4"/>
              </w:rPr>
              <w:t xml:space="preserve"> byl nejvíce ovlivněn </w:t>
            </w:r>
            <w:r w:rsidRPr="00751FC1">
              <w:rPr>
                <w:rFonts w:cs="Arial"/>
                <w:color w:val="000000" w:themeColor="text1"/>
                <w:spacing w:val="-2"/>
              </w:rPr>
              <w:t>váhově dominantní položk</w:t>
            </w:r>
            <w:r>
              <w:rPr>
                <w:rFonts w:cs="Arial"/>
                <w:color w:val="000000" w:themeColor="text1"/>
                <w:spacing w:val="-2"/>
              </w:rPr>
              <w:t>ou sociálních dávek (+13,9</w:t>
            </w:r>
            <w:r w:rsidR="006D164C">
              <w:rPr>
                <w:rFonts w:cs="Arial"/>
                <w:color w:val="000000" w:themeColor="text1"/>
                <w:spacing w:val="-2"/>
              </w:rPr>
              <w:t> mld.</w:t>
            </w:r>
            <w:r>
              <w:rPr>
                <w:rFonts w:cs="Arial"/>
                <w:color w:val="000000" w:themeColor="text1"/>
                <w:spacing w:val="-2"/>
              </w:rPr>
              <w:t xml:space="preserve">). K růstu však významně přispěly také </w:t>
            </w:r>
            <w:r>
              <w:rPr>
                <w:bCs/>
                <w:spacing w:val="-2"/>
                <w:szCs w:val="24"/>
              </w:rPr>
              <w:t>neinvestičních transfery</w:t>
            </w:r>
            <w:r w:rsidRPr="00751FC1">
              <w:rPr>
                <w:bCs/>
                <w:spacing w:val="-2"/>
                <w:szCs w:val="24"/>
              </w:rPr>
              <w:t xml:space="preserve"> veřejným rozpočtům územní úrovně</w:t>
            </w:r>
            <w:r>
              <w:rPr>
                <w:bCs/>
                <w:spacing w:val="-2"/>
                <w:szCs w:val="24"/>
              </w:rPr>
              <w:t>, jež meziročně posílily o</w:t>
            </w:r>
            <w:r w:rsidR="005931BF">
              <w:rPr>
                <w:bCs/>
                <w:spacing w:val="-2"/>
                <w:szCs w:val="24"/>
              </w:rPr>
              <w:t> </w:t>
            </w:r>
            <w:r>
              <w:rPr>
                <w:bCs/>
                <w:spacing w:val="-2"/>
                <w:szCs w:val="24"/>
              </w:rPr>
              <w:t>desetinu, resp.</w:t>
            </w:r>
            <w:r w:rsidR="005931BF">
              <w:rPr>
                <w:bCs/>
                <w:spacing w:val="-2"/>
                <w:szCs w:val="24"/>
              </w:rPr>
              <w:t> o </w:t>
            </w:r>
            <w:r>
              <w:rPr>
                <w:bCs/>
                <w:spacing w:val="-2"/>
                <w:szCs w:val="24"/>
              </w:rPr>
              <w:t>10,3</w:t>
            </w:r>
            <w:r w:rsidR="006D164C">
              <w:rPr>
                <w:bCs/>
                <w:spacing w:val="-2"/>
                <w:szCs w:val="24"/>
              </w:rPr>
              <w:t> mld.</w:t>
            </w:r>
            <w:r>
              <w:rPr>
                <w:bCs/>
                <w:spacing w:val="-2"/>
                <w:szCs w:val="24"/>
              </w:rPr>
              <w:t xml:space="preserve"> korun. V těchto výdajích se promítal především růst výdělků pracovníků v regionálním školství</w:t>
            </w:r>
            <w:r>
              <w:rPr>
                <w:rStyle w:val="Znakapoznpodarou"/>
                <w:bCs/>
                <w:spacing w:val="-2"/>
                <w:szCs w:val="24"/>
              </w:rPr>
              <w:footnoteReference w:id="6"/>
            </w:r>
            <w:r>
              <w:rPr>
                <w:bCs/>
                <w:spacing w:val="-2"/>
                <w:szCs w:val="24"/>
              </w:rPr>
              <w:t>. Navýšení bylo patrné také u výdajů na platy státních zaměstnanců (+8,4</w:t>
            </w:r>
            <w:r w:rsidR="005723B7">
              <w:rPr>
                <w:bCs/>
                <w:spacing w:val="-2"/>
                <w:szCs w:val="24"/>
              </w:rPr>
              <w:t> %</w:t>
            </w:r>
            <w:r>
              <w:rPr>
                <w:bCs/>
                <w:spacing w:val="-2"/>
                <w:szCs w:val="24"/>
              </w:rPr>
              <w:t>, o</w:t>
            </w:r>
            <w:r w:rsidR="005931BF">
              <w:rPr>
                <w:bCs/>
                <w:spacing w:val="-2"/>
                <w:szCs w:val="24"/>
              </w:rPr>
              <w:t> </w:t>
            </w:r>
            <w:r>
              <w:rPr>
                <w:bCs/>
                <w:spacing w:val="-2"/>
                <w:szCs w:val="24"/>
              </w:rPr>
              <w:t>rok dříve +3,8</w:t>
            </w:r>
            <w:r w:rsidR="005723B7">
              <w:rPr>
                <w:bCs/>
                <w:spacing w:val="-2"/>
                <w:szCs w:val="24"/>
              </w:rPr>
              <w:t> %</w:t>
            </w:r>
            <w:r>
              <w:rPr>
                <w:bCs/>
                <w:spacing w:val="-2"/>
                <w:szCs w:val="24"/>
              </w:rPr>
              <w:t>). O</w:t>
            </w:r>
            <w:r w:rsidR="005931BF">
              <w:rPr>
                <w:bCs/>
                <w:spacing w:val="-2"/>
                <w:szCs w:val="24"/>
              </w:rPr>
              <w:t> </w:t>
            </w:r>
            <w:r>
              <w:rPr>
                <w:bCs/>
                <w:spacing w:val="-2"/>
                <w:szCs w:val="24"/>
              </w:rPr>
              <w:t>více než čtvrtinu vzrostl meziročně objem neinvestičních transferů podnikatelským subjektům. Tyto transfery z významné části souvisejí s podporou obnovitelných zdrojů energie. Z váhově významnějších položek vydal SR méně jen na neinvestiční transfery státním fondům a také na státní dluh (v</w:t>
            </w:r>
            <w:r w:rsidR="005931BF">
              <w:rPr>
                <w:bCs/>
                <w:spacing w:val="-2"/>
                <w:szCs w:val="24"/>
              </w:rPr>
              <w:t> </w:t>
            </w:r>
            <w:r>
              <w:rPr>
                <w:bCs/>
                <w:spacing w:val="-2"/>
                <w:szCs w:val="24"/>
              </w:rPr>
              <w:t>obou případech vždy o</w:t>
            </w:r>
            <w:r w:rsidR="005931BF">
              <w:rPr>
                <w:bCs/>
                <w:spacing w:val="-2"/>
                <w:szCs w:val="24"/>
              </w:rPr>
              <w:t> </w:t>
            </w:r>
            <w:r>
              <w:rPr>
                <w:bCs/>
                <w:spacing w:val="-2"/>
                <w:szCs w:val="24"/>
              </w:rPr>
              <w:t>necelé 4</w:t>
            </w:r>
            <w:r w:rsidR="006D164C">
              <w:rPr>
                <w:bCs/>
                <w:spacing w:val="-2"/>
                <w:szCs w:val="24"/>
              </w:rPr>
              <w:t> mld.</w:t>
            </w:r>
            <w:r>
              <w:rPr>
                <w:bCs/>
                <w:spacing w:val="-2"/>
                <w:szCs w:val="24"/>
              </w:rPr>
              <w:t xml:space="preserve"> korun). Čisté výdaje na státní dluh dosáhly za tři čtvrtletí 33,8</w:t>
            </w:r>
            <w:r w:rsidR="006D164C">
              <w:rPr>
                <w:bCs/>
                <w:spacing w:val="-2"/>
                <w:szCs w:val="24"/>
              </w:rPr>
              <w:t> mld.</w:t>
            </w:r>
            <w:r>
              <w:rPr>
                <w:bCs/>
                <w:spacing w:val="-2"/>
                <w:szCs w:val="24"/>
              </w:rPr>
              <w:t xml:space="preserve"> korun a</w:t>
            </w:r>
            <w:r w:rsidRPr="009F23BE">
              <w:rPr>
                <w:rFonts w:cs="Arial"/>
                <w:color w:val="0D0D0D" w:themeColor="text1" w:themeTint="F2"/>
                <w:spacing w:val="-4"/>
              </w:rPr>
              <w:t> </w:t>
            </w:r>
            <w:r>
              <w:rPr>
                <w:bCs/>
                <w:spacing w:val="-2"/>
                <w:szCs w:val="24"/>
              </w:rPr>
              <w:t>klesaly již čtvrtým rokem v řadě, v úhrnu tak byly nižší o 24</w:t>
            </w:r>
            <w:r w:rsidR="005723B7">
              <w:rPr>
                <w:bCs/>
                <w:spacing w:val="-2"/>
                <w:szCs w:val="24"/>
              </w:rPr>
              <w:t> %</w:t>
            </w:r>
            <w:r>
              <w:rPr>
                <w:bCs/>
                <w:spacing w:val="-2"/>
                <w:szCs w:val="24"/>
              </w:rPr>
              <w:t>. Za poklesem stály nižší úrokové sazby na trhu se státními dluhopisy a také slabší výpůjční potřeba státu (vlivem zlepšování salda hospodaření</w:t>
            </w:r>
            <w:r w:rsidR="005931BF">
              <w:rPr>
                <w:bCs/>
                <w:spacing w:val="-2"/>
                <w:szCs w:val="24"/>
              </w:rPr>
              <w:t> </w:t>
            </w:r>
            <w:r>
              <w:rPr>
                <w:bCs/>
                <w:spacing w:val="-2"/>
                <w:szCs w:val="24"/>
              </w:rPr>
              <w:t xml:space="preserve">SR). </w:t>
            </w:r>
          </w:p>
          <w:p w:rsidR="00490B20" w:rsidRPr="00BB4331" w:rsidRDefault="00490B20" w:rsidP="00876058">
            <w:pPr>
              <w:pStyle w:val="Textpoznpodarou"/>
              <w:jc w:val="both"/>
              <w:rPr>
                <w:rFonts w:cs="Arial"/>
                <w:color w:val="0D0D0D" w:themeColor="text1" w:themeTint="F2"/>
                <w:spacing w:val="-2"/>
                <w:sz w:val="15"/>
                <w:szCs w:val="15"/>
              </w:rPr>
            </w:pPr>
          </w:p>
        </w:tc>
      </w:tr>
      <w:tr w:rsidR="00490B20" w:rsidRPr="00F06A1D" w:rsidTr="00876058">
        <w:trPr>
          <w:trHeight w:val="145"/>
        </w:trPr>
        <w:tc>
          <w:tcPr>
            <w:tcW w:w="1016" w:type="pct"/>
            <w:shd w:val="clear" w:color="auto" w:fill="auto"/>
          </w:tcPr>
          <w:p w:rsidR="00490B20" w:rsidRPr="00697C49" w:rsidRDefault="00490B20" w:rsidP="00876058">
            <w:pPr>
              <w:spacing w:line="240" w:lineRule="auto"/>
              <w:rPr>
                <w:rFonts w:cs="Arial"/>
                <w:bCs/>
                <w:iCs/>
                <w:color w:val="0D0D0D" w:themeColor="text1" w:themeTint="F2"/>
                <w:spacing w:val="-4"/>
                <w:sz w:val="16"/>
                <w:szCs w:val="16"/>
              </w:rPr>
            </w:pPr>
            <w:r w:rsidRPr="00697C49">
              <w:rPr>
                <w:rFonts w:cs="Arial"/>
                <w:bCs/>
                <w:iCs/>
                <w:color w:val="0D0D0D" w:themeColor="text1" w:themeTint="F2"/>
                <w:spacing w:val="-4"/>
                <w:sz w:val="16"/>
                <w:szCs w:val="16"/>
              </w:rPr>
              <w:t xml:space="preserve">Přestože výdaje na důchody rostly nejsilněji za posledních šest let, deficit salda důchodového účtu se zredukoval na </w:t>
            </w:r>
            <w:r w:rsidRPr="00697C49">
              <w:rPr>
                <w:rFonts w:cs="Arial"/>
                <w:bCs/>
                <w:iCs/>
                <w:color w:val="0D0D0D" w:themeColor="text1" w:themeTint="F2"/>
                <w:spacing w:val="-4"/>
                <w:sz w:val="16"/>
                <w:szCs w:val="16"/>
              </w:rPr>
              <w:lastRenderedPageBreak/>
              <w:t>nejnižší hodnotu po roce 2008.</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AF0863" w:rsidRDefault="00490B20" w:rsidP="00876058">
            <w:pPr>
              <w:pStyle w:val="Textpoznpodarou"/>
              <w:jc w:val="both"/>
              <w:rPr>
                <w:rFonts w:cs="Arial"/>
                <w:color w:val="0D0D0D" w:themeColor="text1" w:themeTint="F2"/>
                <w:spacing w:val="-2"/>
              </w:rPr>
            </w:pPr>
            <w:r>
              <w:rPr>
                <w:rFonts w:cs="Arial"/>
                <w:color w:val="0D0D0D" w:themeColor="text1" w:themeTint="F2"/>
                <w:spacing w:val="-2"/>
              </w:rPr>
              <w:t>Na sociální dávky směřovalo v 1. až 3</w:t>
            </w:r>
            <w:r w:rsidR="005723B7">
              <w:rPr>
                <w:rFonts w:cs="Arial"/>
                <w:color w:val="0D0D0D" w:themeColor="text1" w:themeTint="F2"/>
                <w:spacing w:val="-2"/>
              </w:rPr>
              <w:t>. čtvrtletí</w:t>
            </w:r>
            <w:r>
              <w:rPr>
                <w:rFonts w:cs="Arial"/>
                <w:color w:val="0D0D0D" w:themeColor="text1" w:themeTint="F2"/>
                <w:spacing w:val="-2"/>
              </w:rPr>
              <w:t xml:space="preserve"> 43,0</w:t>
            </w:r>
            <w:r w:rsidR="005723B7">
              <w:rPr>
                <w:rFonts w:cs="Arial"/>
                <w:color w:val="0D0D0D" w:themeColor="text1" w:themeTint="F2"/>
                <w:spacing w:val="-2"/>
              </w:rPr>
              <w:t> %</w:t>
            </w:r>
            <w:r>
              <w:rPr>
                <w:rFonts w:cs="Arial"/>
                <w:color w:val="0D0D0D" w:themeColor="text1" w:themeTint="F2"/>
                <w:spacing w:val="-2"/>
              </w:rPr>
              <w:t xml:space="preserve"> veškerých výdajů</w:t>
            </w:r>
            <w:r w:rsidR="005931BF">
              <w:rPr>
                <w:rFonts w:cs="Arial"/>
                <w:color w:val="0D0D0D" w:themeColor="text1" w:themeTint="F2"/>
                <w:spacing w:val="-2"/>
              </w:rPr>
              <w:t> </w:t>
            </w:r>
            <w:r>
              <w:rPr>
                <w:rFonts w:cs="Arial"/>
                <w:color w:val="0D0D0D" w:themeColor="text1" w:themeTint="F2"/>
                <w:spacing w:val="-2"/>
              </w:rPr>
              <w:t>SR (meziročně o 0,4</w:t>
            </w:r>
            <w:r w:rsidR="00CE0849">
              <w:rPr>
                <w:rFonts w:cs="Arial"/>
                <w:color w:val="0D0D0D" w:themeColor="text1" w:themeTint="F2"/>
                <w:spacing w:val="-2"/>
              </w:rPr>
              <w:t> p. b.</w:t>
            </w:r>
            <w:r>
              <w:rPr>
                <w:rFonts w:cs="Arial"/>
                <w:color w:val="0D0D0D" w:themeColor="text1" w:themeTint="F2"/>
                <w:spacing w:val="-2"/>
              </w:rPr>
              <w:t xml:space="preserve"> méně). V rámci sociálních dávek tvořily více než tři čtvrtiny výdaje na důchody, jejichž tempo se zvyšovalo již čtvrtým rokem v řadě (až na 4,1</w:t>
            </w:r>
            <w:r w:rsidR="005723B7">
              <w:rPr>
                <w:bCs/>
                <w:spacing w:val="-2"/>
                <w:szCs w:val="24"/>
              </w:rPr>
              <w:t> %</w:t>
            </w:r>
            <w:r>
              <w:rPr>
                <w:rFonts w:cs="Arial"/>
                <w:color w:val="0D0D0D" w:themeColor="text1" w:themeTint="F2"/>
                <w:spacing w:val="-2"/>
              </w:rPr>
              <w:t xml:space="preserve">). V rostoucím tempu se letos projevil vliv </w:t>
            </w:r>
            <w:r w:rsidRPr="00751FC1">
              <w:rPr>
                <w:rFonts w:cs="Arial"/>
                <w:color w:val="0D0D0D" w:themeColor="text1" w:themeTint="F2"/>
                <w:spacing w:val="-4"/>
              </w:rPr>
              <w:t xml:space="preserve">nové legislativní úpravy umožňující </w:t>
            </w:r>
            <w:r w:rsidRPr="00751FC1">
              <w:rPr>
                <w:rFonts w:cs="Arial"/>
                <w:color w:val="0D0D0D" w:themeColor="text1" w:themeTint="F2"/>
                <w:spacing w:val="-4"/>
              </w:rPr>
              <w:lastRenderedPageBreak/>
              <w:t>zvýšit důchody nad rámec standardní valorizace.</w:t>
            </w:r>
            <w:r>
              <w:rPr>
                <w:rFonts w:cs="Arial"/>
                <w:color w:val="0D0D0D" w:themeColor="text1" w:themeTint="F2"/>
                <w:spacing w:val="-4"/>
              </w:rPr>
              <w:t xml:space="preserve"> Naopak jen minimální vliv na objem výdajů měl počet příjemců důchodů (+0,1</w:t>
            </w:r>
            <w:r w:rsidR="005723B7">
              <w:rPr>
                <w:rFonts w:cs="Arial"/>
                <w:color w:val="0D0D0D" w:themeColor="text1" w:themeTint="F2"/>
                <w:spacing w:val="-4"/>
              </w:rPr>
              <w:t> %</w:t>
            </w:r>
            <w:r>
              <w:rPr>
                <w:rFonts w:cs="Arial"/>
                <w:color w:val="0D0D0D" w:themeColor="text1" w:themeTint="F2"/>
                <w:spacing w:val="-4"/>
              </w:rPr>
              <w:t xml:space="preserve"> meziročně), neboť mírně vyšší četnost starobních důchodců (+0,4</w:t>
            </w:r>
            <w:r w:rsidR="005723B7">
              <w:rPr>
                <w:rFonts w:cs="Arial"/>
                <w:color w:val="0D0D0D" w:themeColor="text1" w:themeTint="F2"/>
                <w:spacing w:val="-4"/>
              </w:rPr>
              <w:t> %</w:t>
            </w:r>
            <w:r>
              <w:rPr>
                <w:rFonts w:cs="Arial"/>
                <w:color w:val="0D0D0D" w:themeColor="text1" w:themeTint="F2"/>
                <w:spacing w:val="-4"/>
              </w:rPr>
              <w:t>) byla kompenzována redukcí počtu</w:t>
            </w:r>
            <w:r w:rsidRPr="00751FC1">
              <w:rPr>
                <w:rFonts w:cs="Arial"/>
                <w:color w:val="0D0D0D" w:themeColor="text1" w:themeTint="F2"/>
                <w:spacing w:val="-4"/>
              </w:rPr>
              <w:t xml:space="preserve"> všech ostatních kategorií důchod</w:t>
            </w:r>
            <w:r>
              <w:rPr>
                <w:rFonts w:cs="Arial"/>
                <w:color w:val="0D0D0D" w:themeColor="text1" w:themeTint="F2"/>
                <w:spacing w:val="-4"/>
              </w:rPr>
              <w:t>c</w:t>
            </w:r>
            <w:r w:rsidRPr="00751FC1">
              <w:rPr>
                <w:rFonts w:cs="Arial"/>
                <w:color w:val="0D0D0D" w:themeColor="text1" w:themeTint="F2"/>
                <w:spacing w:val="-4"/>
              </w:rPr>
              <w:t>ů</w:t>
            </w:r>
            <w:r>
              <w:rPr>
                <w:rFonts w:cs="Arial"/>
                <w:color w:val="0D0D0D" w:themeColor="text1" w:themeTint="F2"/>
                <w:spacing w:val="-4"/>
              </w:rPr>
              <w:t xml:space="preserve">. Pokračoval pozitivní trend redukce </w:t>
            </w:r>
            <w:r w:rsidRPr="00751FC1">
              <w:rPr>
                <w:rFonts w:cs="Arial"/>
                <w:color w:val="0D0D0D" w:themeColor="text1" w:themeTint="F2"/>
                <w:spacing w:val="-4"/>
              </w:rPr>
              <w:t>deficit</w:t>
            </w:r>
            <w:r>
              <w:rPr>
                <w:rFonts w:cs="Arial"/>
                <w:color w:val="0D0D0D" w:themeColor="text1" w:themeTint="F2"/>
                <w:spacing w:val="-4"/>
              </w:rPr>
              <w:t>u</w:t>
            </w:r>
            <w:r w:rsidRPr="00751FC1">
              <w:rPr>
                <w:rFonts w:cs="Arial"/>
                <w:color w:val="0D0D0D" w:themeColor="text1" w:themeTint="F2"/>
                <w:spacing w:val="-4"/>
              </w:rPr>
              <w:t xml:space="preserve"> důchodového účtu</w:t>
            </w:r>
            <w:r w:rsidRPr="00751FC1">
              <w:rPr>
                <w:rStyle w:val="Znakapoznpodarou"/>
                <w:color w:val="0D0D0D" w:themeColor="text1" w:themeTint="F2"/>
                <w:spacing w:val="-4"/>
              </w:rPr>
              <w:footnoteReference w:id="7"/>
            </w:r>
            <w:r>
              <w:rPr>
                <w:rFonts w:cs="Arial"/>
                <w:color w:val="0D0D0D" w:themeColor="text1" w:themeTint="F2"/>
                <w:spacing w:val="-4"/>
              </w:rPr>
              <w:t>,</w:t>
            </w:r>
            <w:r w:rsidRPr="00751FC1">
              <w:rPr>
                <w:rFonts w:cs="Arial"/>
                <w:color w:val="0D0D0D" w:themeColor="text1" w:themeTint="F2"/>
                <w:spacing w:val="-4"/>
              </w:rPr>
              <w:t xml:space="preserve"> </w:t>
            </w:r>
            <w:r>
              <w:rPr>
                <w:rFonts w:cs="Arial"/>
                <w:color w:val="0D0D0D" w:themeColor="text1" w:themeTint="F2"/>
                <w:spacing w:val="-4"/>
              </w:rPr>
              <w:t>jenž za tři letošní čtvrtletí dosáhl necelých 4</w:t>
            </w:r>
            <w:r w:rsidR="006D164C">
              <w:rPr>
                <w:rFonts w:cs="Arial"/>
                <w:color w:val="0D0D0D" w:themeColor="text1" w:themeTint="F2"/>
                <w:spacing w:val="-4"/>
              </w:rPr>
              <w:t> mld.</w:t>
            </w:r>
            <w:r>
              <w:rPr>
                <w:rFonts w:cs="Arial"/>
                <w:color w:val="0D0D0D" w:themeColor="text1" w:themeTint="F2"/>
                <w:spacing w:val="-4"/>
              </w:rPr>
              <w:t xml:space="preserve"> </w:t>
            </w:r>
            <w:r w:rsidR="005931BF">
              <w:rPr>
                <w:rFonts w:cs="Arial"/>
                <w:color w:val="0D0D0D" w:themeColor="text1" w:themeTint="F2"/>
                <w:spacing w:val="-4"/>
              </w:rPr>
              <w:t>K</w:t>
            </w:r>
            <w:r>
              <w:rPr>
                <w:rFonts w:cs="Arial"/>
                <w:color w:val="0D0D0D" w:themeColor="text1" w:themeTint="F2"/>
                <w:spacing w:val="-4"/>
              </w:rPr>
              <w:t>orun</w:t>
            </w:r>
            <w:r w:rsidR="005931BF">
              <w:rPr>
                <w:rFonts w:cs="Arial"/>
                <w:color w:val="0D0D0D" w:themeColor="text1" w:themeTint="F2"/>
                <w:spacing w:val="-4"/>
              </w:rPr>
              <w:t>,</w:t>
            </w:r>
            <w:r>
              <w:rPr>
                <w:rFonts w:cs="Arial"/>
                <w:color w:val="0D0D0D" w:themeColor="text1" w:themeTint="F2"/>
                <w:spacing w:val="-4"/>
              </w:rPr>
              <w:t xml:space="preserve"> a byl tak nejnižší po roce 2008 (v samotném 3</w:t>
            </w:r>
            <w:r w:rsidR="005723B7">
              <w:rPr>
                <w:rFonts w:cs="Arial"/>
                <w:color w:val="0D0D0D" w:themeColor="text1" w:themeTint="F2"/>
                <w:spacing w:val="-4"/>
              </w:rPr>
              <w:t>. čtvrtletí</w:t>
            </w:r>
            <w:r>
              <w:rPr>
                <w:rFonts w:cs="Arial"/>
                <w:color w:val="0D0D0D" w:themeColor="text1" w:themeTint="F2"/>
                <w:spacing w:val="-4"/>
              </w:rPr>
              <w:t xml:space="preserve"> skončil dokonce mírným přebytkem ve výši necelých 3</w:t>
            </w:r>
            <w:r w:rsidR="006D164C">
              <w:rPr>
                <w:rFonts w:cs="Arial"/>
                <w:color w:val="0D0D0D" w:themeColor="text1" w:themeTint="F2"/>
                <w:spacing w:val="-4"/>
              </w:rPr>
              <w:t> mld.</w:t>
            </w:r>
            <w:r>
              <w:rPr>
                <w:rFonts w:cs="Arial"/>
                <w:color w:val="0D0D0D" w:themeColor="text1" w:themeTint="F2"/>
                <w:spacing w:val="-4"/>
              </w:rPr>
              <w:t xml:space="preserve"> korun). </w:t>
            </w:r>
            <w:r w:rsidR="005931BF">
              <w:rPr>
                <w:rFonts w:cs="Arial"/>
                <w:color w:val="0D0D0D" w:themeColor="text1" w:themeTint="F2"/>
                <w:spacing w:val="-4"/>
              </w:rPr>
              <w:t>Op</w:t>
            </w:r>
            <w:r>
              <w:rPr>
                <w:rFonts w:cs="Arial"/>
                <w:color w:val="0D0D0D" w:themeColor="text1" w:themeTint="F2"/>
                <w:spacing w:val="-4"/>
              </w:rPr>
              <w:t>roti stejnému období loňského roku bylo saldo příznivější o více než 10</w:t>
            </w:r>
            <w:r w:rsidR="006D164C">
              <w:rPr>
                <w:rFonts w:cs="Arial"/>
                <w:color w:val="0D0D0D" w:themeColor="text1" w:themeTint="F2"/>
                <w:spacing w:val="-4"/>
              </w:rPr>
              <w:t> mld.</w:t>
            </w:r>
            <w:r>
              <w:rPr>
                <w:rFonts w:cs="Arial"/>
                <w:color w:val="0D0D0D" w:themeColor="text1" w:themeTint="F2"/>
                <w:spacing w:val="-4"/>
              </w:rPr>
              <w:t xml:space="preserve"> korun. Klíčovou roli v tomto ohledu sehrál dynamický výběr pojistného, jenž odráží příznivou situaci na pracovním trhu. Tempo výběru pojistného na důchody se přitom v</w:t>
            </w:r>
            <w:r>
              <w:rPr>
                <w:bCs/>
                <w:spacing w:val="-2"/>
                <w:szCs w:val="24"/>
              </w:rPr>
              <w:t> </w:t>
            </w:r>
            <w:r>
              <w:rPr>
                <w:rFonts w:cs="Arial"/>
                <w:color w:val="0D0D0D" w:themeColor="text1" w:themeTint="F2"/>
                <w:spacing w:val="-4"/>
              </w:rPr>
              <w:t>průběhu roku 2017 nadále navyšovalo. V</w:t>
            </w:r>
            <w:r w:rsidR="005931BF">
              <w:rPr>
                <w:rFonts w:cs="Arial"/>
                <w:color w:val="0D0D0D" w:themeColor="text1" w:themeTint="F2"/>
                <w:spacing w:val="-4"/>
              </w:rPr>
              <w:t> </w:t>
            </w:r>
            <w:r>
              <w:rPr>
                <w:rFonts w:cs="Arial"/>
                <w:color w:val="0D0D0D" w:themeColor="text1" w:themeTint="F2"/>
                <w:spacing w:val="-4"/>
              </w:rPr>
              <w:t>1</w:t>
            </w:r>
            <w:r w:rsidR="005723B7">
              <w:rPr>
                <w:rFonts w:cs="Arial"/>
                <w:color w:val="0D0D0D" w:themeColor="text1" w:themeTint="F2"/>
                <w:spacing w:val="-4"/>
              </w:rPr>
              <w:t>.</w:t>
            </w:r>
            <w:r w:rsidR="005931BF">
              <w:rPr>
                <w:rFonts w:cs="Arial"/>
                <w:color w:val="0D0D0D" w:themeColor="text1" w:themeTint="F2"/>
                <w:spacing w:val="-4"/>
              </w:rPr>
              <w:t> </w:t>
            </w:r>
            <w:r w:rsidR="005723B7">
              <w:rPr>
                <w:rFonts w:cs="Arial"/>
                <w:color w:val="0D0D0D" w:themeColor="text1" w:themeTint="F2"/>
                <w:spacing w:val="-4"/>
              </w:rPr>
              <w:t>čtvrtletí</w:t>
            </w:r>
            <w:r>
              <w:rPr>
                <w:rFonts w:cs="Arial"/>
                <w:color w:val="0D0D0D" w:themeColor="text1" w:themeTint="F2"/>
                <w:spacing w:val="-4"/>
              </w:rPr>
              <w:t xml:space="preserve"> činilo meziročně 6,6</w:t>
            </w:r>
            <w:r w:rsidR="005723B7">
              <w:rPr>
                <w:rFonts w:cs="Arial"/>
                <w:color w:val="0D0D0D" w:themeColor="text1" w:themeTint="F2"/>
                <w:spacing w:val="-4"/>
              </w:rPr>
              <w:t> %</w:t>
            </w:r>
            <w:r>
              <w:rPr>
                <w:rFonts w:cs="Arial"/>
                <w:color w:val="0D0D0D" w:themeColor="text1" w:themeTint="F2"/>
                <w:spacing w:val="-4"/>
              </w:rPr>
              <w:t>, ve 3</w:t>
            </w:r>
            <w:r w:rsidR="005723B7">
              <w:rPr>
                <w:rFonts w:cs="Arial"/>
                <w:color w:val="0D0D0D" w:themeColor="text1" w:themeTint="F2"/>
                <w:spacing w:val="-4"/>
              </w:rPr>
              <w:t>. čtvrtletí</w:t>
            </w:r>
            <w:r>
              <w:rPr>
                <w:rFonts w:cs="Arial"/>
                <w:color w:val="0D0D0D" w:themeColor="text1" w:themeTint="F2"/>
                <w:spacing w:val="-4"/>
              </w:rPr>
              <w:t xml:space="preserve"> již vysokých 8,2</w:t>
            </w:r>
            <w:r w:rsidR="005723B7">
              <w:rPr>
                <w:rFonts w:cs="Arial"/>
                <w:color w:val="0D0D0D" w:themeColor="text1" w:themeTint="F2"/>
                <w:spacing w:val="-4"/>
              </w:rPr>
              <w:t> %</w:t>
            </w:r>
            <w:r>
              <w:rPr>
                <w:rFonts w:cs="Arial"/>
                <w:color w:val="0D0D0D" w:themeColor="text1" w:themeTint="F2"/>
                <w:spacing w:val="-4"/>
              </w:rPr>
              <w:t xml:space="preserve">. </w:t>
            </w:r>
          </w:p>
        </w:tc>
      </w:tr>
    </w:tbl>
    <w:p w:rsidR="00490B20" w:rsidRDefault="00490B20" w:rsidP="00490B20">
      <w:pPr>
        <w:pStyle w:val="Textpoznpodarou"/>
        <w:jc w:val="both"/>
        <w:rPr>
          <w:rFonts w:cs="Arial"/>
          <w:color w:val="000000"/>
          <w:spacing w:val="-2"/>
          <w:sz w:val="15"/>
          <w:szCs w:val="15"/>
        </w:rPr>
      </w:pPr>
    </w:p>
    <w:tbl>
      <w:tblPr>
        <w:tblW w:w="4963" w:type="pct"/>
        <w:tblInd w:w="108" w:type="dxa"/>
        <w:tblLayout w:type="fixed"/>
        <w:tblCellMar>
          <w:left w:w="57" w:type="dxa"/>
          <w:right w:w="0" w:type="dxa"/>
        </w:tblCellMar>
        <w:tblLook w:val="00A0"/>
      </w:tblPr>
      <w:tblGrid>
        <w:gridCol w:w="1965"/>
        <w:gridCol w:w="279"/>
        <w:gridCol w:w="1103"/>
        <w:gridCol w:w="6276"/>
      </w:tblGrid>
      <w:tr w:rsidR="00490B20" w:rsidRPr="00AA4A76" w:rsidTr="001356FC">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3" w:type="pct"/>
          </w:tcPr>
          <w:p w:rsidR="00490B20" w:rsidRPr="00177BD8" w:rsidRDefault="00490B20" w:rsidP="00876058">
            <w:pPr>
              <w:pStyle w:val="Textpoznpodarou"/>
              <w:jc w:val="both"/>
              <w:rPr>
                <w:spacing w:val="-4"/>
                <w:highlight w:val="yellow"/>
              </w:rPr>
            </w:pPr>
            <w:r>
              <w:rPr>
                <w:color w:val="000000"/>
                <w:spacing w:val="-4"/>
              </w:rPr>
              <w:t>Graf</w:t>
            </w:r>
            <w:r w:rsidR="00A36226">
              <w:rPr>
                <w:color w:val="000000"/>
                <w:spacing w:val="-4"/>
              </w:rPr>
              <w:t xml:space="preserve"> </w:t>
            </w:r>
            <w:r w:rsidR="00CC21A6">
              <w:rPr>
                <w:color w:val="000000"/>
                <w:spacing w:val="-4"/>
              </w:rPr>
              <w:t>č. </w:t>
            </w:r>
            <w:r w:rsidRPr="00177BD8">
              <w:rPr>
                <w:color w:val="000000"/>
                <w:spacing w:val="-4"/>
              </w:rPr>
              <w:t>2</w:t>
            </w:r>
            <w:r w:rsidR="001356FC">
              <w:rPr>
                <w:color w:val="000000"/>
                <w:spacing w:val="-4"/>
              </w:rPr>
              <w:t>0</w:t>
            </w:r>
          </w:p>
        </w:tc>
        <w:tc>
          <w:tcPr>
            <w:tcW w:w="3261" w:type="pct"/>
          </w:tcPr>
          <w:p w:rsidR="00490B20" w:rsidRPr="001356FC" w:rsidRDefault="00490B20" w:rsidP="00876058">
            <w:pPr>
              <w:spacing w:line="240" w:lineRule="auto"/>
              <w:rPr>
                <w:rFonts w:cs="Arial"/>
                <w:b/>
                <w:bCs/>
                <w:spacing w:val="-4"/>
              </w:rPr>
            </w:pPr>
            <w:r w:rsidRPr="001356FC">
              <w:rPr>
                <w:rFonts w:cs="Arial"/>
                <w:b/>
                <w:bCs/>
                <w:spacing w:val="-4"/>
              </w:rPr>
              <w:t>Příjemci důchodů</w:t>
            </w:r>
            <w:r w:rsidRPr="001356FC">
              <w:rPr>
                <w:rFonts w:cs="Arial"/>
                <w:bCs/>
                <w:spacing w:val="-4"/>
              </w:rPr>
              <w:t>,</w:t>
            </w:r>
            <w:r w:rsidRPr="001356FC">
              <w:rPr>
                <w:rFonts w:cs="Arial"/>
                <w:b/>
                <w:bCs/>
                <w:spacing w:val="-4"/>
              </w:rPr>
              <w:t xml:space="preserve"> příjmy i výdaje na důchody ze SR </w:t>
            </w:r>
            <w:r w:rsidRPr="001356FC">
              <w:rPr>
                <w:rFonts w:cs="Arial"/>
                <w:bCs/>
                <w:spacing w:val="-4"/>
              </w:rPr>
              <w:t>(</w:t>
            </w:r>
            <w:r w:rsidRPr="001356FC">
              <w:rPr>
                <w:spacing w:val="-4"/>
              </w:rPr>
              <w:t>meziročně</w:t>
            </w:r>
            <w:r w:rsidRPr="001356FC">
              <w:rPr>
                <w:bCs/>
                <w:spacing w:val="-4"/>
              </w:rPr>
              <w:t xml:space="preserve"> v</w:t>
            </w:r>
            <w:r w:rsidR="005723B7" w:rsidRPr="001356FC">
              <w:rPr>
                <w:bCs/>
                <w:spacing w:val="-4"/>
              </w:rPr>
              <w:t> %</w:t>
            </w:r>
            <w:r w:rsidRPr="001356FC">
              <w:rPr>
                <w:bCs/>
                <w:spacing w:val="-4"/>
              </w:rPr>
              <w:t>)</w:t>
            </w:r>
            <w:r w:rsidRPr="001356FC">
              <w:rPr>
                <w:rFonts w:cs="Arial"/>
                <w:bCs/>
                <w:spacing w:val="-4"/>
              </w:rPr>
              <w:t xml:space="preserve"> </w:t>
            </w:r>
            <w:r w:rsidRPr="001356FC">
              <w:rPr>
                <w:rFonts w:cs="Arial"/>
                <w:b/>
                <w:bCs/>
                <w:spacing w:val="-4"/>
              </w:rPr>
              <w:t>a bilance důchodového účtu v 1. až 3</w:t>
            </w:r>
            <w:r w:rsidR="005723B7" w:rsidRPr="001356FC">
              <w:rPr>
                <w:rFonts w:cs="Arial"/>
                <w:b/>
                <w:bCs/>
                <w:spacing w:val="-4"/>
              </w:rPr>
              <w:t>. čtvrtletí</w:t>
            </w:r>
            <w:r w:rsidRPr="001356FC">
              <w:rPr>
                <w:rFonts w:cs="Arial"/>
                <w:b/>
                <w:bCs/>
                <w:spacing w:val="-4"/>
              </w:rPr>
              <w:t xml:space="preserve">ch roku </w:t>
            </w:r>
            <w:r w:rsidRPr="001356FC">
              <w:rPr>
                <w:rFonts w:cs="Arial"/>
                <w:bCs/>
                <w:spacing w:val="-4"/>
              </w:rPr>
              <w:t>(v</w:t>
            </w:r>
            <w:r w:rsidR="006D164C" w:rsidRPr="001356FC">
              <w:rPr>
                <w:rFonts w:cs="Arial"/>
                <w:bCs/>
                <w:spacing w:val="-4"/>
              </w:rPr>
              <w:t> mld.</w:t>
            </w:r>
            <w:r w:rsidRPr="001356FC">
              <w:rPr>
                <w:rFonts w:cs="Arial"/>
                <w:bCs/>
                <w:spacing w:val="-4"/>
              </w:rPr>
              <w:t xml:space="preserve"> korun)</w:t>
            </w:r>
          </w:p>
        </w:tc>
      </w:tr>
      <w:tr w:rsidR="00490B20" w:rsidRPr="00AA4A76" w:rsidTr="001356FC">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4" w:type="pct"/>
            <w:gridSpan w:val="2"/>
          </w:tcPr>
          <w:p w:rsidR="00D1201B" w:rsidRDefault="00386F9F" w:rsidP="00D1201B">
            <w:pPr>
              <w:pStyle w:val="Textpoznpodarou"/>
              <w:jc w:val="both"/>
              <w:rPr>
                <w:rFonts w:cs="Arial"/>
                <w:sz w:val="14"/>
                <w:szCs w:val="14"/>
              </w:rPr>
            </w:pPr>
            <w:r w:rsidRPr="00386F9F">
              <w:rPr>
                <w:rFonts w:cs="Arial"/>
                <w:noProof/>
                <w:sz w:val="14"/>
                <w:szCs w:val="14"/>
              </w:rPr>
              <w:drawing>
                <wp:inline distT="0" distB="0" distL="0" distR="0">
                  <wp:extent cx="4752000" cy="35280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1201B">
              <w:rPr>
                <w:rFonts w:cs="Arial"/>
                <w:sz w:val="14"/>
                <w:szCs w:val="14"/>
              </w:rPr>
              <w:t>*</w:t>
            </w:r>
            <w:r>
              <w:rPr>
                <w:rFonts w:cs="Arial"/>
                <w:sz w:val="14"/>
                <w:szCs w:val="14"/>
              </w:rPr>
              <w:t>Jde o s</w:t>
            </w:r>
            <w:r w:rsidR="00490B20" w:rsidRPr="006D67AC">
              <w:rPr>
                <w:rFonts w:cs="Arial"/>
                <w:sz w:val="14"/>
                <w:szCs w:val="14"/>
              </w:rPr>
              <w:t>tarobní důchod přiznaný před dosažením důchodového v</w:t>
            </w:r>
            <w:r>
              <w:rPr>
                <w:rFonts w:cs="Arial"/>
                <w:sz w:val="14"/>
                <w:szCs w:val="14"/>
              </w:rPr>
              <w:t xml:space="preserve">ěku a krácený za předčasnost </w:t>
            </w:r>
            <w:r w:rsidR="00490B20" w:rsidRPr="006D67AC">
              <w:rPr>
                <w:rFonts w:cs="Arial"/>
                <w:sz w:val="14"/>
                <w:szCs w:val="14"/>
              </w:rPr>
              <w:t xml:space="preserve">po celou dobu </w:t>
            </w:r>
          </w:p>
          <w:p w:rsidR="00490B20" w:rsidRPr="00386F9F" w:rsidRDefault="00490B20" w:rsidP="00D1201B">
            <w:pPr>
              <w:pStyle w:val="Textpoznpodarou"/>
              <w:jc w:val="both"/>
              <w:rPr>
                <w:sz w:val="16"/>
                <w:szCs w:val="16"/>
              </w:rPr>
            </w:pPr>
            <w:r w:rsidRPr="006D67AC">
              <w:rPr>
                <w:rFonts w:cs="Arial"/>
                <w:sz w:val="14"/>
                <w:szCs w:val="14"/>
              </w:rPr>
              <w:t>pobí</w:t>
            </w:r>
            <w:r w:rsidR="00DF1FDA">
              <w:rPr>
                <w:rFonts w:cs="Arial"/>
                <w:sz w:val="14"/>
                <w:szCs w:val="14"/>
              </w:rPr>
              <w:t xml:space="preserve">rání důchodu.                                              </w:t>
            </w:r>
            <w:r w:rsidR="00D1201B">
              <w:rPr>
                <w:rFonts w:cs="Arial"/>
                <w:sz w:val="14"/>
                <w:szCs w:val="14"/>
              </w:rPr>
              <w:t xml:space="preserve">                            </w:t>
            </w:r>
            <w:r w:rsidR="00DF1FDA">
              <w:rPr>
                <w:rFonts w:cs="Arial"/>
                <w:sz w:val="14"/>
                <w:szCs w:val="14"/>
              </w:rPr>
              <w:t xml:space="preserve">     </w:t>
            </w:r>
            <w:r w:rsidR="00386F9F">
              <w:rPr>
                <w:rFonts w:cs="Arial"/>
                <w:sz w:val="14"/>
                <w:szCs w:val="14"/>
              </w:rPr>
              <w:t xml:space="preserve">                 </w:t>
            </w:r>
            <w:r w:rsidR="00D1201B">
              <w:rPr>
                <w:rFonts w:cs="Arial"/>
                <w:sz w:val="14"/>
                <w:szCs w:val="14"/>
              </w:rPr>
              <w:t xml:space="preserve">                             </w:t>
            </w:r>
            <w:r w:rsidR="00DF1FDA">
              <w:rPr>
                <w:rFonts w:cs="Arial"/>
                <w:sz w:val="14"/>
                <w:szCs w:val="14"/>
              </w:rPr>
              <w:t xml:space="preserve">      </w:t>
            </w:r>
            <w:r w:rsidRPr="007E5880">
              <w:rPr>
                <w:sz w:val="14"/>
                <w:szCs w:val="14"/>
              </w:rPr>
              <w:t>Zdroj: MF, ČSSZ</w:t>
            </w:r>
          </w:p>
        </w:tc>
      </w:tr>
    </w:tbl>
    <w:p w:rsidR="00490B20" w:rsidRDefault="00490B20" w:rsidP="00490B20">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490B20" w:rsidRPr="00BB4331" w:rsidTr="00876058">
        <w:trPr>
          <w:trHeight w:val="145"/>
        </w:trPr>
        <w:tc>
          <w:tcPr>
            <w:tcW w:w="1016" w:type="pct"/>
            <w:shd w:val="clear" w:color="auto" w:fill="auto"/>
          </w:tcPr>
          <w:p w:rsidR="00490B20" w:rsidRPr="00901B97" w:rsidRDefault="00490B20" w:rsidP="00876058">
            <w:pPr>
              <w:spacing w:line="240" w:lineRule="auto"/>
              <w:rPr>
                <w:rFonts w:cs="Arial"/>
                <w:bCs/>
                <w:iCs/>
                <w:color w:val="0D0D0D" w:themeColor="text1" w:themeTint="F2"/>
                <w:spacing w:val="-2"/>
                <w:sz w:val="16"/>
                <w:szCs w:val="16"/>
              </w:rPr>
            </w:pPr>
            <w:r w:rsidRPr="00901B97">
              <w:rPr>
                <w:rFonts w:cs="Arial"/>
                <w:bCs/>
                <w:iCs/>
                <w:color w:val="0D0D0D" w:themeColor="text1" w:themeTint="F2"/>
                <w:spacing w:val="-2"/>
                <w:sz w:val="16"/>
                <w:szCs w:val="16"/>
              </w:rPr>
              <w:t xml:space="preserve">Pokračoval růst </w:t>
            </w:r>
            <w:r>
              <w:rPr>
                <w:rFonts w:cs="Arial"/>
                <w:bCs/>
                <w:iCs/>
                <w:color w:val="0D0D0D" w:themeColor="text1" w:themeTint="F2"/>
                <w:spacing w:val="-2"/>
                <w:sz w:val="16"/>
                <w:szCs w:val="16"/>
              </w:rPr>
              <w:t xml:space="preserve">objemu </w:t>
            </w:r>
            <w:r w:rsidRPr="00901B97">
              <w:rPr>
                <w:rFonts w:cs="Arial"/>
                <w:bCs/>
                <w:iCs/>
                <w:color w:val="0D0D0D" w:themeColor="text1" w:themeTint="F2"/>
                <w:spacing w:val="-2"/>
                <w:sz w:val="16"/>
                <w:szCs w:val="16"/>
              </w:rPr>
              <w:t>dávek nemocenského pojištění, legislativní úpravou posílily příspěvky na péči.</w:t>
            </w:r>
          </w:p>
          <w:p w:rsidR="00490B20" w:rsidRDefault="00490B20" w:rsidP="00876058">
            <w:pPr>
              <w:spacing w:line="240" w:lineRule="auto"/>
              <w:rPr>
                <w:rFonts w:cs="Arial"/>
                <w:bCs/>
                <w:iCs/>
                <w:color w:val="0D0D0D" w:themeColor="text1" w:themeTint="F2"/>
                <w:spacing w:val="-2"/>
                <w:sz w:val="16"/>
                <w:szCs w:val="16"/>
              </w:rPr>
            </w:pPr>
          </w:p>
          <w:p w:rsidR="00490B20" w:rsidRDefault="00490B20" w:rsidP="00876058">
            <w:pPr>
              <w:spacing w:line="240" w:lineRule="auto"/>
              <w:rPr>
                <w:rFonts w:cs="Arial"/>
                <w:bCs/>
                <w:iCs/>
                <w:color w:val="0D0D0D" w:themeColor="text1" w:themeTint="F2"/>
                <w:spacing w:val="-2"/>
                <w:sz w:val="16"/>
                <w:szCs w:val="16"/>
              </w:rPr>
            </w:pPr>
          </w:p>
          <w:p w:rsidR="00490B20" w:rsidRPr="00901B97" w:rsidRDefault="00490B20" w:rsidP="00876058">
            <w:pPr>
              <w:spacing w:line="240" w:lineRule="auto"/>
              <w:rPr>
                <w:rFonts w:cs="Arial"/>
                <w:bCs/>
                <w:iCs/>
                <w:color w:val="0D0D0D" w:themeColor="text1" w:themeTint="F2"/>
                <w:spacing w:val="-2"/>
                <w:sz w:val="16"/>
                <w:szCs w:val="16"/>
              </w:rPr>
            </w:pPr>
          </w:p>
          <w:p w:rsidR="00490B20" w:rsidRDefault="00490B20" w:rsidP="00876058">
            <w:pPr>
              <w:spacing w:line="240" w:lineRule="auto"/>
              <w:rPr>
                <w:rFonts w:cs="Arial"/>
                <w:bCs/>
                <w:iCs/>
                <w:color w:val="0D0D0D" w:themeColor="text1" w:themeTint="F2"/>
                <w:spacing w:val="-2"/>
                <w:sz w:val="16"/>
                <w:szCs w:val="16"/>
              </w:rPr>
            </w:pPr>
          </w:p>
          <w:p w:rsidR="00490B20" w:rsidRPr="00B7165E" w:rsidRDefault="00490B20" w:rsidP="00876058">
            <w:pPr>
              <w:spacing w:line="240" w:lineRule="auto"/>
              <w:rPr>
                <w:rFonts w:cs="Arial"/>
                <w:bCs/>
                <w:iCs/>
                <w:color w:val="0D0D0D" w:themeColor="text1" w:themeTint="F2"/>
                <w:spacing w:val="-4"/>
                <w:sz w:val="16"/>
                <w:szCs w:val="16"/>
              </w:rPr>
            </w:pPr>
          </w:p>
          <w:p w:rsidR="00490B20" w:rsidRPr="00D66F29" w:rsidRDefault="00490B20" w:rsidP="00876058">
            <w:pPr>
              <w:spacing w:line="240" w:lineRule="auto"/>
              <w:rPr>
                <w:rFonts w:cs="Arial"/>
                <w:bCs/>
                <w:iCs/>
                <w:color w:val="0D0D0D" w:themeColor="text1" w:themeTint="F2"/>
                <w:sz w:val="16"/>
                <w:szCs w:val="16"/>
              </w:rPr>
            </w:pPr>
            <w:r w:rsidRPr="00B7165E">
              <w:rPr>
                <w:rFonts w:cs="Arial"/>
                <w:bCs/>
                <w:iCs/>
                <w:color w:val="0D0D0D" w:themeColor="text1" w:themeTint="F2"/>
                <w:spacing w:val="-4"/>
                <w:sz w:val="16"/>
                <w:szCs w:val="16"/>
              </w:rPr>
              <w:t xml:space="preserve">Mírný růst výdajů na státní sociální podporu se po čtyřech letech zastavil. Stát vydal méně i na podporu nezaměstnaným, </w:t>
            </w:r>
            <w:r>
              <w:rPr>
                <w:rFonts w:cs="Arial"/>
                <w:bCs/>
                <w:iCs/>
                <w:color w:val="0D0D0D" w:themeColor="text1" w:themeTint="F2"/>
                <w:spacing w:val="-4"/>
                <w:sz w:val="16"/>
                <w:szCs w:val="16"/>
              </w:rPr>
              <w:t>výrazně větší úspory</w:t>
            </w:r>
            <w:r w:rsidRPr="00B7165E">
              <w:rPr>
                <w:rFonts w:cs="Arial"/>
                <w:bCs/>
                <w:iCs/>
                <w:color w:val="0D0D0D" w:themeColor="text1" w:themeTint="F2"/>
                <w:spacing w:val="-4"/>
                <w:sz w:val="16"/>
                <w:szCs w:val="16"/>
              </w:rPr>
              <w:t xml:space="preserve"> </w:t>
            </w:r>
            <w:r>
              <w:rPr>
                <w:rFonts w:cs="Arial"/>
                <w:bCs/>
                <w:iCs/>
                <w:color w:val="0D0D0D" w:themeColor="text1" w:themeTint="F2"/>
                <w:spacing w:val="-4"/>
                <w:sz w:val="16"/>
                <w:szCs w:val="16"/>
              </w:rPr>
              <w:t>bylo dosaženo</w:t>
            </w:r>
            <w:r w:rsidRPr="00B7165E">
              <w:rPr>
                <w:rFonts w:cs="Arial"/>
                <w:bCs/>
                <w:iCs/>
                <w:color w:val="0D0D0D" w:themeColor="text1" w:themeTint="F2"/>
                <w:spacing w:val="-4"/>
                <w:sz w:val="16"/>
                <w:szCs w:val="16"/>
              </w:rPr>
              <w:t xml:space="preserve"> u dávek hmotné nouze.</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255F1E" w:rsidRDefault="00490B20" w:rsidP="00876058">
            <w:pPr>
              <w:pStyle w:val="Textpoznpodarou"/>
              <w:jc w:val="both"/>
              <w:rPr>
                <w:spacing w:val="-4"/>
              </w:rPr>
            </w:pPr>
            <w:r>
              <w:rPr>
                <w:rFonts w:cs="Arial"/>
                <w:color w:val="0D0D0D" w:themeColor="text1" w:themeTint="F2"/>
                <w:spacing w:val="-4"/>
              </w:rPr>
              <w:t>Oproti důchodům se v</w:t>
            </w:r>
            <w:r w:rsidRPr="00751FC1">
              <w:rPr>
                <w:rFonts w:cs="Arial"/>
                <w:color w:val="0D0D0D" w:themeColor="text1" w:themeTint="F2"/>
                <w:spacing w:val="-4"/>
              </w:rPr>
              <w:t xml:space="preserve">ýdaje </w:t>
            </w:r>
            <w:r>
              <w:rPr>
                <w:rFonts w:cs="Arial"/>
                <w:color w:val="0D0D0D" w:themeColor="text1" w:themeTint="F2"/>
                <w:spacing w:val="-4"/>
              </w:rPr>
              <w:t xml:space="preserve">na </w:t>
            </w:r>
            <w:r w:rsidRPr="00F510CE">
              <w:rPr>
                <w:rFonts w:cs="Arial"/>
                <w:color w:val="0D0D0D" w:themeColor="text1" w:themeTint="F2"/>
                <w:spacing w:val="-4"/>
              </w:rPr>
              <w:t>ostatní sociální dávky</w:t>
            </w:r>
            <w:r>
              <w:rPr>
                <w:rFonts w:cs="Arial"/>
                <w:color w:val="0D0D0D" w:themeColor="text1" w:themeTint="F2"/>
                <w:spacing w:val="-4"/>
              </w:rPr>
              <w:t xml:space="preserve"> zvyšovaly zhruba polovičním tempem (+1,9</w:t>
            </w:r>
            <w:r w:rsidR="005723B7">
              <w:rPr>
                <w:rFonts w:cs="Arial"/>
                <w:color w:val="0D0D0D" w:themeColor="text1" w:themeTint="F2"/>
                <w:spacing w:val="-4"/>
              </w:rPr>
              <w:t> %</w:t>
            </w:r>
            <w:r>
              <w:rPr>
                <w:rFonts w:cs="Arial"/>
                <w:color w:val="0D0D0D" w:themeColor="text1" w:themeTint="F2"/>
                <w:spacing w:val="-4"/>
              </w:rPr>
              <w:t>, o rok dříve +2,2</w:t>
            </w:r>
            <w:r w:rsidR="005723B7">
              <w:rPr>
                <w:rFonts w:cs="Arial"/>
                <w:color w:val="0D0D0D" w:themeColor="text1" w:themeTint="F2"/>
                <w:spacing w:val="-4"/>
              </w:rPr>
              <w:t> %</w:t>
            </w:r>
            <w:r>
              <w:rPr>
                <w:rFonts w:cs="Arial"/>
                <w:color w:val="0D0D0D" w:themeColor="text1" w:themeTint="F2"/>
                <w:spacing w:val="-4"/>
              </w:rPr>
              <w:t>). Jejich růst byl v 1. až 3</w:t>
            </w:r>
            <w:r w:rsidR="005723B7">
              <w:rPr>
                <w:rFonts w:cs="Arial"/>
                <w:color w:val="0D0D0D" w:themeColor="text1" w:themeTint="F2"/>
                <w:spacing w:val="-4"/>
              </w:rPr>
              <w:t>. čtvrtletí</w:t>
            </w:r>
            <w:r>
              <w:rPr>
                <w:rFonts w:cs="Arial"/>
                <w:color w:val="0D0D0D" w:themeColor="text1" w:themeTint="F2"/>
                <w:spacing w:val="-4"/>
              </w:rPr>
              <w:t xml:space="preserve"> – podobně jako v předešlých dvou letech – nejvíce tažen výdaji</w:t>
            </w:r>
            <w:r w:rsidRPr="00751FC1">
              <w:rPr>
                <w:rFonts w:cs="Arial"/>
                <w:color w:val="0D0D0D" w:themeColor="text1" w:themeTint="F2"/>
                <w:spacing w:val="-4"/>
              </w:rPr>
              <w:t xml:space="preserve"> na </w:t>
            </w:r>
            <w:r w:rsidRPr="00751FC1">
              <w:rPr>
                <w:color w:val="000000" w:themeColor="text1"/>
                <w:spacing w:val="-4"/>
              </w:rPr>
              <w:t>dávky nemocenského pojištění</w:t>
            </w:r>
            <w:r>
              <w:rPr>
                <w:color w:val="000000" w:themeColor="text1"/>
                <w:spacing w:val="-4"/>
              </w:rPr>
              <w:t>. Ty souvisely jak s vyšším objem dávek nemocenské (+7,9</w:t>
            </w:r>
            <w:r w:rsidR="005723B7">
              <w:rPr>
                <w:color w:val="000000" w:themeColor="text1"/>
                <w:spacing w:val="-4"/>
              </w:rPr>
              <w:t> %</w:t>
            </w:r>
            <w:r>
              <w:rPr>
                <w:color w:val="000000" w:themeColor="text1"/>
                <w:spacing w:val="-4"/>
              </w:rPr>
              <w:t>), tak i</w:t>
            </w:r>
            <w:r w:rsidR="006F65A8">
              <w:rPr>
                <w:color w:val="000000" w:themeColor="text1"/>
                <w:spacing w:val="-4"/>
              </w:rPr>
              <w:t> s </w:t>
            </w:r>
            <w:r>
              <w:rPr>
                <w:spacing w:val="-4"/>
              </w:rPr>
              <w:t>vyšším</w:t>
            </w:r>
            <w:r w:rsidRPr="00751FC1">
              <w:rPr>
                <w:spacing w:val="-4"/>
              </w:rPr>
              <w:t xml:space="preserve"> čerpáním peněžité pomoci v</w:t>
            </w:r>
            <w:r>
              <w:rPr>
                <w:spacing w:val="-4"/>
              </w:rPr>
              <w:t> </w:t>
            </w:r>
            <w:r w:rsidRPr="00751FC1">
              <w:rPr>
                <w:spacing w:val="-4"/>
              </w:rPr>
              <w:t>mateřstv</w:t>
            </w:r>
            <w:r>
              <w:rPr>
                <w:spacing w:val="-4"/>
              </w:rPr>
              <w:t>í (+5,8</w:t>
            </w:r>
            <w:r w:rsidR="005723B7">
              <w:rPr>
                <w:spacing w:val="-4"/>
              </w:rPr>
              <w:t> %</w:t>
            </w:r>
            <w:r>
              <w:rPr>
                <w:spacing w:val="-4"/>
              </w:rPr>
              <w:t>). Více vydal SR také na příspěvcích na péči (pro dlouhodobě nemocné), jejichž růst zrychlil na 11</w:t>
            </w:r>
            <w:r w:rsidR="005723B7">
              <w:rPr>
                <w:spacing w:val="-4"/>
              </w:rPr>
              <w:t> %</w:t>
            </w:r>
            <w:r>
              <w:rPr>
                <w:spacing w:val="-4"/>
              </w:rPr>
              <w:t xml:space="preserve"> (z loňských 6</w:t>
            </w:r>
            <w:r w:rsidR="005723B7">
              <w:rPr>
                <w:spacing w:val="-4"/>
              </w:rPr>
              <w:t> %</w:t>
            </w:r>
            <w:r>
              <w:rPr>
                <w:spacing w:val="-4"/>
              </w:rPr>
              <w:t>)</w:t>
            </w:r>
            <w:r>
              <w:rPr>
                <w:rStyle w:val="Znakapoznpodarou"/>
                <w:spacing w:val="-4"/>
              </w:rPr>
              <w:footnoteReference w:id="8"/>
            </w:r>
            <w:r>
              <w:rPr>
                <w:spacing w:val="-4"/>
              </w:rPr>
              <w:t>. Na většině ostatních dávek se projevoval efekt hospodářského růstu, který zlepšil finanční situaci domácností. Již čtvrtým rokem v řadě ušetřil stát na podporách v nezaměstnanosti (za poslední rok 4,2</w:t>
            </w:r>
            <w:r w:rsidR="005723B7">
              <w:rPr>
                <w:spacing w:val="-4"/>
              </w:rPr>
              <w:t> %</w:t>
            </w:r>
            <w:r>
              <w:rPr>
                <w:spacing w:val="-4"/>
              </w:rPr>
              <w:t>)</w:t>
            </w:r>
            <w:r>
              <w:rPr>
                <w:rStyle w:val="Znakapoznpodarou"/>
                <w:spacing w:val="-4"/>
              </w:rPr>
              <w:footnoteReference w:id="9"/>
            </w:r>
            <w:r>
              <w:rPr>
                <w:spacing w:val="-4"/>
              </w:rPr>
              <w:t>. S větší intenzitou se redukoval objem dávek hmotné nouze (o pětinu, za tři roky o třetinu), a to jak u</w:t>
            </w:r>
            <w:r w:rsidR="009D182E">
              <w:rPr>
                <w:spacing w:val="-4"/>
              </w:rPr>
              <w:t> </w:t>
            </w:r>
            <w:r>
              <w:rPr>
                <w:spacing w:val="-4"/>
              </w:rPr>
              <w:t>doplatků na bydlení, tak u</w:t>
            </w:r>
            <w:r w:rsidR="009D182E">
              <w:rPr>
                <w:spacing w:val="-4"/>
              </w:rPr>
              <w:t> </w:t>
            </w:r>
            <w:r>
              <w:rPr>
                <w:spacing w:val="-4"/>
              </w:rPr>
              <w:t>příspěvků na živobytí. Váhově významná skupina dávek státní sociální podpory (SSP), která v předchozích čtyřech letech vykazovala mírný růst, o</w:t>
            </w:r>
            <w:r w:rsidR="009D182E">
              <w:rPr>
                <w:spacing w:val="-4"/>
              </w:rPr>
              <w:t> </w:t>
            </w:r>
            <w:r>
              <w:rPr>
                <w:spacing w:val="-4"/>
              </w:rPr>
              <w:t>1,2</w:t>
            </w:r>
            <w:r w:rsidR="005723B7">
              <w:rPr>
                <w:spacing w:val="-4"/>
              </w:rPr>
              <w:t> %</w:t>
            </w:r>
            <w:r>
              <w:rPr>
                <w:spacing w:val="-4"/>
              </w:rPr>
              <w:t xml:space="preserve"> poklesla. Stát tak meziročně vydal méně především na příspěvky na bydlení (</w:t>
            </w:r>
            <w:r w:rsidR="009D182E">
              <w:rPr>
                <w:spacing w:val="-4"/>
              </w:rPr>
              <w:t>–</w:t>
            </w:r>
            <w:r>
              <w:rPr>
                <w:spacing w:val="-4"/>
              </w:rPr>
              <w:t>6,2</w:t>
            </w:r>
            <w:r w:rsidR="005723B7">
              <w:rPr>
                <w:spacing w:val="-4"/>
              </w:rPr>
              <w:t> %</w:t>
            </w:r>
            <w:r>
              <w:rPr>
                <w:spacing w:val="-4"/>
              </w:rPr>
              <w:t>) a přídavky na dítě (</w:t>
            </w:r>
            <w:r w:rsidR="009D182E">
              <w:rPr>
                <w:spacing w:val="-4"/>
              </w:rPr>
              <w:t>–</w:t>
            </w:r>
            <w:r>
              <w:rPr>
                <w:spacing w:val="-4"/>
              </w:rPr>
              <w:t>10,6</w:t>
            </w:r>
            <w:r w:rsidR="005723B7">
              <w:rPr>
                <w:spacing w:val="-4"/>
              </w:rPr>
              <w:t> %</w:t>
            </w:r>
            <w:r>
              <w:rPr>
                <w:spacing w:val="-4"/>
              </w:rPr>
              <w:t>). Vzrostly naopak výdaje na rodičovské příspěvky (+1,6</w:t>
            </w:r>
            <w:r w:rsidR="005723B7">
              <w:rPr>
                <w:spacing w:val="-4"/>
              </w:rPr>
              <w:t> %</w:t>
            </w:r>
            <w:r>
              <w:rPr>
                <w:spacing w:val="-4"/>
              </w:rPr>
              <w:t>). Tato dávka však na rozdíl o</w:t>
            </w:r>
            <w:r w:rsidR="009D182E">
              <w:rPr>
                <w:spacing w:val="-4"/>
              </w:rPr>
              <w:t>d</w:t>
            </w:r>
            <w:r>
              <w:rPr>
                <w:spacing w:val="-4"/>
              </w:rPr>
              <w:t xml:space="preserve"> většiny ostatních dávek </w:t>
            </w:r>
            <w:r w:rsidR="00DF1FDA">
              <w:rPr>
                <w:spacing w:val="-4"/>
              </w:rPr>
              <w:t xml:space="preserve">SSP </w:t>
            </w:r>
            <w:r>
              <w:rPr>
                <w:spacing w:val="-4"/>
              </w:rPr>
              <w:t>není vázána na příjem rodiny a</w:t>
            </w:r>
            <w:r w:rsidR="009D182E">
              <w:rPr>
                <w:spacing w:val="-4"/>
              </w:rPr>
              <w:t> </w:t>
            </w:r>
            <w:r>
              <w:rPr>
                <w:spacing w:val="-4"/>
              </w:rPr>
              <w:t xml:space="preserve">její vývoj tak spíše odráží mírný růst plodnosti v posledních letech. </w:t>
            </w:r>
          </w:p>
        </w:tc>
      </w:tr>
    </w:tbl>
    <w:p w:rsidR="00490B20" w:rsidRPr="00126C70" w:rsidRDefault="00490B20" w:rsidP="00490B20">
      <w:pPr>
        <w:pStyle w:val="Textpoznpodarou"/>
        <w:jc w:val="both"/>
        <w:rPr>
          <w:rFonts w:cs="Arial"/>
          <w:color w:val="000000"/>
          <w:spacing w:val="-2"/>
          <w:sz w:val="10"/>
          <w:szCs w:val="10"/>
        </w:rPr>
      </w:pPr>
    </w:p>
    <w:tbl>
      <w:tblPr>
        <w:tblW w:w="4963" w:type="pct"/>
        <w:tblInd w:w="108" w:type="dxa"/>
        <w:tblLayout w:type="fixed"/>
        <w:tblLook w:val="00A0"/>
      </w:tblPr>
      <w:tblGrid>
        <w:gridCol w:w="1997"/>
        <w:gridCol w:w="284"/>
        <w:gridCol w:w="1119"/>
        <w:gridCol w:w="6381"/>
      </w:tblGrid>
      <w:tr w:rsidR="00490B20" w:rsidRPr="00AA4A76"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9D182E">
              <w:rPr>
                <w:color w:val="000000"/>
              </w:rPr>
              <w:t>č. </w:t>
            </w:r>
            <w:r>
              <w:rPr>
                <w:color w:val="000000"/>
              </w:rPr>
              <w:t>2</w:t>
            </w:r>
            <w:r w:rsidR="001356FC">
              <w:rPr>
                <w:color w:val="000000"/>
              </w:rPr>
              <w:t>1</w:t>
            </w:r>
          </w:p>
        </w:tc>
        <w:tc>
          <w:tcPr>
            <w:tcW w:w="3262" w:type="pct"/>
          </w:tcPr>
          <w:p w:rsidR="00490B20" w:rsidRDefault="00490B20" w:rsidP="00876058">
            <w:pPr>
              <w:spacing w:line="240" w:lineRule="auto"/>
              <w:rPr>
                <w:rFonts w:cs="Arial"/>
                <w:b/>
                <w:bCs/>
              </w:rPr>
            </w:pPr>
            <w:r>
              <w:rPr>
                <w:rFonts w:cs="Arial"/>
                <w:b/>
                <w:bCs/>
              </w:rPr>
              <w:t>Vybrané výdaje státního rozpočtu v 1. až 3</w:t>
            </w:r>
            <w:r w:rsidR="005723B7">
              <w:rPr>
                <w:rFonts w:cs="Arial"/>
                <w:b/>
                <w:bCs/>
              </w:rPr>
              <w:t>. čtvrtletí</w:t>
            </w:r>
            <w:r>
              <w:rPr>
                <w:rFonts w:cs="Arial"/>
                <w:b/>
                <w:bCs/>
              </w:rPr>
              <w:t>ch</w:t>
            </w:r>
            <w:r w:rsidRPr="006808C5">
              <w:rPr>
                <w:rFonts w:cs="Arial"/>
                <w:b/>
                <w:bCs/>
              </w:rPr>
              <w:t xml:space="preserve"> roku</w:t>
            </w:r>
            <w:r>
              <w:rPr>
                <w:rFonts w:cs="Arial"/>
                <w:b/>
                <w:bCs/>
              </w:rPr>
              <w:t xml:space="preserve"> </w:t>
            </w:r>
          </w:p>
          <w:p w:rsidR="00490B20" w:rsidRPr="0007324C" w:rsidRDefault="00490B20" w:rsidP="00876058">
            <w:pPr>
              <w:spacing w:line="240" w:lineRule="auto"/>
              <w:rPr>
                <w:rFonts w:cs="Arial"/>
                <w:b/>
                <w:bCs/>
              </w:rPr>
            </w:pPr>
            <w:r>
              <w:rPr>
                <w:rFonts w:cs="Arial"/>
                <w:bCs/>
              </w:rPr>
              <w:t>(</w:t>
            </w:r>
            <w:r w:rsidRPr="00DB06E9">
              <w:rPr>
                <w:rFonts w:cs="Arial"/>
                <w:bCs/>
              </w:rPr>
              <w:t>v</w:t>
            </w:r>
            <w:r w:rsidR="006D164C">
              <w:rPr>
                <w:rFonts w:cs="Arial"/>
                <w:bCs/>
              </w:rPr>
              <w:t> mld.</w:t>
            </w:r>
            <w:r w:rsidRPr="00DB06E9">
              <w:rPr>
                <w:rFonts w:cs="Arial"/>
                <w:bCs/>
              </w:rPr>
              <w:t xml:space="preserve"> korun</w:t>
            </w:r>
            <w:r>
              <w:rPr>
                <w:rFonts w:cs="Arial"/>
                <w:bCs/>
              </w:rPr>
              <w:t>)</w:t>
            </w:r>
          </w:p>
        </w:tc>
      </w:tr>
      <w:tr w:rsidR="00490B20" w:rsidRPr="00AA4A76"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585CF1">
              <w:rPr>
                <w:noProof/>
                <w:sz w:val="16"/>
                <w:szCs w:val="16"/>
              </w:rPr>
              <w:drawing>
                <wp:inline distT="0" distB="0" distL="0" distR="0">
                  <wp:extent cx="4752000" cy="3528000"/>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0B20" w:rsidRDefault="00490B20" w:rsidP="00876058">
            <w:pPr>
              <w:pStyle w:val="Textpoznpodarou"/>
              <w:rPr>
                <w:sz w:val="14"/>
                <w:szCs w:val="14"/>
              </w:rPr>
            </w:pPr>
            <w:r>
              <w:rPr>
                <w:sz w:val="14"/>
                <w:szCs w:val="14"/>
              </w:rPr>
              <w:t>*</w:t>
            </w:r>
            <w:r w:rsidR="009D182E">
              <w:rPr>
                <w:sz w:val="14"/>
                <w:szCs w:val="14"/>
              </w:rPr>
              <w:t xml:space="preserve"> v</w:t>
            </w:r>
            <w:r>
              <w:rPr>
                <w:sz w:val="14"/>
                <w:szCs w:val="14"/>
              </w:rPr>
              <w:t>č</w:t>
            </w:r>
            <w:r w:rsidR="009D182E">
              <w:rPr>
                <w:sz w:val="14"/>
                <w:szCs w:val="14"/>
              </w:rPr>
              <w:t>etně</w:t>
            </w:r>
            <w:r>
              <w:rPr>
                <w:sz w:val="14"/>
                <w:szCs w:val="14"/>
              </w:rPr>
              <w:t xml:space="preserve"> dávek pěstounské péče</w:t>
            </w:r>
          </w:p>
          <w:p w:rsidR="00490B20" w:rsidRPr="007E5880" w:rsidRDefault="00490B20" w:rsidP="00876058">
            <w:pPr>
              <w:pStyle w:val="Textpoznpodarou"/>
              <w:rPr>
                <w:sz w:val="14"/>
                <w:szCs w:val="14"/>
              </w:rPr>
            </w:pPr>
            <w:r>
              <w:rPr>
                <w:sz w:val="14"/>
                <w:szCs w:val="14"/>
              </w:rPr>
              <w:t>**</w:t>
            </w:r>
            <w:r w:rsidR="009D182E">
              <w:rPr>
                <w:sz w:val="14"/>
                <w:szCs w:val="14"/>
              </w:rPr>
              <w:t xml:space="preserve"> d</w:t>
            </w:r>
            <w:r w:rsidRPr="007E5880">
              <w:rPr>
                <w:sz w:val="14"/>
                <w:szCs w:val="14"/>
              </w:rPr>
              <w:t>ávky pomoci</w:t>
            </w:r>
            <w:r>
              <w:rPr>
                <w:sz w:val="14"/>
                <w:szCs w:val="14"/>
              </w:rPr>
              <w:t xml:space="preserve"> v hmot.</w:t>
            </w:r>
            <w:r w:rsidRPr="007E5880">
              <w:rPr>
                <w:sz w:val="14"/>
                <w:szCs w:val="14"/>
              </w:rPr>
              <w:t xml:space="preserve"> </w:t>
            </w:r>
            <w:r w:rsidR="009D182E">
              <w:rPr>
                <w:sz w:val="14"/>
                <w:szCs w:val="14"/>
              </w:rPr>
              <w:t>n</w:t>
            </w:r>
            <w:r w:rsidRPr="007E5880">
              <w:rPr>
                <w:sz w:val="14"/>
                <w:szCs w:val="14"/>
              </w:rPr>
              <w:t>ouzi,</w:t>
            </w:r>
            <w:r>
              <w:rPr>
                <w:sz w:val="14"/>
                <w:szCs w:val="14"/>
              </w:rPr>
              <w:t xml:space="preserve"> dávky osobám se zdravot.</w:t>
            </w:r>
            <w:r w:rsidRPr="007E5880">
              <w:rPr>
                <w:sz w:val="14"/>
                <w:szCs w:val="14"/>
              </w:rPr>
              <w:t xml:space="preserve"> </w:t>
            </w:r>
            <w:r w:rsidR="009D182E">
              <w:rPr>
                <w:sz w:val="14"/>
                <w:szCs w:val="14"/>
              </w:rPr>
              <w:t>p</w:t>
            </w:r>
            <w:r w:rsidRPr="007E5880">
              <w:rPr>
                <w:sz w:val="14"/>
                <w:szCs w:val="14"/>
              </w:rPr>
              <w:t>ostižením, příspěvek na péči dle zákona o soc.</w:t>
            </w:r>
            <w:r>
              <w:rPr>
                <w:sz w:val="14"/>
                <w:szCs w:val="14"/>
              </w:rPr>
              <w:t xml:space="preserve"> službách</w:t>
            </w:r>
          </w:p>
          <w:p w:rsidR="00490B20" w:rsidRPr="007E5880" w:rsidRDefault="00490B20" w:rsidP="00876058">
            <w:pPr>
              <w:pStyle w:val="Textpoznpodarou"/>
              <w:rPr>
                <w:sz w:val="14"/>
                <w:szCs w:val="14"/>
              </w:rPr>
            </w:pPr>
            <w:r>
              <w:rPr>
                <w:sz w:val="14"/>
                <w:szCs w:val="14"/>
              </w:rPr>
              <w:t>*** bez úroků, záruk a ostatních</w:t>
            </w:r>
            <w:r w:rsidRPr="00C9521B">
              <w:rPr>
                <w:sz w:val="14"/>
                <w:szCs w:val="14"/>
              </w:rPr>
              <w:t xml:space="preserve"> finančních výdajů na státní dluh</w:t>
            </w:r>
            <w:r>
              <w:rPr>
                <w:sz w:val="14"/>
                <w:szCs w:val="14"/>
              </w:rPr>
              <w:t xml:space="preserve">                          </w:t>
            </w:r>
            <w:r w:rsidRPr="00C9521B">
              <w:rPr>
                <w:sz w:val="14"/>
                <w:szCs w:val="14"/>
              </w:rPr>
              <w:t xml:space="preserve"> </w:t>
            </w:r>
            <w:r>
              <w:rPr>
                <w:sz w:val="14"/>
                <w:szCs w:val="14"/>
              </w:rPr>
              <w:t xml:space="preserve">                              </w:t>
            </w:r>
            <w:r>
              <w:rPr>
                <w:rFonts w:cs="Arial"/>
                <w:sz w:val="14"/>
                <w:szCs w:val="14"/>
              </w:rPr>
              <w:t>Zdroj: MF</w:t>
            </w:r>
            <w:r w:rsidRPr="007E5880">
              <w:rPr>
                <w:rFonts w:cs="Arial"/>
                <w:sz w:val="14"/>
                <w:szCs w:val="14"/>
              </w:rPr>
              <w:t>, MPSV</w:t>
            </w:r>
          </w:p>
        </w:tc>
      </w:tr>
    </w:tbl>
    <w:p w:rsidR="00490B20" w:rsidRDefault="00490B20" w:rsidP="00490B20">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490B20" w:rsidRPr="00AD0FC0" w:rsidTr="00876058">
        <w:trPr>
          <w:trHeight w:val="145"/>
        </w:trPr>
        <w:tc>
          <w:tcPr>
            <w:tcW w:w="1016" w:type="pct"/>
            <w:shd w:val="clear" w:color="auto" w:fill="auto"/>
          </w:tcPr>
          <w:p w:rsidR="00490B20" w:rsidRPr="00343DE4" w:rsidRDefault="00490B20" w:rsidP="00876058">
            <w:pPr>
              <w:spacing w:line="240" w:lineRule="auto"/>
              <w:rPr>
                <w:rFonts w:cs="Arial"/>
                <w:bCs/>
                <w:iCs/>
                <w:color w:val="0D0D0D" w:themeColor="text1" w:themeTint="F2"/>
                <w:sz w:val="16"/>
                <w:szCs w:val="16"/>
              </w:rPr>
            </w:pPr>
            <w:r>
              <w:rPr>
                <w:rFonts w:cs="Arial"/>
                <w:bCs/>
                <w:iCs/>
                <w:color w:val="0D0D0D" w:themeColor="text1" w:themeTint="F2"/>
                <w:sz w:val="16"/>
                <w:szCs w:val="16"/>
              </w:rPr>
              <w:t>Vývoj státního dluhu během prvních t</w:t>
            </w:r>
            <w:r w:rsidR="00B06EE1">
              <w:rPr>
                <w:rFonts w:cs="Arial"/>
                <w:bCs/>
                <w:iCs/>
                <w:color w:val="0D0D0D" w:themeColor="text1" w:themeTint="F2"/>
                <w:sz w:val="16"/>
                <w:szCs w:val="16"/>
              </w:rPr>
              <w:t>ří</w:t>
            </w:r>
            <w:r>
              <w:rPr>
                <w:rFonts w:cs="Arial"/>
                <w:bCs/>
                <w:iCs/>
                <w:color w:val="0D0D0D" w:themeColor="text1" w:themeTint="F2"/>
                <w:sz w:val="16"/>
                <w:szCs w:val="16"/>
              </w:rPr>
              <w:t xml:space="preserve"> čtvrtletí roku 2017 byl rozkolísaný. Jeho výše</w:t>
            </w:r>
            <w:r w:rsidRPr="00343DE4">
              <w:rPr>
                <w:rFonts w:cs="Arial"/>
                <w:bCs/>
                <w:iCs/>
                <w:color w:val="0D0D0D" w:themeColor="text1" w:themeTint="F2"/>
                <w:sz w:val="16"/>
                <w:szCs w:val="16"/>
              </w:rPr>
              <w:t xml:space="preserve"> se </w:t>
            </w:r>
            <w:r>
              <w:rPr>
                <w:rFonts w:cs="Arial"/>
                <w:bCs/>
                <w:iCs/>
                <w:color w:val="0D0D0D" w:themeColor="text1" w:themeTint="F2"/>
                <w:sz w:val="16"/>
                <w:szCs w:val="16"/>
              </w:rPr>
              <w:t>ve 3. kvartálu</w:t>
            </w:r>
            <w:r w:rsidRPr="00343DE4">
              <w:rPr>
                <w:rFonts w:cs="Arial"/>
                <w:bCs/>
                <w:iCs/>
                <w:color w:val="0D0D0D" w:themeColor="text1" w:themeTint="F2"/>
                <w:sz w:val="16"/>
                <w:szCs w:val="16"/>
              </w:rPr>
              <w:t xml:space="preserve"> vrátila na hodnotu blízkou konci loňského roku.</w:t>
            </w:r>
          </w:p>
          <w:p w:rsidR="00490B20" w:rsidRPr="00674567" w:rsidRDefault="00490B20" w:rsidP="00876058">
            <w:pPr>
              <w:spacing w:line="240" w:lineRule="auto"/>
              <w:rPr>
                <w:rFonts w:cs="Arial"/>
                <w:bCs/>
                <w:iCs/>
                <w:color w:val="0D0D0D" w:themeColor="text1" w:themeTint="F2"/>
                <w:sz w:val="16"/>
                <w:szCs w:val="16"/>
              </w:rPr>
            </w:pP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60203D" w:rsidRDefault="00490B20" w:rsidP="00876058">
            <w:pPr>
              <w:pStyle w:val="Textpoznpodarou"/>
              <w:jc w:val="both"/>
              <w:rPr>
                <w:color w:val="000000" w:themeColor="text1"/>
                <w:spacing w:val="-4"/>
              </w:rPr>
            </w:pPr>
            <w:r>
              <w:rPr>
                <w:rFonts w:cs="Arial"/>
                <w:color w:val="0D0D0D" w:themeColor="text1" w:themeTint="F2"/>
                <w:spacing w:val="-4"/>
              </w:rPr>
              <w:t>Státní dluh v průběhu roku 2017 značně kolísal. Během 1</w:t>
            </w:r>
            <w:r w:rsidR="005723B7">
              <w:rPr>
                <w:rFonts w:cs="Arial"/>
                <w:color w:val="0D0D0D" w:themeColor="text1" w:themeTint="F2"/>
                <w:spacing w:val="-4"/>
              </w:rPr>
              <w:t>. čtvrtletí</w:t>
            </w:r>
            <w:r>
              <w:rPr>
                <w:rFonts w:cs="Arial"/>
                <w:color w:val="0D0D0D" w:themeColor="text1" w:themeTint="F2"/>
                <w:spacing w:val="-4"/>
              </w:rPr>
              <w:t xml:space="preserve"> vystoupal na</w:t>
            </w:r>
            <w:r w:rsidRPr="00E06E17">
              <w:rPr>
                <w:spacing w:val="-2"/>
              </w:rPr>
              <w:t xml:space="preserve"> 1</w:t>
            </w:r>
            <w:r w:rsidR="00B06EE1">
              <w:rPr>
                <w:spacing w:val="-2"/>
              </w:rPr>
              <w:t> </w:t>
            </w:r>
            <w:r w:rsidRPr="00E06E17">
              <w:rPr>
                <w:spacing w:val="-2"/>
              </w:rPr>
              <w:t>789</w:t>
            </w:r>
            <w:r w:rsidR="00B06EE1">
              <w:rPr>
                <w:rFonts w:cs="Arial"/>
                <w:color w:val="0D0D0D" w:themeColor="text1" w:themeTint="F2"/>
                <w:spacing w:val="-4"/>
              </w:rPr>
              <w:t> </w:t>
            </w:r>
            <w:r w:rsidR="006D164C">
              <w:rPr>
                <w:rFonts w:cs="Arial"/>
                <w:color w:val="0D0D0D" w:themeColor="text1" w:themeTint="F2"/>
                <w:spacing w:val="-4"/>
              </w:rPr>
              <w:t>mld.</w:t>
            </w:r>
            <w:r w:rsidRPr="00E06E17">
              <w:rPr>
                <w:spacing w:val="-2"/>
              </w:rPr>
              <w:t xml:space="preserve"> korun a </w:t>
            </w:r>
            <w:r>
              <w:rPr>
                <w:spacing w:val="-2"/>
              </w:rPr>
              <w:t>zaznamenal nejrychlejší mezičtvrtletní růst od roku 2010 (+</w:t>
            </w:r>
            <w:r w:rsidRPr="00E06E17">
              <w:rPr>
                <w:rFonts w:cs="Arial"/>
                <w:spacing w:val="-2"/>
              </w:rPr>
              <w:t>11</w:t>
            </w:r>
            <w:r w:rsidR="005723B7">
              <w:rPr>
                <w:rFonts w:cs="Arial"/>
                <w:spacing w:val="-2"/>
              </w:rPr>
              <w:t> %</w:t>
            </w:r>
            <w:r>
              <w:rPr>
                <w:rFonts w:cs="Arial"/>
                <w:color w:val="0D0D0D" w:themeColor="text1" w:themeTint="F2"/>
                <w:spacing w:val="-4"/>
              </w:rPr>
              <w:t>)</w:t>
            </w:r>
            <w:r>
              <w:rPr>
                <w:spacing w:val="-2"/>
              </w:rPr>
              <w:t>. Toto krátkodobé navýšení souviselo se specifickou situac</w:t>
            </w:r>
            <w:r w:rsidR="00B06EE1">
              <w:rPr>
                <w:spacing w:val="-2"/>
              </w:rPr>
              <w:t>í</w:t>
            </w:r>
            <w:r>
              <w:rPr>
                <w:spacing w:val="-2"/>
              </w:rPr>
              <w:t xml:space="preserve"> na dluhopisovém trhu vlivem očekávání spojených s ukončením </w:t>
            </w:r>
            <w:r w:rsidRPr="00D77546">
              <w:rPr>
                <w:color w:val="000000" w:themeColor="text1"/>
                <w:spacing w:val="-4"/>
              </w:rPr>
              <w:t>režimu devizových</w:t>
            </w:r>
            <w:r>
              <w:rPr>
                <w:color w:val="000000" w:themeColor="text1"/>
                <w:spacing w:val="-4"/>
              </w:rPr>
              <w:t xml:space="preserve"> intervencí</w:t>
            </w:r>
            <w:r>
              <w:rPr>
                <w:rStyle w:val="Znakapoznpodarou"/>
                <w:color w:val="000000" w:themeColor="text1"/>
                <w:spacing w:val="-4"/>
              </w:rPr>
              <w:footnoteReference w:id="10"/>
            </w:r>
            <w:r>
              <w:rPr>
                <w:color w:val="000000" w:themeColor="text1"/>
                <w:spacing w:val="-4"/>
              </w:rPr>
              <w:t>. V následujících měsících se výše dluhu stabilizovala a ve 3</w:t>
            </w:r>
            <w:r w:rsidR="005723B7">
              <w:rPr>
                <w:color w:val="000000" w:themeColor="text1"/>
                <w:spacing w:val="-4"/>
              </w:rPr>
              <w:t>. čtvrtletí</w:t>
            </w:r>
            <w:r>
              <w:rPr>
                <w:color w:val="000000" w:themeColor="text1"/>
                <w:spacing w:val="-4"/>
              </w:rPr>
              <w:t xml:space="preserve"> se </w:t>
            </w:r>
            <w:r w:rsidR="005544FC">
              <w:rPr>
                <w:color w:val="000000" w:themeColor="text1"/>
                <w:spacing w:val="-4"/>
              </w:rPr>
              <w:t xml:space="preserve">již </w:t>
            </w:r>
            <w:r>
              <w:rPr>
                <w:color w:val="000000" w:themeColor="text1"/>
                <w:spacing w:val="-4"/>
              </w:rPr>
              <w:t>vrátila na úroveň blízkou konci loňského roku. Příčinou této výrazné redukce byl větší objem splátek dluhu vázaných na půjčky realizované po počátku roku. Státní dluh tak na konci září činil 1</w:t>
            </w:r>
            <w:r w:rsidR="005544FC">
              <w:rPr>
                <w:color w:val="000000" w:themeColor="text1"/>
                <w:spacing w:val="-4"/>
              </w:rPr>
              <w:t> </w:t>
            </w:r>
            <w:r>
              <w:rPr>
                <w:color w:val="000000" w:themeColor="text1"/>
                <w:spacing w:val="-4"/>
              </w:rPr>
              <w:t>610</w:t>
            </w:r>
            <w:r w:rsidR="005544FC">
              <w:rPr>
                <w:color w:val="000000" w:themeColor="text1"/>
                <w:spacing w:val="-4"/>
              </w:rPr>
              <w:t> </w:t>
            </w:r>
            <w:r w:rsidR="006D164C">
              <w:rPr>
                <w:color w:val="000000" w:themeColor="text1"/>
                <w:spacing w:val="-4"/>
              </w:rPr>
              <w:t>mld.</w:t>
            </w:r>
            <w:r>
              <w:rPr>
                <w:color w:val="000000" w:themeColor="text1"/>
                <w:spacing w:val="-4"/>
              </w:rPr>
              <w:t xml:space="preserve"> korun – šlo o nejnižší hodnotu od konce roku 2011. Přestože objem korunových dluhopisů v držbě nerezidentů se během 3</w:t>
            </w:r>
            <w:r w:rsidR="005723B7">
              <w:rPr>
                <w:color w:val="000000" w:themeColor="text1"/>
                <w:spacing w:val="-4"/>
              </w:rPr>
              <w:t>. čtvrtletí</w:t>
            </w:r>
            <w:r>
              <w:rPr>
                <w:color w:val="000000" w:themeColor="text1"/>
                <w:spacing w:val="-4"/>
              </w:rPr>
              <w:t xml:space="preserve"> snížil o</w:t>
            </w:r>
            <w:r>
              <w:rPr>
                <w:rFonts w:cs="Arial"/>
                <w:color w:val="0D0D0D" w:themeColor="text1" w:themeTint="F2"/>
                <w:spacing w:val="-4"/>
              </w:rPr>
              <w:t> </w:t>
            </w:r>
            <w:r>
              <w:rPr>
                <w:color w:val="000000" w:themeColor="text1"/>
                <w:spacing w:val="-4"/>
              </w:rPr>
              <w:t>bezmála 70</w:t>
            </w:r>
            <w:r w:rsidR="006D164C">
              <w:rPr>
                <w:color w:val="000000" w:themeColor="text1"/>
                <w:spacing w:val="-4"/>
              </w:rPr>
              <w:t> mld.</w:t>
            </w:r>
            <w:r>
              <w:rPr>
                <w:color w:val="000000" w:themeColor="text1"/>
                <w:spacing w:val="-4"/>
              </w:rPr>
              <w:t xml:space="preserve"> korun, jejich podíl nadále rostl a</w:t>
            </w:r>
            <w:r w:rsidR="005544FC">
              <w:rPr>
                <w:color w:val="000000" w:themeColor="text1"/>
                <w:spacing w:val="-4"/>
              </w:rPr>
              <w:t> </w:t>
            </w:r>
            <w:r>
              <w:rPr>
                <w:color w:val="000000" w:themeColor="text1"/>
                <w:spacing w:val="-4"/>
              </w:rPr>
              <w:t>na konci září dosáhl dosud rekordních 51,4</w:t>
            </w:r>
            <w:r w:rsidR="005723B7">
              <w:rPr>
                <w:color w:val="000000" w:themeColor="text1"/>
                <w:spacing w:val="-4"/>
              </w:rPr>
              <w:t> %</w:t>
            </w:r>
            <w:r>
              <w:rPr>
                <w:color w:val="000000" w:themeColor="text1"/>
                <w:spacing w:val="-4"/>
              </w:rPr>
              <w:t>.</w:t>
            </w:r>
            <w:r>
              <w:rPr>
                <w:rFonts w:cs="Arial"/>
                <w:color w:val="0D0D0D" w:themeColor="text1" w:themeTint="F2"/>
                <w:spacing w:val="-4"/>
              </w:rPr>
              <w:t xml:space="preserve"> Vnější dluh byl při absenci výpůjčních operací ovlivňován především kurzovými vlivy a relativně nízkým objemem splátek. Již více než tři roky přetrvával trend mírného poklesu dluhu, ten na konci 3</w:t>
            </w:r>
            <w:r w:rsidR="005723B7">
              <w:rPr>
                <w:rFonts w:cs="Arial"/>
                <w:color w:val="0D0D0D" w:themeColor="text1" w:themeTint="F2"/>
                <w:spacing w:val="-4"/>
              </w:rPr>
              <w:t>. čtvrtletí</w:t>
            </w:r>
            <w:r>
              <w:rPr>
                <w:rFonts w:cs="Arial"/>
                <w:color w:val="0D0D0D" w:themeColor="text1" w:themeTint="F2"/>
                <w:spacing w:val="-4"/>
              </w:rPr>
              <w:t xml:space="preserve"> 2017 činil 257</w:t>
            </w:r>
            <w:r w:rsidR="005544FC">
              <w:rPr>
                <w:rFonts w:cs="Arial"/>
                <w:color w:val="0D0D0D" w:themeColor="text1" w:themeTint="F2"/>
                <w:spacing w:val="-4"/>
              </w:rPr>
              <w:t> </w:t>
            </w:r>
            <w:r w:rsidR="006D164C">
              <w:rPr>
                <w:rFonts w:cs="Arial"/>
                <w:color w:val="0D0D0D" w:themeColor="text1" w:themeTint="F2"/>
                <w:spacing w:val="-4"/>
              </w:rPr>
              <w:t>mld.</w:t>
            </w:r>
            <w:r>
              <w:rPr>
                <w:rFonts w:cs="Arial"/>
                <w:color w:val="0D0D0D" w:themeColor="text1" w:themeTint="F2"/>
                <w:spacing w:val="-4"/>
              </w:rPr>
              <w:t xml:space="preserve"> korun (meziročně o 9,2</w:t>
            </w:r>
            <w:r w:rsidR="005723B7">
              <w:rPr>
                <w:rFonts w:cs="Arial"/>
                <w:color w:val="0D0D0D" w:themeColor="text1" w:themeTint="F2"/>
                <w:spacing w:val="-4"/>
              </w:rPr>
              <w:t> %</w:t>
            </w:r>
            <w:r>
              <w:rPr>
                <w:rFonts w:cs="Arial"/>
                <w:color w:val="0D0D0D" w:themeColor="text1" w:themeTint="F2"/>
                <w:spacing w:val="-4"/>
              </w:rPr>
              <w:t xml:space="preserve"> méně).</w:t>
            </w:r>
            <w:r w:rsidRPr="00D77546">
              <w:rPr>
                <w:rFonts w:cs="Arial"/>
                <w:spacing w:val="-4"/>
              </w:rPr>
              <w:t xml:space="preserve"> </w:t>
            </w:r>
            <w:r>
              <w:rPr>
                <w:rFonts w:cs="Arial"/>
                <w:spacing w:val="-4"/>
              </w:rPr>
              <w:t>V</w:t>
            </w:r>
            <w:r>
              <w:rPr>
                <w:color w:val="000000" w:themeColor="text1"/>
                <w:spacing w:val="-4"/>
              </w:rPr>
              <w:t>nější dluh</w:t>
            </w:r>
            <w:r w:rsidRPr="00D77546">
              <w:rPr>
                <w:color w:val="000000" w:themeColor="text1"/>
                <w:spacing w:val="-4"/>
              </w:rPr>
              <w:t xml:space="preserve"> </w:t>
            </w:r>
            <w:r>
              <w:rPr>
                <w:color w:val="000000" w:themeColor="text1"/>
                <w:spacing w:val="-4"/>
              </w:rPr>
              <w:t xml:space="preserve">se tak </w:t>
            </w:r>
            <w:r w:rsidRPr="00D77546">
              <w:rPr>
                <w:color w:val="000000" w:themeColor="text1"/>
                <w:spacing w:val="-4"/>
              </w:rPr>
              <w:t xml:space="preserve">na celkové zadluženosti státu </w:t>
            </w:r>
            <w:r>
              <w:rPr>
                <w:color w:val="000000" w:themeColor="text1"/>
                <w:spacing w:val="-4"/>
              </w:rPr>
              <w:t>podílel 16</w:t>
            </w:r>
            <w:r w:rsidR="005723B7">
              <w:rPr>
                <w:color w:val="000000" w:themeColor="text1"/>
                <w:spacing w:val="-4"/>
              </w:rPr>
              <w:t> %</w:t>
            </w:r>
            <w:r>
              <w:rPr>
                <w:color w:val="000000" w:themeColor="text1"/>
                <w:spacing w:val="-4"/>
              </w:rPr>
              <w:t xml:space="preserve"> a v rámci 3.</w:t>
            </w:r>
            <w:r w:rsidR="005544FC">
              <w:rPr>
                <w:color w:val="000000" w:themeColor="text1"/>
                <w:spacing w:val="-4"/>
              </w:rPr>
              <w:t> </w:t>
            </w:r>
            <w:r>
              <w:rPr>
                <w:color w:val="000000" w:themeColor="text1"/>
                <w:spacing w:val="-4"/>
              </w:rPr>
              <w:t>čt</w:t>
            </w:r>
            <w:r w:rsidR="005544FC">
              <w:rPr>
                <w:color w:val="000000" w:themeColor="text1"/>
                <w:spacing w:val="-4"/>
              </w:rPr>
              <w:t>vr</w:t>
            </w:r>
            <w:r>
              <w:rPr>
                <w:color w:val="000000" w:themeColor="text1"/>
                <w:spacing w:val="-4"/>
              </w:rPr>
              <w:t xml:space="preserve">tletí byl nejnižší za posledních deset let. </w:t>
            </w:r>
          </w:p>
          <w:p w:rsidR="00490B20" w:rsidRPr="00751FC1" w:rsidRDefault="00490B20" w:rsidP="00876058">
            <w:pPr>
              <w:pStyle w:val="Textpoznpodarou"/>
              <w:jc w:val="both"/>
              <w:rPr>
                <w:rFonts w:cs="Arial"/>
                <w:color w:val="0D0D0D" w:themeColor="text1" w:themeTint="F2"/>
                <w:spacing w:val="-4"/>
                <w:sz w:val="14"/>
                <w:szCs w:val="14"/>
              </w:rPr>
            </w:pPr>
          </w:p>
        </w:tc>
      </w:tr>
      <w:tr w:rsidR="00490B20" w:rsidRPr="00AD0FC0" w:rsidTr="00876058">
        <w:trPr>
          <w:trHeight w:val="145"/>
        </w:trPr>
        <w:tc>
          <w:tcPr>
            <w:tcW w:w="1016" w:type="pct"/>
            <w:shd w:val="clear" w:color="auto" w:fill="auto"/>
          </w:tcPr>
          <w:p w:rsidR="00490B20" w:rsidRPr="0043535F" w:rsidRDefault="00490B20" w:rsidP="00876058">
            <w:pPr>
              <w:spacing w:line="240" w:lineRule="auto"/>
              <w:rPr>
                <w:rFonts w:cs="Arial"/>
                <w:bCs/>
                <w:iCs/>
                <w:color w:val="0D0D0D" w:themeColor="text1" w:themeTint="F2"/>
                <w:spacing w:val="-4"/>
                <w:sz w:val="16"/>
                <w:szCs w:val="16"/>
              </w:rPr>
            </w:pPr>
            <w:r w:rsidRPr="0043535F">
              <w:rPr>
                <w:rFonts w:cs="Arial"/>
                <w:bCs/>
                <w:iCs/>
                <w:color w:val="0D0D0D" w:themeColor="text1" w:themeTint="F2"/>
                <w:spacing w:val="-4"/>
                <w:sz w:val="16"/>
                <w:szCs w:val="16"/>
              </w:rPr>
              <w:t>Zadluženost sektoru vládních institucí dosáhla na konci 1. pololetí 1</w:t>
            </w:r>
            <w:r w:rsidR="006D164C">
              <w:rPr>
                <w:rFonts w:cs="Arial"/>
                <w:bCs/>
                <w:iCs/>
                <w:color w:val="0D0D0D" w:themeColor="text1" w:themeTint="F2"/>
                <w:spacing w:val="-4"/>
                <w:sz w:val="16"/>
                <w:szCs w:val="16"/>
              </w:rPr>
              <w:t> </w:t>
            </w:r>
            <w:r w:rsidRPr="0043535F">
              <w:rPr>
                <w:rFonts w:cs="Arial"/>
                <w:bCs/>
                <w:iCs/>
                <w:color w:val="0D0D0D" w:themeColor="text1" w:themeTint="F2"/>
                <w:spacing w:val="-4"/>
                <w:sz w:val="16"/>
                <w:szCs w:val="16"/>
              </w:rPr>
              <w:t>923</w:t>
            </w:r>
            <w:r w:rsidR="006D164C">
              <w:rPr>
                <w:rFonts w:cs="Arial"/>
                <w:bCs/>
                <w:iCs/>
                <w:color w:val="0D0D0D" w:themeColor="text1" w:themeTint="F2"/>
                <w:spacing w:val="-4"/>
                <w:sz w:val="16"/>
                <w:szCs w:val="16"/>
              </w:rPr>
              <w:t> </w:t>
            </w:r>
            <w:r w:rsidRPr="0043535F">
              <w:rPr>
                <w:rFonts w:cs="Arial"/>
                <w:bCs/>
                <w:iCs/>
                <w:color w:val="0D0D0D" w:themeColor="text1" w:themeTint="F2"/>
                <w:spacing w:val="-4"/>
                <w:sz w:val="16"/>
                <w:szCs w:val="16"/>
              </w:rPr>
              <w:t>mld. korun. K </w:t>
            </w:r>
            <w:r>
              <w:rPr>
                <w:rFonts w:cs="Arial"/>
                <w:bCs/>
                <w:iCs/>
                <w:color w:val="0D0D0D" w:themeColor="text1" w:themeTint="F2"/>
                <w:spacing w:val="-4"/>
                <w:sz w:val="16"/>
                <w:szCs w:val="16"/>
              </w:rPr>
              <w:t>jejímu</w:t>
            </w:r>
            <w:r w:rsidRPr="0043535F">
              <w:rPr>
                <w:rFonts w:cs="Arial"/>
                <w:bCs/>
                <w:iCs/>
                <w:color w:val="0D0D0D" w:themeColor="text1" w:themeTint="F2"/>
                <w:spacing w:val="-4"/>
                <w:sz w:val="16"/>
                <w:szCs w:val="16"/>
              </w:rPr>
              <w:t xml:space="preserve"> růstu přispěly</w:t>
            </w:r>
            <w:r>
              <w:rPr>
                <w:rFonts w:cs="Arial"/>
                <w:bCs/>
                <w:iCs/>
                <w:color w:val="0D0D0D" w:themeColor="text1" w:themeTint="F2"/>
                <w:spacing w:val="-4"/>
                <w:sz w:val="16"/>
                <w:szCs w:val="16"/>
              </w:rPr>
              <w:t xml:space="preserve"> ústřední vládní</w:t>
            </w:r>
            <w:r w:rsidRPr="0043535F">
              <w:rPr>
                <w:rFonts w:cs="Arial"/>
                <w:bCs/>
                <w:iCs/>
                <w:color w:val="0D0D0D" w:themeColor="text1" w:themeTint="F2"/>
                <w:spacing w:val="-4"/>
                <w:sz w:val="16"/>
                <w:szCs w:val="16"/>
              </w:rPr>
              <w:t xml:space="preserve"> instituce, zadluženost obcí či krajů se </w:t>
            </w:r>
            <w:r>
              <w:rPr>
                <w:rFonts w:cs="Arial"/>
                <w:bCs/>
                <w:iCs/>
                <w:color w:val="0D0D0D" w:themeColor="text1" w:themeTint="F2"/>
                <w:spacing w:val="-4"/>
                <w:sz w:val="16"/>
                <w:szCs w:val="16"/>
              </w:rPr>
              <w:t xml:space="preserve">naopak </w:t>
            </w:r>
            <w:r w:rsidRPr="0043535F">
              <w:rPr>
                <w:rFonts w:cs="Arial"/>
                <w:bCs/>
                <w:iCs/>
                <w:color w:val="0D0D0D" w:themeColor="text1" w:themeTint="F2"/>
                <w:spacing w:val="-4"/>
                <w:sz w:val="16"/>
                <w:szCs w:val="16"/>
              </w:rPr>
              <w:t xml:space="preserve">meziročně snížila. </w:t>
            </w:r>
          </w:p>
        </w:tc>
        <w:tc>
          <w:tcPr>
            <w:tcW w:w="144" w:type="pct"/>
          </w:tcPr>
          <w:p w:rsidR="00490B20" w:rsidRPr="00A90EFD" w:rsidRDefault="00490B20" w:rsidP="00876058">
            <w:pPr>
              <w:pStyle w:val="Textpoznpodarou"/>
              <w:jc w:val="both"/>
              <w:rPr>
                <w:rFonts w:cs="Arial"/>
                <w:color w:val="0D0D0D" w:themeColor="text1" w:themeTint="F2"/>
              </w:rPr>
            </w:pPr>
          </w:p>
        </w:tc>
        <w:tc>
          <w:tcPr>
            <w:tcW w:w="3840" w:type="pct"/>
          </w:tcPr>
          <w:p w:rsidR="00490B20" w:rsidRPr="0043535F" w:rsidRDefault="00490B20" w:rsidP="00876058">
            <w:pPr>
              <w:pStyle w:val="Textpoznpodarou"/>
              <w:jc w:val="both"/>
              <w:rPr>
                <w:rFonts w:cs="Arial"/>
                <w:color w:val="0D0D0D" w:themeColor="text1" w:themeTint="F2"/>
                <w:spacing w:val="-4"/>
                <w:sz w:val="14"/>
                <w:szCs w:val="14"/>
              </w:rPr>
            </w:pPr>
            <w:r w:rsidRPr="0043535F">
              <w:rPr>
                <w:color w:val="000000" w:themeColor="text1"/>
                <w:spacing w:val="-4"/>
              </w:rPr>
              <w:t>Dluh</w:t>
            </w:r>
            <w:r w:rsidRPr="0043535F">
              <w:rPr>
                <w:color w:val="0D0D0D" w:themeColor="text1" w:themeTint="F2"/>
                <w:spacing w:val="-4"/>
              </w:rPr>
              <w:t xml:space="preserve"> sektoru vládních institucí (zohledňující</w:t>
            </w:r>
            <w:r w:rsidRPr="0043535F">
              <w:rPr>
                <w:color w:val="000000" w:themeColor="text1"/>
                <w:spacing w:val="-4"/>
              </w:rPr>
              <w:t xml:space="preserve"> i hospodaření územně správních celků či zdravotních pojišťoven) dosáhl dle aktuálních dat ČSÚ na konci 1.</w:t>
            </w:r>
            <w:r w:rsidR="005544FC">
              <w:rPr>
                <w:color w:val="000000" w:themeColor="text1"/>
                <w:spacing w:val="-4"/>
              </w:rPr>
              <w:t> </w:t>
            </w:r>
            <w:r w:rsidRPr="0043535F">
              <w:rPr>
                <w:color w:val="000000" w:themeColor="text1"/>
                <w:spacing w:val="-4"/>
              </w:rPr>
              <w:t>pololetí 2017</w:t>
            </w:r>
            <w:r w:rsidRPr="0043535F">
              <w:rPr>
                <w:rStyle w:val="Znakapoznpodarou"/>
                <w:color w:val="000000" w:themeColor="text1"/>
                <w:spacing w:val="-4"/>
              </w:rPr>
              <w:footnoteReference w:id="11"/>
            </w:r>
            <w:r w:rsidRPr="0043535F">
              <w:rPr>
                <w:color w:val="000000" w:themeColor="text1"/>
                <w:spacing w:val="-4"/>
              </w:rPr>
              <w:t xml:space="preserve"> výše 1 923</w:t>
            </w:r>
            <w:r w:rsidR="006D164C">
              <w:rPr>
                <w:color w:val="000000" w:themeColor="text1"/>
                <w:spacing w:val="-4"/>
              </w:rPr>
              <w:t> mld.</w:t>
            </w:r>
            <w:r w:rsidRPr="0043535F">
              <w:rPr>
                <w:color w:val="000000" w:themeColor="text1"/>
                <w:spacing w:val="-4"/>
              </w:rPr>
              <w:t xml:space="preserve"> korun a ve vztahu k HDP činil 39,4</w:t>
            </w:r>
            <w:r w:rsidR="005723B7">
              <w:rPr>
                <w:color w:val="000000" w:themeColor="text1"/>
                <w:spacing w:val="-4"/>
              </w:rPr>
              <w:t> %</w:t>
            </w:r>
            <w:r w:rsidRPr="0043535F">
              <w:rPr>
                <w:color w:val="000000" w:themeColor="text1"/>
                <w:spacing w:val="-4"/>
              </w:rPr>
              <w:t xml:space="preserve"> (meziročně o 0,1</w:t>
            </w:r>
            <w:r w:rsidR="00CE0849">
              <w:rPr>
                <w:color w:val="000000" w:themeColor="text1"/>
                <w:spacing w:val="-4"/>
              </w:rPr>
              <w:t> p. b.</w:t>
            </w:r>
            <w:r w:rsidRPr="0043535F">
              <w:rPr>
                <w:color w:val="000000" w:themeColor="text1"/>
                <w:spacing w:val="-4"/>
              </w:rPr>
              <w:t xml:space="preserve"> více). </w:t>
            </w:r>
            <w:r w:rsidRPr="0043535F">
              <w:rPr>
                <w:rFonts w:cs="Arial"/>
                <w:bCs/>
                <w:iCs/>
                <w:color w:val="0D0D0D" w:themeColor="text1" w:themeTint="F2"/>
                <w:spacing w:val="-4"/>
              </w:rPr>
              <w:t>Na růstu dluhu se podílely výhradně jen ústřední vládní instituce, neboť zadluženost především místních vládních institucí se meziročně snížila (i vlivem slabšího čerpání investic). Jen pět členů EU mělo na konci 1.</w:t>
            </w:r>
            <w:r w:rsidR="00C45380">
              <w:rPr>
                <w:rFonts w:cs="Arial"/>
                <w:bCs/>
                <w:iCs/>
                <w:color w:val="0D0D0D" w:themeColor="text1" w:themeTint="F2"/>
                <w:spacing w:val="-4"/>
              </w:rPr>
              <w:t> </w:t>
            </w:r>
            <w:r w:rsidRPr="0043535F">
              <w:rPr>
                <w:rFonts w:cs="Arial"/>
                <w:bCs/>
                <w:iCs/>
                <w:color w:val="0D0D0D" w:themeColor="text1" w:themeTint="F2"/>
                <w:spacing w:val="-4"/>
              </w:rPr>
              <w:t>pololetí relativní zadluženost nižší než ČR (ze starých členských zemí jen Dánsko). Ta meziročně klesla ve třech čtvrtinách států</w:t>
            </w:r>
            <w:r w:rsidR="00C45380">
              <w:rPr>
                <w:rFonts w:cs="Arial"/>
                <w:bCs/>
                <w:iCs/>
                <w:color w:val="0D0D0D" w:themeColor="text1" w:themeTint="F2"/>
                <w:spacing w:val="-4"/>
              </w:rPr>
              <w:t> </w:t>
            </w:r>
            <w:r w:rsidRPr="0043535F">
              <w:rPr>
                <w:rFonts w:cs="Arial"/>
                <w:bCs/>
                <w:iCs/>
                <w:color w:val="0D0D0D" w:themeColor="text1" w:themeTint="F2"/>
                <w:spacing w:val="-4"/>
              </w:rPr>
              <w:t>EU, v některých vysoce zadlužených ekonomikách se ale situace mírně zhoršila (Francie, Portugalsko). Zadluženost v</w:t>
            </w:r>
            <w:r w:rsidR="00C45380">
              <w:rPr>
                <w:rFonts w:cs="Arial"/>
                <w:bCs/>
                <w:iCs/>
                <w:color w:val="0D0D0D" w:themeColor="text1" w:themeTint="F2"/>
                <w:spacing w:val="-4"/>
              </w:rPr>
              <w:t> </w:t>
            </w:r>
            <w:r w:rsidRPr="0043535F">
              <w:rPr>
                <w:rFonts w:cs="Arial"/>
                <w:bCs/>
                <w:iCs/>
                <w:color w:val="0D0D0D" w:themeColor="text1" w:themeTint="F2"/>
                <w:spacing w:val="-4"/>
              </w:rPr>
              <w:t>celé</w:t>
            </w:r>
            <w:r w:rsidR="00C45380">
              <w:rPr>
                <w:rFonts w:cs="Arial"/>
                <w:bCs/>
                <w:iCs/>
                <w:color w:val="0D0D0D" w:themeColor="text1" w:themeTint="F2"/>
                <w:spacing w:val="-4"/>
              </w:rPr>
              <w:t> </w:t>
            </w:r>
            <w:r w:rsidRPr="0043535F">
              <w:rPr>
                <w:rFonts w:cs="Arial"/>
                <w:bCs/>
                <w:iCs/>
                <w:color w:val="0D0D0D" w:themeColor="text1" w:themeTint="F2"/>
                <w:spacing w:val="-4"/>
              </w:rPr>
              <w:t>EU se zlepšuje jen velmi pozvolna (za poslední tři roky z 87,1</w:t>
            </w:r>
            <w:r w:rsidR="005723B7">
              <w:rPr>
                <w:rFonts w:cs="Arial"/>
                <w:bCs/>
                <w:iCs/>
                <w:color w:val="0D0D0D" w:themeColor="text1" w:themeTint="F2"/>
                <w:spacing w:val="-4"/>
              </w:rPr>
              <w:t> %</w:t>
            </w:r>
            <w:r w:rsidRPr="0043535F">
              <w:rPr>
                <w:rFonts w:cs="Arial"/>
                <w:bCs/>
                <w:iCs/>
                <w:color w:val="0D0D0D" w:themeColor="text1" w:themeTint="F2"/>
                <w:spacing w:val="-4"/>
              </w:rPr>
              <w:t xml:space="preserve"> na 83,4</w:t>
            </w:r>
            <w:r w:rsidR="005723B7">
              <w:rPr>
                <w:rFonts w:cs="Arial"/>
                <w:bCs/>
                <w:iCs/>
                <w:color w:val="0D0D0D" w:themeColor="text1" w:themeTint="F2"/>
                <w:spacing w:val="-4"/>
              </w:rPr>
              <w:t> %</w:t>
            </w:r>
            <w:r w:rsidRPr="0043535F">
              <w:rPr>
                <w:rFonts w:cs="Arial"/>
                <w:bCs/>
                <w:iCs/>
                <w:color w:val="0D0D0D" w:themeColor="text1" w:themeTint="F2"/>
                <w:spacing w:val="-4"/>
              </w:rPr>
              <w:t xml:space="preserve"> HDP). Snížit </w:t>
            </w:r>
            <w:r>
              <w:rPr>
                <w:rFonts w:cs="Arial"/>
                <w:bCs/>
                <w:iCs/>
                <w:color w:val="0D0D0D" w:themeColor="text1" w:themeTint="F2"/>
                <w:spacing w:val="-4"/>
              </w:rPr>
              <w:t xml:space="preserve">svou </w:t>
            </w:r>
            <w:r w:rsidRPr="0043535F">
              <w:rPr>
                <w:rFonts w:cs="Arial"/>
                <w:bCs/>
                <w:iCs/>
                <w:color w:val="0D0D0D" w:themeColor="text1" w:themeTint="F2"/>
                <w:spacing w:val="-4"/>
              </w:rPr>
              <w:t>zadluženost na úroveň blízk</w:t>
            </w:r>
            <w:r w:rsidR="00C45380">
              <w:rPr>
                <w:rFonts w:cs="Arial"/>
                <w:bCs/>
                <w:iCs/>
                <w:color w:val="0D0D0D" w:themeColor="text1" w:themeTint="F2"/>
                <w:spacing w:val="-4"/>
              </w:rPr>
              <w:t>ou</w:t>
            </w:r>
            <w:r w:rsidRPr="0043535F">
              <w:rPr>
                <w:rFonts w:cs="Arial"/>
                <w:bCs/>
                <w:iCs/>
                <w:color w:val="0D0D0D" w:themeColor="text1" w:themeTint="F2"/>
                <w:spacing w:val="-4"/>
              </w:rPr>
              <w:t xml:space="preserve"> předkrizovému roku 2008</w:t>
            </w:r>
            <w:r>
              <w:rPr>
                <w:rFonts w:cs="Arial"/>
                <w:bCs/>
                <w:iCs/>
                <w:color w:val="0D0D0D" w:themeColor="text1" w:themeTint="F2"/>
                <w:spacing w:val="-4"/>
              </w:rPr>
              <w:t xml:space="preserve"> se dosud podařilo jen Německu</w:t>
            </w:r>
            <w:r w:rsidRPr="0043535F">
              <w:rPr>
                <w:rFonts w:cs="Arial"/>
                <w:bCs/>
                <w:iCs/>
                <w:color w:val="0D0D0D" w:themeColor="text1" w:themeTint="F2"/>
                <w:spacing w:val="-4"/>
              </w:rPr>
              <w:t xml:space="preserve"> (na 64,7</w:t>
            </w:r>
            <w:r w:rsidR="005723B7">
              <w:rPr>
                <w:rFonts w:cs="Arial"/>
                <w:bCs/>
                <w:iCs/>
                <w:color w:val="0D0D0D" w:themeColor="text1" w:themeTint="F2"/>
                <w:spacing w:val="-4"/>
              </w:rPr>
              <w:t> %</w:t>
            </w:r>
            <w:r w:rsidRPr="0043535F">
              <w:rPr>
                <w:rFonts w:cs="Arial"/>
                <w:bCs/>
                <w:iCs/>
                <w:color w:val="0D0D0D" w:themeColor="text1" w:themeTint="F2"/>
                <w:spacing w:val="-4"/>
              </w:rPr>
              <w:t xml:space="preserve"> na konci 1.</w:t>
            </w:r>
            <w:r w:rsidRPr="0043535F">
              <w:rPr>
                <w:color w:val="000000" w:themeColor="text1"/>
                <w:spacing w:val="-4"/>
              </w:rPr>
              <w:t> </w:t>
            </w:r>
            <w:r w:rsidRPr="0043535F">
              <w:rPr>
                <w:rFonts w:cs="Arial"/>
                <w:bCs/>
                <w:iCs/>
                <w:color w:val="0D0D0D" w:themeColor="text1" w:themeTint="F2"/>
                <w:spacing w:val="-4"/>
              </w:rPr>
              <w:t xml:space="preserve">pololetí 2017) a z </w:t>
            </w:r>
            <w:r>
              <w:rPr>
                <w:rFonts w:cs="Arial"/>
                <w:bCs/>
                <w:iCs/>
                <w:color w:val="0D0D0D" w:themeColor="text1" w:themeTint="F2"/>
                <w:spacing w:val="-4"/>
              </w:rPr>
              <w:t>malých ekonomik Maltě</w:t>
            </w:r>
            <w:r w:rsidRPr="0043535F">
              <w:rPr>
                <w:rFonts w:cs="Arial"/>
                <w:bCs/>
                <w:iCs/>
                <w:color w:val="0D0D0D" w:themeColor="text1" w:themeTint="F2"/>
                <w:spacing w:val="-4"/>
              </w:rPr>
              <w:t xml:space="preserve"> (56,8</w:t>
            </w:r>
            <w:r w:rsidR="005723B7">
              <w:rPr>
                <w:rFonts w:cs="Arial"/>
                <w:bCs/>
                <w:iCs/>
                <w:color w:val="0D0D0D" w:themeColor="text1" w:themeTint="F2"/>
                <w:spacing w:val="-4"/>
              </w:rPr>
              <w:t> %</w:t>
            </w:r>
            <w:r w:rsidRPr="0043535F">
              <w:rPr>
                <w:rFonts w:cs="Arial"/>
                <w:bCs/>
                <w:iCs/>
                <w:color w:val="0D0D0D" w:themeColor="text1" w:themeTint="F2"/>
                <w:spacing w:val="-4"/>
              </w:rPr>
              <w:t>).</w:t>
            </w:r>
          </w:p>
        </w:tc>
      </w:tr>
    </w:tbl>
    <w:p w:rsidR="00490B20" w:rsidRDefault="00490B20" w:rsidP="00490B20">
      <w:pPr>
        <w:pStyle w:val="Textpoznpodarou"/>
        <w:jc w:val="both"/>
        <w:rPr>
          <w:rFonts w:cs="Arial"/>
          <w:color w:val="000000"/>
          <w:sz w:val="15"/>
          <w:szCs w:val="15"/>
        </w:rPr>
      </w:pPr>
    </w:p>
    <w:tbl>
      <w:tblPr>
        <w:tblW w:w="4963" w:type="pct"/>
        <w:tblInd w:w="108" w:type="dxa"/>
        <w:tblLayout w:type="fixed"/>
        <w:tblLook w:val="00A0"/>
      </w:tblPr>
      <w:tblGrid>
        <w:gridCol w:w="1997"/>
        <w:gridCol w:w="284"/>
        <w:gridCol w:w="1119"/>
        <w:gridCol w:w="6381"/>
      </w:tblGrid>
      <w:tr w:rsidR="00490B20" w:rsidRPr="007E5880" w:rsidTr="00876058">
        <w:trPr>
          <w:trHeight w:val="145"/>
        </w:trPr>
        <w:tc>
          <w:tcPr>
            <w:tcW w:w="1021" w:type="pct"/>
            <w:shd w:val="clear" w:color="auto" w:fill="auto"/>
          </w:tcPr>
          <w:p w:rsidR="00490B20" w:rsidRPr="00AA4A76" w:rsidRDefault="00490B20" w:rsidP="00876058">
            <w:pPr>
              <w:spacing w:line="240" w:lineRule="auto"/>
              <w:jc w:val="center"/>
              <w:rPr>
                <w:color w:val="000000"/>
                <w:szCs w:val="20"/>
              </w:rPr>
            </w:pPr>
          </w:p>
        </w:tc>
        <w:tc>
          <w:tcPr>
            <w:tcW w:w="145" w:type="pct"/>
          </w:tcPr>
          <w:p w:rsidR="00490B20" w:rsidRPr="00AA4A76" w:rsidRDefault="00490B20" w:rsidP="00876058">
            <w:pPr>
              <w:pStyle w:val="Textpoznpodarou"/>
              <w:jc w:val="both"/>
              <w:rPr>
                <w:highlight w:val="yellow"/>
              </w:rPr>
            </w:pPr>
          </w:p>
        </w:tc>
        <w:tc>
          <w:tcPr>
            <w:tcW w:w="572" w:type="pct"/>
          </w:tcPr>
          <w:p w:rsidR="00490B20" w:rsidRPr="00AA4A76" w:rsidRDefault="00490B20" w:rsidP="00876058">
            <w:pPr>
              <w:pStyle w:val="Textpoznpodarou"/>
              <w:jc w:val="both"/>
              <w:rPr>
                <w:highlight w:val="yellow"/>
              </w:rPr>
            </w:pPr>
            <w:r>
              <w:rPr>
                <w:color w:val="000000"/>
              </w:rPr>
              <w:t xml:space="preserve">Graf </w:t>
            </w:r>
            <w:r w:rsidR="00C45380">
              <w:rPr>
                <w:color w:val="000000"/>
              </w:rPr>
              <w:t>č. </w:t>
            </w:r>
            <w:r>
              <w:rPr>
                <w:color w:val="000000"/>
              </w:rPr>
              <w:t>2</w:t>
            </w:r>
            <w:r w:rsidR="001356FC">
              <w:rPr>
                <w:color w:val="000000"/>
              </w:rPr>
              <w:t>2</w:t>
            </w:r>
          </w:p>
        </w:tc>
        <w:tc>
          <w:tcPr>
            <w:tcW w:w="3262" w:type="pct"/>
          </w:tcPr>
          <w:p w:rsidR="00490B20" w:rsidRPr="00C9521B" w:rsidRDefault="00490B20" w:rsidP="00876058">
            <w:pPr>
              <w:pStyle w:val="Textpoznpodarou"/>
              <w:rPr>
                <w:rFonts w:cs="Arial"/>
                <w:bCs/>
              </w:rPr>
            </w:pPr>
            <w:r w:rsidRPr="006808C5">
              <w:rPr>
                <w:rFonts w:cs="Arial"/>
                <w:b/>
                <w:bCs/>
              </w:rPr>
              <w:t>Struktura státního dluh</w:t>
            </w:r>
            <w:r w:rsidR="00C45380">
              <w:rPr>
                <w:rFonts w:cs="Arial"/>
                <w:b/>
                <w:bCs/>
              </w:rPr>
              <w:t>u</w:t>
            </w:r>
            <w:r w:rsidRPr="006808C5">
              <w:rPr>
                <w:rFonts w:cs="Arial"/>
                <w:b/>
                <w:bCs/>
              </w:rPr>
              <w:t xml:space="preserve"> ČR </w:t>
            </w:r>
            <w:r w:rsidRPr="006808C5">
              <w:rPr>
                <w:rFonts w:cs="Arial"/>
                <w:bCs/>
              </w:rPr>
              <w:t xml:space="preserve">(stav na konci </w:t>
            </w:r>
            <w:r>
              <w:rPr>
                <w:rFonts w:cs="Arial"/>
                <w:bCs/>
              </w:rPr>
              <w:t>3</w:t>
            </w:r>
            <w:r w:rsidR="005723B7">
              <w:rPr>
                <w:rFonts w:cs="Arial"/>
                <w:bCs/>
              </w:rPr>
              <w:t>. čtvrtletí</w:t>
            </w:r>
            <w:r>
              <w:rPr>
                <w:rFonts w:cs="Arial"/>
                <w:bCs/>
              </w:rPr>
              <w:t xml:space="preserve"> roku</w:t>
            </w:r>
            <w:r w:rsidRPr="006808C5">
              <w:rPr>
                <w:rFonts w:cs="Arial"/>
                <w:bCs/>
              </w:rPr>
              <w:t>, v</w:t>
            </w:r>
            <w:r w:rsidR="006D164C">
              <w:rPr>
                <w:rFonts w:cs="Arial"/>
                <w:bCs/>
              </w:rPr>
              <w:t> mld.</w:t>
            </w:r>
            <w:r w:rsidRPr="006808C5">
              <w:rPr>
                <w:rFonts w:cs="Arial"/>
                <w:bCs/>
              </w:rPr>
              <w:t xml:space="preserve"> korun</w:t>
            </w:r>
            <w:r w:rsidR="00C45380">
              <w:rPr>
                <w:rFonts w:cs="Arial"/>
                <w:bCs/>
              </w:rPr>
              <w:t>)</w:t>
            </w:r>
            <w:r>
              <w:rPr>
                <w:rFonts w:cs="Arial"/>
                <w:bCs/>
              </w:rPr>
              <w:t xml:space="preserve"> </w:t>
            </w:r>
            <w:r>
              <w:rPr>
                <w:rFonts w:cs="Arial"/>
                <w:b/>
                <w:bCs/>
              </w:rPr>
              <w:t>a čisté výdaje SR na státní dluh</w:t>
            </w:r>
            <w:r w:rsidRPr="006808C5">
              <w:rPr>
                <w:rFonts w:cs="Arial"/>
                <w:b/>
                <w:bCs/>
              </w:rPr>
              <w:t xml:space="preserve"> </w:t>
            </w:r>
            <w:r>
              <w:rPr>
                <w:rFonts w:cs="Arial"/>
                <w:bCs/>
              </w:rPr>
              <w:t>(úhrn za 1. až 3</w:t>
            </w:r>
            <w:r w:rsidR="005723B7">
              <w:rPr>
                <w:rFonts w:cs="Arial"/>
                <w:bCs/>
              </w:rPr>
              <w:t>. čtvrtletí</w:t>
            </w:r>
            <w:r>
              <w:rPr>
                <w:rFonts w:cs="Arial"/>
                <w:bCs/>
              </w:rPr>
              <w:t xml:space="preserve">, </w:t>
            </w:r>
            <w:r w:rsidRPr="00C45380">
              <w:rPr>
                <w:rFonts w:cs="Arial"/>
                <w:bCs/>
              </w:rPr>
              <w:t>v</w:t>
            </w:r>
            <w:r w:rsidR="006D164C" w:rsidRPr="00C45380">
              <w:rPr>
                <w:rFonts w:cs="Arial"/>
                <w:bCs/>
                <w:spacing w:val="-2"/>
              </w:rPr>
              <w:t> mld.</w:t>
            </w:r>
            <w:r w:rsidRPr="00C45380">
              <w:rPr>
                <w:rFonts w:cs="Arial"/>
                <w:bCs/>
              </w:rPr>
              <w:t xml:space="preserve"> korun,</w:t>
            </w:r>
            <w:r>
              <w:rPr>
                <w:rFonts w:cs="Arial"/>
                <w:bCs/>
              </w:rPr>
              <w:t xml:space="preserve"> pravá osa</w:t>
            </w:r>
            <w:r w:rsidRPr="006808C5">
              <w:rPr>
                <w:rFonts w:cs="Arial"/>
                <w:bCs/>
              </w:rPr>
              <w:t>)</w:t>
            </w:r>
          </w:p>
        </w:tc>
      </w:tr>
      <w:tr w:rsidR="00490B20" w:rsidRPr="006D67AC" w:rsidTr="00876058">
        <w:trPr>
          <w:trHeight w:val="145"/>
        </w:trPr>
        <w:tc>
          <w:tcPr>
            <w:tcW w:w="1021" w:type="pct"/>
            <w:shd w:val="clear" w:color="auto" w:fill="auto"/>
          </w:tcPr>
          <w:p w:rsidR="00490B20" w:rsidRPr="006D3F53" w:rsidRDefault="00490B20" w:rsidP="00876058">
            <w:pPr>
              <w:spacing w:line="240" w:lineRule="auto"/>
              <w:rPr>
                <w:color w:val="000000"/>
                <w:sz w:val="16"/>
                <w:szCs w:val="16"/>
                <w:highlight w:val="yellow"/>
              </w:rPr>
            </w:pPr>
          </w:p>
        </w:tc>
        <w:tc>
          <w:tcPr>
            <w:tcW w:w="145" w:type="pct"/>
          </w:tcPr>
          <w:p w:rsidR="00490B20" w:rsidRPr="00A74192" w:rsidRDefault="00490B20" w:rsidP="00876058">
            <w:pPr>
              <w:pStyle w:val="Textpoznpodarou"/>
              <w:jc w:val="both"/>
            </w:pPr>
          </w:p>
        </w:tc>
        <w:tc>
          <w:tcPr>
            <w:tcW w:w="3833" w:type="pct"/>
            <w:gridSpan w:val="2"/>
          </w:tcPr>
          <w:p w:rsidR="00490B20" w:rsidRDefault="00490B20" w:rsidP="00876058">
            <w:pPr>
              <w:pStyle w:val="Textpoznpodarou"/>
              <w:ind w:left="-124"/>
              <w:jc w:val="both"/>
              <w:rPr>
                <w:sz w:val="16"/>
                <w:szCs w:val="16"/>
              </w:rPr>
            </w:pPr>
            <w:r w:rsidRPr="00C9521B">
              <w:rPr>
                <w:noProof/>
                <w:sz w:val="16"/>
                <w:szCs w:val="16"/>
              </w:rPr>
              <w:drawing>
                <wp:inline distT="0" distB="0" distL="0" distR="0">
                  <wp:extent cx="4757384" cy="3528000"/>
                  <wp:effectExtent l="0" t="0" r="5116" b="0"/>
                  <wp:docPr id="4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B20" w:rsidRPr="006D67AC" w:rsidRDefault="00490B20" w:rsidP="00876058">
            <w:pPr>
              <w:autoSpaceDE w:val="0"/>
              <w:autoSpaceDN w:val="0"/>
              <w:adjustRightInd w:val="0"/>
              <w:spacing w:line="240" w:lineRule="auto"/>
              <w:rPr>
                <w:rFonts w:cs="Arial"/>
                <w:sz w:val="14"/>
                <w:szCs w:val="14"/>
              </w:rPr>
            </w:pPr>
            <w:r>
              <w:rPr>
                <w:sz w:val="14"/>
                <w:szCs w:val="14"/>
              </w:rPr>
              <w:t>Pozn.: V čistých výdajích na státní dluh jsou započteny i příjmy rozpočtové kapitoly státní dluh.                     Zdroj: MF</w:t>
            </w:r>
          </w:p>
        </w:tc>
      </w:tr>
    </w:tbl>
    <w:p w:rsidR="008A03DE" w:rsidRPr="00CE7158" w:rsidRDefault="008A03DE" w:rsidP="00293553">
      <w:pPr>
        <w:pStyle w:val="Textpoznpodarou"/>
        <w:jc w:val="both"/>
        <w:rPr>
          <w:rFonts w:cs="Arial"/>
          <w:color w:val="000000"/>
          <w:sz w:val="10"/>
          <w:szCs w:val="10"/>
        </w:rPr>
      </w:pPr>
    </w:p>
    <w:sectPr w:rsidR="008A03DE" w:rsidRPr="00CE7158" w:rsidSect="006462B8">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2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BF40B" w15:done="0"/>
  <w15:commentEx w15:paraId="16C4E902" w15:done="0"/>
  <w15:commentEx w15:paraId="77D26CEC" w15:done="0"/>
  <w15:commentEx w15:paraId="5E0FE7F5" w15:done="0"/>
  <w15:commentEx w15:paraId="4A572DBB" w15:done="0"/>
  <w15:commentEx w15:paraId="51697760" w15:done="0"/>
  <w15:commentEx w15:paraId="5ED29711" w15:done="0"/>
  <w15:commentEx w15:paraId="52681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BF40B" w16cid:durableId="1DDEACCD"/>
  <w16cid:commentId w16cid:paraId="16C4E902" w16cid:durableId="1DDF6F04"/>
  <w16cid:commentId w16cid:paraId="77D26CEC" w16cid:durableId="1DDF596E"/>
  <w16cid:commentId w16cid:paraId="5E0FE7F5" w16cid:durableId="1DDF7C4B"/>
  <w16cid:commentId w16cid:paraId="4A572DBB" w16cid:durableId="1DDF8DFA"/>
  <w16cid:commentId w16cid:paraId="51697760" w16cid:durableId="1DDFC45F"/>
  <w16cid:commentId w16cid:paraId="5ED29711" w16cid:durableId="1DDFC9D1"/>
  <w16cid:commentId w16cid:paraId="52681086" w16cid:durableId="1DDFCB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EF" w:rsidRDefault="003123EF" w:rsidP="00E71A58">
      <w:r>
        <w:separator/>
      </w:r>
    </w:p>
  </w:endnote>
  <w:endnote w:type="continuationSeparator" w:id="0">
    <w:p w:rsidR="003123EF" w:rsidRDefault="003123EF"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0262B6" w:rsidRPr="005A21E0">
      <w:rPr>
        <w:rFonts w:ascii="Arial" w:hAnsi="Arial" w:cs="Arial"/>
        <w:sz w:val="16"/>
        <w:szCs w:val="16"/>
      </w:rPr>
      <w:fldChar w:fldCharType="begin"/>
    </w:r>
    <w:r w:rsidRPr="005A21E0">
      <w:rPr>
        <w:rFonts w:ascii="Arial" w:hAnsi="Arial" w:cs="Arial"/>
        <w:sz w:val="16"/>
        <w:szCs w:val="16"/>
      </w:rPr>
      <w:instrText>PAGE   \* MERGEFORMAT</w:instrText>
    </w:r>
    <w:r w:rsidR="000262B6" w:rsidRPr="005A21E0">
      <w:rPr>
        <w:rFonts w:ascii="Arial" w:hAnsi="Arial" w:cs="Arial"/>
        <w:sz w:val="16"/>
        <w:szCs w:val="16"/>
      </w:rPr>
      <w:fldChar w:fldCharType="separate"/>
    </w:r>
    <w:r w:rsidR="00D1201B">
      <w:rPr>
        <w:rFonts w:ascii="Arial" w:hAnsi="Arial" w:cs="Arial"/>
        <w:noProof/>
        <w:sz w:val="16"/>
        <w:szCs w:val="16"/>
      </w:rPr>
      <w:t>28</w:t>
    </w:r>
    <w:r w:rsidR="000262B6"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Default="004A6717"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4A6717" w:rsidRPr="00223E00" w:rsidRDefault="004A6717"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0262B6"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262B6" w:rsidRPr="00223E00">
      <w:rPr>
        <w:rFonts w:ascii="Arial" w:hAnsi="Arial" w:cs="Arial"/>
        <w:sz w:val="16"/>
        <w:szCs w:val="16"/>
      </w:rPr>
      <w:fldChar w:fldCharType="separate"/>
    </w:r>
    <w:r w:rsidR="00D1201B">
      <w:rPr>
        <w:rFonts w:ascii="Arial" w:hAnsi="Arial" w:cs="Arial"/>
        <w:noProof/>
        <w:sz w:val="16"/>
        <w:szCs w:val="16"/>
      </w:rPr>
      <w:t>27</w:t>
    </w:r>
    <w:r w:rsidR="000262B6"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EF" w:rsidRDefault="003123EF" w:rsidP="00E71A58">
      <w:r>
        <w:separator/>
      </w:r>
    </w:p>
  </w:footnote>
  <w:footnote w:type="continuationSeparator" w:id="0">
    <w:p w:rsidR="003123EF" w:rsidRDefault="003123EF" w:rsidP="00E71A58">
      <w:r>
        <w:continuationSeparator/>
      </w:r>
    </w:p>
  </w:footnote>
  <w:footnote w:id="1">
    <w:p w:rsidR="004A6717" w:rsidRPr="005E3428" w:rsidRDefault="004A6717" w:rsidP="00490B20">
      <w:pPr>
        <w:pStyle w:val="Textpoznpodarou"/>
        <w:rPr>
          <w:sz w:val="16"/>
          <w:szCs w:val="16"/>
        </w:rPr>
      </w:pPr>
      <w:r w:rsidRPr="005E3428">
        <w:rPr>
          <w:rStyle w:val="Znakapoznpodarou"/>
          <w:sz w:val="16"/>
          <w:szCs w:val="16"/>
        </w:rPr>
        <w:footnoteRef/>
      </w:r>
      <w:r w:rsidRPr="005E3428">
        <w:rPr>
          <w:sz w:val="16"/>
          <w:szCs w:val="16"/>
        </w:rPr>
        <w:t xml:space="preserve"> Pokud není uvedeno jinak, vycház</w:t>
      </w:r>
      <w:r>
        <w:rPr>
          <w:sz w:val="16"/>
          <w:szCs w:val="16"/>
        </w:rPr>
        <w:t>ej</w:t>
      </w:r>
      <w:r w:rsidRPr="005E3428">
        <w:rPr>
          <w:sz w:val="16"/>
          <w:szCs w:val="16"/>
        </w:rPr>
        <w:t xml:space="preserve">í všechny údaje týkající se státního rozpočtu </w:t>
      </w:r>
      <w:r>
        <w:rPr>
          <w:rFonts w:cs="Arial"/>
          <w:color w:val="0D0D0D" w:themeColor="text1" w:themeTint="F2"/>
          <w:spacing w:val="-3"/>
          <w:sz w:val="16"/>
          <w:szCs w:val="16"/>
        </w:rPr>
        <w:t>z dat</w:t>
      </w:r>
      <w:r w:rsidRPr="005E3428">
        <w:rPr>
          <w:rFonts w:cs="Arial"/>
          <w:color w:val="0D0D0D" w:themeColor="text1" w:themeTint="F2"/>
          <w:spacing w:val="-3"/>
          <w:sz w:val="16"/>
          <w:szCs w:val="16"/>
        </w:rPr>
        <w:t xml:space="preserve"> Ministerstva financí o pokladním plnění.</w:t>
      </w:r>
      <w:r w:rsidRPr="005E3428">
        <w:rPr>
          <w:sz w:val="16"/>
          <w:szCs w:val="16"/>
        </w:rPr>
        <w:t xml:space="preserve"> </w:t>
      </w:r>
    </w:p>
  </w:footnote>
  <w:footnote w:id="2">
    <w:p w:rsidR="004A6717" w:rsidRPr="00E9220F" w:rsidRDefault="004A6717" w:rsidP="00490B20">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Od 1.</w:t>
      </w:r>
      <w:r>
        <w:rPr>
          <w:color w:val="0D0D0D" w:themeColor="text1" w:themeTint="F2"/>
          <w:spacing w:val="-2"/>
          <w:sz w:val="16"/>
          <w:szCs w:val="16"/>
        </w:rPr>
        <w:t xml:space="preserve"> 1. </w:t>
      </w:r>
      <w:r w:rsidRPr="00E9220F">
        <w:rPr>
          <w:color w:val="0D0D0D" w:themeColor="text1" w:themeTint="F2"/>
          <w:spacing w:val="-2"/>
          <w:sz w:val="16"/>
          <w:szCs w:val="16"/>
        </w:rPr>
        <w:t>2017 klesl změnou rozpočtového určení daní podíl SR na celostátním výnosu DPH ze 70,25</w:t>
      </w:r>
      <w:r>
        <w:rPr>
          <w:color w:val="0D0D0D" w:themeColor="text1" w:themeTint="F2"/>
          <w:spacing w:val="-2"/>
          <w:sz w:val="16"/>
          <w:szCs w:val="16"/>
        </w:rPr>
        <w:t> %</w:t>
      </w:r>
      <w:r w:rsidRPr="00E9220F">
        <w:rPr>
          <w:color w:val="0D0D0D" w:themeColor="text1" w:themeTint="F2"/>
          <w:spacing w:val="-2"/>
          <w:sz w:val="16"/>
          <w:szCs w:val="16"/>
        </w:rPr>
        <w:t xml:space="preserve"> na 69,68</w:t>
      </w:r>
      <w:r>
        <w:rPr>
          <w:color w:val="0D0D0D" w:themeColor="text1" w:themeTint="F2"/>
          <w:spacing w:val="-2"/>
          <w:sz w:val="16"/>
          <w:szCs w:val="16"/>
        </w:rPr>
        <w:t> %</w:t>
      </w:r>
      <w:r w:rsidRPr="00E9220F">
        <w:rPr>
          <w:color w:val="0D0D0D" w:themeColor="text1" w:themeTint="F2"/>
          <w:spacing w:val="-2"/>
          <w:sz w:val="16"/>
          <w:szCs w:val="16"/>
        </w:rPr>
        <w:t xml:space="preserve"> ve prospěch podílu obcí. Recipročně došlo k úpravě procentního podílu u výnosu daně z příjmu fyzických osob z přiznání, a to ve prospěch SR.</w:t>
      </w:r>
    </w:p>
  </w:footnote>
  <w:footnote w:id="3">
    <w:p w:rsidR="004A6717" w:rsidRPr="002A52AF" w:rsidRDefault="004A6717" w:rsidP="00490B20">
      <w:pPr>
        <w:pStyle w:val="Textpoznpodarou"/>
        <w:jc w:val="both"/>
        <w:rPr>
          <w:color w:val="0D0D0D" w:themeColor="text1" w:themeTint="F2"/>
          <w:sz w:val="16"/>
          <w:szCs w:val="16"/>
        </w:rPr>
      </w:pPr>
      <w:r w:rsidRPr="002A52AF">
        <w:rPr>
          <w:rStyle w:val="Znakapoznpodarou"/>
          <w:color w:val="0D0D0D" w:themeColor="text1" w:themeTint="F2"/>
          <w:sz w:val="16"/>
          <w:szCs w:val="16"/>
        </w:rPr>
        <w:footnoteRef/>
      </w:r>
      <w:r w:rsidRPr="002A52AF">
        <w:rPr>
          <w:color w:val="0D0D0D" w:themeColor="text1" w:themeTint="F2"/>
          <w:sz w:val="16"/>
          <w:szCs w:val="16"/>
        </w:rPr>
        <w:t xml:space="preserve"> Došlo k </w:t>
      </w:r>
      <w:r>
        <w:rPr>
          <w:rFonts w:cs="Arial"/>
          <w:color w:val="0D0D0D" w:themeColor="text1" w:themeTint="F2"/>
          <w:sz w:val="16"/>
          <w:szCs w:val="16"/>
        </w:rPr>
        <w:t xml:space="preserve">vrácení daně za </w:t>
      </w:r>
      <w:r w:rsidRPr="002A52AF">
        <w:rPr>
          <w:rFonts w:cs="Arial"/>
          <w:color w:val="0D0D0D" w:themeColor="text1" w:themeTint="F2"/>
          <w:sz w:val="16"/>
          <w:szCs w:val="16"/>
        </w:rPr>
        <w:t>cigaret</w:t>
      </w:r>
      <w:r>
        <w:rPr>
          <w:rFonts w:cs="Arial"/>
          <w:color w:val="0D0D0D" w:themeColor="text1" w:themeTint="F2"/>
          <w:sz w:val="16"/>
          <w:szCs w:val="16"/>
        </w:rPr>
        <w:t>y se starými obaly</w:t>
      </w:r>
      <w:r w:rsidRPr="002A52AF">
        <w:rPr>
          <w:rFonts w:cs="Arial"/>
          <w:color w:val="0D0D0D" w:themeColor="text1" w:themeTint="F2"/>
          <w:sz w:val="16"/>
          <w:szCs w:val="16"/>
        </w:rPr>
        <w:t>, jež bylo nutno stáhnout z oběhu.</w:t>
      </w:r>
      <w:r w:rsidRPr="002A52AF">
        <w:rPr>
          <w:color w:val="0D0D0D" w:themeColor="text1" w:themeTint="F2"/>
          <w:sz w:val="16"/>
          <w:szCs w:val="16"/>
        </w:rPr>
        <w:t xml:space="preserve"> Stažení cigaret souviselo s uvedením nových produktů </w:t>
      </w:r>
      <w:r>
        <w:rPr>
          <w:color w:val="0D0D0D" w:themeColor="text1" w:themeTint="F2"/>
          <w:sz w:val="16"/>
          <w:szCs w:val="16"/>
        </w:rPr>
        <w:t>(</w:t>
      </w:r>
      <w:r w:rsidRPr="002A52AF">
        <w:rPr>
          <w:color w:val="0D0D0D" w:themeColor="text1" w:themeTint="F2"/>
          <w:sz w:val="16"/>
          <w:szCs w:val="16"/>
        </w:rPr>
        <w:t>zatížených vyšší sazbou daně a obsahujících důslednější zdravotní varování</w:t>
      </w:r>
      <w:r>
        <w:rPr>
          <w:color w:val="0D0D0D" w:themeColor="text1" w:themeTint="F2"/>
          <w:sz w:val="16"/>
          <w:szCs w:val="16"/>
        </w:rPr>
        <w:t>)</w:t>
      </w:r>
      <w:r w:rsidRPr="002A52AF">
        <w:rPr>
          <w:color w:val="0D0D0D" w:themeColor="text1" w:themeTint="F2"/>
          <w:sz w:val="16"/>
          <w:szCs w:val="16"/>
        </w:rPr>
        <w:t>.</w:t>
      </w:r>
    </w:p>
  </w:footnote>
  <w:footnote w:id="4">
    <w:p w:rsidR="004A6717" w:rsidRPr="00CE347C" w:rsidRDefault="004A6717" w:rsidP="00490B20">
      <w:pPr>
        <w:pStyle w:val="Textpoznpodarou"/>
        <w:jc w:val="both"/>
        <w:rPr>
          <w:sz w:val="16"/>
          <w:szCs w:val="16"/>
        </w:rPr>
      </w:pPr>
      <w:r w:rsidRPr="00CE347C">
        <w:rPr>
          <w:rStyle w:val="Znakapoznpodarou"/>
          <w:sz w:val="16"/>
          <w:szCs w:val="16"/>
        </w:rPr>
        <w:footnoteRef/>
      </w:r>
      <w:r>
        <w:rPr>
          <w:sz w:val="16"/>
          <w:szCs w:val="16"/>
        </w:rPr>
        <w:t xml:space="preserve"> Od ledna do září</w:t>
      </w:r>
      <w:r w:rsidRPr="00CE347C">
        <w:rPr>
          <w:sz w:val="16"/>
          <w:szCs w:val="16"/>
        </w:rPr>
        <w:t xml:space="preserve"> 2017 vydal SR na investice 41,4 mld. korun. Více než polovina z této částky</w:t>
      </w:r>
      <w:r>
        <w:rPr>
          <w:sz w:val="16"/>
          <w:szCs w:val="16"/>
        </w:rPr>
        <w:t xml:space="preserve"> přitom připadala na samotné 3. čtvrtletí</w:t>
      </w:r>
      <w:r w:rsidRPr="00CE347C">
        <w:rPr>
          <w:sz w:val="16"/>
          <w:szCs w:val="16"/>
        </w:rPr>
        <w:t>. Trend oživení státních investic pokračoval i v říjnu, během něhož se tyto výdaje rozro</w:t>
      </w:r>
      <w:r>
        <w:rPr>
          <w:sz w:val="16"/>
          <w:szCs w:val="16"/>
        </w:rPr>
        <w:t xml:space="preserve">stly o více než 10 mld. korun. </w:t>
      </w:r>
    </w:p>
  </w:footnote>
  <w:footnote w:id="5">
    <w:p w:rsidR="004A6717" w:rsidRPr="007D64E4" w:rsidRDefault="004A6717" w:rsidP="00490B20">
      <w:pPr>
        <w:pStyle w:val="Textpoznpodarou"/>
        <w:jc w:val="both"/>
        <w:rPr>
          <w:sz w:val="16"/>
          <w:szCs w:val="16"/>
        </w:rPr>
      </w:pPr>
      <w:r w:rsidRPr="007D64E4">
        <w:rPr>
          <w:rStyle w:val="Znakapoznpodarou"/>
          <w:sz w:val="16"/>
          <w:szCs w:val="16"/>
        </w:rPr>
        <w:footnoteRef/>
      </w:r>
      <w:r w:rsidRPr="007D64E4">
        <w:rPr>
          <w:sz w:val="16"/>
          <w:szCs w:val="16"/>
        </w:rPr>
        <w:t xml:space="preserve"> </w:t>
      </w:r>
      <w:r w:rsidRPr="007D64E4">
        <w:rPr>
          <w:rFonts w:cs="Arial"/>
          <w:color w:val="000000" w:themeColor="text1"/>
          <w:spacing w:val="-2"/>
          <w:sz w:val="16"/>
          <w:szCs w:val="16"/>
        </w:rPr>
        <w:t xml:space="preserve">Veškeré výdaje (vč. neinvestičních) na tyto projekty činily v úhrnu za </w:t>
      </w:r>
      <w:r>
        <w:rPr>
          <w:rFonts w:cs="Arial"/>
          <w:color w:val="000000" w:themeColor="text1"/>
          <w:spacing w:val="-2"/>
          <w:sz w:val="16"/>
          <w:szCs w:val="16"/>
        </w:rPr>
        <w:t xml:space="preserve">první </w:t>
      </w:r>
      <w:r w:rsidRPr="007D64E4">
        <w:rPr>
          <w:rFonts w:cs="Arial"/>
          <w:color w:val="000000" w:themeColor="text1"/>
          <w:spacing w:val="-2"/>
          <w:sz w:val="16"/>
          <w:szCs w:val="16"/>
        </w:rPr>
        <w:t>tři letošní čtvrtletí 51,4 mld.</w:t>
      </w:r>
      <w:r>
        <w:rPr>
          <w:rFonts w:cs="Arial"/>
          <w:color w:val="000000" w:themeColor="text1"/>
          <w:spacing w:val="-2"/>
          <w:sz w:val="16"/>
          <w:szCs w:val="16"/>
        </w:rPr>
        <w:t xml:space="preserve"> korun</w:t>
      </w:r>
      <w:r w:rsidRPr="007D64E4">
        <w:rPr>
          <w:rFonts w:cs="Arial"/>
          <w:color w:val="000000" w:themeColor="text1"/>
          <w:spacing w:val="-2"/>
          <w:sz w:val="16"/>
          <w:szCs w:val="16"/>
        </w:rPr>
        <w:t>, meziročně o 10,2 mld. méně</w:t>
      </w:r>
      <w:r>
        <w:rPr>
          <w:rFonts w:cs="Arial"/>
          <w:color w:val="000000" w:themeColor="text1"/>
          <w:spacing w:val="-2"/>
          <w:sz w:val="16"/>
          <w:szCs w:val="16"/>
        </w:rPr>
        <w:t xml:space="preserve"> (v loňském roce však ještě část z nich souvisela s programovým obdobím 2007–2013). Pomalejší náběh čerpání v současném programovém období souvisel především s využívá</w:t>
      </w:r>
      <w:r w:rsidRPr="00DF1FDA">
        <w:rPr>
          <w:rFonts w:cs="Arial"/>
          <w:color w:val="000000" w:themeColor="text1"/>
          <w:spacing w:val="-2"/>
          <w:sz w:val="16"/>
          <w:szCs w:val="16"/>
        </w:rPr>
        <w:t>ním Strukturálních fondů a Fondu soudržnosti, naopak čerpání podpor v oblasti zemědělství probíhalo relativně plynule.</w:t>
      </w:r>
    </w:p>
  </w:footnote>
  <w:footnote w:id="6">
    <w:p w:rsidR="004A6717" w:rsidRPr="002B6CE9" w:rsidRDefault="004A6717" w:rsidP="00490B20">
      <w:pPr>
        <w:pStyle w:val="Textpoznpodarou"/>
        <w:jc w:val="both"/>
        <w:rPr>
          <w:sz w:val="16"/>
          <w:szCs w:val="16"/>
        </w:rPr>
      </w:pPr>
      <w:r w:rsidRPr="002B6CE9">
        <w:rPr>
          <w:rStyle w:val="Znakapoznpodarou"/>
          <w:sz w:val="16"/>
          <w:szCs w:val="16"/>
        </w:rPr>
        <w:footnoteRef/>
      </w:r>
      <w:r w:rsidRPr="002B6CE9">
        <w:rPr>
          <w:sz w:val="16"/>
          <w:szCs w:val="16"/>
        </w:rPr>
        <w:t xml:space="preserve"> Od 1.</w:t>
      </w:r>
      <w:r>
        <w:rPr>
          <w:sz w:val="16"/>
          <w:szCs w:val="16"/>
        </w:rPr>
        <w:t> </w:t>
      </w:r>
      <w:r w:rsidRPr="002B6CE9">
        <w:rPr>
          <w:sz w:val="16"/>
          <w:szCs w:val="16"/>
        </w:rPr>
        <w:t>září 2016 se navýšily platy pedagogům (+8</w:t>
      </w:r>
      <w:r>
        <w:rPr>
          <w:sz w:val="16"/>
          <w:szCs w:val="16"/>
        </w:rPr>
        <w:t> %</w:t>
      </w:r>
      <w:r w:rsidRPr="002B6CE9">
        <w:rPr>
          <w:sz w:val="16"/>
          <w:szCs w:val="16"/>
        </w:rPr>
        <w:t>), ale i nepedagogickým pracovníkům (+5</w:t>
      </w:r>
      <w:r>
        <w:rPr>
          <w:sz w:val="16"/>
          <w:szCs w:val="16"/>
        </w:rPr>
        <w:t> %</w:t>
      </w:r>
      <w:r w:rsidRPr="002B6CE9">
        <w:rPr>
          <w:sz w:val="16"/>
          <w:szCs w:val="16"/>
        </w:rPr>
        <w:t>) – ti si polepšili také od 1.</w:t>
      </w:r>
      <w:r>
        <w:rPr>
          <w:sz w:val="16"/>
          <w:szCs w:val="16"/>
        </w:rPr>
        <w:t> </w:t>
      </w:r>
      <w:r w:rsidRPr="002B6CE9">
        <w:rPr>
          <w:sz w:val="16"/>
          <w:szCs w:val="16"/>
        </w:rPr>
        <w:t>července 2017 (o dalších 9,4</w:t>
      </w:r>
      <w:r>
        <w:rPr>
          <w:sz w:val="16"/>
          <w:szCs w:val="16"/>
        </w:rPr>
        <w:t> %</w:t>
      </w:r>
      <w:r w:rsidRPr="002B6CE9">
        <w:rPr>
          <w:sz w:val="16"/>
          <w:szCs w:val="16"/>
        </w:rPr>
        <w:t xml:space="preserve">). </w:t>
      </w:r>
    </w:p>
  </w:footnote>
  <w:footnote w:id="7">
    <w:p w:rsidR="004A6717" w:rsidRPr="00E82336" w:rsidRDefault="004A6717" w:rsidP="00490B20">
      <w:pPr>
        <w:pStyle w:val="Textpoznpodarou"/>
        <w:rPr>
          <w:sz w:val="16"/>
          <w:szCs w:val="16"/>
        </w:rPr>
      </w:pPr>
      <w:r w:rsidRPr="00E82336">
        <w:rPr>
          <w:rStyle w:val="Znakapoznpodarou"/>
          <w:sz w:val="16"/>
          <w:szCs w:val="16"/>
        </w:rPr>
        <w:footnoteRef/>
      </w:r>
      <w:r w:rsidRPr="00E82336">
        <w:rPr>
          <w:sz w:val="16"/>
          <w:szCs w:val="16"/>
        </w:rPr>
        <w:t xml:space="preserve"> </w:t>
      </w:r>
      <w:r>
        <w:rPr>
          <w:sz w:val="16"/>
          <w:szCs w:val="16"/>
        </w:rPr>
        <w:t>Je v</w:t>
      </w:r>
      <w:r w:rsidRPr="00E82336">
        <w:rPr>
          <w:sz w:val="16"/>
          <w:szCs w:val="16"/>
        </w:rPr>
        <w:t xml:space="preserve">yjádřený jako </w:t>
      </w:r>
      <w:r w:rsidRPr="00E82336">
        <w:rPr>
          <w:rFonts w:cs="Arial"/>
          <w:color w:val="000000" w:themeColor="text1"/>
          <w:spacing w:val="-4"/>
          <w:sz w:val="16"/>
          <w:szCs w:val="16"/>
        </w:rPr>
        <w:t>rozdíl mezi příjmy a výdaji na důchody ze SR</w:t>
      </w:r>
      <w:r>
        <w:rPr>
          <w:rFonts w:cs="Arial"/>
          <w:color w:val="000000" w:themeColor="text1"/>
          <w:spacing w:val="-4"/>
          <w:sz w:val="16"/>
          <w:szCs w:val="16"/>
        </w:rPr>
        <w:t xml:space="preserve"> (z předběžných údajů)</w:t>
      </w:r>
      <w:r w:rsidRPr="00E82336">
        <w:rPr>
          <w:rFonts w:cs="Arial"/>
          <w:color w:val="000000" w:themeColor="text1"/>
          <w:spacing w:val="-4"/>
          <w:sz w:val="16"/>
          <w:szCs w:val="16"/>
        </w:rPr>
        <w:t>.</w:t>
      </w:r>
    </w:p>
  </w:footnote>
  <w:footnote w:id="8">
    <w:p w:rsidR="004A6717" w:rsidRPr="00D842A8" w:rsidRDefault="004A6717" w:rsidP="00490B20">
      <w:pPr>
        <w:pStyle w:val="Textpoznpodarou"/>
        <w:jc w:val="both"/>
        <w:rPr>
          <w:rFonts w:cs="Arial"/>
          <w:color w:val="0D0D0D" w:themeColor="text1" w:themeTint="F2"/>
          <w:spacing w:val="-4"/>
          <w:sz w:val="16"/>
          <w:szCs w:val="16"/>
        </w:rPr>
      </w:pPr>
      <w:r w:rsidRPr="00D842A8">
        <w:rPr>
          <w:rStyle w:val="Znakapoznpodarou"/>
          <w:spacing w:val="-4"/>
          <w:sz w:val="16"/>
          <w:szCs w:val="16"/>
        </w:rPr>
        <w:footnoteRef/>
      </w:r>
      <w:r w:rsidRPr="00D842A8">
        <w:rPr>
          <w:spacing w:val="-4"/>
          <w:sz w:val="16"/>
          <w:szCs w:val="16"/>
        </w:rPr>
        <w:t xml:space="preserve"> Zrychlení tempa růstu bylo způsobeno hlavně legislativní úpravou, která od 1.</w:t>
      </w:r>
      <w:r>
        <w:rPr>
          <w:spacing w:val="-4"/>
          <w:sz w:val="16"/>
          <w:szCs w:val="16"/>
        </w:rPr>
        <w:t> </w:t>
      </w:r>
      <w:r w:rsidRPr="00D842A8">
        <w:rPr>
          <w:spacing w:val="-4"/>
          <w:sz w:val="16"/>
          <w:szCs w:val="16"/>
        </w:rPr>
        <w:t>8.</w:t>
      </w:r>
      <w:r>
        <w:rPr>
          <w:spacing w:val="-4"/>
          <w:sz w:val="16"/>
          <w:szCs w:val="16"/>
        </w:rPr>
        <w:t> </w:t>
      </w:r>
      <w:r w:rsidRPr="00D842A8">
        <w:rPr>
          <w:spacing w:val="-4"/>
          <w:sz w:val="16"/>
          <w:szCs w:val="16"/>
        </w:rPr>
        <w:t>2016 navýšila příspěvek ve všech stupních závislosti o 10</w:t>
      </w:r>
      <w:r>
        <w:rPr>
          <w:spacing w:val="-4"/>
          <w:sz w:val="16"/>
          <w:szCs w:val="16"/>
        </w:rPr>
        <w:t> %.</w:t>
      </w:r>
    </w:p>
  </w:footnote>
  <w:footnote w:id="9">
    <w:p w:rsidR="004A6717" w:rsidRPr="001B736A" w:rsidRDefault="004A6717" w:rsidP="00490B20">
      <w:pPr>
        <w:pStyle w:val="Textpoznpodarou"/>
        <w:jc w:val="both"/>
        <w:rPr>
          <w:sz w:val="16"/>
          <w:szCs w:val="16"/>
        </w:rPr>
      </w:pPr>
      <w:r w:rsidRPr="001B736A">
        <w:rPr>
          <w:rStyle w:val="Znakapoznpodarou"/>
          <w:sz w:val="16"/>
          <w:szCs w:val="16"/>
        </w:rPr>
        <w:footnoteRef/>
      </w:r>
      <w:r w:rsidRPr="001B736A">
        <w:rPr>
          <w:sz w:val="16"/>
          <w:szCs w:val="16"/>
        </w:rPr>
        <w:t xml:space="preserve"> Přestože celkový počet nezaměstnaných v evidenci ÚP výrazně klesal, počet osob s nárokem na podporu byl na konci září 2017 meziročně nižší jen o 11,5 tis</w:t>
      </w:r>
      <w:r>
        <w:rPr>
          <w:sz w:val="16"/>
          <w:szCs w:val="16"/>
        </w:rPr>
        <w:t>íce</w:t>
      </w:r>
      <w:r w:rsidRPr="001B736A">
        <w:rPr>
          <w:sz w:val="16"/>
          <w:szCs w:val="16"/>
        </w:rPr>
        <w:t xml:space="preserve">. Práci nacházeli ve větší míře hlavně dlouhodobě nezaměstnaní. Podíl uchazečů s nárokem na podporu v nezaměstnanosti se </w:t>
      </w:r>
      <w:r>
        <w:rPr>
          <w:sz w:val="16"/>
          <w:szCs w:val="16"/>
        </w:rPr>
        <w:t xml:space="preserve">tak </w:t>
      </w:r>
      <w:r w:rsidRPr="001B736A">
        <w:rPr>
          <w:sz w:val="16"/>
          <w:szCs w:val="16"/>
        </w:rPr>
        <w:t>mírně zvýšil na 26,1</w:t>
      </w:r>
      <w:r>
        <w:rPr>
          <w:sz w:val="16"/>
          <w:szCs w:val="16"/>
        </w:rPr>
        <w:t> %</w:t>
      </w:r>
      <w:r w:rsidRPr="001B736A">
        <w:rPr>
          <w:sz w:val="16"/>
          <w:szCs w:val="16"/>
        </w:rPr>
        <w:t xml:space="preserve"> (z loňských 22,7</w:t>
      </w:r>
      <w:r>
        <w:rPr>
          <w:sz w:val="16"/>
          <w:szCs w:val="16"/>
        </w:rPr>
        <w:t> %</w:t>
      </w:r>
      <w:r w:rsidRPr="001B736A">
        <w:rPr>
          <w:sz w:val="16"/>
          <w:szCs w:val="16"/>
        </w:rPr>
        <w:t xml:space="preserve">). </w:t>
      </w:r>
    </w:p>
  </w:footnote>
  <w:footnote w:id="10">
    <w:p w:rsidR="004A6717" w:rsidRPr="00450BC8" w:rsidRDefault="004A6717" w:rsidP="00490B20">
      <w:pPr>
        <w:pStyle w:val="Textpoznpodarou"/>
        <w:jc w:val="both"/>
        <w:rPr>
          <w:sz w:val="16"/>
          <w:szCs w:val="16"/>
        </w:rPr>
      </w:pPr>
      <w:r w:rsidRPr="00450BC8">
        <w:rPr>
          <w:rStyle w:val="Znakapoznpodarou"/>
          <w:sz w:val="16"/>
          <w:szCs w:val="16"/>
        </w:rPr>
        <w:footnoteRef/>
      </w:r>
      <w:r w:rsidRPr="00450BC8">
        <w:rPr>
          <w:sz w:val="16"/>
          <w:szCs w:val="16"/>
        </w:rPr>
        <w:t xml:space="preserve"> </w:t>
      </w:r>
      <w:r>
        <w:rPr>
          <w:rFonts w:cs="Arial"/>
          <w:spacing w:val="-4"/>
          <w:sz w:val="16"/>
          <w:szCs w:val="16"/>
        </w:rPr>
        <w:t>Na počátku roku</w:t>
      </w:r>
      <w:r w:rsidRPr="00450BC8">
        <w:rPr>
          <w:rFonts w:cs="Arial"/>
          <w:spacing w:val="-4"/>
          <w:sz w:val="16"/>
          <w:szCs w:val="16"/>
        </w:rPr>
        <w:t xml:space="preserve"> docházelo k intenzivnější emisi státních pokladničních poukázek realizo</w:t>
      </w:r>
      <w:r w:rsidRPr="00450BC8">
        <w:rPr>
          <w:rFonts w:cs="Arial"/>
          <w:color w:val="0D0D0D" w:themeColor="text1" w:themeTint="F2"/>
          <w:spacing w:val="-4"/>
          <w:sz w:val="16"/>
          <w:szCs w:val="16"/>
        </w:rPr>
        <w:t>vané z</w:t>
      </w:r>
      <w:r w:rsidRPr="00450BC8">
        <w:rPr>
          <w:color w:val="0D0D0D" w:themeColor="text1" w:themeTint="F2"/>
          <w:spacing w:val="-4"/>
          <w:sz w:val="16"/>
          <w:szCs w:val="16"/>
        </w:rPr>
        <w:t> </w:t>
      </w:r>
      <w:r w:rsidRPr="00450BC8">
        <w:rPr>
          <w:rFonts w:cs="Arial"/>
          <w:color w:val="0D0D0D" w:themeColor="text1" w:themeTint="F2"/>
          <w:spacing w:val="-4"/>
          <w:sz w:val="16"/>
          <w:szCs w:val="16"/>
        </w:rPr>
        <w:t>důvodu využití záporných výnosů.</w:t>
      </w:r>
      <w:r w:rsidRPr="00450BC8">
        <w:rPr>
          <w:sz w:val="16"/>
          <w:szCs w:val="16"/>
        </w:rPr>
        <w:t xml:space="preserve"> Vlivem těchto operací se zvýšil podíl krátkodobého dluhu. Podíl hodnoty dluhopisů se splatností do 18</w:t>
      </w:r>
      <w:r>
        <w:rPr>
          <w:sz w:val="16"/>
          <w:szCs w:val="16"/>
        </w:rPr>
        <w:t> </w:t>
      </w:r>
      <w:r w:rsidRPr="00450BC8">
        <w:rPr>
          <w:sz w:val="16"/>
          <w:szCs w:val="16"/>
        </w:rPr>
        <w:t>měsíců na všech dluhopisech činil na konci června 2017 více než 30</w:t>
      </w:r>
      <w:r>
        <w:rPr>
          <w:sz w:val="16"/>
          <w:szCs w:val="16"/>
        </w:rPr>
        <w:t> %</w:t>
      </w:r>
      <w:r w:rsidRPr="00450BC8">
        <w:rPr>
          <w:sz w:val="16"/>
          <w:szCs w:val="16"/>
        </w:rPr>
        <w:t>, o rok dříve byl o 5</w:t>
      </w:r>
      <w:r>
        <w:rPr>
          <w:sz w:val="16"/>
          <w:szCs w:val="16"/>
        </w:rPr>
        <w:t> p. b.</w:t>
      </w:r>
      <w:r w:rsidRPr="00450BC8">
        <w:rPr>
          <w:sz w:val="16"/>
          <w:szCs w:val="16"/>
        </w:rPr>
        <w:t xml:space="preserve"> nižší.</w:t>
      </w:r>
    </w:p>
  </w:footnote>
  <w:footnote w:id="11">
    <w:p w:rsidR="004A6717" w:rsidRPr="00E9220F" w:rsidRDefault="004A6717" w:rsidP="00490B20">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 dluhu a deficitu</w:t>
      </w:r>
      <w:r>
        <w:rPr>
          <w:color w:val="0D0D0D" w:themeColor="text1" w:themeTint="F2"/>
          <w:spacing w:val="-2"/>
          <w:sz w:val="16"/>
          <w:szCs w:val="16"/>
        </w:rPr>
        <w:t xml:space="preserve"> sektoru vládních institucí za 3. čtvrtletí 2017 zveřejní ČSÚ 11. ledna</w:t>
      </w:r>
      <w:r w:rsidRPr="00E9220F">
        <w:rPr>
          <w:color w:val="0D0D0D" w:themeColor="text1" w:themeTint="F2"/>
          <w:spacing w:val="-2"/>
          <w:sz w:val="16"/>
          <w:szCs w:val="16"/>
        </w:rPr>
        <w:t xml:space="preserve"> </w:t>
      </w:r>
      <w:r>
        <w:rPr>
          <w:color w:val="0D0D0D" w:themeColor="text1" w:themeTint="F2"/>
          <w:spacing w:val="-2"/>
          <w:sz w:val="16"/>
          <w:szCs w:val="16"/>
        </w:rPr>
        <w:t>2018</w:t>
      </w:r>
      <w:r w:rsidRPr="00E9220F">
        <w:rPr>
          <w:color w:val="0D0D0D" w:themeColor="text1" w:themeTint="F2"/>
          <w:spacing w:val="-2"/>
          <w:sz w:val="16"/>
          <w:szCs w:val="16"/>
        </w:rPr>
        <w:t xml:space="preserve">, Eurostat </w:t>
      </w:r>
      <w:r>
        <w:rPr>
          <w:color w:val="0D0D0D" w:themeColor="text1" w:themeTint="F2"/>
          <w:spacing w:val="-2"/>
          <w:sz w:val="16"/>
          <w:szCs w:val="16"/>
        </w:rPr>
        <w:t>22</w:t>
      </w:r>
      <w:r w:rsidRPr="00E9220F">
        <w:rPr>
          <w:color w:val="0D0D0D" w:themeColor="text1" w:themeTint="F2"/>
          <w:spacing w:val="-2"/>
          <w:sz w:val="16"/>
          <w:szCs w:val="16"/>
        </w:rPr>
        <w:t>.</w:t>
      </w:r>
      <w:r>
        <w:rPr>
          <w:color w:val="0D0D0D" w:themeColor="text1" w:themeTint="F2"/>
          <w:spacing w:val="-2"/>
          <w:sz w:val="16"/>
          <w:szCs w:val="16"/>
        </w:rPr>
        <w:t> ledna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C00831" w:rsidRDefault="004A6717"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17" w:rsidRPr="0030768C" w:rsidRDefault="004A6717"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až 3. čtvrtletí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C326A4"/>
    <w:multiLevelType w:val="hybridMultilevel"/>
    <w:tmpl w:val="3C28227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1"/>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6"/>
  </w:num>
  <w:num w:numId="17">
    <w:abstractNumId w:val="6"/>
  </w:num>
  <w:num w:numId="18">
    <w:abstractNumId w:val="22"/>
  </w:num>
  <w:num w:numId="19">
    <w:abstractNumId w:val="10"/>
  </w:num>
  <w:num w:numId="20">
    <w:abstractNumId w:val="1"/>
  </w:num>
  <w:num w:numId="21">
    <w:abstractNumId w:val="12"/>
  </w:num>
  <w:num w:numId="22">
    <w:abstractNumId w:val="14"/>
  </w:num>
  <w:num w:numId="23">
    <w:abstractNumId w:val="3"/>
  </w:num>
  <w:num w:numId="24">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1A7"/>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2B6"/>
    <w:rsid w:val="00026998"/>
    <w:rsid w:val="00026B06"/>
    <w:rsid w:val="000304C4"/>
    <w:rsid w:val="0003066A"/>
    <w:rsid w:val="00030F14"/>
    <w:rsid w:val="000311C5"/>
    <w:rsid w:val="00032838"/>
    <w:rsid w:val="00032C12"/>
    <w:rsid w:val="00032E0C"/>
    <w:rsid w:val="000340BD"/>
    <w:rsid w:val="00035CCF"/>
    <w:rsid w:val="00035FC6"/>
    <w:rsid w:val="0003705E"/>
    <w:rsid w:val="00037667"/>
    <w:rsid w:val="0003780E"/>
    <w:rsid w:val="0004075D"/>
    <w:rsid w:val="000411E1"/>
    <w:rsid w:val="00041E9C"/>
    <w:rsid w:val="00042EC6"/>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AF0"/>
    <w:rsid w:val="00064256"/>
    <w:rsid w:val="000673F8"/>
    <w:rsid w:val="000706A4"/>
    <w:rsid w:val="00070A0C"/>
    <w:rsid w:val="00071F80"/>
    <w:rsid w:val="00072118"/>
    <w:rsid w:val="00073173"/>
    <w:rsid w:val="0007324C"/>
    <w:rsid w:val="00075C64"/>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2EC7"/>
    <w:rsid w:val="000A36CE"/>
    <w:rsid w:val="000A59BF"/>
    <w:rsid w:val="000A66C2"/>
    <w:rsid w:val="000A68A7"/>
    <w:rsid w:val="000A7F13"/>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1F41"/>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8CF"/>
    <w:rsid w:val="00102CB8"/>
    <w:rsid w:val="00102F02"/>
    <w:rsid w:val="0010385D"/>
    <w:rsid w:val="00103E41"/>
    <w:rsid w:val="001041B6"/>
    <w:rsid w:val="001070EA"/>
    <w:rsid w:val="001073E5"/>
    <w:rsid w:val="001076CA"/>
    <w:rsid w:val="0011002A"/>
    <w:rsid w:val="001107CE"/>
    <w:rsid w:val="001109F0"/>
    <w:rsid w:val="0011110A"/>
    <w:rsid w:val="001118AF"/>
    <w:rsid w:val="00111CA5"/>
    <w:rsid w:val="0011256E"/>
    <w:rsid w:val="0011352E"/>
    <w:rsid w:val="0011365A"/>
    <w:rsid w:val="00114FC0"/>
    <w:rsid w:val="00115496"/>
    <w:rsid w:val="00116DB9"/>
    <w:rsid w:val="00116F28"/>
    <w:rsid w:val="00117CE8"/>
    <w:rsid w:val="00121961"/>
    <w:rsid w:val="00121C39"/>
    <w:rsid w:val="00123255"/>
    <w:rsid w:val="00124D2D"/>
    <w:rsid w:val="00124DA1"/>
    <w:rsid w:val="00125326"/>
    <w:rsid w:val="00125CB5"/>
    <w:rsid w:val="001264C1"/>
    <w:rsid w:val="00127535"/>
    <w:rsid w:val="001307BE"/>
    <w:rsid w:val="00130A21"/>
    <w:rsid w:val="00130C8F"/>
    <w:rsid w:val="001314F2"/>
    <w:rsid w:val="001317DA"/>
    <w:rsid w:val="00131FFA"/>
    <w:rsid w:val="001323BA"/>
    <w:rsid w:val="0013254D"/>
    <w:rsid w:val="00133AAC"/>
    <w:rsid w:val="00133FBD"/>
    <w:rsid w:val="00134DFD"/>
    <w:rsid w:val="001356FC"/>
    <w:rsid w:val="00136561"/>
    <w:rsid w:val="00136AE8"/>
    <w:rsid w:val="001400E1"/>
    <w:rsid w:val="001405FA"/>
    <w:rsid w:val="001413B3"/>
    <w:rsid w:val="001425C3"/>
    <w:rsid w:val="00142F16"/>
    <w:rsid w:val="00143E03"/>
    <w:rsid w:val="00143E93"/>
    <w:rsid w:val="00143FA3"/>
    <w:rsid w:val="0014428D"/>
    <w:rsid w:val="001459A7"/>
    <w:rsid w:val="0014731B"/>
    <w:rsid w:val="00147E55"/>
    <w:rsid w:val="001500FC"/>
    <w:rsid w:val="00151AC0"/>
    <w:rsid w:val="00151B27"/>
    <w:rsid w:val="00152046"/>
    <w:rsid w:val="00152488"/>
    <w:rsid w:val="00152E53"/>
    <w:rsid w:val="00154147"/>
    <w:rsid w:val="00154D93"/>
    <w:rsid w:val="001550F3"/>
    <w:rsid w:val="00155746"/>
    <w:rsid w:val="00156318"/>
    <w:rsid w:val="0015639A"/>
    <w:rsid w:val="001579FC"/>
    <w:rsid w:val="001603A3"/>
    <w:rsid w:val="0016081D"/>
    <w:rsid w:val="00160CF3"/>
    <w:rsid w:val="00160E61"/>
    <w:rsid w:val="00161300"/>
    <w:rsid w:val="001620FA"/>
    <w:rsid w:val="00162853"/>
    <w:rsid w:val="00163793"/>
    <w:rsid w:val="00163A99"/>
    <w:rsid w:val="00167FB2"/>
    <w:rsid w:val="001707DE"/>
    <w:rsid w:val="00170B04"/>
    <w:rsid w:val="00170F47"/>
    <w:rsid w:val="001711F2"/>
    <w:rsid w:val="001714F2"/>
    <w:rsid w:val="001718C2"/>
    <w:rsid w:val="00173642"/>
    <w:rsid w:val="001736BB"/>
    <w:rsid w:val="00173AF4"/>
    <w:rsid w:val="00173CB0"/>
    <w:rsid w:val="00174CE8"/>
    <w:rsid w:val="00174E7D"/>
    <w:rsid w:val="001752CB"/>
    <w:rsid w:val="00175351"/>
    <w:rsid w:val="00175F60"/>
    <w:rsid w:val="00176050"/>
    <w:rsid w:val="001764D8"/>
    <w:rsid w:val="00176A8F"/>
    <w:rsid w:val="00180C39"/>
    <w:rsid w:val="00180D58"/>
    <w:rsid w:val="00181132"/>
    <w:rsid w:val="00181938"/>
    <w:rsid w:val="00182981"/>
    <w:rsid w:val="00184CF9"/>
    <w:rsid w:val="00185010"/>
    <w:rsid w:val="001852EC"/>
    <w:rsid w:val="00186447"/>
    <w:rsid w:val="001874CF"/>
    <w:rsid w:val="00190214"/>
    <w:rsid w:val="00190D9B"/>
    <w:rsid w:val="00191678"/>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961"/>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40C"/>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07A"/>
    <w:rsid w:val="0021552C"/>
    <w:rsid w:val="00215A2C"/>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7613"/>
    <w:rsid w:val="00261A0F"/>
    <w:rsid w:val="00261E5B"/>
    <w:rsid w:val="00262EB9"/>
    <w:rsid w:val="00262F34"/>
    <w:rsid w:val="002633E5"/>
    <w:rsid w:val="00263470"/>
    <w:rsid w:val="00263733"/>
    <w:rsid w:val="00264676"/>
    <w:rsid w:val="00264A4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2084"/>
    <w:rsid w:val="00283C61"/>
    <w:rsid w:val="00284C6F"/>
    <w:rsid w:val="00285CD3"/>
    <w:rsid w:val="0028633E"/>
    <w:rsid w:val="0028686A"/>
    <w:rsid w:val="00286E66"/>
    <w:rsid w:val="002870B7"/>
    <w:rsid w:val="002919B5"/>
    <w:rsid w:val="00293441"/>
    <w:rsid w:val="00293553"/>
    <w:rsid w:val="00294238"/>
    <w:rsid w:val="00294776"/>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B7937"/>
    <w:rsid w:val="002C0FF4"/>
    <w:rsid w:val="002C125A"/>
    <w:rsid w:val="002C2668"/>
    <w:rsid w:val="002C43BD"/>
    <w:rsid w:val="002C493D"/>
    <w:rsid w:val="002C5261"/>
    <w:rsid w:val="002C6091"/>
    <w:rsid w:val="002C63C1"/>
    <w:rsid w:val="002D0562"/>
    <w:rsid w:val="002D1B5A"/>
    <w:rsid w:val="002D2500"/>
    <w:rsid w:val="002D338A"/>
    <w:rsid w:val="002D3E4C"/>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149A"/>
    <w:rsid w:val="002F33FB"/>
    <w:rsid w:val="002F663A"/>
    <w:rsid w:val="002F68A4"/>
    <w:rsid w:val="002F7594"/>
    <w:rsid w:val="002F7902"/>
    <w:rsid w:val="003003E7"/>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3EF"/>
    <w:rsid w:val="00312C3D"/>
    <w:rsid w:val="00314331"/>
    <w:rsid w:val="00317E31"/>
    <w:rsid w:val="00320214"/>
    <w:rsid w:val="003209D6"/>
    <w:rsid w:val="00320B3F"/>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7449"/>
    <w:rsid w:val="00357A0D"/>
    <w:rsid w:val="00357C28"/>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67D56"/>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6F9F"/>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1DB0"/>
    <w:rsid w:val="003B2142"/>
    <w:rsid w:val="003B2580"/>
    <w:rsid w:val="003B293F"/>
    <w:rsid w:val="003B2E63"/>
    <w:rsid w:val="003B3189"/>
    <w:rsid w:val="003B3A9D"/>
    <w:rsid w:val="003B3DDD"/>
    <w:rsid w:val="003B462D"/>
    <w:rsid w:val="003B5031"/>
    <w:rsid w:val="003B5A32"/>
    <w:rsid w:val="003B6105"/>
    <w:rsid w:val="003C03CC"/>
    <w:rsid w:val="003C04C4"/>
    <w:rsid w:val="003C08E2"/>
    <w:rsid w:val="003C0B96"/>
    <w:rsid w:val="003C26F4"/>
    <w:rsid w:val="003C3686"/>
    <w:rsid w:val="003C3E2C"/>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9B4"/>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329F"/>
    <w:rsid w:val="00414CE5"/>
    <w:rsid w:val="00416673"/>
    <w:rsid w:val="0042160D"/>
    <w:rsid w:val="00423A3C"/>
    <w:rsid w:val="00423C04"/>
    <w:rsid w:val="00424D9B"/>
    <w:rsid w:val="0042681B"/>
    <w:rsid w:val="00427193"/>
    <w:rsid w:val="0043068A"/>
    <w:rsid w:val="004306E0"/>
    <w:rsid w:val="00431D54"/>
    <w:rsid w:val="00431F98"/>
    <w:rsid w:val="004329BE"/>
    <w:rsid w:val="00432C38"/>
    <w:rsid w:val="004342EC"/>
    <w:rsid w:val="00434D5A"/>
    <w:rsid w:val="00437C76"/>
    <w:rsid w:val="00437F4A"/>
    <w:rsid w:val="0044105C"/>
    <w:rsid w:val="00442197"/>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5BB8"/>
    <w:rsid w:val="00455ECA"/>
    <w:rsid w:val="00457296"/>
    <w:rsid w:val="00457320"/>
    <w:rsid w:val="00460164"/>
    <w:rsid w:val="0046039A"/>
    <w:rsid w:val="00460A6B"/>
    <w:rsid w:val="00461977"/>
    <w:rsid w:val="00461A3F"/>
    <w:rsid w:val="00461C4C"/>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0EA"/>
    <w:rsid w:val="0046765E"/>
    <w:rsid w:val="004676E2"/>
    <w:rsid w:val="00471EDD"/>
    <w:rsid w:val="004739AC"/>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E32"/>
    <w:rsid w:val="00487F81"/>
    <w:rsid w:val="00490082"/>
    <w:rsid w:val="00490247"/>
    <w:rsid w:val="00490B20"/>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5E2"/>
    <w:rsid w:val="004A269A"/>
    <w:rsid w:val="004A26AF"/>
    <w:rsid w:val="004A26DB"/>
    <w:rsid w:val="004A30FB"/>
    <w:rsid w:val="004A35DD"/>
    <w:rsid w:val="004A37D3"/>
    <w:rsid w:val="004A3AD6"/>
    <w:rsid w:val="004A3BCE"/>
    <w:rsid w:val="004A4760"/>
    <w:rsid w:val="004A5865"/>
    <w:rsid w:val="004A6717"/>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111"/>
    <w:rsid w:val="004C57B5"/>
    <w:rsid w:val="004C5C25"/>
    <w:rsid w:val="004C6717"/>
    <w:rsid w:val="004C6CFF"/>
    <w:rsid w:val="004C7065"/>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1D62"/>
    <w:rsid w:val="004F2A4D"/>
    <w:rsid w:val="004F2A73"/>
    <w:rsid w:val="004F33A0"/>
    <w:rsid w:val="004F353A"/>
    <w:rsid w:val="004F4353"/>
    <w:rsid w:val="004F447D"/>
    <w:rsid w:val="004F4C28"/>
    <w:rsid w:val="004F4E82"/>
    <w:rsid w:val="004F5470"/>
    <w:rsid w:val="004F5CC5"/>
    <w:rsid w:val="004F6350"/>
    <w:rsid w:val="004F7170"/>
    <w:rsid w:val="00500ADA"/>
    <w:rsid w:val="005028E1"/>
    <w:rsid w:val="00505989"/>
    <w:rsid w:val="00506309"/>
    <w:rsid w:val="0050692E"/>
    <w:rsid w:val="00507040"/>
    <w:rsid w:val="005079F8"/>
    <w:rsid w:val="00510189"/>
    <w:rsid w:val="005108C0"/>
    <w:rsid w:val="00511873"/>
    <w:rsid w:val="00512603"/>
    <w:rsid w:val="00512CC5"/>
    <w:rsid w:val="0051367B"/>
    <w:rsid w:val="00513A89"/>
    <w:rsid w:val="00513B7E"/>
    <w:rsid w:val="005140DE"/>
    <w:rsid w:val="00514474"/>
    <w:rsid w:val="005147E9"/>
    <w:rsid w:val="0051507D"/>
    <w:rsid w:val="0051593C"/>
    <w:rsid w:val="00517567"/>
    <w:rsid w:val="0051778E"/>
    <w:rsid w:val="005215EF"/>
    <w:rsid w:val="0052207A"/>
    <w:rsid w:val="00524637"/>
    <w:rsid w:val="00524FDD"/>
    <w:rsid w:val="00525137"/>
    <w:rsid w:val="005251DD"/>
    <w:rsid w:val="00526DB6"/>
    <w:rsid w:val="0053017A"/>
    <w:rsid w:val="00530492"/>
    <w:rsid w:val="005308E4"/>
    <w:rsid w:val="005325A8"/>
    <w:rsid w:val="00532854"/>
    <w:rsid w:val="00532E85"/>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C88"/>
    <w:rsid w:val="005544FC"/>
    <w:rsid w:val="005545E0"/>
    <w:rsid w:val="00554865"/>
    <w:rsid w:val="00554E57"/>
    <w:rsid w:val="00557E6A"/>
    <w:rsid w:val="00562749"/>
    <w:rsid w:val="00562DE9"/>
    <w:rsid w:val="005638A5"/>
    <w:rsid w:val="00564137"/>
    <w:rsid w:val="00566381"/>
    <w:rsid w:val="00566A03"/>
    <w:rsid w:val="00571932"/>
    <w:rsid w:val="005723B7"/>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0CDE"/>
    <w:rsid w:val="0059176E"/>
    <w:rsid w:val="00592854"/>
    <w:rsid w:val="00593152"/>
    <w:rsid w:val="005931BF"/>
    <w:rsid w:val="005934CE"/>
    <w:rsid w:val="00593CA3"/>
    <w:rsid w:val="00594161"/>
    <w:rsid w:val="00594969"/>
    <w:rsid w:val="00594B91"/>
    <w:rsid w:val="00595035"/>
    <w:rsid w:val="00595C7C"/>
    <w:rsid w:val="00596C5E"/>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907"/>
    <w:rsid w:val="005B1BDB"/>
    <w:rsid w:val="005B22A7"/>
    <w:rsid w:val="005B2BAA"/>
    <w:rsid w:val="005B2D53"/>
    <w:rsid w:val="005B3247"/>
    <w:rsid w:val="005B3409"/>
    <w:rsid w:val="005B498A"/>
    <w:rsid w:val="005B7B12"/>
    <w:rsid w:val="005C16CB"/>
    <w:rsid w:val="005C21D6"/>
    <w:rsid w:val="005C331D"/>
    <w:rsid w:val="005C3F9F"/>
    <w:rsid w:val="005C406F"/>
    <w:rsid w:val="005C40BA"/>
    <w:rsid w:val="005C419C"/>
    <w:rsid w:val="005C4A23"/>
    <w:rsid w:val="005C562C"/>
    <w:rsid w:val="005C5812"/>
    <w:rsid w:val="005C6400"/>
    <w:rsid w:val="005C7F1E"/>
    <w:rsid w:val="005D073B"/>
    <w:rsid w:val="005D2450"/>
    <w:rsid w:val="005D25B4"/>
    <w:rsid w:val="005D374F"/>
    <w:rsid w:val="005D5802"/>
    <w:rsid w:val="005D6CFC"/>
    <w:rsid w:val="005D6D2E"/>
    <w:rsid w:val="005D73E2"/>
    <w:rsid w:val="005D757A"/>
    <w:rsid w:val="005D7C4B"/>
    <w:rsid w:val="005E0DBC"/>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628"/>
    <w:rsid w:val="005F5916"/>
    <w:rsid w:val="005F601D"/>
    <w:rsid w:val="005F6119"/>
    <w:rsid w:val="005F7940"/>
    <w:rsid w:val="00600712"/>
    <w:rsid w:val="0060091A"/>
    <w:rsid w:val="0060107A"/>
    <w:rsid w:val="00601120"/>
    <w:rsid w:val="00601AFF"/>
    <w:rsid w:val="00602A2B"/>
    <w:rsid w:val="00602D1D"/>
    <w:rsid w:val="00604307"/>
    <w:rsid w:val="0060487F"/>
    <w:rsid w:val="00605814"/>
    <w:rsid w:val="00606B93"/>
    <w:rsid w:val="00607727"/>
    <w:rsid w:val="00607934"/>
    <w:rsid w:val="00610BD5"/>
    <w:rsid w:val="00611363"/>
    <w:rsid w:val="00611531"/>
    <w:rsid w:val="006118AA"/>
    <w:rsid w:val="00611C28"/>
    <w:rsid w:val="00611EB7"/>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5E8"/>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2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1D6"/>
    <w:rsid w:val="00680ECC"/>
    <w:rsid w:val="00680F68"/>
    <w:rsid w:val="0068260E"/>
    <w:rsid w:val="0068373D"/>
    <w:rsid w:val="00683BFE"/>
    <w:rsid w:val="00683EAB"/>
    <w:rsid w:val="0068437D"/>
    <w:rsid w:val="006847C5"/>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3DC1"/>
    <w:rsid w:val="006C457F"/>
    <w:rsid w:val="006C53C7"/>
    <w:rsid w:val="006C5577"/>
    <w:rsid w:val="006C559A"/>
    <w:rsid w:val="006C586D"/>
    <w:rsid w:val="006C58FA"/>
    <w:rsid w:val="006C6197"/>
    <w:rsid w:val="006D004F"/>
    <w:rsid w:val="006D042D"/>
    <w:rsid w:val="006D06EF"/>
    <w:rsid w:val="006D142E"/>
    <w:rsid w:val="006D164C"/>
    <w:rsid w:val="006D29A8"/>
    <w:rsid w:val="006D3B87"/>
    <w:rsid w:val="006D4497"/>
    <w:rsid w:val="006D4E6F"/>
    <w:rsid w:val="006D5681"/>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5A8"/>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3581"/>
    <w:rsid w:val="007240C5"/>
    <w:rsid w:val="00724666"/>
    <w:rsid w:val="00724E80"/>
    <w:rsid w:val="00725055"/>
    <w:rsid w:val="00725492"/>
    <w:rsid w:val="007256B7"/>
    <w:rsid w:val="00726043"/>
    <w:rsid w:val="0072704A"/>
    <w:rsid w:val="007279B9"/>
    <w:rsid w:val="00730AE8"/>
    <w:rsid w:val="00731189"/>
    <w:rsid w:val="007315DA"/>
    <w:rsid w:val="00731963"/>
    <w:rsid w:val="00732706"/>
    <w:rsid w:val="0073325D"/>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55EA0"/>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0E"/>
    <w:rsid w:val="007805E1"/>
    <w:rsid w:val="00780DDF"/>
    <w:rsid w:val="0078113E"/>
    <w:rsid w:val="007813E4"/>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18F5"/>
    <w:rsid w:val="007A327B"/>
    <w:rsid w:val="007A4048"/>
    <w:rsid w:val="007A45B1"/>
    <w:rsid w:val="007A4606"/>
    <w:rsid w:val="007A4D58"/>
    <w:rsid w:val="007A5039"/>
    <w:rsid w:val="007B04E8"/>
    <w:rsid w:val="007B0D67"/>
    <w:rsid w:val="007B0F90"/>
    <w:rsid w:val="007B1966"/>
    <w:rsid w:val="007B2257"/>
    <w:rsid w:val="007B22E6"/>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C7BAC"/>
    <w:rsid w:val="007C7CC5"/>
    <w:rsid w:val="007D2A5A"/>
    <w:rsid w:val="007D2AD8"/>
    <w:rsid w:val="007D2C47"/>
    <w:rsid w:val="007D2C61"/>
    <w:rsid w:val="007D2DA3"/>
    <w:rsid w:val="007D2F81"/>
    <w:rsid w:val="007D3167"/>
    <w:rsid w:val="007D341F"/>
    <w:rsid w:val="007D3CF7"/>
    <w:rsid w:val="007D4128"/>
    <w:rsid w:val="007D4281"/>
    <w:rsid w:val="007D42F5"/>
    <w:rsid w:val="007D44C3"/>
    <w:rsid w:val="007D5947"/>
    <w:rsid w:val="007D65C1"/>
    <w:rsid w:val="007D66E3"/>
    <w:rsid w:val="007D7CAF"/>
    <w:rsid w:val="007E030F"/>
    <w:rsid w:val="007E0D49"/>
    <w:rsid w:val="007E0E59"/>
    <w:rsid w:val="007E0F4B"/>
    <w:rsid w:val="007E12C1"/>
    <w:rsid w:val="007E1EF7"/>
    <w:rsid w:val="007E3715"/>
    <w:rsid w:val="007E5880"/>
    <w:rsid w:val="007E5F3D"/>
    <w:rsid w:val="007E6588"/>
    <w:rsid w:val="007E6A5B"/>
    <w:rsid w:val="007E7063"/>
    <w:rsid w:val="007E7E61"/>
    <w:rsid w:val="007F0316"/>
    <w:rsid w:val="007F0845"/>
    <w:rsid w:val="007F0DF6"/>
    <w:rsid w:val="007F1092"/>
    <w:rsid w:val="007F16F9"/>
    <w:rsid w:val="007F2801"/>
    <w:rsid w:val="007F3E3E"/>
    <w:rsid w:val="007F42E0"/>
    <w:rsid w:val="007F500D"/>
    <w:rsid w:val="007F5F14"/>
    <w:rsid w:val="007F7B54"/>
    <w:rsid w:val="007F7C60"/>
    <w:rsid w:val="00800073"/>
    <w:rsid w:val="008005D7"/>
    <w:rsid w:val="008013CB"/>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4965"/>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44BE"/>
    <w:rsid w:val="00845AB1"/>
    <w:rsid w:val="00846673"/>
    <w:rsid w:val="008508A9"/>
    <w:rsid w:val="0085188D"/>
    <w:rsid w:val="008518D8"/>
    <w:rsid w:val="008525F9"/>
    <w:rsid w:val="0085281A"/>
    <w:rsid w:val="00853C0F"/>
    <w:rsid w:val="00853F33"/>
    <w:rsid w:val="008548EA"/>
    <w:rsid w:val="008549C5"/>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58"/>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EC6"/>
    <w:rsid w:val="008869D2"/>
    <w:rsid w:val="00886A8F"/>
    <w:rsid w:val="0088733A"/>
    <w:rsid w:val="008901CC"/>
    <w:rsid w:val="0089061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3B0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0FBC"/>
    <w:rsid w:val="00911E3B"/>
    <w:rsid w:val="0091255A"/>
    <w:rsid w:val="00914426"/>
    <w:rsid w:val="0091675F"/>
    <w:rsid w:val="00917709"/>
    <w:rsid w:val="00917918"/>
    <w:rsid w:val="00920874"/>
    <w:rsid w:val="00921F14"/>
    <w:rsid w:val="009227C6"/>
    <w:rsid w:val="00923750"/>
    <w:rsid w:val="009243A5"/>
    <w:rsid w:val="0092500F"/>
    <w:rsid w:val="009250D2"/>
    <w:rsid w:val="0092519D"/>
    <w:rsid w:val="0092540B"/>
    <w:rsid w:val="009256C5"/>
    <w:rsid w:val="00925A21"/>
    <w:rsid w:val="00926283"/>
    <w:rsid w:val="00927B6E"/>
    <w:rsid w:val="009306BE"/>
    <w:rsid w:val="0093161F"/>
    <w:rsid w:val="00934836"/>
    <w:rsid w:val="00934963"/>
    <w:rsid w:val="00936ECA"/>
    <w:rsid w:val="00937AF4"/>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AE9"/>
    <w:rsid w:val="009700DB"/>
    <w:rsid w:val="00971DC6"/>
    <w:rsid w:val="00972263"/>
    <w:rsid w:val="00972502"/>
    <w:rsid w:val="00972D8D"/>
    <w:rsid w:val="00973AAE"/>
    <w:rsid w:val="009742F7"/>
    <w:rsid w:val="0097476C"/>
    <w:rsid w:val="00974923"/>
    <w:rsid w:val="00974D48"/>
    <w:rsid w:val="00974D5F"/>
    <w:rsid w:val="00975017"/>
    <w:rsid w:val="009759DF"/>
    <w:rsid w:val="009777B3"/>
    <w:rsid w:val="00977A4D"/>
    <w:rsid w:val="00980373"/>
    <w:rsid w:val="00980392"/>
    <w:rsid w:val="00980621"/>
    <w:rsid w:val="0098095B"/>
    <w:rsid w:val="00982072"/>
    <w:rsid w:val="009829F1"/>
    <w:rsid w:val="009833FA"/>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483E"/>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5CE"/>
    <w:rsid w:val="009B2C0E"/>
    <w:rsid w:val="009B4925"/>
    <w:rsid w:val="009B4B4B"/>
    <w:rsid w:val="009B4CE3"/>
    <w:rsid w:val="009B6FD3"/>
    <w:rsid w:val="009B70BD"/>
    <w:rsid w:val="009C07A5"/>
    <w:rsid w:val="009C24A3"/>
    <w:rsid w:val="009C3705"/>
    <w:rsid w:val="009C5003"/>
    <w:rsid w:val="009C6215"/>
    <w:rsid w:val="009C7388"/>
    <w:rsid w:val="009C74C2"/>
    <w:rsid w:val="009D0CFF"/>
    <w:rsid w:val="009D1551"/>
    <w:rsid w:val="009D182E"/>
    <w:rsid w:val="009D2859"/>
    <w:rsid w:val="009D36EC"/>
    <w:rsid w:val="009D3CD0"/>
    <w:rsid w:val="009D4173"/>
    <w:rsid w:val="009D51CA"/>
    <w:rsid w:val="009D6095"/>
    <w:rsid w:val="009D6306"/>
    <w:rsid w:val="009D6727"/>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06788"/>
    <w:rsid w:val="00A10D66"/>
    <w:rsid w:val="00A12BA8"/>
    <w:rsid w:val="00A133F2"/>
    <w:rsid w:val="00A13993"/>
    <w:rsid w:val="00A1420C"/>
    <w:rsid w:val="00A1456C"/>
    <w:rsid w:val="00A14821"/>
    <w:rsid w:val="00A14BA8"/>
    <w:rsid w:val="00A14C9D"/>
    <w:rsid w:val="00A17754"/>
    <w:rsid w:val="00A2055B"/>
    <w:rsid w:val="00A20E22"/>
    <w:rsid w:val="00A219FE"/>
    <w:rsid w:val="00A2253C"/>
    <w:rsid w:val="00A23545"/>
    <w:rsid w:val="00A23A55"/>
    <w:rsid w:val="00A23E43"/>
    <w:rsid w:val="00A23EF0"/>
    <w:rsid w:val="00A24472"/>
    <w:rsid w:val="00A24F8C"/>
    <w:rsid w:val="00A262BF"/>
    <w:rsid w:val="00A271AD"/>
    <w:rsid w:val="00A276D5"/>
    <w:rsid w:val="00A30336"/>
    <w:rsid w:val="00A30BB5"/>
    <w:rsid w:val="00A3128F"/>
    <w:rsid w:val="00A326D0"/>
    <w:rsid w:val="00A35287"/>
    <w:rsid w:val="00A355F2"/>
    <w:rsid w:val="00A35CB2"/>
    <w:rsid w:val="00A36226"/>
    <w:rsid w:val="00A378F8"/>
    <w:rsid w:val="00A40965"/>
    <w:rsid w:val="00A40B19"/>
    <w:rsid w:val="00A40F56"/>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430D"/>
    <w:rsid w:val="00A55301"/>
    <w:rsid w:val="00A572FB"/>
    <w:rsid w:val="00A57B3C"/>
    <w:rsid w:val="00A57F1B"/>
    <w:rsid w:val="00A600D2"/>
    <w:rsid w:val="00A6128E"/>
    <w:rsid w:val="00A62CE1"/>
    <w:rsid w:val="00A631FA"/>
    <w:rsid w:val="00A64203"/>
    <w:rsid w:val="00A64348"/>
    <w:rsid w:val="00A644E1"/>
    <w:rsid w:val="00A66784"/>
    <w:rsid w:val="00A6766C"/>
    <w:rsid w:val="00A70765"/>
    <w:rsid w:val="00A711B0"/>
    <w:rsid w:val="00A71279"/>
    <w:rsid w:val="00A721FB"/>
    <w:rsid w:val="00A727BA"/>
    <w:rsid w:val="00A72D4B"/>
    <w:rsid w:val="00A732AE"/>
    <w:rsid w:val="00A74192"/>
    <w:rsid w:val="00A750EB"/>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4D2A"/>
    <w:rsid w:val="00AB4E33"/>
    <w:rsid w:val="00AB74C5"/>
    <w:rsid w:val="00AB75A7"/>
    <w:rsid w:val="00AB7BEE"/>
    <w:rsid w:val="00AB7DF2"/>
    <w:rsid w:val="00AC1E3F"/>
    <w:rsid w:val="00AC219A"/>
    <w:rsid w:val="00AC3D02"/>
    <w:rsid w:val="00AC4F18"/>
    <w:rsid w:val="00AC69CA"/>
    <w:rsid w:val="00AD0B46"/>
    <w:rsid w:val="00AD1094"/>
    <w:rsid w:val="00AD2565"/>
    <w:rsid w:val="00AD2862"/>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08F"/>
    <w:rsid w:val="00AE6734"/>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3F5F"/>
    <w:rsid w:val="00B06EE1"/>
    <w:rsid w:val="00B07372"/>
    <w:rsid w:val="00B07C2A"/>
    <w:rsid w:val="00B10100"/>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0737"/>
    <w:rsid w:val="00B321E3"/>
    <w:rsid w:val="00B3229E"/>
    <w:rsid w:val="00B32DDB"/>
    <w:rsid w:val="00B3447A"/>
    <w:rsid w:val="00B3448C"/>
    <w:rsid w:val="00B34931"/>
    <w:rsid w:val="00B35174"/>
    <w:rsid w:val="00B35BEA"/>
    <w:rsid w:val="00B365CB"/>
    <w:rsid w:val="00B37915"/>
    <w:rsid w:val="00B3793D"/>
    <w:rsid w:val="00B41BE6"/>
    <w:rsid w:val="00B42831"/>
    <w:rsid w:val="00B428A4"/>
    <w:rsid w:val="00B428EA"/>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06C"/>
    <w:rsid w:val="00B62960"/>
    <w:rsid w:val="00B63A11"/>
    <w:rsid w:val="00B63FD0"/>
    <w:rsid w:val="00B6493D"/>
    <w:rsid w:val="00B6553E"/>
    <w:rsid w:val="00B65C84"/>
    <w:rsid w:val="00B6608F"/>
    <w:rsid w:val="00B67E42"/>
    <w:rsid w:val="00B73180"/>
    <w:rsid w:val="00B74317"/>
    <w:rsid w:val="00B75700"/>
    <w:rsid w:val="00B760C1"/>
    <w:rsid w:val="00B76D1E"/>
    <w:rsid w:val="00B77BC8"/>
    <w:rsid w:val="00B77FB7"/>
    <w:rsid w:val="00B800EB"/>
    <w:rsid w:val="00B822D2"/>
    <w:rsid w:val="00B823F1"/>
    <w:rsid w:val="00B831B4"/>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55C"/>
    <w:rsid w:val="00B979A0"/>
    <w:rsid w:val="00BA094F"/>
    <w:rsid w:val="00BA0DED"/>
    <w:rsid w:val="00BA0F99"/>
    <w:rsid w:val="00BA28FD"/>
    <w:rsid w:val="00BA6D2C"/>
    <w:rsid w:val="00BB0274"/>
    <w:rsid w:val="00BB0B13"/>
    <w:rsid w:val="00BB1CFD"/>
    <w:rsid w:val="00BB2C53"/>
    <w:rsid w:val="00BB32DA"/>
    <w:rsid w:val="00BB3A54"/>
    <w:rsid w:val="00BB4286"/>
    <w:rsid w:val="00BB462A"/>
    <w:rsid w:val="00BB4D26"/>
    <w:rsid w:val="00BB4E21"/>
    <w:rsid w:val="00BB62F2"/>
    <w:rsid w:val="00BB6F86"/>
    <w:rsid w:val="00BB7746"/>
    <w:rsid w:val="00BC22EB"/>
    <w:rsid w:val="00BC682B"/>
    <w:rsid w:val="00BC68BA"/>
    <w:rsid w:val="00BC6B04"/>
    <w:rsid w:val="00BC6D27"/>
    <w:rsid w:val="00BD059A"/>
    <w:rsid w:val="00BD0CBB"/>
    <w:rsid w:val="00BD186B"/>
    <w:rsid w:val="00BD1EAC"/>
    <w:rsid w:val="00BD254C"/>
    <w:rsid w:val="00BD3428"/>
    <w:rsid w:val="00BD366B"/>
    <w:rsid w:val="00BD3F01"/>
    <w:rsid w:val="00BD5217"/>
    <w:rsid w:val="00BD5298"/>
    <w:rsid w:val="00BD534C"/>
    <w:rsid w:val="00BD557B"/>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BF7F28"/>
    <w:rsid w:val="00C00831"/>
    <w:rsid w:val="00C00F20"/>
    <w:rsid w:val="00C01354"/>
    <w:rsid w:val="00C01700"/>
    <w:rsid w:val="00C01B84"/>
    <w:rsid w:val="00C034E6"/>
    <w:rsid w:val="00C05715"/>
    <w:rsid w:val="00C05926"/>
    <w:rsid w:val="00C06B8B"/>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AEA"/>
    <w:rsid w:val="00C34FDE"/>
    <w:rsid w:val="00C35C16"/>
    <w:rsid w:val="00C36EC3"/>
    <w:rsid w:val="00C408BB"/>
    <w:rsid w:val="00C40E09"/>
    <w:rsid w:val="00C40F81"/>
    <w:rsid w:val="00C41463"/>
    <w:rsid w:val="00C41A06"/>
    <w:rsid w:val="00C41A72"/>
    <w:rsid w:val="00C42D45"/>
    <w:rsid w:val="00C43CB1"/>
    <w:rsid w:val="00C4422D"/>
    <w:rsid w:val="00C45380"/>
    <w:rsid w:val="00C466D1"/>
    <w:rsid w:val="00C476C5"/>
    <w:rsid w:val="00C503B0"/>
    <w:rsid w:val="00C511C2"/>
    <w:rsid w:val="00C527C6"/>
    <w:rsid w:val="00C538FC"/>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4F6"/>
    <w:rsid w:val="00C77833"/>
    <w:rsid w:val="00C80953"/>
    <w:rsid w:val="00C80C9B"/>
    <w:rsid w:val="00C814FC"/>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6F2A"/>
    <w:rsid w:val="00C97038"/>
    <w:rsid w:val="00C97D46"/>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39FE"/>
    <w:rsid w:val="00CB43A7"/>
    <w:rsid w:val="00CB4DF1"/>
    <w:rsid w:val="00CB5852"/>
    <w:rsid w:val="00CB5996"/>
    <w:rsid w:val="00CB6809"/>
    <w:rsid w:val="00CB7452"/>
    <w:rsid w:val="00CC0E10"/>
    <w:rsid w:val="00CC1DAF"/>
    <w:rsid w:val="00CC21A6"/>
    <w:rsid w:val="00CC2642"/>
    <w:rsid w:val="00CC2967"/>
    <w:rsid w:val="00CC2A1E"/>
    <w:rsid w:val="00CC2A36"/>
    <w:rsid w:val="00CC2E15"/>
    <w:rsid w:val="00CC3440"/>
    <w:rsid w:val="00CC351B"/>
    <w:rsid w:val="00CC3908"/>
    <w:rsid w:val="00CC4F3D"/>
    <w:rsid w:val="00CC5BC5"/>
    <w:rsid w:val="00CC62AD"/>
    <w:rsid w:val="00CC6CA2"/>
    <w:rsid w:val="00CC7086"/>
    <w:rsid w:val="00CC7B80"/>
    <w:rsid w:val="00CD0080"/>
    <w:rsid w:val="00CD0779"/>
    <w:rsid w:val="00CD2B3C"/>
    <w:rsid w:val="00CD30F6"/>
    <w:rsid w:val="00CD4B29"/>
    <w:rsid w:val="00CD5493"/>
    <w:rsid w:val="00CD6607"/>
    <w:rsid w:val="00CD67CA"/>
    <w:rsid w:val="00CD6954"/>
    <w:rsid w:val="00CD6DA3"/>
    <w:rsid w:val="00CD6EF1"/>
    <w:rsid w:val="00CD7E35"/>
    <w:rsid w:val="00CE0849"/>
    <w:rsid w:val="00CE21C7"/>
    <w:rsid w:val="00CE2682"/>
    <w:rsid w:val="00CE2756"/>
    <w:rsid w:val="00CE442A"/>
    <w:rsid w:val="00CE44CE"/>
    <w:rsid w:val="00CE4DEB"/>
    <w:rsid w:val="00CE57D8"/>
    <w:rsid w:val="00CE5F03"/>
    <w:rsid w:val="00CE617A"/>
    <w:rsid w:val="00CE65E7"/>
    <w:rsid w:val="00CE6E3C"/>
    <w:rsid w:val="00CE7158"/>
    <w:rsid w:val="00CE797F"/>
    <w:rsid w:val="00CF107E"/>
    <w:rsid w:val="00CF15BF"/>
    <w:rsid w:val="00CF25D2"/>
    <w:rsid w:val="00CF28C2"/>
    <w:rsid w:val="00CF3D3A"/>
    <w:rsid w:val="00CF42BD"/>
    <w:rsid w:val="00CF51EC"/>
    <w:rsid w:val="00CF58ED"/>
    <w:rsid w:val="00CF6A9D"/>
    <w:rsid w:val="00CF6CD7"/>
    <w:rsid w:val="00CF7276"/>
    <w:rsid w:val="00CF75EC"/>
    <w:rsid w:val="00D002DF"/>
    <w:rsid w:val="00D0037A"/>
    <w:rsid w:val="00D0061E"/>
    <w:rsid w:val="00D00DAF"/>
    <w:rsid w:val="00D0103D"/>
    <w:rsid w:val="00D017EC"/>
    <w:rsid w:val="00D01CDA"/>
    <w:rsid w:val="00D020FC"/>
    <w:rsid w:val="00D024A1"/>
    <w:rsid w:val="00D03866"/>
    <w:rsid w:val="00D040DD"/>
    <w:rsid w:val="00D04E1B"/>
    <w:rsid w:val="00D0547B"/>
    <w:rsid w:val="00D076DB"/>
    <w:rsid w:val="00D07EFF"/>
    <w:rsid w:val="00D1067C"/>
    <w:rsid w:val="00D11CBB"/>
    <w:rsid w:val="00D1201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2F9A"/>
    <w:rsid w:val="00D547BA"/>
    <w:rsid w:val="00D55626"/>
    <w:rsid w:val="00D556BC"/>
    <w:rsid w:val="00D5626D"/>
    <w:rsid w:val="00D56631"/>
    <w:rsid w:val="00D577A4"/>
    <w:rsid w:val="00D57E4B"/>
    <w:rsid w:val="00D60277"/>
    <w:rsid w:val="00D60336"/>
    <w:rsid w:val="00D61B06"/>
    <w:rsid w:val="00D61C55"/>
    <w:rsid w:val="00D61F88"/>
    <w:rsid w:val="00D62688"/>
    <w:rsid w:val="00D62901"/>
    <w:rsid w:val="00D6345E"/>
    <w:rsid w:val="00D64583"/>
    <w:rsid w:val="00D645E4"/>
    <w:rsid w:val="00D6470C"/>
    <w:rsid w:val="00D64853"/>
    <w:rsid w:val="00D64CB5"/>
    <w:rsid w:val="00D66D48"/>
    <w:rsid w:val="00D7162F"/>
    <w:rsid w:val="00D72897"/>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906"/>
    <w:rsid w:val="00D81B44"/>
    <w:rsid w:val="00D82462"/>
    <w:rsid w:val="00D831C6"/>
    <w:rsid w:val="00D83EF3"/>
    <w:rsid w:val="00D84BD1"/>
    <w:rsid w:val="00D85773"/>
    <w:rsid w:val="00D85886"/>
    <w:rsid w:val="00D85D55"/>
    <w:rsid w:val="00D868CE"/>
    <w:rsid w:val="00D86DAE"/>
    <w:rsid w:val="00D90116"/>
    <w:rsid w:val="00D90C1E"/>
    <w:rsid w:val="00D91BDF"/>
    <w:rsid w:val="00D91F2C"/>
    <w:rsid w:val="00D9266B"/>
    <w:rsid w:val="00D93F09"/>
    <w:rsid w:val="00D94859"/>
    <w:rsid w:val="00D954C2"/>
    <w:rsid w:val="00D9640A"/>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3D9"/>
    <w:rsid w:val="00DC5B3B"/>
    <w:rsid w:val="00DC6796"/>
    <w:rsid w:val="00DC6CC6"/>
    <w:rsid w:val="00DC78DF"/>
    <w:rsid w:val="00DC7D4C"/>
    <w:rsid w:val="00DD0726"/>
    <w:rsid w:val="00DD0821"/>
    <w:rsid w:val="00DD0E32"/>
    <w:rsid w:val="00DD1878"/>
    <w:rsid w:val="00DD1DC1"/>
    <w:rsid w:val="00DD2872"/>
    <w:rsid w:val="00DD2A62"/>
    <w:rsid w:val="00DD2BD0"/>
    <w:rsid w:val="00DD2BFE"/>
    <w:rsid w:val="00DD373E"/>
    <w:rsid w:val="00DD3867"/>
    <w:rsid w:val="00DD57AD"/>
    <w:rsid w:val="00DD7435"/>
    <w:rsid w:val="00DD7C6D"/>
    <w:rsid w:val="00DE009B"/>
    <w:rsid w:val="00DE08E0"/>
    <w:rsid w:val="00DE08F8"/>
    <w:rsid w:val="00DE0C31"/>
    <w:rsid w:val="00DE0E40"/>
    <w:rsid w:val="00DE1460"/>
    <w:rsid w:val="00DE2ED9"/>
    <w:rsid w:val="00DE319A"/>
    <w:rsid w:val="00DE3BE8"/>
    <w:rsid w:val="00DE5403"/>
    <w:rsid w:val="00DF0615"/>
    <w:rsid w:val="00DF0DC3"/>
    <w:rsid w:val="00DF1FDA"/>
    <w:rsid w:val="00DF21FD"/>
    <w:rsid w:val="00DF2873"/>
    <w:rsid w:val="00DF293C"/>
    <w:rsid w:val="00DF34B2"/>
    <w:rsid w:val="00DF42DF"/>
    <w:rsid w:val="00DF4C74"/>
    <w:rsid w:val="00DF5578"/>
    <w:rsid w:val="00DF594F"/>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A2A"/>
    <w:rsid w:val="00E07F05"/>
    <w:rsid w:val="00E106A2"/>
    <w:rsid w:val="00E127E1"/>
    <w:rsid w:val="00E12BCE"/>
    <w:rsid w:val="00E144D2"/>
    <w:rsid w:val="00E144D6"/>
    <w:rsid w:val="00E1478A"/>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C7"/>
    <w:rsid w:val="00E569C7"/>
    <w:rsid w:val="00E571F2"/>
    <w:rsid w:val="00E57429"/>
    <w:rsid w:val="00E60FCE"/>
    <w:rsid w:val="00E61EA8"/>
    <w:rsid w:val="00E62A33"/>
    <w:rsid w:val="00E63221"/>
    <w:rsid w:val="00E63960"/>
    <w:rsid w:val="00E63EC6"/>
    <w:rsid w:val="00E64AE4"/>
    <w:rsid w:val="00E64CFF"/>
    <w:rsid w:val="00E64EA1"/>
    <w:rsid w:val="00E6582D"/>
    <w:rsid w:val="00E669C7"/>
    <w:rsid w:val="00E67611"/>
    <w:rsid w:val="00E70510"/>
    <w:rsid w:val="00E71262"/>
    <w:rsid w:val="00E71A58"/>
    <w:rsid w:val="00E737F6"/>
    <w:rsid w:val="00E7568F"/>
    <w:rsid w:val="00E764AE"/>
    <w:rsid w:val="00E76F80"/>
    <w:rsid w:val="00E7724B"/>
    <w:rsid w:val="00E80E31"/>
    <w:rsid w:val="00E81130"/>
    <w:rsid w:val="00E83DAB"/>
    <w:rsid w:val="00E84F21"/>
    <w:rsid w:val="00E8618A"/>
    <w:rsid w:val="00E90A4B"/>
    <w:rsid w:val="00E90D67"/>
    <w:rsid w:val="00E90F73"/>
    <w:rsid w:val="00E910A7"/>
    <w:rsid w:val="00E9159D"/>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20A0"/>
    <w:rsid w:val="00EB29CA"/>
    <w:rsid w:val="00EB2CE9"/>
    <w:rsid w:val="00EB30B6"/>
    <w:rsid w:val="00EB4FA4"/>
    <w:rsid w:val="00EB5146"/>
    <w:rsid w:val="00EB522B"/>
    <w:rsid w:val="00EB55E9"/>
    <w:rsid w:val="00EB5641"/>
    <w:rsid w:val="00EB5BA3"/>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90A"/>
    <w:rsid w:val="00ED3A94"/>
    <w:rsid w:val="00ED40F0"/>
    <w:rsid w:val="00ED4AC0"/>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ED5"/>
    <w:rsid w:val="00EF1F5A"/>
    <w:rsid w:val="00EF3486"/>
    <w:rsid w:val="00EF3CF0"/>
    <w:rsid w:val="00EF4685"/>
    <w:rsid w:val="00EF5397"/>
    <w:rsid w:val="00EF63CC"/>
    <w:rsid w:val="00EF6BE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6D"/>
    <w:rsid w:val="00F11AD5"/>
    <w:rsid w:val="00F126D0"/>
    <w:rsid w:val="00F12A83"/>
    <w:rsid w:val="00F137E1"/>
    <w:rsid w:val="00F14ACD"/>
    <w:rsid w:val="00F15309"/>
    <w:rsid w:val="00F15BEF"/>
    <w:rsid w:val="00F15FBB"/>
    <w:rsid w:val="00F160EC"/>
    <w:rsid w:val="00F172BE"/>
    <w:rsid w:val="00F1776C"/>
    <w:rsid w:val="00F2037E"/>
    <w:rsid w:val="00F20D17"/>
    <w:rsid w:val="00F2103E"/>
    <w:rsid w:val="00F214FC"/>
    <w:rsid w:val="00F21C31"/>
    <w:rsid w:val="00F23825"/>
    <w:rsid w:val="00F2389A"/>
    <w:rsid w:val="00F23F6C"/>
    <w:rsid w:val="00F23FFF"/>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8E3"/>
    <w:rsid w:val="00F35ACD"/>
    <w:rsid w:val="00F365BF"/>
    <w:rsid w:val="00F36BF8"/>
    <w:rsid w:val="00F375BA"/>
    <w:rsid w:val="00F37760"/>
    <w:rsid w:val="00F403D1"/>
    <w:rsid w:val="00F4272E"/>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6CA8"/>
    <w:rsid w:val="00F67BDA"/>
    <w:rsid w:val="00F70309"/>
    <w:rsid w:val="00F7078A"/>
    <w:rsid w:val="00F70E45"/>
    <w:rsid w:val="00F727D5"/>
    <w:rsid w:val="00F72F44"/>
    <w:rsid w:val="00F73A0C"/>
    <w:rsid w:val="00F7593B"/>
    <w:rsid w:val="00F759DC"/>
    <w:rsid w:val="00F76563"/>
    <w:rsid w:val="00F7717C"/>
    <w:rsid w:val="00F771A5"/>
    <w:rsid w:val="00F80021"/>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32E"/>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53AD"/>
    <w:rsid w:val="00FE688F"/>
    <w:rsid w:val="00FE705E"/>
    <w:rsid w:val="00FF02EB"/>
    <w:rsid w:val="00FF288B"/>
    <w:rsid w:val="00FF28E0"/>
    <w:rsid w:val="00FF2FB4"/>
    <w:rsid w:val="00FF30B3"/>
    <w:rsid w:val="00FF3DF3"/>
    <w:rsid w:val="00FF4027"/>
    <w:rsid w:val="00FF45A2"/>
    <w:rsid w:val="00FF55B1"/>
    <w:rsid w:val="00FF65DF"/>
    <w:rsid w:val="00FF761D"/>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357A0D"/>
    <w:rPr>
      <w:b/>
      <w:bCs/>
    </w:rPr>
  </w:style>
  <w:style w:type="character" w:customStyle="1" w:styleId="PedmtkomenteChar">
    <w:name w:val="Předmět komentáře Char"/>
    <w:basedOn w:val="TextkomenteChar"/>
    <w:link w:val="Pedmtkomente"/>
    <w:uiPriority w:val="99"/>
    <w:semiHidden/>
    <w:rsid w:val="00357A0D"/>
    <w:rPr>
      <w:rFonts w:ascii="Arial" w:hAnsi="Arial"/>
      <w:b/>
      <w:bCs/>
    </w:rPr>
  </w:style>
  <w:style w:type="paragraph" w:styleId="Revize">
    <w:name w:val="Revision"/>
    <w:hidden/>
    <w:uiPriority w:val="99"/>
    <w:semiHidden/>
    <w:rsid w:val="001459A7"/>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kap.%20rozpo&#269;et\Grafy-st&#225;tn&#237;%20rozpo&#269;et-1-3q-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7\QMakro\1-.3.&#269;tvrtlet&#237;%202017\Grafy-st&#225;tn&#237;%20rozpo&#269;et-1-3q-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85E-2"/>
          <c:w val="0.90191712370541843"/>
          <c:h val="0.80441990809425656"/>
        </c:manualLayout>
      </c:layout>
      <c:barChart>
        <c:barDir val="col"/>
        <c:grouping val="clustered"/>
        <c:ser>
          <c:idx val="2"/>
          <c:order val="4"/>
          <c:tx>
            <c:strRef>
              <c:f>'Státní rozpočet 1'!$A$40</c:f>
              <c:strCache>
                <c:ptCount val="1"/>
                <c:pt idx="0">
                  <c:v>Saldo státního rozpočtu</c:v>
                </c:pt>
              </c:strCache>
            </c:strRef>
          </c:tx>
          <c:spPr>
            <a:solidFill>
              <a:sysClr val="window" lastClr="FFFFFF">
                <a:lumMod val="75000"/>
              </a:sysClr>
            </a:solidFill>
            <a:ln>
              <a:noFill/>
            </a:ln>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25.75</c:v>
                </c:pt>
                <c:pt idx="1">
                  <c:v>1.49</c:v>
                </c:pt>
                <c:pt idx="2">
                  <c:v>36.315999999999995</c:v>
                </c:pt>
                <c:pt idx="3">
                  <c:v>10.473000000000004</c:v>
                </c:pt>
                <c:pt idx="4">
                  <c:v>-87.296000000000006</c:v>
                </c:pt>
                <c:pt idx="5">
                  <c:v>-99.554999999999993</c:v>
                </c:pt>
                <c:pt idx="6">
                  <c:v>-105.13800000000001</c:v>
                </c:pt>
                <c:pt idx="7">
                  <c:v>-71.412000000000006</c:v>
                </c:pt>
                <c:pt idx="8">
                  <c:v>-38.241</c:v>
                </c:pt>
                <c:pt idx="9">
                  <c:v>-34.39</c:v>
                </c:pt>
                <c:pt idx="10">
                  <c:v>-2.77</c:v>
                </c:pt>
                <c:pt idx="11">
                  <c:v>82.27</c:v>
                </c:pt>
                <c:pt idx="12">
                  <c:v>17.399999999999999</c:v>
                </c:pt>
              </c:numCache>
            </c:numRef>
          </c:val>
          <c:extLst xmlns:c16r2="http://schemas.microsoft.com/office/drawing/2015/06/chart">
            <c:ext xmlns:c16="http://schemas.microsoft.com/office/drawing/2014/chart" uri="{C3380CC4-5D6E-409C-BE32-E72D297353CC}">
              <c16:uniqueId val="{00000000-39FB-4823-9C54-16C9ACB4D9AD}"/>
            </c:ext>
          </c:extLst>
        </c:ser>
        <c:gapWidth val="43"/>
        <c:axId val="50332800"/>
        <c:axId val="50322816"/>
      </c:barChart>
      <c:lineChart>
        <c:grouping val="standard"/>
        <c:ser>
          <c:idx val="0"/>
          <c:order val="0"/>
          <c:tx>
            <c:strRef>
              <c:f>'Státní rozpočet 1'!$A$36</c:f>
              <c:strCache>
                <c:ptCount val="1"/>
                <c:pt idx="0">
                  <c:v>DPH</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16.110035495321085</c:v>
                </c:pt>
                <c:pt idx="1">
                  <c:v>6.6838046272493346</c:v>
                </c:pt>
                <c:pt idx="2">
                  <c:v>10.322370563334403</c:v>
                </c:pt>
                <c:pt idx="3">
                  <c:v>8.1404958677685926</c:v>
                </c:pt>
                <c:pt idx="4">
                  <c:v>-0.38757574103391651</c:v>
                </c:pt>
                <c:pt idx="5">
                  <c:v>8.3187198597106704</c:v>
                </c:pt>
                <c:pt idx="6">
                  <c:v>1.6897703126581118</c:v>
                </c:pt>
                <c:pt idx="7">
                  <c:v>-0.7960199004975127</c:v>
                </c:pt>
                <c:pt idx="8">
                  <c:v>11.143430290872622</c:v>
                </c:pt>
                <c:pt idx="9">
                  <c:v>5.0536955148452307</c:v>
                </c:pt>
                <c:pt idx="10">
                  <c:v>0.11167425478910872</c:v>
                </c:pt>
                <c:pt idx="11">
                  <c:v>5.8649390767117806</c:v>
                </c:pt>
                <c:pt idx="12">
                  <c:v>10.561296859169392</c:v>
                </c:pt>
              </c:numCache>
            </c:numRef>
          </c:val>
          <c:extLst xmlns:c16r2="http://schemas.microsoft.com/office/drawing/2015/06/chart">
            <c:ext xmlns:c16="http://schemas.microsoft.com/office/drawing/2014/chart" uri="{C3380CC4-5D6E-409C-BE32-E72D297353CC}">
              <c16:uniqueId val="{00000001-39FB-4823-9C54-16C9ACB4D9AD}"/>
            </c:ext>
          </c:extLst>
        </c:ser>
        <c:ser>
          <c:idx val="1"/>
          <c:order val="1"/>
          <c:tx>
            <c:strRef>
              <c:f>'Státní rozpočet 1'!$A$37</c:f>
              <c:strCache>
                <c:ptCount val="1"/>
                <c:pt idx="0">
                  <c:v>Spotřební daň</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25.978904782545829</c:v>
                </c:pt>
                <c:pt idx="1">
                  <c:v>4.1633214818212991</c:v>
                </c:pt>
                <c:pt idx="2">
                  <c:v>4.5474565073771807</c:v>
                </c:pt>
                <c:pt idx="3">
                  <c:v>3.2859399684044415</c:v>
                </c:pt>
                <c:pt idx="4">
                  <c:v>-3.4771081880289501</c:v>
                </c:pt>
                <c:pt idx="5">
                  <c:v>6.8666807521656485</c:v>
                </c:pt>
                <c:pt idx="6">
                  <c:v>6.3068406484776602</c:v>
                </c:pt>
                <c:pt idx="7">
                  <c:v>-1.4692207550678718</c:v>
                </c:pt>
                <c:pt idx="8">
                  <c:v>-3.6145715364288407</c:v>
                </c:pt>
                <c:pt idx="9">
                  <c:v>2.134534416919621</c:v>
                </c:pt>
                <c:pt idx="10">
                  <c:v>4.4195187422107125</c:v>
                </c:pt>
                <c:pt idx="11">
                  <c:v>6.6011751744399447</c:v>
                </c:pt>
                <c:pt idx="12">
                  <c:v>2.962707777107962</c:v>
                </c:pt>
              </c:numCache>
            </c:numRef>
          </c:val>
          <c:extLst xmlns:c16r2="http://schemas.microsoft.com/office/drawing/2015/06/chart">
            <c:ext xmlns:c16="http://schemas.microsoft.com/office/drawing/2014/chart" uri="{C3380CC4-5D6E-409C-BE32-E72D297353CC}">
              <c16:uniqueId val="{00000002-39FB-4823-9C54-16C9ACB4D9AD}"/>
            </c:ext>
          </c:extLst>
        </c:ser>
        <c:ser>
          <c:idx val="3"/>
          <c:order val="2"/>
          <c:tx>
            <c:strRef>
              <c:f>'Státní rozpočet 1'!$A$38</c:f>
              <c:strCache>
                <c:ptCount val="1"/>
                <c:pt idx="0">
                  <c:v>Daně z příjmů FO ze závislé činnosti</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8.3720930232558146</c:v>
                </c:pt>
                <c:pt idx="1">
                  <c:v>1.0224690734662971</c:v>
                </c:pt>
                <c:pt idx="2">
                  <c:v>13.007622141696848</c:v>
                </c:pt>
                <c:pt idx="3">
                  <c:v>-7.5961963732861619</c:v>
                </c:pt>
                <c:pt idx="4">
                  <c:v>-4.5470862749790655</c:v>
                </c:pt>
                <c:pt idx="5">
                  <c:v>0.4638335213739595</c:v>
                </c:pt>
                <c:pt idx="6">
                  <c:v>6.8754679311205535</c:v>
                </c:pt>
                <c:pt idx="7">
                  <c:v>0.93403385872736056</c:v>
                </c:pt>
                <c:pt idx="8">
                  <c:v>5.6217466743782385</c:v>
                </c:pt>
                <c:pt idx="9">
                  <c:v>4.1616471361296732</c:v>
                </c:pt>
                <c:pt idx="10">
                  <c:v>2.5864788140047899</c:v>
                </c:pt>
                <c:pt idx="11">
                  <c:v>10.17730859895461</c:v>
                </c:pt>
                <c:pt idx="12">
                  <c:v>12.865116279070012</c:v>
                </c:pt>
              </c:numCache>
            </c:numRef>
          </c:val>
          <c:extLst xmlns:c16r2="http://schemas.microsoft.com/office/drawing/2015/06/chart">
            <c:ext xmlns:c16="http://schemas.microsoft.com/office/drawing/2014/chart" uri="{C3380CC4-5D6E-409C-BE32-E72D297353CC}">
              <c16:uniqueId val="{00000003-39FB-4823-9C54-16C9ACB4D9AD}"/>
            </c:ext>
          </c:extLst>
        </c:ser>
        <c:ser>
          <c:idx val="4"/>
          <c:order val="3"/>
          <c:tx>
            <c:strRef>
              <c:f>'Státní rozpočet 1'!$A$39</c:f>
              <c:strCache>
                <c:ptCount val="1"/>
                <c:pt idx="0">
                  <c:v>Daně z příjmů PO</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24.216106474170889</c:v>
                </c:pt>
                <c:pt idx="1">
                  <c:v>-5.7568328339235304</c:v>
                </c:pt>
                <c:pt idx="2">
                  <c:v>21.023219963387589</c:v>
                </c:pt>
                <c:pt idx="3">
                  <c:v>16.598996895151672</c:v>
                </c:pt>
                <c:pt idx="4">
                  <c:v>-35.982520824798584</c:v>
                </c:pt>
                <c:pt idx="5">
                  <c:v>5.5140784982935003</c:v>
                </c:pt>
                <c:pt idx="6">
                  <c:v>-6.1356514707368888</c:v>
                </c:pt>
                <c:pt idx="7">
                  <c:v>8.981262115011841</c:v>
                </c:pt>
                <c:pt idx="8">
                  <c:v>-5.8794466403162176</c:v>
                </c:pt>
                <c:pt idx="9">
                  <c:v>8.8503937007874214</c:v>
                </c:pt>
                <c:pt idx="10">
                  <c:v>11.140046296296306</c:v>
                </c:pt>
                <c:pt idx="11">
                  <c:v>12.921982122711098</c:v>
                </c:pt>
                <c:pt idx="12">
                  <c:v>0.20750076852134244</c:v>
                </c:pt>
              </c:numCache>
            </c:numRef>
          </c:val>
          <c:extLst xmlns:c16r2="http://schemas.microsoft.com/office/drawing/2015/06/chart">
            <c:ext xmlns:c16="http://schemas.microsoft.com/office/drawing/2014/chart" uri="{C3380CC4-5D6E-409C-BE32-E72D297353CC}">
              <c16:uniqueId val="{00000004-39FB-4823-9C54-16C9ACB4D9AD}"/>
            </c:ext>
          </c:extLst>
        </c:ser>
        <c:marker val="1"/>
        <c:axId val="50319360"/>
        <c:axId val="50321280"/>
      </c:lineChart>
      <c:catAx>
        <c:axId val="50319360"/>
        <c:scaling>
          <c:orientation val="minMax"/>
        </c:scaling>
        <c:axPos val="b"/>
        <c:numFmt formatCode="General" sourceLinked="1"/>
        <c:tickLblPos val="low"/>
        <c:spPr>
          <a:ln>
            <a:solidFill>
              <a:schemeClr val="tx1"/>
            </a:solidFill>
          </a:ln>
        </c:spPr>
        <c:crossAx val="50321280"/>
        <c:crosses val="autoZero"/>
        <c:auto val="1"/>
        <c:lblAlgn val="ctr"/>
        <c:lblOffset val="0"/>
      </c:catAx>
      <c:valAx>
        <c:axId val="50321280"/>
        <c:scaling>
          <c:orientation val="minMax"/>
          <c:max val="3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50319360"/>
        <c:crosses val="autoZero"/>
        <c:crossBetween val="between"/>
        <c:majorUnit val="5"/>
      </c:valAx>
      <c:valAx>
        <c:axId val="50322816"/>
        <c:scaling>
          <c:orientation val="minMax"/>
          <c:max val="90"/>
          <c:min val="-120"/>
        </c:scaling>
        <c:axPos val="r"/>
        <c:numFmt formatCode="#,##0" sourceLinked="0"/>
        <c:tickLblPos val="nextTo"/>
        <c:crossAx val="50332800"/>
        <c:crosses val="max"/>
        <c:crossBetween val="between"/>
        <c:majorUnit val="15"/>
      </c:valAx>
      <c:catAx>
        <c:axId val="50332800"/>
        <c:scaling>
          <c:orientation val="minMax"/>
        </c:scaling>
        <c:delete val="1"/>
        <c:axPos val="b"/>
        <c:numFmt formatCode="General" sourceLinked="1"/>
        <c:tickLblPos val="none"/>
        <c:crossAx val="50322816"/>
        <c:crosses val="autoZero"/>
        <c:auto val="1"/>
        <c:lblAlgn val="ctr"/>
        <c:lblOffset val="100"/>
      </c:catAx>
      <c:spPr>
        <a:ln>
          <a:solidFill>
            <a:schemeClr val="tx1"/>
          </a:solidFill>
        </a:ln>
      </c:spPr>
    </c:plotArea>
    <c:legend>
      <c:legendPos val="b"/>
      <c:layout>
        <c:manualLayout>
          <c:xMode val="edge"/>
          <c:yMode val="edge"/>
          <c:x val="5.1878156565656246E-2"/>
          <c:y val="0.8726901927437748"/>
          <c:w val="0.88910690235690248"/>
          <c:h val="0.12011026077097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857900718404552E-2"/>
          <c:y val="1.544165056508486E-2"/>
          <c:w val="0.86855180193698733"/>
          <c:h val="0.79972056504783351"/>
        </c:manualLayout>
      </c:layout>
      <c:barChart>
        <c:barDir val="col"/>
        <c:grouping val="clustered"/>
        <c:ser>
          <c:idx val="4"/>
          <c:order val="4"/>
          <c:tx>
            <c:strRef>
              <c:f>'Státní rozpočet 4'!$F$22</c:f>
              <c:strCache>
                <c:ptCount val="1"/>
                <c:pt idx="0">
                  <c:v>Saldo příjmů a výdajů (pravá osa)</c:v>
                </c:pt>
              </c:strCache>
            </c:strRef>
          </c:tx>
          <c:spPr>
            <a:solidFill>
              <a:srgbClr val="BFBFBF"/>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-2.0700000000000207</c:v>
                </c:pt>
                <c:pt idx="1">
                  <c:v>-3.3299999999999828</c:v>
                </c:pt>
                <c:pt idx="2">
                  <c:v>5.460000000000008</c:v>
                </c:pt>
                <c:pt idx="3">
                  <c:v>5.3100000000000005</c:v>
                </c:pt>
                <c:pt idx="4">
                  <c:v>-20.63999999999999</c:v>
                </c:pt>
                <c:pt idx="5">
                  <c:v>-25.170000000000027</c:v>
                </c:pt>
                <c:pt idx="6">
                  <c:v>-33.620000000000033</c:v>
                </c:pt>
                <c:pt idx="7">
                  <c:v>-32.980000000000004</c:v>
                </c:pt>
                <c:pt idx="8">
                  <c:v>-32.120000000000012</c:v>
                </c:pt>
                <c:pt idx="9">
                  <c:v>-27.52000000000001</c:v>
                </c:pt>
                <c:pt idx="10">
                  <c:v>-20.839999999999975</c:v>
                </c:pt>
                <c:pt idx="11">
                  <c:v>-13.329999999999991</c:v>
                </c:pt>
                <c:pt idx="12">
                  <c:v>-3.9600000000000377</c:v>
                </c:pt>
              </c:numCache>
            </c:numRef>
          </c:val>
        </c:ser>
        <c:gapWidth val="43"/>
        <c:axId val="51156480"/>
        <c:axId val="51154944"/>
      </c:barChart>
      <c:lineChart>
        <c:grouping val="standard"/>
        <c:ser>
          <c:idx val="2"/>
          <c:order val="0"/>
          <c:tx>
            <c:strRef>
              <c:f>'Státní rozpočet 4'!$D$22</c:f>
              <c:strCache>
                <c:ptCount val="1"/>
                <c:pt idx="0">
                  <c:v>Příjmy na důchody</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6.2910904556789715</c:v>
                </c:pt>
                <c:pt idx="1">
                  <c:v>7.1398101738295878</c:v>
                </c:pt>
                <c:pt idx="2">
                  <c:v>10.033344946001094</c:v>
                </c:pt>
                <c:pt idx="3">
                  <c:v>6.9157356732552255</c:v>
                </c:pt>
                <c:pt idx="4">
                  <c:v>-1.8825619764785422</c:v>
                </c:pt>
                <c:pt idx="5">
                  <c:v>0.84077092226102979</c:v>
                </c:pt>
                <c:pt idx="6">
                  <c:v>3.4077304600649985</c:v>
                </c:pt>
                <c:pt idx="7">
                  <c:v>2.4684721935083593</c:v>
                </c:pt>
                <c:pt idx="8">
                  <c:v>-0.23404083609071341</c:v>
                </c:pt>
                <c:pt idx="9">
                  <c:v>2.6007118589224985</c:v>
                </c:pt>
                <c:pt idx="10">
                  <c:v>5.5741711672645495</c:v>
                </c:pt>
                <c:pt idx="11">
                  <c:v>6.0229267017661785</c:v>
                </c:pt>
                <c:pt idx="12">
                  <c:v>7.6248503204902214</c:v>
                </c:pt>
              </c:numCache>
            </c:numRef>
          </c:val>
        </c:ser>
        <c:ser>
          <c:idx val="0"/>
          <c:order val="1"/>
          <c:tx>
            <c:strRef>
              <c:f>'Státní rozpočet 4'!$B$22</c:f>
              <c:strCache>
                <c:ptCount val="1"/>
                <c:pt idx="0">
                  <c:v>Počet příjemců důchodů celkem</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0.77226478546860733</c:v>
                </c:pt>
                <c:pt idx="1">
                  <c:v>1.6092555848802035</c:v>
                </c:pt>
                <c:pt idx="2">
                  <c:v>1.1089708999843424</c:v>
                </c:pt>
                <c:pt idx="3">
                  <c:v>1.2806567827247477</c:v>
                </c:pt>
                <c:pt idx="4">
                  <c:v>1.1725873606979611</c:v>
                </c:pt>
                <c:pt idx="5">
                  <c:v>1.364116242598584</c:v>
                </c:pt>
                <c:pt idx="6">
                  <c:v>1.2193866995871891</c:v>
                </c:pt>
                <c:pt idx="7">
                  <c:v>0.45728875855547818</c:v>
                </c:pt>
                <c:pt idx="8">
                  <c:v>-0.31121054845125684</c:v>
                </c:pt>
                <c:pt idx="9">
                  <c:v>0.3685975798247515</c:v>
                </c:pt>
                <c:pt idx="10">
                  <c:v>0.12543621809804506</c:v>
                </c:pt>
                <c:pt idx="11">
                  <c:v>0.69434807518003083</c:v>
                </c:pt>
                <c:pt idx="12">
                  <c:v>6.033303976806792E-2</c:v>
                </c:pt>
              </c:numCache>
            </c:numRef>
          </c:val>
        </c:ser>
        <c:ser>
          <c:idx val="3"/>
          <c:order val="2"/>
          <c:tx>
            <c:strRef>
              <c:f>'Státní rozpočet 4'!$E$22</c:f>
              <c:strCache>
                <c:ptCount val="1"/>
                <c:pt idx="0">
                  <c:v>Výdaje na důchody</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9.1720405343160039</c:v>
                </c:pt>
                <c:pt idx="1">
                  <c:v>7.7263857391487676</c:v>
                </c:pt>
                <c:pt idx="2">
                  <c:v>5.5664349358660532</c:v>
                </c:pt>
                <c:pt idx="3">
                  <c:v>7.1604136715670252</c:v>
                </c:pt>
                <c:pt idx="4">
                  <c:v>9.3045397498593516</c:v>
                </c:pt>
                <c:pt idx="5">
                  <c:v>2.5656253711842387</c:v>
                </c:pt>
                <c:pt idx="6">
                  <c:v>6.3385446824937333</c:v>
                </c:pt>
                <c:pt idx="7">
                  <c:v>1.9348749410098947</c:v>
                </c:pt>
                <c:pt idx="8">
                  <c:v>-0.51282051282051133</c:v>
                </c:pt>
                <c:pt idx="9">
                  <c:v>0.65506872852232334</c:v>
                </c:pt>
                <c:pt idx="10">
                  <c:v>2.6530104200006974</c:v>
                </c:pt>
                <c:pt idx="11">
                  <c:v>2.9863156071366745</c:v>
                </c:pt>
                <c:pt idx="12">
                  <c:v>4.1309247485451088</c:v>
                </c:pt>
              </c:numCache>
            </c:numRef>
          </c:val>
        </c:ser>
        <c:ser>
          <c:idx val="1"/>
          <c:order val="3"/>
          <c:tx>
            <c:strRef>
              <c:f>'Státní rozpočet 4'!$C$22</c:f>
              <c:strCache>
                <c:ptCount val="1"/>
                <c:pt idx="0">
                  <c:v>z toho starobních trvale krácených*</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2.5482108693596501</c:v>
                </c:pt>
                <c:pt idx="1">
                  <c:v>7.1645433135658116</c:v>
                </c:pt>
                <c:pt idx="2">
                  <c:v>8.6961846007201729</c:v>
                </c:pt>
                <c:pt idx="3">
                  <c:v>7.6271470286432876</c:v>
                </c:pt>
                <c:pt idx="4">
                  <c:v>8.5054375502167225</c:v>
                </c:pt>
                <c:pt idx="5">
                  <c:v>9.992647288883342</c:v>
                </c:pt>
                <c:pt idx="6">
                  <c:v>12.198446392972032</c:v>
                </c:pt>
                <c:pt idx="7">
                  <c:v>9.6983628308300691</c:v>
                </c:pt>
                <c:pt idx="8">
                  <c:v>3.6943806201983311</c:v>
                </c:pt>
                <c:pt idx="9">
                  <c:v>3.8937375906152032</c:v>
                </c:pt>
                <c:pt idx="10">
                  <c:v>3.8280770942869395</c:v>
                </c:pt>
                <c:pt idx="11">
                  <c:v>3.2528668342573881</c:v>
                </c:pt>
                <c:pt idx="12">
                  <c:v>2.5540628877119644</c:v>
                </c:pt>
              </c:numCache>
            </c:numRef>
          </c:val>
        </c:ser>
        <c:marker val="1"/>
        <c:axId val="51147136"/>
        <c:axId val="51149056"/>
      </c:lineChart>
      <c:catAx>
        <c:axId val="51147136"/>
        <c:scaling>
          <c:orientation val="minMax"/>
        </c:scaling>
        <c:axPos val="b"/>
        <c:numFmt formatCode="General" sourceLinked="1"/>
        <c:tickLblPos val="low"/>
        <c:spPr>
          <a:ln>
            <a:solidFill>
              <a:schemeClr val="bg1">
                <a:lumMod val="50000"/>
              </a:schemeClr>
            </a:solidFill>
          </a:ln>
        </c:spPr>
        <c:crossAx val="51149056"/>
        <c:crossesAt val="0"/>
        <c:auto val="1"/>
        <c:lblAlgn val="ctr"/>
        <c:lblOffset val="0"/>
      </c:catAx>
      <c:valAx>
        <c:axId val="51149056"/>
        <c:scaling>
          <c:orientation val="minMax"/>
          <c:max val="15"/>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51147136"/>
        <c:crosses val="autoZero"/>
        <c:crossBetween val="between"/>
        <c:majorUnit val="3"/>
      </c:valAx>
      <c:valAx>
        <c:axId val="51154944"/>
        <c:scaling>
          <c:orientation val="minMax"/>
          <c:max val="40"/>
          <c:min val="-40"/>
        </c:scaling>
        <c:axPos val="r"/>
        <c:numFmt formatCode="0" sourceLinked="0"/>
        <c:tickLblPos val="nextTo"/>
        <c:spPr>
          <a:ln>
            <a:solidFill>
              <a:schemeClr val="tx1"/>
            </a:solidFill>
          </a:ln>
        </c:spPr>
        <c:crossAx val="51156480"/>
        <c:crosses val="max"/>
        <c:crossBetween val="between"/>
        <c:majorUnit val="10"/>
      </c:valAx>
      <c:catAx>
        <c:axId val="51156480"/>
        <c:scaling>
          <c:orientation val="minMax"/>
        </c:scaling>
        <c:delete val="1"/>
        <c:axPos val="b"/>
        <c:numFmt formatCode="General" sourceLinked="1"/>
        <c:tickLblPos val="none"/>
        <c:crossAx val="51154944"/>
        <c:crosses val="autoZero"/>
        <c:auto val="1"/>
        <c:lblAlgn val="ctr"/>
        <c:lblOffset val="100"/>
      </c:catAx>
      <c:spPr>
        <a:ln>
          <a:solidFill>
            <a:schemeClr val="tx1"/>
          </a:solidFill>
        </a:ln>
      </c:spPr>
    </c:plotArea>
    <c:legend>
      <c:legendPos val="b"/>
      <c:layout>
        <c:manualLayout>
          <c:xMode val="edge"/>
          <c:yMode val="edge"/>
          <c:x val="6.2962331649832212E-2"/>
          <c:y val="0.8723506235827666"/>
          <c:w val="0.86057601724928745"/>
          <c:h val="0.1207964852607715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2.5575113378684816E-2"/>
          <c:w val="0.88571919735113291"/>
          <c:h val="0.75695549886621361"/>
        </c:manualLayout>
      </c:layout>
      <c:barChart>
        <c:barDir val="col"/>
        <c:grouping val="clustered"/>
        <c:ser>
          <c:idx val="0"/>
          <c:order val="0"/>
          <c:tx>
            <c:strRef>
              <c:f>'Státní rozpočet 3'!$B$31</c:f>
              <c:strCache>
                <c:ptCount val="1"/>
                <c:pt idx="0">
                  <c:v>Běžné výdaje (pravá osa)</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3'!$B$32:$B$44</c:f>
              <c:numCache>
                <c:formatCode>0.0</c:formatCode>
                <c:ptCount val="13"/>
                <c:pt idx="0">
                  <c:v>572.84999999999798</c:v>
                </c:pt>
                <c:pt idx="1">
                  <c:v>623.23</c:v>
                </c:pt>
                <c:pt idx="2">
                  <c:v>657.35999999999797</c:v>
                </c:pt>
                <c:pt idx="3">
                  <c:v>707.04</c:v>
                </c:pt>
                <c:pt idx="4">
                  <c:v>734.05</c:v>
                </c:pt>
                <c:pt idx="5">
                  <c:v>754.15</c:v>
                </c:pt>
                <c:pt idx="6">
                  <c:v>764.93</c:v>
                </c:pt>
                <c:pt idx="7">
                  <c:v>755.57</c:v>
                </c:pt>
                <c:pt idx="8">
                  <c:v>786.27000000000055</c:v>
                </c:pt>
                <c:pt idx="9">
                  <c:v>801.1</c:v>
                </c:pt>
                <c:pt idx="10">
                  <c:v>822.78000000000054</c:v>
                </c:pt>
                <c:pt idx="11">
                  <c:v>831.32999999999947</c:v>
                </c:pt>
                <c:pt idx="12">
                  <c:v>881.39</c:v>
                </c:pt>
              </c:numCache>
            </c:numRef>
          </c:val>
          <c:extLst xmlns:c16r2="http://schemas.microsoft.com/office/drawing/2015/06/chart">
            <c:ext xmlns:c16="http://schemas.microsoft.com/office/drawing/2014/chart" uri="{C3380CC4-5D6E-409C-BE32-E72D297353CC}">
              <c16:uniqueId val="{00000000-0213-4A16-93EC-D9F4AD921F12}"/>
            </c:ext>
          </c:extLst>
        </c:ser>
        <c:gapWidth val="70"/>
        <c:axId val="51203456"/>
        <c:axId val="51201920"/>
      </c:barChart>
      <c:lineChart>
        <c:grouping val="standard"/>
        <c:ser>
          <c:idx val="1"/>
          <c:order val="1"/>
          <c:tx>
            <c:strRef>
              <c:f>'Státní rozpočet 3'!$C$31</c:f>
              <c:strCache>
                <c:ptCount val="1"/>
                <c:pt idx="0">
                  <c:v>Platy státních zaměstnanců</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3'!$C$32:$C$44</c:f>
              <c:numCache>
                <c:formatCode>0.0</c:formatCode>
                <c:ptCount val="13"/>
                <c:pt idx="0">
                  <c:v>55.24</c:v>
                </c:pt>
                <c:pt idx="1">
                  <c:v>57.61</c:v>
                </c:pt>
                <c:pt idx="2">
                  <c:v>61.349999999999994</c:v>
                </c:pt>
                <c:pt idx="3">
                  <c:v>61.44</c:v>
                </c:pt>
                <c:pt idx="4">
                  <c:v>63.790000000000013</c:v>
                </c:pt>
                <c:pt idx="5">
                  <c:v>63.5</c:v>
                </c:pt>
                <c:pt idx="6">
                  <c:v>57.879999999999995</c:v>
                </c:pt>
                <c:pt idx="7">
                  <c:v>58.77</c:v>
                </c:pt>
                <c:pt idx="8">
                  <c:v>60.04</c:v>
                </c:pt>
                <c:pt idx="9">
                  <c:v>61.89</c:v>
                </c:pt>
                <c:pt idx="10">
                  <c:v>67.66</c:v>
                </c:pt>
                <c:pt idx="11">
                  <c:v>70.25</c:v>
                </c:pt>
                <c:pt idx="12">
                  <c:v>76.149999999999991</c:v>
                </c:pt>
              </c:numCache>
            </c:numRef>
          </c:val>
          <c:extLst xmlns:c16r2="http://schemas.microsoft.com/office/drawing/2015/06/chart">
            <c:ext xmlns:c16="http://schemas.microsoft.com/office/drawing/2014/chart" uri="{C3380CC4-5D6E-409C-BE32-E72D297353CC}">
              <c16:uniqueId val="{00000001-0213-4A16-93EC-D9F4AD921F12}"/>
            </c:ext>
          </c:extLst>
        </c:ser>
        <c:ser>
          <c:idx val="2"/>
          <c:order val="2"/>
          <c:tx>
            <c:strRef>
              <c:f>'Státní rozpočet 3'!$D$31</c:f>
              <c:strCache>
                <c:ptCount val="1"/>
                <c:pt idx="0">
                  <c:v>Podpora v nezaměstnanosti</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3'!$D$32:$D$44</c:f>
              <c:numCache>
                <c:formatCode>0.0</c:formatCode>
                <c:ptCount val="13"/>
                <c:pt idx="0">
                  <c:v>5.38</c:v>
                </c:pt>
                <c:pt idx="1">
                  <c:v>5.63</c:v>
                </c:pt>
                <c:pt idx="2">
                  <c:v>5.44</c:v>
                </c:pt>
                <c:pt idx="3">
                  <c:v>5.29</c:v>
                </c:pt>
                <c:pt idx="4">
                  <c:v>11.41</c:v>
                </c:pt>
                <c:pt idx="5">
                  <c:v>10.65</c:v>
                </c:pt>
                <c:pt idx="6">
                  <c:v>8.3600000000000048</c:v>
                </c:pt>
                <c:pt idx="7">
                  <c:v>6.78</c:v>
                </c:pt>
                <c:pt idx="8">
                  <c:v>7.53</c:v>
                </c:pt>
                <c:pt idx="9">
                  <c:v>7.33</c:v>
                </c:pt>
                <c:pt idx="10">
                  <c:v>6.46</c:v>
                </c:pt>
                <c:pt idx="11">
                  <c:v>6.39</c:v>
                </c:pt>
                <c:pt idx="12">
                  <c:v>6.1199999999999966</c:v>
                </c:pt>
              </c:numCache>
            </c:numRef>
          </c:val>
          <c:extLst xmlns:c16r2="http://schemas.microsoft.com/office/drawing/2015/06/chart">
            <c:ext xmlns:c16="http://schemas.microsoft.com/office/drawing/2014/chart" uri="{C3380CC4-5D6E-409C-BE32-E72D297353CC}">
              <c16:uniqueId val="{00000002-0213-4A16-93EC-D9F4AD921F12}"/>
            </c:ext>
          </c:extLst>
        </c:ser>
        <c:ser>
          <c:idx val="3"/>
          <c:order val="3"/>
          <c:tx>
            <c:strRef>
              <c:f>'Státní rozpočet 3'!$E$31</c:f>
              <c:strCache>
                <c:ptCount val="1"/>
                <c:pt idx="0">
                  <c:v>Státní sociální podpora*</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3'!$E$32:$E$44</c:f>
              <c:numCache>
                <c:formatCode>General</c:formatCode>
                <c:ptCount val="13"/>
                <c:pt idx="0">
                  <c:v>25.01</c:v>
                </c:pt>
                <c:pt idx="1">
                  <c:v>25.77</c:v>
                </c:pt>
                <c:pt idx="2">
                  <c:v>36.410000000000004</c:v>
                </c:pt>
                <c:pt idx="3">
                  <c:v>31.979999999999986</c:v>
                </c:pt>
                <c:pt idx="4">
                  <c:v>30.95</c:v>
                </c:pt>
                <c:pt idx="5">
                  <c:v>30.85</c:v>
                </c:pt>
                <c:pt idx="6">
                  <c:v>27.32</c:v>
                </c:pt>
                <c:pt idx="7">
                  <c:v>26.77</c:v>
                </c:pt>
                <c:pt idx="8">
                  <c:v>28.04</c:v>
                </c:pt>
                <c:pt idx="9">
                  <c:v>28.22</c:v>
                </c:pt>
                <c:pt idx="10">
                  <c:v>28.27</c:v>
                </c:pt>
                <c:pt idx="11">
                  <c:v>28.38</c:v>
                </c:pt>
                <c:pt idx="12">
                  <c:v>28.04</c:v>
                </c:pt>
              </c:numCache>
            </c:numRef>
          </c:val>
          <c:extLst xmlns:c16r2="http://schemas.microsoft.com/office/drawing/2015/06/chart">
            <c:ext xmlns:c16="http://schemas.microsoft.com/office/drawing/2014/chart" uri="{C3380CC4-5D6E-409C-BE32-E72D297353CC}">
              <c16:uniqueId val="{00000003-0213-4A16-93EC-D9F4AD921F12}"/>
            </c:ext>
          </c:extLst>
        </c:ser>
        <c:ser>
          <c:idx val="4"/>
          <c:order val="4"/>
          <c:tx>
            <c:strRef>
              <c:f>'Státní rozpočet 3'!$F$31</c:f>
              <c:strCache>
                <c:ptCount val="1"/>
                <c:pt idx="0">
                  <c:v>Dávky nemocenského pojištění</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3'!$F$32:$F$44</c:f>
              <c:numCache>
                <c:formatCode>0.00</c:formatCode>
                <c:ptCount val="13"/>
                <c:pt idx="0">
                  <c:v>24.5</c:v>
                </c:pt>
                <c:pt idx="1">
                  <c:v>25.2</c:v>
                </c:pt>
                <c:pt idx="2">
                  <c:v>26.130000000000031</c:v>
                </c:pt>
                <c:pt idx="3">
                  <c:v>24.12</c:v>
                </c:pt>
                <c:pt idx="4">
                  <c:v>20.07</c:v>
                </c:pt>
                <c:pt idx="5">
                  <c:v>16.8</c:v>
                </c:pt>
                <c:pt idx="6">
                  <c:v>16.82</c:v>
                </c:pt>
                <c:pt idx="7">
                  <c:v>14.84</c:v>
                </c:pt>
                <c:pt idx="8">
                  <c:v>15.44</c:v>
                </c:pt>
                <c:pt idx="9">
                  <c:v>16.649999999999999</c:v>
                </c:pt>
                <c:pt idx="10">
                  <c:v>18.23</c:v>
                </c:pt>
                <c:pt idx="11">
                  <c:v>19.88</c:v>
                </c:pt>
                <c:pt idx="12">
                  <c:v>21.4</c:v>
                </c:pt>
              </c:numCache>
            </c:numRef>
          </c:val>
          <c:extLst xmlns:c16r2="http://schemas.microsoft.com/office/drawing/2015/06/chart">
            <c:ext xmlns:c16="http://schemas.microsoft.com/office/drawing/2014/chart" uri="{C3380CC4-5D6E-409C-BE32-E72D297353CC}">
              <c16:uniqueId val="{00000004-0213-4A16-93EC-D9F4AD921F12}"/>
            </c:ext>
          </c:extLst>
        </c:ser>
        <c:ser>
          <c:idx val="5"/>
          <c:order val="5"/>
          <c:tx>
            <c:strRef>
              <c:f>'Státní rozpočet 3'!$G$31</c:f>
              <c:strCache>
                <c:ptCount val="1"/>
                <c:pt idx="0">
                  <c:v>Dávky sociální péče**</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3'!$G$32:$G$44</c:f>
              <c:numCache>
                <c:formatCode>General</c:formatCode>
                <c:ptCount val="13"/>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25.259999999999987</c:v>
                </c:pt>
                <c:pt idx="11" formatCode="0.00">
                  <c:v>25.4</c:v>
                </c:pt>
                <c:pt idx="12" formatCode="0.00">
                  <c:v>25.959999999999987</c:v>
                </c:pt>
              </c:numCache>
            </c:numRef>
          </c:val>
          <c:extLst xmlns:c16r2="http://schemas.microsoft.com/office/drawing/2015/06/chart">
            <c:ext xmlns:c16="http://schemas.microsoft.com/office/drawing/2014/chart" uri="{C3380CC4-5D6E-409C-BE32-E72D297353CC}">
              <c16:uniqueId val="{00000005-0213-4A16-93EC-D9F4AD921F12}"/>
            </c:ext>
          </c:extLst>
        </c:ser>
        <c:ser>
          <c:idx val="6"/>
          <c:order val="6"/>
          <c:tx>
            <c:strRef>
              <c:f>'Státní rozpočet 3'!$H$31</c:f>
              <c:strCache>
                <c:ptCount val="1"/>
                <c:pt idx="0">
                  <c:v>Neinvestiční nákupy a souvis.výdaje***</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3'!$H$32:$H$44</c:f>
              <c:numCache>
                <c:formatCode>0.0</c:formatCode>
                <c:ptCount val="13"/>
                <c:pt idx="0">
                  <c:v>36.356999999999999</c:v>
                </c:pt>
                <c:pt idx="1">
                  <c:v>39.716000000000001</c:v>
                </c:pt>
                <c:pt idx="2">
                  <c:v>41.124000000000002</c:v>
                </c:pt>
                <c:pt idx="3">
                  <c:v>46.384999999999998</c:v>
                </c:pt>
                <c:pt idx="4">
                  <c:v>46.423000000000002</c:v>
                </c:pt>
                <c:pt idx="5">
                  <c:v>43.089000000000006</c:v>
                </c:pt>
                <c:pt idx="6">
                  <c:v>38.638000000000012</c:v>
                </c:pt>
                <c:pt idx="7">
                  <c:v>35.333999999999996</c:v>
                </c:pt>
                <c:pt idx="8">
                  <c:v>32.835000000000001</c:v>
                </c:pt>
                <c:pt idx="9">
                  <c:v>31.260999999999989</c:v>
                </c:pt>
                <c:pt idx="10">
                  <c:v>36.513999999999996</c:v>
                </c:pt>
                <c:pt idx="11">
                  <c:v>35</c:v>
                </c:pt>
                <c:pt idx="12">
                  <c:v>39.200000000000003</c:v>
                </c:pt>
              </c:numCache>
            </c:numRef>
          </c:val>
          <c:extLst xmlns:c16r2="http://schemas.microsoft.com/office/drawing/2015/06/chart">
            <c:ext xmlns:c16="http://schemas.microsoft.com/office/drawing/2014/chart" uri="{C3380CC4-5D6E-409C-BE32-E72D297353CC}">
              <c16:uniqueId val="{00000006-0213-4A16-93EC-D9F4AD921F12}"/>
            </c:ext>
          </c:extLst>
        </c:ser>
        <c:ser>
          <c:idx val="7"/>
          <c:order val="7"/>
          <c:tx>
            <c:strRef>
              <c:f>'Státní rozpočet 3'!$I$31</c:f>
              <c:strCache>
                <c:ptCount val="1"/>
                <c:pt idx="0">
                  <c:v>Kapitálové výdaje</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3'!$I$32:$I$44</c:f>
              <c:numCache>
                <c:formatCode>0.0</c:formatCode>
                <c:ptCount val="13"/>
                <c:pt idx="0">
                  <c:v>35.47</c:v>
                </c:pt>
                <c:pt idx="1">
                  <c:v>48.78</c:v>
                </c:pt>
                <c:pt idx="2">
                  <c:v>54.849999999999994</c:v>
                </c:pt>
                <c:pt idx="3">
                  <c:v>76.95</c:v>
                </c:pt>
                <c:pt idx="4">
                  <c:v>80.024000000000001</c:v>
                </c:pt>
                <c:pt idx="5">
                  <c:v>91.36</c:v>
                </c:pt>
                <c:pt idx="6">
                  <c:v>82.07</c:v>
                </c:pt>
                <c:pt idx="7">
                  <c:v>72.98</c:v>
                </c:pt>
                <c:pt idx="8">
                  <c:v>58.39</c:v>
                </c:pt>
                <c:pt idx="9">
                  <c:v>59.67</c:v>
                </c:pt>
                <c:pt idx="10">
                  <c:v>88.53</c:v>
                </c:pt>
                <c:pt idx="11">
                  <c:v>51.6</c:v>
                </c:pt>
                <c:pt idx="12">
                  <c:v>41.349999999999994</c:v>
                </c:pt>
              </c:numCache>
            </c:numRef>
          </c:val>
          <c:extLst xmlns:c16r2="http://schemas.microsoft.com/office/drawing/2015/06/chart">
            <c:ext xmlns:c16="http://schemas.microsoft.com/office/drawing/2014/chart" uri="{C3380CC4-5D6E-409C-BE32-E72D297353CC}">
              <c16:uniqueId val="{00000007-0213-4A16-93EC-D9F4AD921F12}"/>
            </c:ext>
          </c:extLst>
        </c:ser>
        <c:marker val="1"/>
        <c:axId val="51190400"/>
        <c:axId val="51200384"/>
      </c:lineChart>
      <c:catAx>
        <c:axId val="51190400"/>
        <c:scaling>
          <c:orientation val="minMax"/>
        </c:scaling>
        <c:axPos val="b"/>
        <c:numFmt formatCode="General" sourceLinked="1"/>
        <c:tickLblPos val="low"/>
        <c:spPr>
          <a:ln>
            <a:solidFill>
              <a:schemeClr val="bg1">
                <a:lumMod val="50000"/>
              </a:schemeClr>
            </a:solidFill>
          </a:ln>
        </c:spPr>
        <c:crossAx val="51200384"/>
        <c:crosses val="autoZero"/>
        <c:auto val="1"/>
        <c:lblAlgn val="ctr"/>
        <c:lblOffset val="20"/>
      </c:catAx>
      <c:valAx>
        <c:axId val="51200384"/>
        <c:scaling>
          <c:orientation val="minMax"/>
          <c:max val="10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51190400"/>
        <c:crosses val="autoZero"/>
        <c:crossBetween val="between"/>
        <c:majorUnit val="10"/>
      </c:valAx>
      <c:valAx>
        <c:axId val="51201920"/>
        <c:scaling>
          <c:orientation val="minMax"/>
          <c:max val="1000"/>
          <c:min val="0"/>
        </c:scaling>
        <c:axPos val="r"/>
        <c:numFmt formatCode="0" sourceLinked="0"/>
        <c:tickLblPos val="nextTo"/>
        <c:spPr>
          <a:ln>
            <a:solidFill>
              <a:schemeClr val="tx1"/>
            </a:solidFill>
          </a:ln>
        </c:spPr>
        <c:crossAx val="51203456"/>
        <c:crosses val="max"/>
        <c:crossBetween val="between"/>
        <c:majorUnit val="100"/>
      </c:valAx>
      <c:catAx>
        <c:axId val="51203456"/>
        <c:scaling>
          <c:orientation val="minMax"/>
        </c:scaling>
        <c:delete val="1"/>
        <c:axPos val="b"/>
        <c:numFmt formatCode="General" sourceLinked="1"/>
        <c:tickLblPos val="none"/>
        <c:crossAx val="51201920"/>
        <c:crosses val="autoZero"/>
        <c:auto val="1"/>
        <c:lblAlgn val="ctr"/>
        <c:lblOffset val="100"/>
      </c:catAx>
      <c:spPr>
        <a:ln>
          <a:solidFill>
            <a:schemeClr val="tx1"/>
          </a:solidFill>
        </a:ln>
      </c:spPr>
    </c:plotArea>
    <c:legend>
      <c:legendPos val="b"/>
      <c:layout>
        <c:manualLayout>
          <c:xMode val="edge"/>
          <c:yMode val="edge"/>
          <c:x val="5.3073638025823829E-2"/>
          <c:y val="0.83424149659865277"/>
          <c:w val="0.88356227363293849"/>
          <c:h val="0.1568200113378684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8967687074829931E-2"/>
          <c:w val="0.87842537233566564"/>
          <c:h val="0.78411111111111109"/>
        </c:manualLayout>
      </c:layout>
      <c:barChart>
        <c:barDir val="col"/>
        <c:grouping val="stacked"/>
        <c:ser>
          <c:idx val="0"/>
          <c:order val="0"/>
          <c:tx>
            <c:strRef>
              <c:f>'Státní rozpočet 5'!$B$27</c:f>
              <c:strCache>
                <c:ptCount val="1"/>
                <c:pt idx="0">
                  <c:v>Státní pokladniční poukázky</c:v>
                </c:pt>
              </c:strCache>
            </c:strRef>
          </c:tx>
          <c:spPr>
            <a:solidFill>
              <a:srgbClr val="BD1B21"/>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5'!$C$27:$O$27</c:f>
              <c:numCache>
                <c:formatCode>#,##0</c:formatCode>
                <c:ptCount val="13"/>
                <c:pt idx="0">
                  <c:v>98.034000000000006</c:v>
                </c:pt>
                <c:pt idx="1">
                  <c:v>71.884</c:v>
                </c:pt>
                <c:pt idx="2">
                  <c:v>54.649000000000001</c:v>
                </c:pt>
                <c:pt idx="3">
                  <c:v>45.340999999999994</c:v>
                </c:pt>
                <c:pt idx="4">
                  <c:v>79.491000000000227</c:v>
                </c:pt>
                <c:pt idx="5">
                  <c:v>128.47800000000001</c:v>
                </c:pt>
                <c:pt idx="6">
                  <c:v>143.268</c:v>
                </c:pt>
                <c:pt idx="7">
                  <c:v>172.06700000000001</c:v>
                </c:pt>
                <c:pt idx="8">
                  <c:v>137.51599999999999</c:v>
                </c:pt>
                <c:pt idx="9">
                  <c:v>90.838999999999999</c:v>
                </c:pt>
                <c:pt idx="10">
                  <c:v>104.687</c:v>
                </c:pt>
                <c:pt idx="11">
                  <c:v>17.7</c:v>
                </c:pt>
                <c:pt idx="12" formatCode="0.0">
                  <c:v>0</c:v>
                </c:pt>
              </c:numCache>
            </c:numRef>
          </c:val>
          <c:extLst xmlns:c16r2="http://schemas.microsoft.com/office/drawing/2015/06/chart">
            <c:ext xmlns:c16="http://schemas.microsoft.com/office/drawing/2014/chart" uri="{C3380CC4-5D6E-409C-BE32-E72D297353CC}">
              <c16:uniqueId val="{00000000-57C5-43CE-B103-57810E8D651C}"/>
            </c:ext>
          </c:extLst>
        </c:ser>
        <c:ser>
          <c:idx val="1"/>
          <c:order val="1"/>
          <c:tx>
            <c:strRef>
              <c:f>'Státní rozpočet 5'!$B$28</c:f>
              <c:strCache>
                <c:ptCount val="1"/>
                <c:pt idx="0">
                  <c:v>Spořící státní dluhopisy</c:v>
                </c:pt>
              </c:strCache>
            </c:strRef>
          </c:tx>
          <c:spPr>
            <a:solidFill>
              <a:srgbClr val="E8AFB2"/>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5'!$C$28:$O$28</c:f>
              <c:numCache>
                <c:formatCode>#,##0</c:formatCode>
                <c:ptCount val="13"/>
                <c:pt idx="0">
                  <c:v>0</c:v>
                </c:pt>
                <c:pt idx="1">
                  <c:v>0</c:v>
                </c:pt>
                <c:pt idx="2">
                  <c:v>0</c:v>
                </c:pt>
                <c:pt idx="3">
                  <c:v>0</c:v>
                </c:pt>
                <c:pt idx="4">
                  <c:v>0</c:v>
                </c:pt>
                <c:pt idx="5">
                  <c:v>0</c:v>
                </c:pt>
                <c:pt idx="6">
                  <c:v>0</c:v>
                </c:pt>
                <c:pt idx="7">
                  <c:v>35.708000000000013</c:v>
                </c:pt>
                <c:pt idx="8">
                  <c:v>73.738</c:v>
                </c:pt>
                <c:pt idx="9">
                  <c:v>80.60899999999998</c:v>
                </c:pt>
                <c:pt idx="10">
                  <c:v>77.801000000000002</c:v>
                </c:pt>
                <c:pt idx="11">
                  <c:v>59.9</c:v>
                </c:pt>
                <c:pt idx="12" formatCode="0.0">
                  <c:v>31</c:v>
                </c:pt>
              </c:numCache>
            </c:numRef>
          </c:val>
          <c:extLst xmlns:c16r2="http://schemas.microsoft.com/office/drawing/2015/06/chart">
            <c:ext xmlns:c16="http://schemas.microsoft.com/office/drawing/2014/chart" uri="{C3380CC4-5D6E-409C-BE32-E72D297353CC}">
              <c16:uniqueId val="{00000001-57C5-43CE-B103-57810E8D651C}"/>
            </c:ext>
          </c:extLst>
        </c:ser>
        <c:ser>
          <c:idx val="2"/>
          <c:order val="2"/>
          <c:tx>
            <c:strRef>
              <c:f>'Státní rozpočet 5'!$B$29</c:f>
              <c:strCache>
                <c:ptCount val="1"/>
                <c:pt idx="0">
                  <c:v>Dlouho-(středně-)dobé státní dluhopisy</c:v>
                </c:pt>
              </c:strCache>
            </c:strRef>
          </c:tx>
          <c:spPr>
            <a:solidFill>
              <a:srgbClr val="A6CDE8"/>
            </a:solidFill>
            <a:ln>
              <a:noFill/>
            </a:ln>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5'!$C$29:$O$29</c:f>
              <c:numCache>
                <c:formatCode>#,##0</c:formatCode>
                <c:ptCount val="13"/>
                <c:pt idx="0">
                  <c:v>456.56</c:v>
                </c:pt>
                <c:pt idx="1">
                  <c:v>554.81699999999796</c:v>
                </c:pt>
                <c:pt idx="2">
                  <c:v>664.79500000000053</c:v>
                </c:pt>
                <c:pt idx="3">
                  <c:v>700.70399999999995</c:v>
                </c:pt>
                <c:pt idx="4">
                  <c:v>861.48699999999997</c:v>
                </c:pt>
                <c:pt idx="5">
                  <c:v>956.30699999999797</c:v>
                </c:pt>
                <c:pt idx="6">
                  <c:v>1003.614</c:v>
                </c:pt>
                <c:pt idx="7">
                  <c:v>1085.259</c:v>
                </c:pt>
                <c:pt idx="8">
                  <c:v>1059.616</c:v>
                </c:pt>
                <c:pt idx="9">
                  <c:v>1159.375</c:v>
                </c:pt>
                <c:pt idx="10">
                  <c:v>1177.1919999999998</c:v>
                </c:pt>
                <c:pt idx="11">
                  <c:v>1298.0999999999999</c:v>
                </c:pt>
                <c:pt idx="12" formatCode="0.0">
                  <c:v>1319</c:v>
                </c:pt>
              </c:numCache>
            </c:numRef>
          </c:val>
          <c:extLst xmlns:c16r2="http://schemas.microsoft.com/office/drawing/2015/06/chart">
            <c:ext xmlns:c16="http://schemas.microsoft.com/office/drawing/2014/chart" uri="{C3380CC4-5D6E-409C-BE32-E72D297353CC}">
              <c16:uniqueId val="{00000002-57C5-43CE-B103-57810E8D651C}"/>
            </c:ext>
          </c:extLst>
        </c:ser>
        <c:ser>
          <c:idx val="3"/>
          <c:order val="3"/>
          <c:tx>
            <c:strRef>
              <c:f>'Státní rozpočet 5'!$B$30</c:f>
              <c:strCache>
                <c:ptCount val="1"/>
                <c:pt idx="0">
                  <c:v>Krátkodobé zápůjčky a směnky</c:v>
                </c:pt>
              </c:strCache>
            </c:strRef>
          </c:tx>
          <c:spPr>
            <a:solidFill>
              <a:srgbClr val="0071BC"/>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5'!$C$30:$O$30</c:f>
              <c:numCache>
                <c:formatCode>#,##0</c:formatCode>
                <c:ptCount val="13"/>
                <c:pt idx="0">
                  <c:v>0</c:v>
                </c:pt>
                <c:pt idx="1">
                  <c:v>0</c:v>
                </c:pt>
                <c:pt idx="2">
                  <c:v>0</c:v>
                </c:pt>
                <c:pt idx="3">
                  <c:v>0</c:v>
                </c:pt>
                <c:pt idx="4">
                  <c:v>0</c:v>
                </c:pt>
                <c:pt idx="5">
                  <c:v>0</c:v>
                </c:pt>
                <c:pt idx="6">
                  <c:v>0</c:v>
                </c:pt>
                <c:pt idx="7">
                  <c:v>0</c:v>
                </c:pt>
                <c:pt idx="8">
                  <c:v>1.585</c:v>
                </c:pt>
                <c:pt idx="9">
                  <c:v>12.352000000000116</c:v>
                </c:pt>
                <c:pt idx="10">
                  <c:v>10.553000000000004</c:v>
                </c:pt>
                <c:pt idx="11">
                  <c:v>1.5</c:v>
                </c:pt>
                <c:pt idx="12" formatCode="0.0">
                  <c:v>2.9</c:v>
                </c:pt>
              </c:numCache>
            </c:numRef>
          </c:val>
          <c:extLst xmlns:c16r2="http://schemas.microsoft.com/office/drawing/2015/06/chart">
            <c:ext xmlns:c16="http://schemas.microsoft.com/office/drawing/2014/chart" uri="{C3380CC4-5D6E-409C-BE32-E72D297353CC}">
              <c16:uniqueId val="{00000003-57C5-43CE-B103-57810E8D651C}"/>
            </c:ext>
          </c:extLst>
        </c:ser>
        <c:ser>
          <c:idx val="4"/>
          <c:order val="4"/>
          <c:tx>
            <c:strRef>
              <c:f>'Státní rozpočet 5'!$B$31</c:f>
              <c:strCache>
                <c:ptCount val="1"/>
                <c:pt idx="0">
                  <c:v>Zahraniční emise dluhopisů</c:v>
                </c:pt>
              </c:strCache>
            </c:strRef>
          </c:tx>
          <c:spPr>
            <a:solidFill>
              <a:srgbClr val="7DBB2D"/>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5'!$C$31:$O$31</c:f>
              <c:numCache>
                <c:formatCode>#,##0</c:formatCode>
                <c:ptCount val="13"/>
                <c:pt idx="0">
                  <c:v>78.88</c:v>
                </c:pt>
                <c:pt idx="1">
                  <c:v>84.557999999999993</c:v>
                </c:pt>
                <c:pt idx="2">
                  <c:v>83.929000000000002</c:v>
                </c:pt>
                <c:pt idx="3">
                  <c:v>133.07299999999998</c:v>
                </c:pt>
                <c:pt idx="4">
                  <c:v>173.05600000000001</c:v>
                </c:pt>
                <c:pt idx="5">
                  <c:v>237.06300000000002</c:v>
                </c:pt>
                <c:pt idx="6">
                  <c:v>240.11599999999999</c:v>
                </c:pt>
                <c:pt idx="7">
                  <c:v>290.82499999999999</c:v>
                </c:pt>
                <c:pt idx="8">
                  <c:v>313.14100000000002</c:v>
                </c:pt>
                <c:pt idx="9">
                  <c:v>275.81900000000002</c:v>
                </c:pt>
                <c:pt idx="10">
                  <c:v>234.67299999999997</c:v>
                </c:pt>
                <c:pt idx="11">
                  <c:v>226.5</c:v>
                </c:pt>
                <c:pt idx="12" formatCode="0.0">
                  <c:v>205.7</c:v>
                </c:pt>
              </c:numCache>
            </c:numRef>
          </c:val>
          <c:extLst xmlns:c16r2="http://schemas.microsoft.com/office/drawing/2015/06/chart">
            <c:ext xmlns:c16="http://schemas.microsoft.com/office/drawing/2014/chart" uri="{C3380CC4-5D6E-409C-BE32-E72D297353CC}">
              <c16:uniqueId val="{00000004-57C5-43CE-B103-57810E8D651C}"/>
            </c:ext>
          </c:extLst>
        </c:ser>
        <c:ser>
          <c:idx val="5"/>
          <c:order val="5"/>
          <c:tx>
            <c:strRef>
              <c:f>'Státní rozpočet 5'!$B$32</c:f>
              <c:strCache>
                <c:ptCount val="1"/>
                <c:pt idx="0">
                  <c:v>Úvěry od EIB</c:v>
                </c:pt>
              </c:strCache>
            </c:strRef>
          </c:tx>
          <c:spPr>
            <a:solidFill>
              <a:srgbClr val="D2E7B6"/>
            </a:solidFill>
          </c:spP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5'!$C$32:$O$32</c:f>
              <c:numCache>
                <c:formatCode>#,##0</c:formatCode>
                <c:ptCount val="13"/>
                <c:pt idx="0">
                  <c:v>28.332000000000001</c:v>
                </c:pt>
                <c:pt idx="1">
                  <c:v>34.298000000000407</c:v>
                </c:pt>
                <c:pt idx="2">
                  <c:v>38.743000000000002</c:v>
                </c:pt>
                <c:pt idx="3">
                  <c:v>45.838000000000001</c:v>
                </c:pt>
                <c:pt idx="4">
                  <c:v>53.134</c:v>
                </c:pt>
                <c:pt idx="5">
                  <c:v>62.394000000000005</c:v>
                </c:pt>
                <c:pt idx="6">
                  <c:v>69.516000000000005</c:v>
                </c:pt>
                <c:pt idx="7">
                  <c:v>68.459000000000003</c:v>
                </c:pt>
                <c:pt idx="8">
                  <c:v>67.870999999999981</c:v>
                </c:pt>
                <c:pt idx="9">
                  <c:v>64.012</c:v>
                </c:pt>
                <c:pt idx="10">
                  <c:v>58.134</c:v>
                </c:pt>
                <c:pt idx="11">
                  <c:v>56.5</c:v>
                </c:pt>
                <c:pt idx="12" formatCode="0.0">
                  <c:v>51.4</c:v>
                </c:pt>
              </c:numCache>
            </c:numRef>
          </c:val>
          <c:extLst xmlns:c16r2="http://schemas.microsoft.com/office/drawing/2015/06/chart">
            <c:ext xmlns:c16="http://schemas.microsoft.com/office/drawing/2014/chart" uri="{C3380CC4-5D6E-409C-BE32-E72D297353CC}">
              <c16:uniqueId val="{00000005-57C5-43CE-B103-57810E8D651C}"/>
            </c:ext>
          </c:extLst>
        </c:ser>
        <c:gapWidth val="45"/>
        <c:overlap val="100"/>
        <c:axId val="51240320"/>
        <c:axId val="51246208"/>
      </c:barChart>
      <c:lineChart>
        <c:grouping val="standard"/>
        <c:ser>
          <c:idx val="6"/>
          <c:order val="6"/>
          <c:tx>
            <c:strRef>
              <c:f>'Státní rozpočet 5'!$B$33</c:f>
              <c:strCache>
                <c:ptCount val="1"/>
                <c:pt idx="0">
                  <c:v>Čisté výdaje na státní dluh (pravá osa)</c:v>
                </c:pt>
              </c:strCache>
            </c:strRef>
          </c:tx>
          <c:spPr>
            <a:ln w="19050">
              <a:solidFill>
                <a:schemeClr val="tx1"/>
              </a:solidFill>
            </a:ln>
          </c:spPr>
          <c:marker>
            <c:symbol val="none"/>
          </c:marker>
          <c:cat>
            <c:numRef>
              <c:f>'Státní rozpočet 5'!$C$26:$O$26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5'!$C$33:$O$33</c:f>
              <c:numCache>
                <c:formatCode>0.0</c:formatCode>
                <c:ptCount val="13"/>
                <c:pt idx="0">
                  <c:v>18.25</c:v>
                </c:pt>
                <c:pt idx="1">
                  <c:v>23.29</c:v>
                </c:pt>
                <c:pt idx="2">
                  <c:v>25.08</c:v>
                </c:pt>
                <c:pt idx="3">
                  <c:v>24.459999999999987</c:v>
                </c:pt>
                <c:pt idx="4">
                  <c:v>33.33</c:v>
                </c:pt>
                <c:pt idx="5">
                  <c:v>24.919999999999987</c:v>
                </c:pt>
                <c:pt idx="6">
                  <c:v>35.89</c:v>
                </c:pt>
                <c:pt idx="7">
                  <c:v>35.86</c:v>
                </c:pt>
                <c:pt idx="8">
                  <c:v>44.55</c:v>
                </c:pt>
                <c:pt idx="9">
                  <c:v>43.160000000000011</c:v>
                </c:pt>
                <c:pt idx="10">
                  <c:v>41.03</c:v>
                </c:pt>
                <c:pt idx="11">
                  <c:v>38.1</c:v>
                </c:pt>
                <c:pt idx="12">
                  <c:v>33.85</c:v>
                </c:pt>
              </c:numCache>
            </c:numRef>
          </c:val>
          <c:extLst xmlns:c16r2="http://schemas.microsoft.com/office/drawing/2015/06/chart">
            <c:ext xmlns:c16="http://schemas.microsoft.com/office/drawing/2014/chart" uri="{C3380CC4-5D6E-409C-BE32-E72D297353CC}">
              <c16:uniqueId val="{00000006-57C5-43CE-B103-57810E8D651C}"/>
            </c:ext>
          </c:extLst>
        </c:ser>
        <c:marker val="1"/>
        <c:axId val="51274112"/>
        <c:axId val="51247744"/>
      </c:lineChart>
      <c:catAx>
        <c:axId val="51240320"/>
        <c:scaling>
          <c:orientation val="minMax"/>
        </c:scaling>
        <c:axPos val="b"/>
        <c:numFmt formatCode="General" sourceLinked="1"/>
        <c:tickLblPos val="nextTo"/>
        <c:spPr>
          <a:ln>
            <a:solidFill>
              <a:schemeClr val="tx1"/>
            </a:solidFill>
          </a:ln>
        </c:spPr>
        <c:crossAx val="51246208"/>
        <c:crosses val="autoZero"/>
        <c:auto val="1"/>
        <c:lblAlgn val="ctr"/>
        <c:lblOffset val="10"/>
      </c:catAx>
      <c:valAx>
        <c:axId val="51246208"/>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51240320"/>
        <c:crosses val="autoZero"/>
        <c:crossBetween val="between"/>
      </c:valAx>
      <c:valAx>
        <c:axId val="51247744"/>
        <c:scaling>
          <c:orientation val="minMax"/>
          <c:max val="60"/>
        </c:scaling>
        <c:axPos val="r"/>
        <c:numFmt formatCode="0" sourceLinked="0"/>
        <c:tickLblPos val="nextTo"/>
        <c:spPr>
          <a:ln>
            <a:solidFill>
              <a:schemeClr val="tx1"/>
            </a:solidFill>
          </a:ln>
        </c:spPr>
        <c:crossAx val="51274112"/>
        <c:crosses val="max"/>
        <c:crossBetween val="between"/>
        <c:majorUnit val="5"/>
      </c:valAx>
      <c:catAx>
        <c:axId val="51274112"/>
        <c:scaling>
          <c:orientation val="minMax"/>
        </c:scaling>
        <c:delete val="1"/>
        <c:axPos val="b"/>
        <c:numFmt formatCode="General" sourceLinked="1"/>
        <c:tickLblPos val="none"/>
        <c:crossAx val="51247744"/>
        <c:crosses val="autoZero"/>
        <c:auto val="1"/>
        <c:lblAlgn val="ctr"/>
        <c:lblOffset val="100"/>
      </c:catAx>
      <c:spPr>
        <a:ln w="9525">
          <a:solidFill>
            <a:schemeClr val="tx1"/>
          </a:solidFill>
        </a:ln>
      </c:spPr>
    </c:plotArea>
    <c:legend>
      <c:legendPos val="b"/>
      <c:layout>
        <c:manualLayout>
          <c:xMode val="edge"/>
          <c:yMode val="edge"/>
          <c:x val="7.1917809656383364E-2"/>
          <c:y val="0.85316553287982522"/>
          <c:w val="0.88530576599325617"/>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D6A95-BE35-443C-AB50-5206F20E236E}">
  <ds:schemaRefs>
    <ds:schemaRef ds:uri="http://schemas.openxmlformats.org/officeDocument/2006/bibliography"/>
  </ds:schemaRefs>
</ds:datastoreItem>
</file>

<file path=customXml/itemProps2.xml><?xml version="1.0" encoding="utf-8"?>
<ds:datastoreItem xmlns:ds="http://schemas.openxmlformats.org/officeDocument/2006/customXml" ds:itemID="{D9987AF4-D004-4FFE-8E41-DA504FF1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TotalTime>
  <Pages>5</Pages>
  <Words>1971</Words>
  <Characters>11632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13576</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2017-12-15T12:34:00Z</cp:lastPrinted>
  <dcterms:created xsi:type="dcterms:W3CDTF">2017-12-20T11:16:00Z</dcterms:created>
  <dcterms:modified xsi:type="dcterms:W3CDTF">2017-12-20T11:20:00Z</dcterms:modified>
</cp:coreProperties>
</file>