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17386" w14:textId="77777777" w:rsidR="008C29E3" w:rsidRDefault="008C29E3" w:rsidP="005B6FFC">
      <w:pPr>
        <w:pStyle w:val="Nadpis2"/>
      </w:pPr>
    </w:p>
    <w:p w14:paraId="1C79BD9D" w14:textId="77777777" w:rsidR="005B6FFC" w:rsidRDefault="002F50DD" w:rsidP="005B6FFC">
      <w:pPr>
        <w:pStyle w:val="Nadpis2"/>
      </w:pPr>
      <w:r>
        <w:t>7</w:t>
      </w:r>
      <w:r w:rsidR="005B6FFC">
        <w:t>. Evropský systém jednotných statistik sociální ochrany (ESSPROS</w:t>
      </w:r>
      <w:r w:rsidR="009B00E9">
        <w:t>)</w:t>
      </w:r>
    </w:p>
    <w:p w14:paraId="056BF306" w14:textId="77777777" w:rsidR="008C29E3" w:rsidRPr="008C29E3" w:rsidRDefault="008C29E3" w:rsidP="008C29E3"/>
    <w:p w14:paraId="1956EF7E" w14:textId="5AF51DB0" w:rsidR="00752C7C" w:rsidRDefault="008C29E3" w:rsidP="00752C7C">
      <w:pPr>
        <w:pStyle w:val="Zkladntextodsazen3"/>
        <w:spacing w:after="0" w:line="240" w:lineRule="auto"/>
        <w:ind w:left="0" w:firstLine="709"/>
        <w:jc w:val="both"/>
        <w:rPr>
          <w:rFonts w:cs="Arial"/>
          <w:sz w:val="20"/>
          <w:szCs w:val="20"/>
        </w:rPr>
      </w:pPr>
      <w:r w:rsidRPr="008C29E3">
        <w:rPr>
          <w:rFonts w:cs="Arial"/>
          <w:sz w:val="20"/>
          <w:szCs w:val="20"/>
        </w:rPr>
        <w:t>Evropský systém jednotných statistik sociální ochrany (</w:t>
      </w:r>
      <w:proofErr w:type="spellStart"/>
      <w:r w:rsidR="00853D2C" w:rsidRPr="00853D2C">
        <w:rPr>
          <w:rFonts w:cs="Arial"/>
          <w:sz w:val="20"/>
          <w:szCs w:val="20"/>
        </w:rPr>
        <w:t>The</w:t>
      </w:r>
      <w:proofErr w:type="spellEnd"/>
      <w:r w:rsidR="00853D2C" w:rsidRPr="00853D2C">
        <w:rPr>
          <w:rFonts w:cs="Arial"/>
          <w:sz w:val="20"/>
          <w:szCs w:val="20"/>
        </w:rPr>
        <w:t xml:space="preserve"> </w:t>
      </w:r>
      <w:proofErr w:type="spellStart"/>
      <w:r w:rsidR="00853D2C" w:rsidRPr="00853D2C">
        <w:rPr>
          <w:rFonts w:cs="Arial"/>
          <w:sz w:val="20"/>
          <w:szCs w:val="20"/>
        </w:rPr>
        <w:t>European</w:t>
      </w:r>
      <w:proofErr w:type="spellEnd"/>
      <w:r w:rsidR="00853D2C" w:rsidRPr="00853D2C">
        <w:rPr>
          <w:rFonts w:cs="Arial"/>
          <w:sz w:val="20"/>
          <w:szCs w:val="20"/>
        </w:rPr>
        <w:t xml:space="preserve"> </w:t>
      </w:r>
      <w:proofErr w:type="spellStart"/>
      <w:r w:rsidR="00853D2C" w:rsidRPr="00853D2C">
        <w:rPr>
          <w:rFonts w:cs="Arial"/>
          <w:sz w:val="20"/>
          <w:szCs w:val="20"/>
        </w:rPr>
        <w:t>System</w:t>
      </w:r>
      <w:proofErr w:type="spellEnd"/>
      <w:r w:rsidR="00853D2C" w:rsidRPr="00853D2C">
        <w:rPr>
          <w:rFonts w:cs="Arial"/>
          <w:sz w:val="20"/>
          <w:szCs w:val="20"/>
        </w:rPr>
        <w:t xml:space="preserve"> </w:t>
      </w:r>
      <w:proofErr w:type="spellStart"/>
      <w:r w:rsidR="00853D2C" w:rsidRPr="00853D2C">
        <w:rPr>
          <w:rFonts w:cs="Arial"/>
          <w:sz w:val="20"/>
          <w:szCs w:val="20"/>
        </w:rPr>
        <w:t>of</w:t>
      </w:r>
      <w:proofErr w:type="spellEnd"/>
      <w:r w:rsidR="00853D2C" w:rsidRPr="00853D2C">
        <w:rPr>
          <w:rFonts w:cs="Arial"/>
          <w:sz w:val="20"/>
          <w:szCs w:val="20"/>
        </w:rPr>
        <w:t xml:space="preserve"> </w:t>
      </w:r>
      <w:proofErr w:type="spellStart"/>
      <w:r w:rsidR="00853D2C" w:rsidRPr="00853D2C">
        <w:rPr>
          <w:rFonts w:cs="Arial"/>
          <w:sz w:val="20"/>
          <w:szCs w:val="20"/>
        </w:rPr>
        <w:t>integrated</w:t>
      </w:r>
      <w:proofErr w:type="spellEnd"/>
      <w:r w:rsidR="00853D2C" w:rsidRPr="00853D2C">
        <w:rPr>
          <w:rFonts w:cs="Arial"/>
          <w:sz w:val="20"/>
          <w:szCs w:val="20"/>
        </w:rPr>
        <w:t xml:space="preserve"> </w:t>
      </w:r>
      <w:proofErr w:type="spellStart"/>
      <w:r w:rsidR="00853D2C" w:rsidRPr="00853D2C">
        <w:rPr>
          <w:rFonts w:cs="Arial"/>
          <w:sz w:val="20"/>
          <w:szCs w:val="20"/>
        </w:rPr>
        <w:t>Social</w:t>
      </w:r>
      <w:proofErr w:type="spellEnd"/>
      <w:r w:rsidR="00853D2C" w:rsidRPr="00853D2C">
        <w:rPr>
          <w:rFonts w:cs="Arial"/>
          <w:sz w:val="20"/>
          <w:szCs w:val="20"/>
        </w:rPr>
        <w:t xml:space="preserve"> </w:t>
      </w:r>
      <w:proofErr w:type="spellStart"/>
      <w:r w:rsidR="00853D2C" w:rsidRPr="00853D2C">
        <w:rPr>
          <w:rFonts w:cs="Arial"/>
          <w:sz w:val="20"/>
          <w:szCs w:val="20"/>
        </w:rPr>
        <w:t>PROtection</w:t>
      </w:r>
      <w:proofErr w:type="spellEnd"/>
      <w:r w:rsidR="00853D2C" w:rsidRPr="00853D2C">
        <w:rPr>
          <w:rFonts w:cs="Arial"/>
          <w:sz w:val="20"/>
          <w:szCs w:val="20"/>
        </w:rPr>
        <w:t xml:space="preserve"> </w:t>
      </w:r>
      <w:proofErr w:type="spellStart"/>
      <w:r w:rsidR="00853D2C" w:rsidRPr="00853D2C">
        <w:rPr>
          <w:rFonts w:cs="Arial"/>
          <w:sz w:val="20"/>
          <w:szCs w:val="20"/>
        </w:rPr>
        <w:t>Statistics</w:t>
      </w:r>
      <w:proofErr w:type="spellEnd"/>
      <w:r w:rsidR="00853D2C">
        <w:rPr>
          <w:rFonts w:cs="Arial"/>
          <w:sz w:val="20"/>
          <w:szCs w:val="20"/>
        </w:rPr>
        <w:t xml:space="preserve"> – </w:t>
      </w:r>
      <w:r w:rsidRPr="008C29E3">
        <w:rPr>
          <w:rFonts w:cs="Arial"/>
          <w:sz w:val="20"/>
          <w:szCs w:val="20"/>
        </w:rPr>
        <w:t xml:space="preserve">ESSPROS) byl </w:t>
      </w:r>
      <w:r w:rsidRPr="00752C7C">
        <w:rPr>
          <w:rFonts w:cs="Arial"/>
          <w:sz w:val="20"/>
          <w:szCs w:val="20"/>
        </w:rPr>
        <w:t xml:space="preserve">určen </w:t>
      </w:r>
      <w:proofErr w:type="spellStart"/>
      <w:r w:rsidRPr="00752C7C">
        <w:rPr>
          <w:rFonts w:cs="Arial"/>
          <w:sz w:val="20"/>
          <w:szCs w:val="20"/>
        </w:rPr>
        <w:t>Eurostatem</w:t>
      </w:r>
      <w:proofErr w:type="spellEnd"/>
      <w:r w:rsidRPr="00752C7C">
        <w:rPr>
          <w:rFonts w:cs="Arial"/>
          <w:sz w:val="20"/>
          <w:szCs w:val="20"/>
        </w:rPr>
        <w:t xml:space="preserve"> v souladu s </w:t>
      </w:r>
      <w:r w:rsidRPr="008C29E3">
        <w:rPr>
          <w:rFonts w:cs="Arial"/>
          <w:sz w:val="20"/>
          <w:szCs w:val="20"/>
        </w:rPr>
        <w:t>nařízením Evropského parlamentu a</w:t>
      </w:r>
      <w:r w:rsidR="00445201">
        <w:rPr>
          <w:rFonts w:cs="Arial"/>
          <w:sz w:val="20"/>
          <w:szCs w:val="20"/>
        </w:rPr>
        <w:t> </w:t>
      </w:r>
      <w:r w:rsidRPr="008C29E3">
        <w:rPr>
          <w:rFonts w:cs="Arial"/>
          <w:sz w:val="20"/>
          <w:szCs w:val="20"/>
        </w:rPr>
        <w:t>Rady (ES) č. 458/2007 ze dne 25. dubna 2007, o Evropském systému jednotné statistiky sociální ochrany (ESSPROS), jako specifický nástroj vzájemně srovnatelného statistické</w:t>
      </w:r>
      <w:r w:rsidR="00445201">
        <w:rPr>
          <w:rFonts w:cs="Arial"/>
          <w:sz w:val="20"/>
          <w:szCs w:val="20"/>
        </w:rPr>
        <w:t>ho sledování sociální ochrany v č</w:t>
      </w:r>
      <w:r w:rsidRPr="008C29E3">
        <w:rPr>
          <w:rFonts w:cs="Arial"/>
          <w:sz w:val="20"/>
          <w:szCs w:val="20"/>
        </w:rPr>
        <w:t xml:space="preserve">lenských státech EU. </w:t>
      </w:r>
      <w:r w:rsidR="00752C7C" w:rsidRPr="00752C7C">
        <w:rPr>
          <w:rFonts w:cs="Arial"/>
          <w:sz w:val="20"/>
          <w:szCs w:val="20"/>
        </w:rPr>
        <w:t>Pro využití tohoto systému v ČR byla v roce 2000 na základě dohody mezi ČSÚ a</w:t>
      </w:r>
      <w:r w:rsidR="00445201">
        <w:rPr>
          <w:rFonts w:cs="Arial"/>
          <w:sz w:val="20"/>
          <w:szCs w:val="20"/>
        </w:rPr>
        <w:t> </w:t>
      </w:r>
      <w:r w:rsidR="00752C7C" w:rsidRPr="00752C7C">
        <w:rPr>
          <w:rFonts w:cs="Arial"/>
          <w:sz w:val="20"/>
          <w:szCs w:val="20"/>
        </w:rPr>
        <w:t xml:space="preserve">MPSV ustavena meziresortní pracovní skupina pod gescí MPSV, která řeší jeho zavádění v podmínkách ČR. </w:t>
      </w:r>
      <w:r w:rsidR="00752C7C">
        <w:rPr>
          <w:rFonts w:cs="Arial"/>
          <w:sz w:val="20"/>
          <w:szCs w:val="20"/>
        </w:rPr>
        <w:t xml:space="preserve">ESSPROS se člení na Základní systém (ZS) odpovídající </w:t>
      </w:r>
      <w:r w:rsidR="00752C7C" w:rsidRPr="00752C7C">
        <w:rPr>
          <w:rFonts w:cs="Arial"/>
          <w:sz w:val="20"/>
          <w:szCs w:val="20"/>
        </w:rPr>
        <w:t>standardním informacím o příjmech a výdajích v oblasti sociální ochrany</w:t>
      </w:r>
      <w:r w:rsidR="00752C7C">
        <w:rPr>
          <w:rFonts w:cs="Arial"/>
          <w:sz w:val="20"/>
          <w:szCs w:val="20"/>
        </w:rPr>
        <w:t xml:space="preserve"> a moduly poskytující </w:t>
      </w:r>
      <w:r w:rsidR="00752C7C" w:rsidRPr="00752C7C">
        <w:rPr>
          <w:rFonts w:cs="Arial"/>
          <w:sz w:val="20"/>
          <w:szCs w:val="20"/>
        </w:rPr>
        <w:t>doplňkové statistické informace</w:t>
      </w:r>
      <w:r w:rsidR="00752C7C">
        <w:rPr>
          <w:rFonts w:cs="Arial"/>
          <w:sz w:val="20"/>
          <w:szCs w:val="20"/>
        </w:rPr>
        <w:t>. Veškeré transakce, které spadají do rámce ESSPROS, by měly být účetně podchyceny. V případech, kdy není účetnictví v potřebné míře k dispozici, je možné využít údajů ze statistických a jiných admini</w:t>
      </w:r>
      <w:r w:rsidR="00445201">
        <w:rPr>
          <w:rFonts w:cs="Arial"/>
          <w:sz w:val="20"/>
          <w:szCs w:val="20"/>
        </w:rPr>
        <w:t>strativních zdrojů, výjimečně i </w:t>
      </w:r>
      <w:r w:rsidR="00752C7C">
        <w:rPr>
          <w:rFonts w:cs="Arial"/>
          <w:sz w:val="20"/>
          <w:szCs w:val="20"/>
        </w:rPr>
        <w:t>odborných odhadů.</w:t>
      </w:r>
    </w:p>
    <w:p w14:paraId="372E8519" w14:textId="77777777" w:rsidR="00752C7C" w:rsidRDefault="00752C7C" w:rsidP="008C29E3">
      <w:pPr>
        <w:pStyle w:val="Zkladntextodsazen"/>
        <w:spacing w:after="0" w:line="240" w:lineRule="auto"/>
        <w:ind w:left="0" w:firstLine="709"/>
        <w:jc w:val="both"/>
        <w:rPr>
          <w:rFonts w:cs="Arial"/>
          <w:szCs w:val="20"/>
        </w:rPr>
      </w:pPr>
    </w:p>
    <w:p w14:paraId="0EB4DF22" w14:textId="77777777" w:rsidR="008C29E3" w:rsidRDefault="008C29E3" w:rsidP="008C29E3">
      <w:pPr>
        <w:pStyle w:val="Zkladntextodsazen"/>
        <w:spacing w:after="0" w:line="240" w:lineRule="auto"/>
        <w:ind w:left="0" w:firstLine="709"/>
        <w:jc w:val="both"/>
        <w:rPr>
          <w:rFonts w:cs="Arial"/>
          <w:szCs w:val="20"/>
        </w:rPr>
      </w:pPr>
      <w:r w:rsidRPr="008C29E3">
        <w:rPr>
          <w:rFonts w:cs="Arial"/>
          <w:szCs w:val="20"/>
        </w:rPr>
        <w:t>V základním systému ESSPROS je sociální ochrana definována jako souhrn intervencí ze strany veřejných nebo soukromých institucí, jejichž cílem je ulehčit domácnostem a j</w:t>
      </w:r>
      <w:r w:rsidR="00FA4AFE">
        <w:rPr>
          <w:rFonts w:cs="Arial"/>
          <w:szCs w:val="20"/>
        </w:rPr>
        <w:t>ednotlivcům zátěž vyplývající z </w:t>
      </w:r>
      <w:r w:rsidRPr="008C29E3">
        <w:rPr>
          <w:rFonts w:cs="Arial"/>
          <w:szCs w:val="20"/>
        </w:rPr>
        <w:t>předem určených rizik a potřeb, pokud tak nečiní jiná souběžná reciproční nebo individuální úmluva. Seznam rizik a potřeb, které jsou považovány za funkce sociální ochrany, je stanoven následovně:</w:t>
      </w:r>
    </w:p>
    <w:p w14:paraId="4BE0E707" w14:textId="77777777" w:rsidR="008C29E3" w:rsidRPr="008C29E3" w:rsidRDefault="008C29E3" w:rsidP="008C29E3">
      <w:pPr>
        <w:pStyle w:val="Zkladntextodsazen"/>
        <w:spacing w:after="0" w:line="240" w:lineRule="auto"/>
        <w:ind w:left="0" w:firstLine="709"/>
        <w:jc w:val="both"/>
        <w:rPr>
          <w:rFonts w:cs="Arial"/>
          <w:szCs w:val="20"/>
        </w:rPr>
      </w:pPr>
    </w:p>
    <w:p w14:paraId="0E0BE2EB" w14:textId="77777777"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nemoc/zdravotní péče</w:t>
      </w:r>
      <w:r w:rsidRPr="008C29E3">
        <w:rPr>
          <w:rFonts w:cs="Arial"/>
          <w:szCs w:val="20"/>
        </w:rPr>
        <w:t xml:space="preserve"> – peněžní podpora vyplácená v souvislosti s tělesnou nebo duševní nemocí, kromě invalidity; zdravotní péče zaměřená na udržení nebo zl</w:t>
      </w:r>
      <w:r w:rsidR="00752C7C">
        <w:rPr>
          <w:rFonts w:cs="Arial"/>
          <w:szCs w:val="20"/>
        </w:rPr>
        <w:t>epšení zdravotního stavu osob v </w:t>
      </w:r>
      <w:r w:rsidRPr="008C29E3">
        <w:rPr>
          <w:rFonts w:cs="Arial"/>
          <w:szCs w:val="20"/>
        </w:rPr>
        <w:t>systému sociální ochrany bez ohledu na původ nemoci;</w:t>
      </w:r>
    </w:p>
    <w:p w14:paraId="790D1002" w14:textId="77777777"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14:paraId="052C173D" w14:textId="77777777"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invalidita</w:t>
      </w:r>
      <w:r w:rsidRPr="008C29E3">
        <w:rPr>
          <w:rFonts w:cs="Arial"/>
          <w:szCs w:val="20"/>
        </w:rPr>
        <w:t xml:space="preserve"> – peněžní nebo naturální podpora (kromě zdravotní péče), jejímž důvodem je nemožnost tělesně nebo duševně postižených osob vykonávat ekonomickou nebo sociální činnost;</w:t>
      </w:r>
    </w:p>
    <w:p w14:paraId="0784320A" w14:textId="77777777"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14:paraId="758069EB" w14:textId="77777777"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stáří</w:t>
      </w:r>
      <w:r w:rsidRPr="008C29E3">
        <w:rPr>
          <w:rFonts w:cs="Arial"/>
          <w:szCs w:val="20"/>
        </w:rPr>
        <w:t xml:space="preserve"> – peněžní nebo naturální podpora (kromě zdravotní péče) v souvislosti se stářím;</w:t>
      </w:r>
    </w:p>
    <w:p w14:paraId="5A6C56BA" w14:textId="77777777"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14:paraId="09480F3D" w14:textId="77777777"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pozůstalí</w:t>
      </w:r>
      <w:r w:rsidRPr="008C29E3">
        <w:rPr>
          <w:rFonts w:cs="Arial"/>
          <w:szCs w:val="20"/>
        </w:rPr>
        <w:t xml:space="preserve"> – peněžní nebo naturální podpora v souvislosti se smrtí člena rodiny;</w:t>
      </w:r>
    </w:p>
    <w:p w14:paraId="2C7D5FB1" w14:textId="77777777"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14:paraId="60CCDC8B" w14:textId="77777777"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rodina/děti</w:t>
      </w:r>
      <w:r w:rsidRPr="008C29E3">
        <w:rPr>
          <w:rFonts w:cs="Arial"/>
          <w:szCs w:val="20"/>
        </w:rPr>
        <w:t xml:space="preserve"> – peněžní nebo naturální podpora (kromě zdravotní</w:t>
      </w:r>
      <w:r w:rsidR="00752C7C">
        <w:rPr>
          <w:rFonts w:cs="Arial"/>
          <w:szCs w:val="20"/>
        </w:rPr>
        <w:t xml:space="preserve"> péče) při výdajích spojených s </w:t>
      </w:r>
      <w:r w:rsidRPr="008C29E3">
        <w:rPr>
          <w:rFonts w:cs="Arial"/>
          <w:szCs w:val="20"/>
        </w:rPr>
        <w:t>těhotenstvím, narozením a adopcí dítěte, výchovou dětí a péčí o ostatní členy rodiny;</w:t>
      </w:r>
    </w:p>
    <w:p w14:paraId="2E35B922" w14:textId="77777777"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14:paraId="5E0C11C2" w14:textId="77777777"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nezaměstnanost</w:t>
      </w:r>
      <w:r w:rsidRPr="008C29E3">
        <w:rPr>
          <w:rFonts w:cs="Arial"/>
          <w:szCs w:val="20"/>
        </w:rPr>
        <w:t xml:space="preserve"> – peněžní nebo naturální podpora v souvislosti s nezaměstnaností;</w:t>
      </w:r>
    </w:p>
    <w:p w14:paraId="10123977" w14:textId="77777777"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14:paraId="2633329E" w14:textId="77777777"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bydlení</w:t>
      </w:r>
      <w:r w:rsidRPr="008C29E3">
        <w:rPr>
          <w:rFonts w:cs="Arial"/>
          <w:szCs w:val="20"/>
        </w:rPr>
        <w:t xml:space="preserve"> – pomoc poskytovaná na náklady spojené s bydlením;</w:t>
      </w:r>
    </w:p>
    <w:p w14:paraId="1529AD92" w14:textId="77777777"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14:paraId="7AF4692A" w14:textId="77777777"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sociální vyloučení jinde neklasifikované</w:t>
      </w:r>
      <w:r w:rsidRPr="008C29E3">
        <w:rPr>
          <w:rFonts w:cs="Arial"/>
          <w:szCs w:val="20"/>
        </w:rPr>
        <w:t xml:space="preserve"> – peněžní nebo naturální podpora (kromě zdravotní péče) konkrétně určená k odstranění nebo zmírnění sociálního vylo</w:t>
      </w:r>
      <w:r w:rsidR="00752C7C">
        <w:rPr>
          <w:rFonts w:cs="Arial"/>
          <w:szCs w:val="20"/>
        </w:rPr>
        <w:t>učení, pokud není poskytována v </w:t>
      </w:r>
      <w:r w:rsidRPr="008C29E3">
        <w:rPr>
          <w:rFonts w:cs="Arial"/>
          <w:szCs w:val="20"/>
        </w:rPr>
        <w:t>rámci některé z ostatních funkcí sociální ochrany.</w:t>
      </w:r>
    </w:p>
    <w:p w14:paraId="0D737A21" w14:textId="77777777"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14:paraId="2220FFDC" w14:textId="77777777" w:rsidR="008C29E3" w:rsidRPr="008C29E3" w:rsidRDefault="008C29E3" w:rsidP="008C29E3">
      <w:pPr>
        <w:pStyle w:val="Zkladntextodsazen"/>
        <w:spacing w:after="0" w:line="240" w:lineRule="auto"/>
        <w:ind w:left="0" w:firstLine="709"/>
        <w:jc w:val="both"/>
        <w:rPr>
          <w:rFonts w:cs="Arial"/>
          <w:szCs w:val="20"/>
        </w:rPr>
      </w:pPr>
      <w:r w:rsidRPr="008C29E3">
        <w:rPr>
          <w:rFonts w:cs="Arial"/>
          <w:szCs w:val="20"/>
        </w:rPr>
        <w:t>Základní systém řeší sociální ochranu poskytovanou ve formě plateb v hotovosti, náhrad a přímo poskytovaného zboží a služeb domácnostem a jednotlivcům.</w:t>
      </w:r>
    </w:p>
    <w:p w14:paraId="6704536A" w14:textId="77777777" w:rsidR="005B6FFC" w:rsidRDefault="008C29E3" w:rsidP="008C29E3">
      <w:pPr>
        <w:pStyle w:val="Zkladntextodsazen"/>
        <w:spacing w:after="0" w:line="240" w:lineRule="auto"/>
        <w:ind w:left="0" w:firstLine="709"/>
        <w:jc w:val="both"/>
        <w:rPr>
          <w:rFonts w:cs="Arial"/>
          <w:szCs w:val="20"/>
        </w:rPr>
      </w:pPr>
      <w:r w:rsidRPr="008C29E3">
        <w:rPr>
          <w:rFonts w:cs="Arial"/>
          <w:szCs w:val="20"/>
        </w:rPr>
        <w:t xml:space="preserve">Metodika výpočtu výdajů na sociální ochranu podle systému ESSPROS je odlišná od metodiky používané k vyjádření výdajů na dávky sociálního zabezpečení používané v ostatních </w:t>
      </w:r>
      <w:r w:rsidR="00752C7C">
        <w:rPr>
          <w:rFonts w:cs="Arial"/>
          <w:szCs w:val="20"/>
        </w:rPr>
        <w:t>kapitolách</w:t>
      </w:r>
      <w:r w:rsidRPr="008C29E3">
        <w:rPr>
          <w:rFonts w:cs="Arial"/>
          <w:szCs w:val="20"/>
        </w:rPr>
        <w:t xml:space="preserve"> této </w:t>
      </w:r>
      <w:r w:rsidR="00752C7C">
        <w:rPr>
          <w:rFonts w:cs="Arial"/>
          <w:szCs w:val="20"/>
        </w:rPr>
        <w:t>publikace</w:t>
      </w:r>
      <w:r w:rsidRPr="008C29E3">
        <w:rPr>
          <w:rFonts w:ascii="Times New Roman" w:hAnsi="Times New Roman"/>
          <w:sz w:val="24"/>
        </w:rPr>
        <w:t>.</w:t>
      </w:r>
      <w:r w:rsidR="005B6FFC">
        <w:rPr>
          <w:rFonts w:cs="Arial"/>
          <w:szCs w:val="20"/>
        </w:rPr>
        <w:t xml:space="preserve"> </w:t>
      </w:r>
    </w:p>
    <w:p w14:paraId="2C010810" w14:textId="77777777" w:rsidR="006E74BF" w:rsidRDefault="006E74BF" w:rsidP="005B6FFC">
      <w:pPr>
        <w:pStyle w:val="Zkladntext"/>
        <w:widowControl w:val="0"/>
        <w:ind w:firstLine="709"/>
        <w:rPr>
          <w:rFonts w:ascii="Arial" w:hAnsi="Arial" w:cs="Arial"/>
          <w:b/>
          <w:color w:val="000000"/>
          <w:spacing w:val="-4"/>
          <w:sz w:val="20"/>
        </w:rPr>
      </w:pPr>
    </w:p>
    <w:p w14:paraId="3E9F1FA2" w14:textId="77777777" w:rsidR="00371330" w:rsidRDefault="00371330" w:rsidP="00CF5290">
      <w:pPr>
        <w:pStyle w:val="Nadpis3"/>
        <w:spacing w:before="120"/>
      </w:pPr>
      <w:r>
        <w:t>Výdaje na sociální ochranu podle základního systému ESSPROS</w:t>
      </w:r>
      <w:r w:rsidR="0003532C">
        <w:t xml:space="preserve"> v roce 2016</w:t>
      </w:r>
    </w:p>
    <w:p w14:paraId="798D712D" w14:textId="77777777" w:rsidR="00371330" w:rsidRDefault="00371330" w:rsidP="005B6FFC">
      <w:pPr>
        <w:pStyle w:val="Zkladntext"/>
        <w:widowControl w:val="0"/>
        <w:ind w:firstLine="709"/>
        <w:rPr>
          <w:rFonts w:ascii="Arial" w:hAnsi="Arial" w:cs="Arial"/>
          <w:b/>
          <w:color w:val="000000"/>
          <w:spacing w:val="-4"/>
          <w:sz w:val="20"/>
        </w:rPr>
      </w:pPr>
    </w:p>
    <w:p w14:paraId="423BB7B2" w14:textId="77777777" w:rsidR="00F14B1D" w:rsidRPr="00870609" w:rsidRDefault="00F14B1D" w:rsidP="00FA4AFE">
      <w:pPr>
        <w:pStyle w:val="Zkladntext"/>
        <w:widowControl w:val="0"/>
        <w:ind w:firstLine="709"/>
        <w:rPr>
          <w:rFonts w:ascii="Arial" w:hAnsi="Arial" w:cs="Arial"/>
          <w:sz w:val="20"/>
        </w:rPr>
      </w:pPr>
      <w:r w:rsidRPr="00870609">
        <w:rPr>
          <w:rFonts w:ascii="Arial" w:hAnsi="Arial" w:cs="Arial"/>
          <w:sz w:val="20"/>
        </w:rPr>
        <w:t xml:space="preserve">Vzhledem k tomu, že do výpočtu výdajů na sociální ochranu podle systému ESSPROS jsou zahrnuty údaje z mnoha datových zdrojů, jsou informace dostupné s jednoletým zpožděním. Pro mezinárodní srovnání jsou k dispozici údaje s dvouletým odstupem. </w:t>
      </w:r>
    </w:p>
    <w:p w14:paraId="0802F452" w14:textId="748C6318" w:rsidR="00FA4AFE" w:rsidRDefault="00DB1E73" w:rsidP="00FA4AFE">
      <w:pPr>
        <w:pStyle w:val="Zkladntext"/>
        <w:widowControl w:val="0"/>
        <w:ind w:firstLine="709"/>
        <w:rPr>
          <w:rFonts w:ascii="Arial" w:hAnsi="Arial" w:cs="Arial"/>
          <w:sz w:val="20"/>
        </w:rPr>
      </w:pPr>
      <w:r w:rsidRPr="00BD4B9C">
        <w:rPr>
          <w:rFonts w:ascii="Arial" w:hAnsi="Arial" w:cs="Arial"/>
          <w:sz w:val="20"/>
        </w:rPr>
        <w:t>V</w:t>
      </w:r>
      <w:r w:rsidR="00BA6FAC" w:rsidRPr="00BD4B9C">
        <w:rPr>
          <w:rFonts w:ascii="Arial" w:hAnsi="Arial" w:cs="Arial"/>
          <w:sz w:val="20"/>
        </w:rPr>
        <w:t>ývoj v</w:t>
      </w:r>
      <w:r w:rsidRPr="00BD4B9C">
        <w:rPr>
          <w:rFonts w:ascii="Arial" w:hAnsi="Arial" w:cs="Arial"/>
          <w:sz w:val="20"/>
        </w:rPr>
        <w:t>ýdaj</w:t>
      </w:r>
      <w:r w:rsidR="005021AB" w:rsidRPr="00BD4B9C">
        <w:rPr>
          <w:rFonts w:ascii="Arial" w:hAnsi="Arial" w:cs="Arial"/>
          <w:sz w:val="20"/>
        </w:rPr>
        <w:t>ů</w:t>
      </w:r>
      <w:r w:rsidRPr="00BD4B9C">
        <w:rPr>
          <w:rFonts w:ascii="Arial" w:hAnsi="Arial" w:cs="Arial"/>
          <w:sz w:val="20"/>
        </w:rPr>
        <w:t xml:space="preserve"> na sociální</w:t>
      </w:r>
      <w:r w:rsidR="00BA6FAC" w:rsidRPr="00BD4B9C">
        <w:rPr>
          <w:rFonts w:ascii="Arial" w:hAnsi="Arial" w:cs="Arial"/>
          <w:sz w:val="20"/>
        </w:rPr>
        <w:t xml:space="preserve"> ochranu v České republice má dlouhodobě rostoucí </w:t>
      </w:r>
      <w:r w:rsidR="005021AB" w:rsidRPr="00BD4B9C">
        <w:rPr>
          <w:rFonts w:ascii="Arial" w:hAnsi="Arial" w:cs="Arial"/>
          <w:sz w:val="20"/>
        </w:rPr>
        <w:t>tendenci</w:t>
      </w:r>
      <w:r w:rsidR="00BA6FAC" w:rsidRPr="00BD4B9C">
        <w:rPr>
          <w:rFonts w:ascii="Arial" w:hAnsi="Arial" w:cs="Arial"/>
          <w:sz w:val="20"/>
        </w:rPr>
        <w:t>. V roce 201</w:t>
      </w:r>
      <w:r w:rsidR="00A1320A" w:rsidRPr="00BD4B9C">
        <w:rPr>
          <w:rFonts w:ascii="Arial" w:hAnsi="Arial" w:cs="Arial"/>
          <w:sz w:val="20"/>
        </w:rPr>
        <w:t>6</w:t>
      </w:r>
      <w:r w:rsidR="00BA6FAC" w:rsidRPr="00BD4B9C">
        <w:rPr>
          <w:rFonts w:ascii="Arial" w:hAnsi="Arial" w:cs="Arial"/>
          <w:sz w:val="20"/>
        </w:rPr>
        <w:t xml:space="preserve"> dosáhly</w:t>
      </w:r>
      <w:r w:rsidR="005021AB" w:rsidRPr="00BD4B9C">
        <w:rPr>
          <w:rFonts w:ascii="Arial" w:hAnsi="Arial" w:cs="Arial"/>
          <w:sz w:val="20"/>
        </w:rPr>
        <w:t xml:space="preserve"> tyto výdaje</w:t>
      </w:r>
      <w:r w:rsidR="00B54312">
        <w:rPr>
          <w:rFonts w:ascii="Arial" w:hAnsi="Arial" w:cs="Arial"/>
          <w:sz w:val="20"/>
        </w:rPr>
        <w:t xml:space="preserve"> hodnoty 900</w:t>
      </w:r>
      <w:r w:rsidR="00BA6FAC" w:rsidRPr="00BD4B9C">
        <w:rPr>
          <w:rFonts w:ascii="Arial" w:hAnsi="Arial" w:cs="Arial"/>
          <w:sz w:val="20"/>
        </w:rPr>
        <w:t> mld. Kč, což byl oproti předchozímu roku nárůst o 2</w:t>
      </w:r>
      <w:r w:rsidR="00206DED">
        <w:rPr>
          <w:rFonts w:ascii="Arial" w:hAnsi="Arial" w:cs="Arial"/>
          <w:sz w:val="20"/>
        </w:rPr>
        <w:t>8</w:t>
      </w:r>
      <w:r w:rsidR="00A1320A" w:rsidRPr="00BD4B9C">
        <w:rPr>
          <w:rFonts w:ascii="Arial" w:hAnsi="Arial" w:cs="Arial"/>
          <w:sz w:val="20"/>
        </w:rPr>
        <w:t>,</w:t>
      </w:r>
      <w:r w:rsidR="00206DED">
        <w:rPr>
          <w:rFonts w:ascii="Arial" w:hAnsi="Arial" w:cs="Arial"/>
          <w:sz w:val="20"/>
        </w:rPr>
        <w:t>7</w:t>
      </w:r>
      <w:r w:rsidR="00BA6FAC" w:rsidRPr="00BD4B9C">
        <w:rPr>
          <w:rFonts w:ascii="Arial" w:hAnsi="Arial" w:cs="Arial"/>
          <w:sz w:val="20"/>
        </w:rPr>
        <w:t xml:space="preserve"> mld. Kč (</w:t>
      </w:r>
      <w:r w:rsidR="005021AB" w:rsidRPr="00BD4B9C">
        <w:rPr>
          <w:rFonts w:ascii="Arial" w:hAnsi="Arial" w:cs="Arial"/>
          <w:sz w:val="20"/>
        </w:rPr>
        <w:t>o </w:t>
      </w:r>
      <w:r w:rsidR="00A1320A" w:rsidRPr="00BD4B9C">
        <w:rPr>
          <w:rFonts w:ascii="Arial" w:hAnsi="Arial" w:cs="Arial"/>
          <w:sz w:val="20"/>
        </w:rPr>
        <w:t>3,3</w:t>
      </w:r>
      <w:r w:rsidR="00BA6FAC" w:rsidRPr="00BD4B9C">
        <w:rPr>
          <w:rFonts w:ascii="Arial" w:hAnsi="Arial" w:cs="Arial"/>
          <w:sz w:val="20"/>
        </w:rPr>
        <w:t> %)</w:t>
      </w:r>
      <w:r w:rsidRPr="00BD4B9C">
        <w:rPr>
          <w:rFonts w:ascii="Arial" w:hAnsi="Arial" w:cs="Arial"/>
          <w:sz w:val="20"/>
        </w:rPr>
        <w:t>.</w:t>
      </w:r>
      <w:r w:rsidR="00BA6FAC" w:rsidRPr="00BD4B9C">
        <w:rPr>
          <w:rFonts w:ascii="Arial" w:hAnsi="Arial" w:cs="Arial"/>
          <w:sz w:val="20"/>
        </w:rPr>
        <w:t xml:space="preserve"> Jejich podíl na celkovém hrubém domácím produktu (HDP)</w:t>
      </w:r>
      <w:r w:rsidR="007D4218" w:rsidRPr="00BD4B9C">
        <w:rPr>
          <w:rFonts w:ascii="Arial" w:hAnsi="Arial" w:cs="Arial"/>
          <w:sz w:val="20"/>
        </w:rPr>
        <w:t xml:space="preserve"> </w:t>
      </w:r>
      <w:r w:rsidR="00933B14" w:rsidRPr="00BD4B9C">
        <w:rPr>
          <w:rFonts w:ascii="Arial" w:hAnsi="Arial" w:cs="Arial"/>
          <w:sz w:val="20"/>
        </w:rPr>
        <w:t xml:space="preserve">od roku 2012, kdy dosáhl svého maxima 20,4 %, </w:t>
      </w:r>
      <w:r w:rsidR="008808E3">
        <w:rPr>
          <w:rFonts w:ascii="Arial" w:hAnsi="Arial" w:cs="Arial"/>
          <w:sz w:val="20"/>
        </w:rPr>
        <w:t xml:space="preserve">naopak </w:t>
      </w:r>
      <w:r w:rsidR="00933B14" w:rsidRPr="00BD4B9C">
        <w:rPr>
          <w:rFonts w:ascii="Arial" w:hAnsi="Arial" w:cs="Arial"/>
          <w:sz w:val="20"/>
        </w:rPr>
        <w:t>mírně klesá.</w:t>
      </w:r>
      <w:r w:rsidR="005021AB" w:rsidRPr="00BD4B9C">
        <w:rPr>
          <w:rFonts w:ascii="Arial" w:hAnsi="Arial" w:cs="Arial"/>
          <w:sz w:val="20"/>
        </w:rPr>
        <w:t xml:space="preserve"> </w:t>
      </w:r>
      <w:r w:rsidR="00933B14" w:rsidRPr="00BD4B9C">
        <w:rPr>
          <w:rFonts w:ascii="Arial" w:hAnsi="Arial" w:cs="Arial"/>
          <w:sz w:val="20"/>
        </w:rPr>
        <w:t>V</w:t>
      </w:r>
      <w:r w:rsidR="00FA4AFE" w:rsidRPr="00BD4B9C">
        <w:rPr>
          <w:rFonts w:ascii="Arial" w:hAnsi="Arial" w:cs="Arial"/>
          <w:sz w:val="20"/>
        </w:rPr>
        <w:t xml:space="preserve"> období </w:t>
      </w:r>
      <w:r w:rsidR="005021AB" w:rsidRPr="00BD4B9C">
        <w:rPr>
          <w:rFonts w:ascii="Arial" w:hAnsi="Arial" w:cs="Arial"/>
          <w:sz w:val="20"/>
        </w:rPr>
        <w:t xml:space="preserve">let 2004 až 2008 </w:t>
      </w:r>
      <w:r w:rsidR="00933B14" w:rsidRPr="00BD4B9C">
        <w:rPr>
          <w:rFonts w:ascii="Arial" w:hAnsi="Arial" w:cs="Arial"/>
          <w:sz w:val="20"/>
        </w:rPr>
        <w:t>se pohyboval pod hranicí</w:t>
      </w:r>
      <w:r w:rsidR="005021AB" w:rsidRPr="00BD4B9C">
        <w:rPr>
          <w:rFonts w:ascii="Arial" w:hAnsi="Arial" w:cs="Arial"/>
          <w:sz w:val="20"/>
        </w:rPr>
        <w:t xml:space="preserve"> 18 %</w:t>
      </w:r>
      <w:r w:rsidR="00933B14" w:rsidRPr="00BD4B9C">
        <w:rPr>
          <w:rFonts w:ascii="Arial" w:hAnsi="Arial" w:cs="Arial"/>
          <w:sz w:val="20"/>
        </w:rPr>
        <w:t xml:space="preserve"> a mezi lety 2009 až 2013 nad 20 %</w:t>
      </w:r>
      <w:r w:rsidR="008808E3">
        <w:rPr>
          <w:rFonts w:ascii="Arial" w:hAnsi="Arial" w:cs="Arial"/>
          <w:sz w:val="20"/>
        </w:rPr>
        <w:t>, v roce 2016 dosahoval 18</w:t>
      </w:r>
      <w:r w:rsidR="00206DED">
        <w:rPr>
          <w:rFonts w:ascii="Arial" w:hAnsi="Arial" w:cs="Arial"/>
          <w:sz w:val="20"/>
        </w:rPr>
        <w:t>,9</w:t>
      </w:r>
      <w:r w:rsidR="008808E3">
        <w:rPr>
          <w:rFonts w:ascii="Arial" w:hAnsi="Arial" w:cs="Arial"/>
          <w:sz w:val="20"/>
        </w:rPr>
        <w:t xml:space="preserve"> %.</w:t>
      </w:r>
    </w:p>
    <w:p w14:paraId="74639A4B" w14:textId="77777777" w:rsidR="00DB1E73" w:rsidRPr="00DB1E73" w:rsidRDefault="00FA4AFE" w:rsidP="00FA4AFE">
      <w:pPr>
        <w:jc w:val="center"/>
        <w:rPr>
          <w:rFonts w:cs="Arial"/>
          <w:b/>
        </w:rPr>
      </w:pPr>
      <w: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03532C" w:rsidRPr="00E8045A" w14:paraId="5C44E782" w14:textId="77777777" w:rsidTr="00206DED">
        <w:trPr>
          <w:jc w:val="center"/>
        </w:trPr>
        <w:tc>
          <w:tcPr>
            <w:tcW w:w="9638" w:type="dxa"/>
            <w:shd w:val="clear" w:color="auto" w:fill="auto"/>
          </w:tcPr>
          <w:p w14:paraId="2C232B67" w14:textId="77777777" w:rsidR="0003532C" w:rsidRPr="00E8045A" w:rsidRDefault="0003532C" w:rsidP="00E8045A">
            <w:pPr>
              <w:pStyle w:val="Zkladntext"/>
              <w:widowControl w:val="0"/>
              <w:jc w:val="center"/>
              <w:rPr>
                <w:rFonts w:ascii="Arial" w:hAnsi="Arial" w:cs="Arial"/>
                <w:noProof/>
                <w:sz w:val="20"/>
              </w:rPr>
            </w:pPr>
            <w:r w:rsidRPr="00E8045A">
              <w:rPr>
                <w:rFonts w:ascii="Arial" w:hAnsi="Arial" w:cs="Arial"/>
                <w:b/>
                <w:sz w:val="20"/>
              </w:rPr>
              <w:lastRenderedPageBreak/>
              <w:t>Graf 7:1 Výdaje na sociální ochranu a jejich podíl k HDP</w:t>
            </w:r>
          </w:p>
        </w:tc>
      </w:tr>
      <w:tr w:rsidR="0003532C" w:rsidRPr="00E8045A" w14:paraId="6BE57FC9" w14:textId="77777777" w:rsidTr="00206DE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638" w:type="dxa"/>
            <w:shd w:val="clear" w:color="auto" w:fill="auto"/>
          </w:tcPr>
          <w:p w14:paraId="5A723EF1" w14:textId="5B7BE02C" w:rsidR="0003532C" w:rsidRPr="00E8045A" w:rsidRDefault="00206DED" w:rsidP="00E8045A">
            <w:pPr>
              <w:pStyle w:val="Zkladntext"/>
              <w:widowControl w:val="0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A53D1AD" wp14:editId="0AA9A389">
                  <wp:extent cx="6096000" cy="3324225"/>
                  <wp:effectExtent l="0" t="0" r="0" b="0"/>
                  <wp:docPr id="8" name="Graf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03532C" w:rsidRPr="00E8045A" w14:paraId="2E9A94C9" w14:textId="77777777" w:rsidTr="00206DED">
        <w:trPr>
          <w:jc w:val="center"/>
        </w:trPr>
        <w:tc>
          <w:tcPr>
            <w:tcW w:w="9638" w:type="dxa"/>
            <w:shd w:val="clear" w:color="auto" w:fill="auto"/>
          </w:tcPr>
          <w:p w14:paraId="5E6432DC" w14:textId="77777777" w:rsidR="0003532C" w:rsidRPr="00E8045A" w:rsidRDefault="0003532C" w:rsidP="00E8045A">
            <w:pPr>
              <w:pStyle w:val="Zkladntext"/>
              <w:widowControl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E8045A">
              <w:rPr>
                <w:rFonts w:ascii="Arial" w:hAnsi="Arial" w:cs="Arial"/>
                <w:noProof/>
                <w:sz w:val="16"/>
                <w:szCs w:val="16"/>
              </w:rPr>
              <w:t>Pozn.: Výdaje na sociální ochranu včetně administrativních nákladů.</w:t>
            </w:r>
          </w:p>
          <w:p w14:paraId="4500110A" w14:textId="77777777" w:rsidR="0003532C" w:rsidRPr="00E8045A" w:rsidRDefault="0003532C" w:rsidP="00E8045A">
            <w:pPr>
              <w:spacing w:before="40"/>
              <w:jc w:val="both"/>
              <w:rPr>
                <w:rFonts w:cs="Arial"/>
                <w:noProof/>
              </w:rPr>
            </w:pPr>
            <w:r w:rsidRPr="00E8045A">
              <w:rPr>
                <w:noProof/>
                <w:sz w:val="16"/>
                <w:szCs w:val="16"/>
              </w:rPr>
              <w:t>Zdroj dat: MPSV</w:t>
            </w:r>
          </w:p>
        </w:tc>
      </w:tr>
    </w:tbl>
    <w:p w14:paraId="7B4AA8ED" w14:textId="77777777" w:rsidR="00DB1E73" w:rsidRDefault="00DB1E73" w:rsidP="008C29E3">
      <w:pPr>
        <w:pStyle w:val="Zkladntext"/>
        <w:widowControl w:val="0"/>
        <w:jc w:val="center"/>
        <w:rPr>
          <w:rFonts w:ascii="Arial" w:hAnsi="Arial" w:cs="Arial"/>
          <w:noProof/>
          <w:sz w:val="20"/>
        </w:rPr>
      </w:pPr>
    </w:p>
    <w:p w14:paraId="7A3F77FE" w14:textId="77777777" w:rsidR="00DB1E73" w:rsidRDefault="00DB1E73" w:rsidP="00AE5658">
      <w:pPr>
        <w:pStyle w:val="Zkladntext"/>
        <w:widowControl w:val="0"/>
        <w:rPr>
          <w:rFonts w:ascii="Arial" w:hAnsi="Arial" w:cs="Arial"/>
          <w:noProof/>
          <w:sz w:val="20"/>
        </w:rPr>
      </w:pPr>
    </w:p>
    <w:p w14:paraId="6FEB3AB0" w14:textId="77777777" w:rsidR="00DB1E73" w:rsidRDefault="00DB1E73" w:rsidP="005021AB">
      <w:pPr>
        <w:pStyle w:val="Zkladntext"/>
        <w:widowControl w:val="0"/>
        <w:ind w:firstLine="709"/>
        <w:rPr>
          <w:rFonts w:ascii="Arial" w:hAnsi="Arial" w:cs="Arial"/>
          <w:noProof/>
          <w:sz w:val="20"/>
        </w:rPr>
      </w:pPr>
      <w:r w:rsidRPr="00BF1E62">
        <w:rPr>
          <w:rFonts w:ascii="Arial" w:hAnsi="Arial" w:cs="Arial"/>
          <w:noProof/>
          <w:sz w:val="20"/>
        </w:rPr>
        <w:t>V rámci výdajů</w:t>
      </w:r>
      <w:r w:rsidR="005021AB" w:rsidRPr="00BF1E62">
        <w:rPr>
          <w:rFonts w:ascii="Arial" w:hAnsi="Arial" w:cs="Arial"/>
          <w:noProof/>
          <w:sz w:val="20"/>
        </w:rPr>
        <w:t xml:space="preserve"> České republiky na sociální ochranu jsou nejvyšší částky v členění základního systému ESSPROS vypláceny na funkci sociální ochrany „stáří“, která v roce 201</w:t>
      </w:r>
      <w:r w:rsidR="008808E3" w:rsidRPr="00BF1E62">
        <w:rPr>
          <w:rFonts w:ascii="Arial" w:hAnsi="Arial" w:cs="Arial"/>
          <w:noProof/>
          <w:sz w:val="20"/>
        </w:rPr>
        <w:t>6</w:t>
      </w:r>
      <w:r w:rsidR="005021AB" w:rsidRPr="00BF1E62">
        <w:rPr>
          <w:rFonts w:ascii="Arial" w:hAnsi="Arial" w:cs="Arial"/>
          <w:noProof/>
          <w:sz w:val="20"/>
        </w:rPr>
        <w:t xml:space="preserve"> tvořila 44 % výdajů (3</w:t>
      </w:r>
      <w:r w:rsidR="008808E3" w:rsidRPr="00BF1E62">
        <w:rPr>
          <w:rFonts w:ascii="Arial" w:hAnsi="Arial" w:cs="Arial"/>
          <w:noProof/>
          <w:sz w:val="20"/>
        </w:rPr>
        <w:t>8</w:t>
      </w:r>
      <w:r w:rsidR="00933B14" w:rsidRPr="00BF1E62">
        <w:rPr>
          <w:rFonts w:ascii="Arial" w:hAnsi="Arial" w:cs="Arial"/>
          <w:noProof/>
          <w:sz w:val="20"/>
        </w:rPr>
        <w:t>1</w:t>
      </w:r>
      <w:r w:rsidR="005021AB" w:rsidRPr="00BF1E62">
        <w:rPr>
          <w:rFonts w:ascii="Arial" w:hAnsi="Arial" w:cs="Arial"/>
          <w:noProof/>
          <w:sz w:val="20"/>
        </w:rPr>
        <w:t xml:space="preserve"> mld. Kč). Druhou výdajově </w:t>
      </w:r>
      <w:r w:rsidR="00BF1E62">
        <w:rPr>
          <w:rFonts w:ascii="Arial" w:hAnsi="Arial" w:cs="Arial"/>
          <w:noProof/>
          <w:sz w:val="20"/>
        </w:rPr>
        <w:t>nejvýznamnější</w:t>
      </w:r>
      <w:r w:rsidR="005021AB" w:rsidRPr="00BF1E62">
        <w:rPr>
          <w:rFonts w:ascii="Arial" w:hAnsi="Arial" w:cs="Arial"/>
          <w:noProof/>
          <w:sz w:val="20"/>
        </w:rPr>
        <w:t xml:space="preserve"> funkcí sociální ochrany je „nemoc/zdravotní péče“, na níž bylo spotřebováno 3</w:t>
      </w:r>
      <w:r w:rsidR="00933B14" w:rsidRPr="00BF1E62">
        <w:rPr>
          <w:rFonts w:ascii="Arial" w:hAnsi="Arial" w:cs="Arial"/>
          <w:noProof/>
          <w:sz w:val="20"/>
        </w:rPr>
        <w:t>2</w:t>
      </w:r>
      <w:r w:rsidR="005021AB" w:rsidRPr="00BF1E62">
        <w:rPr>
          <w:rFonts w:ascii="Arial" w:hAnsi="Arial" w:cs="Arial"/>
          <w:noProof/>
          <w:sz w:val="20"/>
        </w:rPr>
        <w:t> % (2</w:t>
      </w:r>
      <w:r w:rsidR="008808E3" w:rsidRPr="00BF1E62">
        <w:rPr>
          <w:rFonts w:ascii="Arial" w:hAnsi="Arial" w:cs="Arial"/>
          <w:noProof/>
          <w:sz w:val="20"/>
        </w:rPr>
        <w:t>83</w:t>
      </w:r>
      <w:r w:rsidR="005021AB" w:rsidRPr="00BF1E62">
        <w:rPr>
          <w:rFonts w:ascii="Arial" w:hAnsi="Arial" w:cs="Arial"/>
          <w:noProof/>
          <w:sz w:val="20"/>
        </w:rPr>
        <w:t xml:space="preserve"> mld. Kč) celkových výdajů. Řádově nižší jsou hodnoty výdajů na funkce „rodina/děti“ nebo „invalidita“, které představují 9 %, respektive </w:t>
      </w:r>
      <w:r w:rsidR="00933B14" w:rsidRPr="00BF1E62">
        <w:rPr>
          <w:rFonts w:ascii="Arial" w:hAnsi="Arial" w:cs="Arial"/>
          <w:noProof/>
          <w:sz w:val="20"/>
        </w:rPr>
        <w:t>7</w:t>
      </w:r>
      <w:r w:rsidR="005021AB" w:rsidRPr="00BF1E62">
        <w:rPr>
          <w:rFonts w:ascii="Arial" w:hAnsi="Arial" w:cs="Arial"/>
          <w:noProof/>
          <w:sz w:val="20"/>
        </w:rPr>
        <w:t> % výdajů na sociální ochranu.</w:t>
      </w:r>
    </w:p>
    <w:p w14:paraId="2E37760A" w14:textId="77777777" w:rsidR="00DB1E73" w:rsidRPr="00DB1E73" w:rsidRDefault="00DB1E73" w:rsidP="00DB1E73">
      <w:pPr>
        <w:pStyle w:val="Zkladntext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03532C" w:rsidRPr="00E8045A" w14:paraId="51CE2153" w14:textId="77777777" w:rsidTr="00E8045A">
        <w:trPr>
          <w:jc w:val="center"/>
        </w:trPr>
        <w:tc>
          <w:tcPr>
            <w:tcW w:w="9778" w:type="dxa"/>
            <w:shd w:val="clear" w:color="auto" w:fill="auto"/>
          </w:tcPr>
          <w:p w14:paraId="20B81A1A" w14:textId="77777777" w:rsidR="0003532C" w:rsidRPr="00E8045A" w:rsidRDefault="0003532C" w:rsidP="00E8045A">
            <w:pPr>
              <w:pStyle w:val="Zkladntext"/>
              <w:widowControl w:val="0"/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8045A">
              <w:rPr>
                <w:rFonts w:ascii="Arial" w:hAnsi="Arial" w:cs="Arial"/>
                <w:b/>
                <w:sz w:val="20"/>
              </w:rPr>
              <w:t>Graf 7.2 Výdaje na sociální ochranu podle základního systému ESSPROS</w:t>
            </w:r>
          </w:p>
        </w:tc>
      </w:tr>
      <w:tr w:rsidR="0003532C" w:rsidRPr="00E8045A" w14:paraId="3CFD097B" w14:textId="77777777" w:rsidTr="00E8045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78" w:type="dxa"/>
            <w:shd w:val="clear" w:color="auto" w:fill="auto"/>
          </w:tcPr>
          <w:p w14:paraId="6BE14ABC" w14:textId="3C581ABC" w:rsidR="0003532C" w:rsidRPr="00E8045A" w:rsidRDefault="00C84771" w:rsidP="00E8045A">
            <w:pPr>
              <w:pStyle w:val="Zkladntext"/>
              <w:widowControl w:val="0"/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5204655" wp14:editId="38E290E0">
                  <wp:extent cx="5922645" cy="3347720"/>
                  <wp:effectExtent l="0" t="0" r="0" b="0"/>
                  <wp:docPr id="6" name="obráz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3532C" w:rsidRPr="00E8045A" w14:paraId="50F98684" w14:textId="77777777" w:rsidTr="00E8045A">
        <w:trPr>
          <w:jc w:val="center"/>
        </w:trPr>
        <w:tc>
          <w:tcPr>
            <w:tcW w:w="9778" w:type="dxa"/>
            <w:shd w:val="clear" w:color="auto" w:fill="auto"/>
          </w:tcPr>
          <w:p w14:paraId="52617ED6" w14:textId="77777777" w:rsidR="0003532C" w:rsidRPr="00E8045A" w:rsidRDefault="0003532C" w:rsidP="00E8045A">
            <w:pPr>
              <w:pStyle w:val="Zkladntext"/>
              <w:widowControl w:val="0"/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E8045A">
              <w:rPr>
                <w:rFonts w:ascii="Arial" w:hAnsi="Arial" w:cs="Arial"/>
                <w:noProof/>
                <w:sz w:val="16"/>
                <w:szCs w:val="16"/>
              </w:rPr>
              <w:t>Pozn.: Výdaje nezahrnují administrativní náklady</w:t>
            </w:r>
          </w:p>
          <w:p w14:paraId="014BB8B4" w14:textId="77777777" w:rsidR="0003532C" w:rsidRPr="00E8045A" w:rsidRDefault="0003532C" w:rsidP="00E8045A">
            <w:pPr>
              <w:spacing w:before="40"/>
              <w:jc w:val="both"/>
              <w:rPr>
                <w:rFonts w:cs="Arial"/>
                <w:noProof/>
                <w:sz w:val="16"/>
                <w:szCs w:val="16"/>
              </w:rPr>
            </w:pPr>
            <w:r w:rsidRPr="00E8045A">
              <w:rPr>
                <w:noProof/>
                <w:sz w:val="16"/>
                <w:szCs w:val="16"/>
              </w:rPr>
              <w:t>Zdroj dat: MPSV</w:t>
            </w:r>
          </w:p>
        </w:tc>
      </w:tr>
    </w:tbl>
    <w:p w14:paraId="0FAA477B" w14:textId="030AF64D" w:rsidR="00DB1E73" w:rsidRPr="00220C45" w:rsidRDefault="00220C45" w:rsidP="00CE4BCF">
      <w:pPr>
        <w:pStyle w:val="Nadpis3"/>
        <w:spacing w:before="120"/>
      </w:pPr>
      <w:r>
        <w:lastRenderedPageBreak/>
        <w:t>Mezinárodní srovnání výdajů na sociální ochranu podle základního systému</w:t>
      </w:r>
      <w:r w:rsidR="00971926">
        <w:t xml:space="preserve"> </w:t>
      </w:r>
      <w:r>
        <w:t>ESSPROS v roce 2015</w:t>
      </w:r>
    </w:p>
    <w:p w14:paraId="65B3315F" w14:textId="77777777" w:rsidR="00220C45" w:rsidRPr="00CE7E7D" w:rsidRDefault="00220C45" w:rsidP="00C3010E">
      <w:pPr>
        <w:pStyle w:val="Zkladntext"/>
        <w:widowControl w:val="0"/>
        <w:ind w:firstLine="709"/>
        <w:rPr>
          <w:rFonts w:ascii="Arial" w:hAnsi="Arial" w:cs="Arial"/>
          <w:sz w:val="20"/>
        </w:rPr>
      </w:pPr>
    </w:p>
    <w:p w14:paraId="1284EA3D" w14:textId="0226E586" w:rsidR="00731A68" w:rsidRPr="004D40DC" w:rsidRDefault="00731A68" w:rsidP="00C3010E">
      <w:pPr>
        <w:pStyle w:val="Zkladntext"/>
        <w:widowControl w:val="0"/>
        <w:ind w:firstLine="709"/>
        <w:rPr>
          <w:rFonts w:ascii="Arial" w:hAnsi="Arial" w:cs="Arial"/>
          <w:sz w:val="20"/>
        </w:rPr>
      </w:pPr>
      <w:r w:rsidRPr="00CE7E7D">
        <w:rPr>
          <w:rFonts w:ascii="Arial" w:hAnsi="Arial" w:cs="Arial"/>
          <w:sz w:val="20"/>
        </w:rPr>
        <w:t>Podíl výdajů na sociální ochranu z celkového objemu HDP dané země se v jednotlivých z</w:t>
      </w:r>
      <w:r w:rsidR="005021AB" w:rsidRPr="00CE7E7D">
        <w:rPr>
          <w:rFonts w:ascii="Arial" w:hAnsi="Arial" w:cs="Arial"/>
          <w:sz w:val="20"/>
        </w:rPr>
        <w:t>emích Evropské Unie značně liší. Nejnižší část na HDP</w:t>
      </w:r>
      <w:r w:rsidR="004D40DC" w:rsidRPr="00CE7E7D">
        <w:rPr>
          <w:rFonts w:ascii="Arial" w:hAnsi="Arial" w:cs="Arial"/>
          <w:sz w:val="20"/>
        </w:rPr>
        <w:t>, méně než 16</w:t>
      </w:r>
      <w:r w:rsidR="000062F9" w:rsidRPr="00CE7E7D">
        <w:rPr>
          <w:rFonts w:ascii="Arial" w:hAnsi="Arial" w:cs="Arial"/>
          <w:sz w:val="20"/>
        </w:rPr>
        <w:t> % vydávaly v roce 201</w:t>
      </w:r>
      <w:r w:rsidR="002D236A" w:rsidRPr="00CE7E7D">
        <w:rPr>
          <w:rFonts w:ascii="Arial" w:hAnsi="Arial" w:cs="Arial"/>
          <w:sz w:val="20"/>
        </w:rPr>
        <w:t>5</w:t>
      </w:r>
      <w:r w:rsidR="005021AB" w:rsidRPr="00CE7E7D">
        <w:rPr>
          <w:rFonts w:ascii="Arial" w:hAnsi="Arial" w:cs="Arial"/>
          <w:sz w:val="20"/>
        </w:rPr>
        <w:t xml:space="preserve"> </w:t>
      </w:r>
      <w:r w:rsidR="00385286" w:rsidRPr="00CE7E7D">
        <w:rPr>
          <w:rFonts w:ascii="Arial" w:hAnsi="Arial" w:cs="Arial"/>
          <w:sz w:val="20"/>
        </w:rPr>
        <w:t>Turecko, pob</w:t>
      </w:r>
      <w:r w:rsidR="005021AB" w:rsidRPr="00CE7E7D">
        <w:rPr>
          <w:rFonts w:ascii="Arial" w:hAnsi="Arial" w:cs="Arial"/>
          <w:sz w:val="20"/>
        </w:rPr>
        <w:t>altské země</w:t>
      </w:r>
      <w:r w:rsidR="004D40DC" w:rsidRPr="00CE7E7D">
        <w:rPr>
          <w:rFonts w:ascii="Arial" w:hAnsi="Arial" w:cs="Arial"/>
          <w:sz w:val="20"/>
        </w:rPr>
        <w:t xml:space="preserve">, </w:t>
      </w:r>
      <w:r w:rsidR="005021AB" w:rsidRPr="00CE7E7D">
        <w:rPr>
          <w:rFonts w:ascii="Arial" w:hAnsi="Arial" w:cs="Arial"/>
          <w:sz w:val="20"/>
        </w:rPr>
        <w:t>Rumunsko</w:t>
      </w:r>
      <w:r w:rsidR="004D40DC" w:rsidRPr="00CE7E7D">
        <w:rPr>
          <w:rFonts w:ascii="Arial" w:hAnsi="Arial" w:cs="Arial"/>
          <w:sz w:val="20"/>
        </w:rPr>
        <w:t xml:space="preserve"> a Irsko</w:t>
      </w:r>
      <w:r w:rsidR="005021AB" w:rsidRPr="00CE7E7D">
        <w:rPr>
          <w:rFonts w:ascii="Arial" w:hAnsi="Arial" w:cs="Arial"/>
          <w:sz w:val="20"/>
        </w:rPr>
        <w:t>.</w:t>
      </w:r>
      <w:r w:rsidR="000062F9" w:rsidRPr="00CE7E7D">
        <w:rPr>
          <w:rFonts w:ascii="Arial" w:hAnsi="Arial" w:cs="Arial"/>
          <w:sz w:val="20"/>
        </w:rPr>
        <w:t xml:space="preserve"> Mezi </w:t>
      </w:r>
      <w:r w:rsidR="004D40DC" w:rsidRPr="00CE7E7D">
        <w:rPr>
          <w:rFonts w:ascii="Arial" w:hAnsi="Arial" w:cs="Arial"/>
          <w:sz w:val="20"/>
        </w:rPr>
        <w:t>16</w:t>
      </w:r>
      <w:r w:rsidR="000062F9" w:rsidRPr="00CE7E7D">
        <w:rPr>
          <w:rFonts w:ascii="Arial" w:hAnsi="Arial" w:cs="Arial"/>
          <w:sz w:val="20"/>
        </w:rPr>
        <w:t xml:space="preserve"> až 2</w:t>
      </w:r>
      <w:r w:rsidR="004D40DC" w:rsidRPr="00CE7E7D">
        <w:rPr>
          <w:rFonts w:ascii="Arial" w:hAnsi="Arial" w:cs="Arial"/>
          <w:sz w:val="20"/>
        </w:rPr>
        <w:t>1</w:t>
      </w:r>
      <w:r w:rsidR="000062F9" w:rsidRPr="00CE7E7D">
        <w:rPr>
          <w:rFonts w:ascii="Arial" w:hAnsi="Arial" w:cs="Arial"/>
          <w:sz w:val="20"/>
        </w:rPr>
        <w:t> % z HDP tvořily výdaje na sociální ochran</w:t>
      </w:r>
      <w:r w:rsidR="004D40DC" w:rsidRPr="00CE7E7D">
        <w:rPr>
          <w:rFonts w:ascii="Arial" w:hAnsi="Arial" w:cs="Arial"/>
          <w:sz w:val="20"/>
        </w:rPr>
        <w:t>u v České republice, Slovensku, Maďarsku, Chorvatsku, Bulharsku a na Maltě. Island</w:t>
      </w:r>
      <w:r w:rsidR="000062F9" w:rsidRPr="00CE7E7D">
        <w:rPr>
          <w:rFonts w:ascii="Arial" w:hAnsi="Arial" w:cs="Arial"/>
          <w:sz w:val="20"/>
        </w:rPr>
        <w:t xml:space="preserve">, </w:t>
      </w:r>
      <w:r w:rsidR="00544384" w:rsidRPr="00CE7E7D">
        <w:rPr>
          <w:rFonts w:ascii="Arial" w:hAnsi="Arial" w:cs="Arial"/>
          <w:sz w:val="20"/>
        </w:rPr>
        <w:t>Španělsko</w:t>
      </w:r>
      <w:r w:rsidR="00CF5290">
        <w:rPr>
          <w:rFonts w:ascii="Arial" w:hAnsi="Arial" w:cs="Arial"/>
          <w:sz w:val="20"/>
        </w:rPr>
        <w:t>, Kypr,</w:t>
      </w:r>
      <w:r w:rsidR="00385286" w:rsidRPr="00CE7E7D">
        <w:rPr>
          <w:rFonts w:ascii="Arial" w:hAnsi="Arial" w:cs="Arial"/>
          <w:sz w:val="20"/>
        </w:rPr>
        <w:t xml:space="preserve"> </w:t>
      </w:r>
      <w:r w:rsidR="000062F9" w:rsidRPr="00CE7E7D">
        <w:rPr>
          <w:rFonts w:ascii="Arial" w:hAnsi="Arial" w:cs="Arial"/>
          <w:sz w:val="20"/>
        </w:rPr>
        <w:t>Slovinsko</w:t>
      </w:r>
      <w:r w:rsidR="004D40DC" w:rsidRPr="00CE7E7D">
        <w:rPr>
          <w:rFonts w:ascii="Arial" w:hAnsi="Arial" w:cs="Arial"/>
          <w:sz w:val="20"/>
        </w:rPr>
        <w:t xml:space="preserve"> </w:t>
      </w:r>
      <w:r w:rsidR="00CF5290">
        <w:rPr>
          <w:rFonts w:ascii="Arial" w:hAnsi="Arial" w:cs="Arial"/>
          <w:sz w:val="20"/>
        </w:rPr>
        <w:t>a</w:t>
      </w:r>
      <w:r w:rsidR="00CA7C60">
        <w:rPr>
          <w:rFonts w:ascii="Arial" w:hAnsi="Arial" w:cs="Arial"/>
          <w:sz w:val="20"/>
        </w:rPr>
        <w:t> </w:t>
      </w:r>
      <w:r w:rsidR="00CF5290">
        <w:rPr>
          <w:rFonts w:ascii="Arial" w:hAnsi="Arial" w:cs="Arial"/>
          <w:sz w:val="20"/>
        </w:rPr>
        <w:t xml:space="preserve">Lucembursko </w:t>
      </w:r>
      <w:r w:rsidR="000062F9" w:rsidRPr="00CE7E7D">
        <w:rPr>
          <w:rFonts w:ascii="Arial" w:hAnsi="Arial" w:cs="Arial"/>
          <w:sz w:val="20"/>
        </w:rPr>
        <w:t>vydávaly na sociální ochranu částky v </w:t>
      </w:r>
      <w:r w:rsidR="000062F9" w:rsidRPr="00EB477A">
        <w:rPr>
          <w:rFonts w:ascii="Arial" w:hAnsi="Arial" w:cs="Arial"/>
          <w:sz w:val="20"/>
        </w:rPr>
        <w:t>hodnotě 2</w:t>
      </w:r>
      <w:r w:rsidR="004D40DC" w:rsidRPr="00EB477A">
        <w:rPr>
          <w:rFonts w:ascii="Arial" w:hAnsi="Arial" w:cs="Arial"/>
          <w:sz w:val="20"/>
        </w:rPr>
        <w:t>1</w:t>
      </w:r>
      <w:r w:rsidR="000062F9" w:rsidRPr="00EB477A">
        <w:rPr>
          <w:rFonts w:ascii="Arial" w:hAnsi="Arial" w:cs="Arial"/>
          <w:sz w:val="20"/>
        </w:rPr>
        <w:t xml:space="preserve"> až 2</w:t>
      </w:r>
      <w:r w:rsidR="00EB477A" w:rsidRPr="00EB477A">
        <w:rPr>
          <w:rFonts w:ascii="Arial" w:hAnsi="Arial" w:cs="Arial"/>
          <w:sz w:val="20"/>
        </w:rPr>
        <w:t>5</w:t>
      </w:r>
      <w:r w:rsidR="000062F9" w:rsidRPr="00EB477A">
        <w:rPr>
          <w:rFonts w:ascii="Arial" w:hAnsi="Arial" w:cs="Arial"/>
          <w:sz w:val="20"/>
        </w:rPr>
        <w:t> % HDP. Výdaje na sociální ochranu odpovídající 2</w:t>
      </w:r>
      <w:r w:rsidR="00EB477A" w:rsidRPr="00EB477A">
        <w:rPr>
          <w:rFonts w:ascii="Arial" w:hAnsi="Arial" w:cs="Arial"/>
          <w:sz w:val="20"/>
        </w:rPr>
        <w:t>5</w:t>
      </w:r>
      <w:r w:rsidR="00C24D2A">
        <w:rPr>
          <w:rFonts w:ascii="Arial" w:hAnsi="Arial" w:cs="Arial"/>
          <w:sz w:val="20"/>
        </w:rPr>
        <w:t> </w:t>
      </w:r>
      <w:r w:rsidR="004D40DC" w:rsidRPr="00EB477A">
        <w:rPr>
          <w:rFonts w:ascii="Arial" w:hAnsi="Arial" w:cs="Arial"/>
          <w:sz w:val="20"/>
        </w:rPr>
        <w:t>až 29</w:t>
      </w:r>
      <w:r w:rsidR="000062F9" w:rsidRPr="00EB477A">
        <w:rPr>
          <w:rFonts w:ascii="Arial" w:hAnsi="Arial" w:cs="Arial"/>
          <w:sz w:val="20"/>
        </w:rPr>
        <w:t> % HDP byly v roce 201</w:t>
      </w:r>
      <w:r w:rsidR="004D40DC" w:rsidRPr="00EB477A">
        <w:rPr>
          <w:rFonts w:ascii="Arial" w:hAnsi="Arial" w:cs="Arial"/>
          <w:sz w:val="20"/>
        </w:rPr>
        <w:t>5</w:t>
      </w:r>
      <w:r w:rsidR="000062F9" w:rsidRPr="00EB477A">
        <w:rPr>
          <w:rFonts w:ascii="Arial" w:hAnsi="Arial" w:cs="Arial"/>
          <w:sz w:val="20"/>
        </w:rPr>
        <w:t xml:space="preserve"> evidovány ve Švýcarsku, Němec</w:t>
      </w:r>
      <w:r w:rsidR="004D40DC" w:rsidRPr="00EB477A">
        <w:rPr>
          <w:rFonts w:ascii="Arial" w:hAnsi="Arial" w:cs="Arial"/>
          <w:sz w:val="20"/>
        </w:rPr>
        <w:t>ku</w:t>
      </w:r>
      <w:r w:rsidR="00C30698" w:rsidRPr="00EB477A">
        <w:rPr>
          <w:rFonts w:ascii="Arial" w:hAnsi="Arial" w:cs="Arial"/>
          <w:sz w:val="20"/>
        </w:rPr>
        <w:t>, Velké Británii,</w:t>
      </w:r>
      <w:r w:rsidR="000062F9" w:rsidRPr="00EB477A">
        <w:rPr>
          <w:rFonts w:ascii="Arial" w:hAnsi="Arial" w:cs="Arial"/>
          <w:sz w:val="20"/>
        </w:rPr>
        <w:t xml:space="preserve"> </w:t>
      </w:r>
      <w:r w:rsidR="004D40DC" w:rsidRPr="00EB477A">
        <w:rPr>
          <w:rFonts w:ascii="Arial" w:hAnsi="Arial" w:cs="Arial"/>
          <w:sz w:val="20"/>
        </w:rPr>
        <w:t>Norsku</w:t>
      </w:r>
      <w:r w:rsidR="000062F9" w:rsidRPr="00EB477A">
        <w:rPr>
          <w:rFonts w:ascii="Arial" w:hAnsi="Arial" w:cs="Arial"/>
          <w:sz w:val="20"/>
        </w:rPr>
        <w:t xml:space="preserve">, </w:t>
      </w:r>
      <w:r w:rsidR="00C30698" w:rsidRPr="00EB477A">
        <w:rPr>
          <w:rFonts w:ascii="Arial" w:hAnsi="Arial" w:cs="Arial"/>
          <w:sz w:val="20"/>
        </w:rPr>
        <w:t>Řecku</w:t>
      </w:r>
      <w:r w:rsidR="00B943B7">
        <w:rPr>
          <w:rFonts w:ascii="Arial" w:hAnsi="Arial" w:cs="Arial"/>
          <w:sz w:val="20"/>
        </w:rPr>
        <w:t xml:space="preserve"> a </w:t>
      </w:r>
      <w:r w:rsidR="000062F9" w:rsidRPr="00EB477A">
        <w:rPr>
          <w:rFonts w:ascii="Arial" w:hAnsi="Arial" w:cs="Arial"/>
          <w:sz w:val="20"/>
        </w:rPr>
        <w:t>Portugalsku</w:t>
      </w:r>
      <w:r w:rsidR="000062F9" w:rsidRPr="00CE7E7D">
        <w:rPr>
          <w:rFonts w:ascii="Arial" w:hAnsi="Arial" w:cs="Arial"/>
          <w:sz w:val="20"/>
        </w:rPr>
        <w:t>. V přepočtu na podíl HDP měly nejvyšší výdaje na s</w:t>
      </w:r>
      <w:r w:rsidR="004D40DC" w:rsidRPr="00CE7E7D">
        <w:rPr>
          <w:rFonts w:ascii="Arial" w:hAnsi="Arial" w:cs="Arial"/>
          <w:sz w:val="20"/>
        </w:rPr>
        <w:t>ociální ochranu, více než 29</w:t>
      </w:r>
      <w:r w:rsidR="00385286" w:rsidRPr="00CE7E7D">
        <w:rPr>
          <w:rFonts w:ascii="Arial" w:hAnsi="Arial" w:cs="Arial"/>
          <w:sz w:val="20"/>
        </w:rPr>
        <w:t> % HDP</w:t>
      </w:r>
      <w:r w:rsidR="000062F9" w:rsidRPr="00CE7E7D">
        <w:rPr>
          <w:rFonts w:ascii="Arial" w:hAnsi="Arial" w:cs="Arial"/>
          <w:sz w:val="20"/>
        </w:rPr>
        <w:t xml:space="preserve"> Finsko, </w:t>
      </w:r>
      <w:r w:rsidR="004D40DC" w:rsidRPr="00CE7E7D">
        <w:rPr>
          <w:rFonts w:ascii="Arial" w:hAnsi="Arial" w:cs="Arial"/>
          <w:sz w:val="20"/>
        </w:rPr>
        <w:t xml:space="preserve">Švédsko, </w:t>
      </w:r>
      <w:r w:rsidR="000062F9" w:rsidRPr="00CE7E7D">
        <w:rPr>
          <w:rFonts w:ascii="Arial" w:hAnsi="Arial" w:cs="Arial"/>
          <w:sz w:val="20"/>
        </w:rPr>
        <w:t>Dán</w:t>
      </w:r>
      <w:r w:rsidR="004D40DC" w:rsidRPr="00CE7E7D">
        <w:rPr>
          <w:rFonts w:ascii="Arial" w:hAnsi="Arial" w:cs="Arial"/>
          <w:sz w:val="20"/>
        </w:rPr>
        <w:t>sko, Belgie, Nizozemí, Francie, Itálie a Rakousko.</w:t>
      </w:r>
    </w:p>
    <w:p w14:paraId="101AF49D" w14:textId="77777777" w:rsidR="00731A68" w:rsidRPr="00731A68" w:rsidRDefault="00731A68" w:rsidP="00731A68">
      <w:pPr>
        <w:pStyle w:val="Zkladntext"/>
        <w:jc w:val="center"/>
        <w:rPr>
          <w:rFonts w:ascii="Arial" w:hAnsi="Arial" w:cs="Arial"/>
          <w:b/>
          <w:sz w:val="20"/>
        </w:rPr>
      </w:pPr>
    </w:p>
    <w:tbl>
      <w:tblPr>
        <w:tblW w:w="91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074"/>
        <w:gridCol w:w="974"/>
        <w:gridCol w:w="1075"/>
        <w:gridCol w:w="975"/>
        <w:gridCol w:w="1075"/>
        <w:gridCol w:w="975"/>
        <w:gridCol w:w="975"/>
        <w:gridCol w:w="975"/>
      </w:tblGrid>
      <w:tr w:rsidR="0003532C" w:rsidRPr="00C3010E" w14:paraId="7038AD7E" w14:textId="77777777" w:rsidTr="000877DB">
        <w:trPr>
          <w:trHeight w:val="240"/>
          <w:jc w:val="center"/>
        </w:trPr>
        <w:tc>
          <w:tcPr>
            <w:tcW w:w="9198" w:type="dxa"/>
            <w:gridSpan w:val="9"/>
            <w:shd w:val="clear" w:color="auto" w:fill="auto"/>
            <w:noWrap/>
            <w:vAlign w:val="bottom"/>
          </w:tcPr>
          <w:p w14:paraId="7526E554" w14:textId="77777777" w:rsidR="0003532C" w:rsidRPr="00C3010E" w:rsidRDefault="0003532C" w:rsidP="0003532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1A68">
              <w:rPr>
                <w:rFonts w:cs="Arial"/>
                <w:b/>
              </w:rPr>
              <w:t>Mapa 7.1 Podíl výdajů na sociální ochranu k HDP ve vybraných evropských zemích (v %), 201</w:t>
            </w:r>
            <w:r>
              <w:rPr>
                <w:rFonts w:cs="Arial"/>
                <w:b/>
              </w:rPr>
              <w:t>5</w:t>
            </w:r>
          </w:p>
        </w:tc>
      </w:tr>
      <w:tr w:rsidR="0003532C" w:rsidRPr="00C3010E" w14:paraId="33E24E8F" w14:textId="77777777" w:rsidTr="000877DB">
        <w:trPr>
          <w:trHeight w:val="240"/>
          <w:jc w:val="center"/>
        </w:trPr>
        <w:tc>
          <w:tcPr>
            <w:tcW w:w="9198" w:type="dxa"/>
            <w:gridSpan w:val="9"/>
            <w:shd w:val="clear" w:color="auto" w:fill="auto"/>
            <w:noWrap/>
            <w:vAlign w:val="bottom"/>
          </w:tcPr>
          <w:p w14:paraId="49649CDB" w14:textId="1E5A38AD" w:rsidR="0003532C" w:rsidRPr="00C3010E" w:rsidRDefault="00C84771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23714FB" wp14:editId="07DA2726">
                  <wp:extent cx="5685155" cy="4253865"/>
                  <wp:effectExtent l="19050" t="19050" r="10795" b="13335"/>
                  <wp:docPr id="3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5155" cy="425386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32C" w:rsidRPr="00C3010E" w14:paraId="0BB6AADD" w14:textId="77777777" w:rsidTr="000877DB">
        <w:trPr>
          <w:trHeight w:val="240"/>
          <w:jc w:val="center"/>
        </w:trPr>
        <w:tc>
          <w:tcPr>
            <w:tcW w:w="9198" w:type="dxa"/>
            <w:gridSpan w:val="9"/>
            <w:shd w:val="clear" w:color="auto" w:fill="auto"/>
            <w:noWrap/>
            <w:vAlign w:val="bottom"/>
            <w:hideMark/>
          </w:tcPr>
          <w:p w14:paraId="0BEC84FE" w14:textId="77777777" w:rsidR="0003532C" w:rsidRPr="00C3010E" w:rsidRDefault="0003532C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010E">
              <w:rPr>
                <w:rFonts w:cs="Arial"/>
                <w:color w:val="000000"/>
                <w:sz w:val="16"/>
                <w:szCs w:val="16"/>
              </w:rPr>
              <w:t xml:space="preserve">      Legenda</w:t>
            </w:r>
          </w:p>
        </w:tc>
      </w:tr>
      <w:tr w:rsidR="00C3010E" w:rsidRPr="00C3010E" w14:paraId="55924A6A" w14:textId="77777777" w:rsidTr="000877DB">
        <w:trPr>
          <w:trHeight w:val="240"/>
          <w:jc w:val="center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9C5A8AA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3010E" w:rsidRPr="00C3010E" w14:paraId="0C46EF8D" w14:textId="77777777">
              <w:trPr>
                <w:trHeight w:val="2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46D6E" w14:textId="3756F6CD" w:rsidR="00C3010E" w:rsidRPr="00C3010E" w:rsidRDefault="00C84771" w:rsidP="00C3010E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drawing>
                      <wp:anchor distT="0" distB="0" distL="114300" distR="114300" simplePos="0" relativeHeight="251655168" behindDoc="0" locked="0" layoutInCell="1" allowOverlap="1" wp14:anchorId="362C9C74" wp14:editId="57D8E85C">
                        <wp:simplePos x="0" y="0"/>
                        <wp:positionH relativeFrom="column">
                          <wp:posOffset>466725</wp:posOffset>
                        </wp:positionH>
                        <wp:positionV relativeFrom="paragraph">
                          <wp:posOffset>18415</wp:posOffset>
                        </wp:positionV>
                        <wp:extent cx="133350" cy="123825"/>
                        <wp:effectExtent l="0" t="0" r="0" b="0"/>
                        <wp:wrapNone/>
                        <wp:docPr id="34" name="Obdélník 2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délník 2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860BEDB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28687BD" w14:textId="712AAA61" w:rsidR="00C3010E" w:rsidRPr="00C3010E" w:rsidRDefault="0003532C" w:rsidP="0003532C">
            <w:pPr>
              <w:spacing w:line="240" w:lineRule="auto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12,0</w:t>
            </w:r>
            <w:r w:rsidR="00C3010E" w:rsidRPr="00C3010E">
              <w:rPr>
                <w:rFonts w:cs="Arial"/>
                <w:color w:val="000000"/>
                <w:sz w:val="16"/>
                <w:szCs w:val="16"/>
              </w:rPr>
              <w:t xml:space="preserve"> - 1</w:t>
            </w:r>
            <w:r>
              <w:rPr>
                <w:rFonts w:cs="Arial"/>
                <w:color w:val="000000"/>
                <w:sz w:val="16"/>
                <w:szCs w:val="16"/>
              </w:rPr>
              <w:t>6</w:t>
            </w:r>
            <w:r w:rsidR="00C3010E" w:rsidRPr="00C3010E">
              <w:rPr>
                <w:rFonts w:cs="Arial"/>
                <w:color w:val="000000"/>
                <w:sz w:val="16"/>
                <w:szCs w:val="16"/>
              </w:rPr>
              <w:t>,</w:t>
            </w:r>
            <w:r w:rsidR="00E12DF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E122FA3" w14:textId="3926949B" w:rsidR="00C3010E" w:rsidRPr="00C3010E" w:rsidRDefault="00C84771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6192" behindDoc="0" locked="0" layoutInCell="1" allowOverlap="1" wp14:anchorId="687ADB9D" wp14:editId="3B5EA682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154305</wp:posOffset>
                  </wp:positionV>
                  <wp:extent cx="133350" cy="123825"/>
                  <wp:effectExtent l="0" t="0" r="0" b="0"/>
                  <wp:wrapNone/>
                  <wp:docPr id="35" name="Obdélník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délník 2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ABA28C0" w14:textId="77F8EBA4" w:rsidR="00C3010E" w:rsidRPr="00C3010E" w:rsidRDefault="00E12DF9" w:rsidP="0003532C">
            <w:pPr>
              <w:spacing w:line="240" w:lineRule="auto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16,1</w:t>
            </w:r>
            <w:r w:rsidR="00C3010E" w:rsidRPr="00C3010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03532C">
              <w:rPr>
                <w:rFonts w:cs="Arial"/>
                <w:color w:val="000000"/>
                <w:sz w:val="16"/>
                <w:szCs w:val="16"/>
              </w:rPr>
              <w:t xml:space="preserve">- </w:t>
            </w:r>
            <w:r w:rsidR="00C3010E" w:rsidRPr="00C3010E">
              <w:rPr>
                <w:rFonts w:cs="Arial"/>
                <w:color w:val="000000"/>
                <w:sz w:val="16"/>
                <w:szCs w:val="16"/>
              </w:rPr>
              <w:t>2</w:t>
            </w:r>
            <w:r w:rsidR="0003532C">
              <w:rPr>
                <w:rFonts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2BA31DC" w14:textId="694FFE95" w:rsidR="00C3010E" w:rsidRPr="00C3010E" w:rsidRDefault="00C84771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anchorId="4C480F32" wp14:editId="40571F13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147320</wp:posOffset>
                  </wp:positionV>
                  <wp:extent cx="133350" cy="133350"/>
                  <wp:effectExtent l="0" t="0" r="0" b="0"/>
                  <wp:wrapNone/>
                  <wp:docPr id="36" name="Obdélník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délník 2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C176BCF" w14:textId="1882D791" w:rsidR="00C3010E" w:rsidRPr="00C3010E" w:rsidRDefault="0003532C" w:rsidP="00E15214">
            <w:pPr>
              <w:spacing w:line="240" w:lineRule="auto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  <w:r w:rsidR="00C3010E" w:rsidRPr="00C3010E">
              <w:rPr>
                <w:rFonts w:cs="Arial"/>
                <w:color w:val="000000"/>
                <w:sz w:val="16"/>
                <w:szCs w:val="16"/>
              </w:rPr>
              <w:t>,</w:t>
            </w:r>
            <w:r w:rsidR="00E12DF9">
              <w:rPr>
                <w:rFonts w:cs="Arial"/>
                <w:color w:val="000000"/>
                <w:sz w:val="16"/>
                <w:szCs w:val="16"/>
              </w:rPr>
              <w:t>1</w:t>
            </w:r>
            <w:r w:rsidR="00E15214">
              <w:rPr>
                <w:rFonts w:cs="Arial"/>
                <w:color w:val="000000"/>
                <w:sz w:val="16"/>
                <w:szCs w:val="16"/>
              </w:rPr>
              <w:t xml:space="preserve"> - 25</w:t>
            </w:r>
            <w:r w:rsidR="00C3010E" w:rsidRPr="00C3010E">
              <w:rPr>
                <w:rFonts w:cs="Arial"/>
                <w:color w:val="000000"/>
                <w:sz w:val="16"/>
                <w:szCs w:val="16"/>
              </w:rPr>
              <w:t>,</w:t>
            </w:r>
            <w:r w:rsidR="00E1521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98FC874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C09FC55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6221BD3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14:paraId="5646B42A" w14:textId="77777777" w:rsidTr="000877DB">
        <w:trPr>
          <w:trHeight w:val="240"/>
          <w:jc w:val="center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83D9966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3010E" w:rsidRPr="00C3010E" w14:paraId="1F5D48F9" w14:textId="77777777">
              <w:trPr>
                <w:trHeight w:val="2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2D68B" w14:textId="41B1B8EC" w:rsidR="00C3010E" w:rsidRPr="00C3010E" w:rsidRDefault="00C84771" w:rsidP="00C3010E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drawing>
                      <wp:anchor distT="0" distB="0" distL="114300" distR="114300" simplePos="0" relativeHeight="251658240" behindDoc="0" locked="0" layoutInCell="1" allowOverlap="1" wp14:anchorId="037BBFFE" wp14:editId="379A9E25">
                        <wp:simplePos x="0" y="0"/>
                        <wp:positionH relativeFrom="column">
                          <wp:posOffset>466725</wp:posOffset>
                        </wp:positionH>
                        <wp:positionV relativeFrom="paragraph">
                          <wp:posOffset>5080</wp:posOffset>
                        </wp:positionV>
                        <wp:extent cx="133350" cy="123825"/>
                        <wp:effectExtent l="0" t="0" r="0" b="0"/>
                        <wp:wrapNone/>
                        <wp:docPr id="37" name="Obdélník 2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délník 2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8C52DF4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F80DE02" w14:textId="3B4D975C" w:rsidR="00C3010E" w:rsidRPr="00C3010E" w:rsidRDefault="00E15214" w:rsidP="00E15214">
            <w:pPr>
              <w:spacing w:line="240" w:lineRule="auto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25,1 </w:t>
            </w:r>
            <w:r w:rsidR="00C3010E" w:rsidRPr="00C3010E">
              <w:rPr>
                <w:rFonts w:cs="Arial"/>
                <w:color w:val="000000"/>
                <w:sz w:val="16"/>
                <w:szCs w:val="16"/>
              </w:rPr>
              <w:t xml:space="preserve">- </w:t>
            </w:r>
            <w:r w:rsidR="0003532C">
              <w:rPr>
                <w:rFonts w:cs="Arial"/>
                <w:color w:val="000000"/>
                <w:sz w:val="16"/>
                <w:szCs w:val="16"/>
              </w:rPr>
              <w:t>29</w:t>
            </w:r>
            <w:r w:rsidR="00C3010E" w:rsidRPr="00C3010E">
              <w:rPr>
                <w:rFonts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DD1A993" w14:textId="27E1C26C" w:rsidR="00C3010E" w:rsidRPr="00C3010E" w:rsidRDefault="00C84771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D812A0C" wp14:editId="478A8374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129540</wp:posOffset>
                  </wp:positionV>
                  <wp:extent cx="123825" cy="133350"/>
                  <wp:effectExtent l="0" t="0" r="0" b="0"/>
                  <wp:wrapNone/>
                  <wp:docPr id="38" name="Obdélník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délník 27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F6344BE" w14:textId="292C2FB1" w:rsidR="00C3010E" w:rsidRPr="00C3010E" w:rsidRDefault="00EA34C7" w:rsidP="0003532C">
            <w:pPr>
              <w:spacing w:line="240" w:lineRule="auto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29,1</w:t>
            </w:r>
            <w:r w:rsidR="0003532C">
              <w:rPr>
                <w:rFonts w:cs="Arial"/>
                <w:color w:val="000000"/>
                <w:sz w:val="16"/>
                <w:szCs w:val="16"/>
              </w:rPr>
              <w:t xml:space="preserve"> - 33,9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E510CC7" w14:textId="4541EE3B" w:rsidR="00C3010E" w:rsidRPr="00C3010E" w:rsidRDefault="00C84771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1F36DFBC" wp14:editId="11D220D3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172085</wp:posOffset>
                  </wp:positionV>
                  <wp:extent cx="133350" cy="123825"/>
                  <wp:effectExtent l="0" t="0" r="0" b="0"/>
                  <wp:wrapNone/>
                  <wp:docPr id="39" name="Obdélník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délník 28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0" w:type="dxa"/>
            <w:gridSpan w:val="2"/>
            <w:shd w:val="clear" w:color="auto" w:fill="auto"/>
            <w:noWrap/>
            <w:vAlign w:val="bottom"/>
            <w:hideMark/>
          </w:tcPr>
          <w:p w14:paraId="066433BE" w14:textId="77777777" w:rsidR="00C3010E" w:rsidRPr="00C3010E" w:rsidRDefault="00C3010E" w:rsidP="00C3010E">
            <w:pPr>
              <w:spacing w:line="240" w:lineRule="auto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C3010E">
              <w:rPr>
                <w:rFonts w:cs="Arial"/>
                <w:color w:val="000000"/>
                <w:sz w:val="16"/>
                <w:szCs w:val="16"/>
              </w:rPr>
              <w:t>údaj není dostupný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D21C6D5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3D5A5CF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14:paraId="778A7393" w14:textId="77777777" w:rsidTr="000877DB">
        <w:trPr>
          <w:trHeight w:val="240"/>
          <w:jc w:val="center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17A9169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6296767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D709070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2621777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82B16F4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81C8FF7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ACBE433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AFE60D4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BD578DC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14:paraId="5963DBB0" w14:textId="77777777" w:rsidTr="000877DB">
        <w:trPr>
          <w:trHeight w:val="240"/>
          <w:jc w:val="center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580BEB9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gridSpan w:val="2"/>
            <w:shd w:val="clear" w:color="auto" w:fill="auto"/>
            <w:noWrap/>
            <w:vAlign w:val="bottom"/>
            <w:hideMark/>
          </w:tcPr>
          <w:p w14:paraId="07217D7A" w14:textId="77777777" w:rsidR="00C3010E" w:rsidRPr="00C3010E" w:rsidRDefault="0003532C" w:rsidP="00C3010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Minimum: Turecko = 12,0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AD762A0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3EF5B89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0974E38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7A07DB5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303478C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FDC8194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010E" w:rsidRPr="00C3010E" w14:paraId="425DEFC9" w14:textId="77777777" w:rsidTr="000877DB">
        <w:trPr>
          <w:trHeight w:val="285"/>
          <w:jc w:val="center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6EFCF5E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gridSpan w:val="2"/>
            <w:shd w:val="clear" w:color="auto" w:fill="auto"/>
            <w:noWrap/>
            <w:vAlign w:val="bottom"/>
            <w:hideMark/>
          </w:tcPr>
          <w:p w14:paraId="18F34096" w14:textId="77777777" w:rsidR="00C3010E" w:rsidRPr="00C3010E" w:rsidRDefault="0003532C" w:rsidP="00C3010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Maximum: Francie = 33,9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7018280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FF83155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F8952A3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233F901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EE46146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A747FF6" w14:textId="77777777" w:rsidR="00C3010E" w:rsidRPr="00C3010E" w:rsidRDefault="00C3010E" w:rsidP="00C301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28C4CFAE" w14:textId="77777777" w:rsidR="00731A68" w:rsidRDefault="00731A68" w:rsidP="00AE5658">
      <w:pPr>
        <w:pStyle w:val="Zkladntext"/>
        <w:widowControl w:val="0"/>
        <w:rPr>
          <w:rFonts w:ascii="Arial" w:hAnsi="Arial" w:cs="Arial"/>
          <w:sz w:val="20"/>
        </w:rPr>
      </w:pPr>
    </w:p>
    <w:p w14:paraId="21602200" w14:textId="5BD3BCE5" w:rsidR="00731A68" w:rsidRPr="005B282E" w:rsidRDefault="005B282E" w:rsidP="005B282E">
      <w:pPr>
        <w:pStyle w:val="Zkladntext"/>
        <w:widowControl w:val="0"/>
        <w:jc w:val="left"/>
        <w:rPr>
          <w:rFonts w:ascii="Arial" w:hAnsi="Arial" w:cs="Arial"/>
          <w:sz w:val="16"/>
          <w:szCs w:val="16"/>
        </w:rPr>
      </w:pPr>
      <w:r w:rsidRPr="005B282E">
        <w:rPr>
          <w:rFonts w:ascii="Arial" w:hAnsi="Arial" w:cs="Arial"/>
          <w:sz w:val="16"/>
          <w:szCs w:val="16"/>
        </w:rPr>
        <w:t>Zdroj dat: Eurostat</w:t>
      </w:r>
      <w:r>
        <w:rPr>
          <w:rFonts w:ascii="Arial" w:hAnsi="Arial" w:cs="Arial"/>
          <w:sz w:val="16"/>
          <w:szCs w:val="16"/>
        </w:rPr>
        <w:t>:</w:t>
      </w:r>
      <w:r w:rsidRPr="005B282E">
        <w:rPr>
          <w:rFonts w:ascii="Arial" w:hAnsi="Arial" w:cs="Arial"/>
          <w:sz w:val="16"/>
          <w:szCs w:val="16"/>
        </w:rPr>
        <w:t>(</w:t>
      </w:r>
      <w:hyperlink r:id="rId17" w:history="1">
        <w:r w:rsidRPr="005B282E">
          <w:rPr>
            <w:rStyle w:val="Hypertextovodkaz"/>
            <w:rFonts w:ascii="Arial" w:hAnsi="Arial" w:cs="Arial"/>
            <w:sz w:val="16"/>
            <w:szCs w:val="16"/>
          </w:rPr>
          <w:t>http://ec.europa.eu/eurostat/web/social-protection/data/main-tables</w:t>
        </w:r>
      </w:hyperlink>
      <w:hyperlink r:id="rId18" w:history="1"/>
      <w:r w:rsidRPr="005B282E">
        <w:rPr>
          <w:rFonts w:ascii="Arial" w:hAnsi="Arial" w:cs="Arial"/>
          <w:sz w:val="16"/>
          <w:szCs w:val="16"/>
        </w:rPr>
        <w:t>) údaje k </w:t>
      </w:r>
      <w:r w:rsidR="00DB3AA5">
        <w:rPr>
          <w:rFonts w:ascii="Arial" w:hAnsi="Arial" w:cs="Arial"/>
          <w:sz w:val="16"/>
          <w:szCs w:val="16"/>
        </w:rPr>
        <w:t>24</w:t>
      </w:r>
      <w:r w:rsidRPr="005B282E">
        <w:rPr>
          <w:rFonts w:ascii="Arial" w:hAnsi="Arial" w:cs="Arial"/>
          <w:sz w:val="16"/>
          <w:szCs w:val="16"/>
        </w:rPr>
        <w:t>. 10. 201</w:t>
      </w:r>
      <w:r w:rsidR="00870609">
        <w:rPr>
          <w:rFonts w:ascii="Arial" w:hAnsi="Arial" w:cs="Arial"/>
          <w:sz w:val="16"/>
          <w:szCs w:val="16"/>
        </w:rPr>
        <w:t>8</w:t>
      </w:r>
    </w:p>
    <w:p w14:paraId="00052109" w14:textId="77777777" w:rsidR="00731A68" w:rsidRDefault="00731A68" w:rsidP="00AE5658">
      <w:pPr>
        <w:pStyle w:val="Zkladntext"/>
        <w:widowControl w:val="0"/>
        <w:rPr>
          <w:rFonts w:ascii="Arial" w:hAnsi="Arial" w:cs="Arial"/>
          <w:sz w:val="20"/>
        </w:rPr>
      </w:pPr>
    </w:p>
    <w:p w14:paraId="223C042C" w14:textId="43CDB437" w:rsidR="009C4480" w:rsidRDefault="00E220A4" w:rsidP="00115B1F">
      <w:pPr>
        <w:pStyle w:val="Zkladntext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mezinárodní srovnání výdajů na sociální ochranu se mimo jejich podílu na HDP užívá také jejich přepočet na standard kupní síly (PPS)</w:t>
      </w:r>
      <w:r w:rsidR="00D73DFC">
        <w:rPr>
          <w:rFonts w:ascii="Arial" w:hAnsi="Arial" w:cs="Arial"/>
          <w:sz w:val="20"/>
        </w:rPr>
        <w:t>, což je uměle vytvořená měnová jednotka</w:t>
      </w:r>
      <w:r w:rsidR="00D87913">
        <w:rPr>
          <w:rFonts w:ascii="Arial" w:hAnsi="Arial" w:cs="Arial"/>
          <w:sz w:val="20"/>
        </w:rPr>
        <w:t xml:space="preserve"> používaná právě při mezinárodních srovnáních souhrnných ekonomických ukazatelů.</w:t>
      </w:r>
      <w:r>
        <w:rPr>
          <w:rFonts w:ascii="Arial" w:hAnsi="Arial" w:cs="Arial"/>
          <w:sz w:val="20"/>
        </w:rPr>
        <w:t xml:space="preserve"> </w:t>
      </w:r>
      <w:r w:rsidR="00FF6357" w:rsidRPr="00FF6357">
        <w:rPr>
          <w:rFonts w:ascii="Arial" w:hAnsi="Arial" w:cs="Arial"/>
          <w:sz w:val="20"/>
        </w:rPr>
        <w:t>V přepočtu na PPS</w:t>
      </w:r>
      <w:r w:rsidR="00FF6357">
        <w:rPr>
          <w:rFonts w:ascii="Arial" w:hAnsi="Arial" w:cs="Arial"/>
          <w:sz w:val="20"/>
        </w:rPr>
        <w:t xml:space="preserve"> vydává Česká republika </w:t>
      </w:r>
      <w:r>
        <w:rPr>
          <w:rFonts w:ascii="Arial" w:hAnsi="Arial" w:cs="Arial"/>
          <w:sz w:val="20"/>
        </w:rPr>
        <w:t xml:space="preserve">na sociální ochranu </w:t>
      </w:r>
      <w:r w:rsidR="00D3551B">
        <w:rPr>
          <w:rFonts w:ascii="Arial" w:hAnsi="Arial" w:cs="Arial"/>
          <w:sz w:val="20"/>
        </w:rPr>
        <w:t>téměř</w:t>
      </w:r>
      <w:r>
        <w:rPr>
          <w:rFonts w:ascii="Arial" w:hAnsi="Arial" w:cs="Arial"/>
          <w:sz w:val="20"/>
        </w:rPr>
        <w:t xml:space="preserve"> dvě třetiny průměrných výdajů v Evropské Unii (EU 28). </w:t>
      </w:r>
      <w:r w:rsidR="00166100">
        <w:rPr>
          <w:rFonts w:ascii="Arial" w:hAnsi="Arial" w:cs="Arial"/>
          <w:sz w:val="20"/>
        </w:rPr>
        <w:t>Podobn</w:t>
      </w:r>
      <w:r w:rsidR="00D51711">
        <w:rPr>
          <w:rFonts w:ascii="Arial" w:hAnsi="Arial" w:cs="Arial"/>
          <w:sz w:val="20"/>
        </w:rPr>
        <w:t>ý objem výdajů</w:t>
      </w:r>
      <w:r w:rsidR="00166100">
        <w:rPr>
          <w:rFonts w:ascii="Arial" w:hAnsi="Arial" w:cs="Arial"/>
          <w:sz w:val="20"/>
        </w:rPr>
        <w:t xml:space="preserve"> jako</w:t>
      </w:r>
      <w:r w:rsidR="00D51711">
        <w:rPr>
          <w:rFonts w:ascii="Arial" w:hAnsi="Arial" w:cs="Arial"/>
          <w:sz w:val="20"/>
        </w:rPr>
        <w:t xml:space="preserve"> v České republice, je na sociální ochranu vynakládán v Řecku, na Maltě, Kypru a ve Slovinsku a</w:t>
      </w:r>
      <w:r w:rsidR="00C24D2A">
        <w:rPr>
          <w:rFonts w:ascii="Arial" w:hAnsi="Arial" w:cs="Arial"/>
          <w:sz w:val="20"/>
        </w:rPr>
        <w:t> </w:t>
      </w:r>
      <w:r w:rsidR="00D51711">
        <w:rPr>
          <w:rFonts w:ascii="Arial" w:hAnsi="Arial" w:cs="Arial"/>
          <w:sz w:val="20"/>
        </w:rPr>
        <w:t>Portugalsku.</w:t>
      </w:r>
      <w:r w:rsidR="008B103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Více než 1,5 násobek průměrných výda</w:t>
      </w:r>
      <w:r w:rsidR="00F47A8A">
        <w:rPr>
          <w:rFonts w:ascii="Arial" w:hAnsi="Arial" w:cs="Arial"/>
          <w:sz w:val="20"/>
        </w:rPr>
        <w:t xml:space="preserve">jů EU 28 vydávají Lucembursko, </w:t>
      </w:r>
      <w:r>
        <w:rPr>
          <w:rFonts w:ascii="Arial" w:hAnsi="Arial" w:cs="Arial"/>
          <w:sz w:val="20"/>
        </w:rPr>
        <w:t>Norsko</w:t>
      </w:r>
      <w:r w:rsidR="00D3551B">
        <w:rPr>
          <w:rFonts w:ascii="Arial" w:hAnsi="Arial" w:cs="Arial"/>
          <w:sz w:val="20"/>
        </w:rPr>
        <w:t>,</w:t>
      </w:r>
      <w:r w:rsidR="008B103E">
        <w:rPr>
          <w:rFonts w:ascii="Arial" w:hAnsi="Arial" w:cs="Arial"/>
          <w:sz w:val="20"/>
        </w:rPr>
        <w:t> </w:t>
      </w:r>
      <w:r w:rsidR="00F47A8A">
        <w:rPr>
          <w:rFonts w:ascii="Arial" w:hAnsi="Arial" w:cs="Arial"/>
          <w:sz w:val="20"/>
        </w:rPr>
        <w:t>Švýcarsko</w:t>
      </w:r>
      <w:r w:rsidR="00D355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="00C24D2A">
        <w:rPr>
          <w:rFonts w:ascii="Arial" w:hAnsi="Arial" w:cs="Arial"/>
          <w:sz w:val="20"/>
        </w:rPr>
        <w:t> </w:t>
      </w:r>
      <w:r w:rsidR="00D3551B">
        <w:rPr>
          <w:rFonts w:ascii="Arial" w:hAnsi="Arial" w:cs="Arial"/>
          <w:sz w:val="20"/>
        </w:rPr>
        <w:t>Dánsko a </w:t>
      </w:r>
      <w:r>
        <w:rPr>
          <w:rFonts w:ascii="Arial" w:hAnsi="Arial" w:cs="Arial"/>
          <w:sz w:val="20"/>
        </w:rPr>
        <w:t xml:space="preserve">vysoko nad průměr ještě </w:t>
      </w:r>
      <w:r w:rsidR="00D3551B">
        <w:rPr>
          <w:rFonts w:ascii="Arial" w:hAnsi="Arial" w:cs="Arial"/>
          <w:sz w:val="20"/>
        </w:rPr>
        <w:t xml:space="preserve">Rakousko, Nizozemí, Německo </w:t>
      </w:r>
      <w:r w:rsidR="00F47A8A">
        <w:rPr>
          <w:rFonts w:ascii="Arial" w:hAnsi="Arial" w:cs="Arial"/>
          <w:sz w:val="20"/>
        </w:rPr>
        <w:t>a</w:t>
      </w:r>
      <w:r w:rsidR="00D3551B">
        <w:rPr>
          <w:rFonts w:ascii="Arial" w:hAnsi="Arial" w:cs="Arial"/>
          <w:sz w:val="20"/>
        </w:rPr>
        <w:t xml:space="preserve"> Francie</w:t>
      </w:r>
      <w:r>
        <w:rPr>
          <w:rFonts w:ascii="Arial" w:hAnsi="Arial" w:cs="Arial"/>
          <w:sz w:val="20"/>
        </w:rPr>
        <w:t>. Naopak méně než třetina průměrných výdajů v EU 28 je na sociální ochranu vynakládána v Tureck</w:t>
      </w:r>
      <w:r w:rsidR="00D3551B">
        <w:rPr>
          <w:rFonts w:ascii="Arial" w:hAnsi="Arial" w:cs="Arial"/>
          <w:sz w:val="20"/>
        </w:rPr>
        <w:t xml:space="preserve">u, Rumunsku, Srbsku a </w:t>
      </w:r>
      <w:r w:rsidR="00F47A8A">
        <w:rPr>
          <w:rFonts w:ascii="Arial" w:hAnsi="Arial" w:cs="Arial"/>
          <w:sz w:val="20"/>
        </w:rPr>
        <w:t>Bulharsku</w:t>
      </w:r>
      <w:r w:rsidR="00D3551B">
        <w:rPr>
          <w:rFonts w:ascii="Arial" w:hAnsi="Arial" w:cs="Arial"/>
          <w:sz w:val="20"/>
        </w:rPr>
        <w:t>.</w:t>
      </w:r>
    </w:p>
    <w:p w14:paraId="1EF703AD" w14:textId="77777777" w:rsidR="000B5F46" w:rsidRDefault="000B5F46" w:rsidP="000B5F46">
      <w:pPr>
        <w:pStyle w:val="Zkladntext"/>
        <w:ind w:firstLine="709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9C4480" w:rsidRPr="00E8045A" w14:paraId="752ED6EE" w14:textId="77777777" w:rsidTr="00E8045A">
        <w:trPr>
          <w:jc w:val="center"/>
        </w:trPr>
        <w:tc>
          <w:tcPr>
            <w:tcW w:w="9778" w:type="dxa"/>
            <w:shd w:val="clear" w:color="auto" w:fill="auto"/>
          </w:tcPr>
          <w:p w14:paraId="7B8695D4" w14:textId="73CB4774" w:rsidR="009C4480" w:rsidRPr="00E8045A" w:rsidRDefault="009C4480" w:rsidP="00E8045A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E8045A">
              <w:rPr>
                <w:rFonts w:ascii="Arial" w:hAnsi="Arial" w:cs="Arial"/>
                <w:b/>
                <w:sz w:val="20"/>
              </w:rPr>
              <w:t>Graf 7.3 Výdaje na sociální ochranu ve vybraných evropských zemích v PPS* na 1 obyvatele</w:t>
            </w:r>
            <w:r w:rsidRPr="00E8045A">
              <w:rPr>
                <w:rFonts w:ascii="Arial" w:hAnsi="Arial" w:cs="Arial"/>
                <w:b/>
                <w:sz w:val="20"/>
              </w:rPr>
              <w:br/>
              <w:t xml:space="preserve"> v roce 2015</w:t>
            </w:r>
          </w:p>
        </w:tc>
      </w:tr>
      <w:tr w:rsidR="009C4480" w:rsidRPr="00E8045A" w14:paraId="734D2517" w14:textId="77777777" w:rsidTr="00A7275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78" w:type="dxa"/>
            <w:shd w:val="clear" w:color="auto" w:fill="auto"/>
          </w:tcPr>
          <w:p w14:paraId="20F85E7A" w14:textId="03CB8DE8" w:rsidR="009C4480" w:rsidRPr="00E8045A" w:rsidRDefault="00C84771" w:rsidP="00544384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D8F5738" wp14:editId="6D3073C7">
                  <wp:extent cx="5351145" cy="5793105"/>
                  <wp:effectExtent l="0" t="0" r="1905" b="0"/>
                  <wp:docPr id="4" name="obráz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9C4480" w:rsidRPr="00E8045A" w14:paraId="76A5E562" w14:textId="77777777" w:rsidTr="00E8045A">
        <w:trPr>
          <w:jc w:val="center"/>
        </w:trPr>
        <w:tc>
          <w:tcPr>
            <w:tcW w:w="9778" w:type="dxa"/>
            <w:shd w:val="clear" w:color="auto" w:fill="auto"/>
          </w:tcPr>
          <w:p w14:paraId="09F422F7" w14:textId="07A4CB3B" w:rsidR="00544384" w:rsidRPr="00E8045A" w:rsidRDefault="009D6F89" w:rsidP="00E8045A">
            <w:pPr>
              <w:spacing w:before="120" w:line="360" w:lineRule="auto"/>
              <w:rPr>
                <w:rFonts w:cs="Arial"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9C4480" w:rsidRPr="00E8045A">
                <w:rPr>
                  <w:rFonts w:cs="Arial"/>
                  <w:sz w:val="16"/>
                  <w:szCs w:val="16"/>
                </w:rPr>
                <w:t>* PPS je standard kupní síly (Purchasing Power Standard), podrobněji na</w:t>
              </w:r>
              <w:r w:rsidR="009C4480" w:rsidRPr="00E8045A">
                <w:rPr>
                  <w:rFonts w:cs="Arial"/>
                  <w:color w:val="0000FF"/>
                  <w:sz w:val="16"/>
                  <w:szCs w:val="16"/>
                  <w:u w:val="single"/>
                </w:rPr>
                <w:t xml:space="preserve"> https://www.czso.cz/csu/czso/evropsky_srovnavaci_program</w:t>
              </w:r>
            </w:hyperlink>
          </w:p>
          <w:p w14:paraId="6071B449" w14:textId="14C78A90" w:rsidR="00544384" w:rsidRDefault="00544384" w:rsidP="00E8045A">
            <w:pPr>
              <w:pStyle w:val="Zkladntext"/>
              <w:widowControl w:val="0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Pozn.: Údaj </w:t>
            </w:r>
            <w:r w:rsidR="00AB26A4">
              <w:rPr>
                <w:rFonts w:ascii="Arial" w:hAnsi="Arial" w:cs="Arial"/>
                <w:sz w:val="16"/>
                <w:szCs w:val="16"/>
              </w:rPr>
              <w:t>pro</w:t>
            </w:r>
            <w:r>
              <w:rPr>
                <w:rFonts w:ascii="Arial" w:hAnsi="Arial" w:cs="Arial"/>
                <w:sz w:val="16"/>
                <w:szCs w:val="16"/>
              </w:rPr>
              <w:t xml:space="preserve"> EU 28 je z</w:t>
            </w:r>
            <w:r w:rsidR="00C5170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C51702">
              <w:rPr>
                <w:rFonts w:ascii="Arial" w:hAnsi="Arial" w:cs="Arial"/>
                <w:sz w:val="16"/>
                <w:szCs w:val="16"/>
              </w:rPr>
              <w:t>rok</w:t>
            </w:r>
            <w:r>
              <w:rPr>
                <w:rFonts w:ascii="Arial" w:hAnsi="Arial" w:cs="Arial"/>
                <w:sz w:val="16"/>
                <w:szCs w:val="16"/>
              </w:rPr>
              <w:t xml:space="preserve"> 2014</w:t>
            </w:r>
          </w:p>
          <w:p w14:paraId="7194DB17" w14:textId="35061C2F" w:rsidR="009C4480" w:rsidRPr="00E8045A" w:rsidRDefault="009C4480" w:rsidP="001F311C">
            <w:pPr>
              <w:pStyle w:val="Zkladntext"/>
              <w:widowControl w:val="0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8045A">
              <w:rPr>
                <w:rFonts w:ascii="Arial" w:hAnsi="Arial" w:cs="Arial"/>
                <w:sz w:val="16"/>
                <w:szCs w:val="16"/>
              </w:rPr>
              <w:t>Zdroj dat: Eurostat:(</w:t>
            </w:r>
            <w:hyperlink r:id="rId21" w:history="1">
              <w:r w:rsidRPr="00E8045A">
                <w:rPr>
                  <w:rStyle w:val="Hypertextovodkaz"/>
                  <w:rFonts w:ascii="Arial" w:hAnsi="Arial" w:cs="Arial"/>
                  <w:sz w:val="16"/>
                  <w:szCs w:val="16"/>
                </w:rPr>
                <w:t>http://appsso.eurostat.ec.europa.eu/nui/show.do?dataset=spr_exp_sum&amp;lang=en</w:t>
              </w:r>
            </w:hyperlink>
            <w:r w:rsidRPr="00E8045A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22" w:history="1"/>
            <w:r w:rsidR="009269FF">
              <w:rPr>
                <w:rFonts w:ascii="Arial" w:hAnsi="Arial" w:cs="Arial"/>
                <w:sz w:val="16"/>
                <w:szCs w:val="16"/>
              </w:rPr>
              <w:t>) údaje k 24</w:t>
            </w:r>
            <w:r w:rsidR="00C51702">
              <w:rPr>
                <w:rFonts w:ascii="Arial" w:hAnsi="Arial" w:cs="Arial"/>
                <w:sz w:val="16"/>
                <w:szCs w:val="16"/>
              </w:rPr>
              <w:t>. 10. 2018</w:t>
            </w:r>
          </w:p>
        </w:tc>
      </w:tr>
    </w:tbl>
    <w:p w14:paraId="26212679" w14:textId="77777777" w:rsidR="00DB3E98" w:rsidRDefault="00DB3E98" w:rsidP="00DB3E98">
      <w:pPr>
        <w:pStyle w:val="Zkladntext"/>
        <w:jc w:val="left"/>
        <w:rPr>
          <w:rFonts w:ascii="Arial" w:hAnsi="Arial" w:cs="Arial"/>
          <w:sz w:val="20"/>
        </w:rPr>
      </w:pPr>
    </w:p>
    <w:p w14:paraId="120B561B" w14:textId="50971D73" w:rsidR="003244D3" w:rsidRDefault="00DB1E73" w:rsidP="00115B1F">
      <w:pPr>
        <w:pStyle w:val="Zkladntext"/>
        <w:widowControl w:val="0"/>
        <w:ind w:firstLine="709"/>
        <w:rPr>
          <w:rFonts w:ascii="Arial" w:hAnsi="Arial" w:cs="Arial"/>
          <w:sz w:val="20"/>
        </w:rPr>
      </w:pPr>
      <w:r w:rsidRPr="00CC4213">
        <w:rPr>
          <w:rFonts w:ascii="Arial" w:hAnsi="Arial" w:cs="Arial"/>
          <w:sz w:val="20"/>
        </w:rPr>
        <w:t>Struktura výdajů podle funkcí</w:t>
      </w:r>
      <w:r w:rsidR="00B7726A" w:rsidRPr="00CC4213">
        <w:rPr>
          <w:rFonts w:ascii="Arial" w:hAnsi="Arial" w:cs="Arial"/>
          <w:sz w:val="20"/>
        </w:rPr>
        <w:t xml:space="preserve"> sociální ochrany</w:t>
      </w:r>
      <w:r w:rsidRPr="00CC4213">
        <w:rPr>
          <w:rFonts w:ascii="Arial" w:hAnsi="Arial" w:cs="Arial"/>
          <w:sz w:val="20"/>
        </w:rPr>
        <w:t xml:space="preserve"> se v jednotlivých zemích</w:t>
      </w:r>
      <w:r w:rsidR="00B7726A" w:rsidRPr="00CC4213">
        <w:rPr>
          <w:rFonts w:ascii="Arial" w:hAnsi="Arial" w:cs="Arial"/>
          <w:sz w:val="20"/>
        </w:rPr>
        <w:t xml:space="preserve"> poměrně výrazně odlišuje. </w:t>
      </w:r>
      <w:r w:rsidR="00220C45">
        <w:rPr>
          <w:rFonts w:ascii="Arial" w:hAnsi="Arial" w:cs="Arial"/>
          <w:sz w:val="20"/>
        </w:rPr>
        <w:t xml:space="preserve">Většina států vynakládá největší část celkových výdajů na sociální ochranu na funkci „stáří“. V Řecku, Portugalsku a Rumunsku tvoří výdaje na „stáří“ více než 50 %. </w:t>
      </w:r>
      <w:r w:rsidR="001D7193" w:rsidRPr="00CC4213">
        <w:rPr>
          <w:rFonts w:ascii="Arial" w:hAnsi="Arial" w:cs="Arial"/>
          <w:sz w:val="20"/>
        </w:rPr>
        <w:t>Mezi státy</w:t>
      </w:r>
      <w:r w:rsidR="00CC4213" w:rsidRPr="00CC4213">
        <w:rPr>
          <w:rFonts w:ascii="Arial" w:hAnsi="Arial" w:cs="Arial"/>
          <w:sz w:val="20"/>
        </w:rPr>
        <w:t>,</w:t>
      </w:r>
      <w:r w:rsidR="001D7193" w:rsidRPr="00CC4213">
        <w:rPr>
          <w:rFonts w:ascii="Arial" w:hAnsi="Arial" w:cs="Arial"/>
          <w:sz w:val="20"/>
        </w:rPr>
        <w:t xml:space="preserve"> které </w:t>
      </w:r>
      <w:r w:rsidR="00CC4213" w:rsidRPr="00CC4213">
        <w:rPr>
          <w:rFonts w:ascii="Arial" w:hAnsi="Arial" w:cs="Arial"/>
          <w:sz w:val="20"/>
        </w:rPr>
        <w:t>vydají třetinu (a více)</w:t>
      </w:r>
      <w:r w:rsidR="001D7193" w:rsidRPr="00CC4213">
        <w:rPr>
          <w:rFonts w:ascii="Arial" w:hAnsi="Arial" w:cs="Arial"/>
          <w:sz w:val="20"/>
        </w:rPr>
        <w:t xml:space="preserve"> celkových výdajů na sociální ochranu na funkci </w:t>
      </w:r>
      <w:r w:rsidR="0039171A" w:rsidRPr="00CC4213">
        <w:rPr>
          <w:rFonts w:ascii="Arial" w:hAnsi="Arial" w:cs="Arial"/>
          <w:sz w:val="20"/>
        </w:rPr>
        <w:t>„</w:t>
      </w:r>
      <w:r w:rsidR="001D7193" w:rsidRPr="00CC4213">
        <w:rPr>
          <w:rFonts w:ascii="Arial" w:hAnsi="Arial" w:cs="Arial"/>
          <w:sz w:val="20"/>
        </w:rPr>
        <w:t>nemoc/zdravotní péče“</w:t>
      </w:r>
      <w:r w:rsidR="00CC4213" w:rsidRPr="00CC4213">
        <w:rPr>
          <w:rFonts w:ascii="Arial" w:hAnsi="Arial" w:cs="Arial"/>
          <w:sz w:val="20"/>
        </w:rPr>
        <w:t xml:space="preserve">, </w:t>
      </w:r>
      <w:r w:rsidR="001D7193" w:rsidRPr="00CC4213">
        <w:rPr>
          <w:rFonts w:ascii="Arial" w:hAnsi="Arial" w:cs="Arial"/>
          <w:sz w:val="20"/>
        </w:rPr>
        <w:t xml:space="preserve">patří </w:t>
      </w:r>
      <w:r w:rsidR="00841905">
        <w:rPr>
          <w:rFonts w:ascii="Arial" w:hAnsi="Arial" w:cs="Arial"/>
          <w:sz w:val="20"/>
        </w:rPr>
        <w:t>Irsko,</w:t>
      </w:r>
      <w:r w:rsidR="00841905" w:rsidRPr="00CC4213">
        <w:rPr>
          <w:rFonts w:ascii="Arial" w:hAnsi="Arial" w:cs="Arial"/>
          <w:sz w:val="20"/>
        </w:rPr>
        <w:t xml:space="preserve"> </w:t>
      </w:r>
      <w:r w:rsidR="00841905">
        <w:rPr>
          <w:rFonts w:ascii="Arial" w:hAnsi="Arial" w:cs="Arial"/>
          <w:sz w:val="20"/>
        </w:rPr>
        <w:t xml:space="preserve">Island, </w:t>
      </w:r>
      <w:r w:rsidR="0039171A" w:rsidRPr="00CC4213">
        <w:rPr>
          <w:rFonts w:ascii="Arial" w:hAnsi="Arial" w:cs="Arial"/>
          <w:sz w:val="20"/>
        </w:rPr>
        <w:t>Německo, Chorvatsko a Nizozem</w:t>
      </w:r>
      <w:r w:rsidR="00220C45">
        <w:rPr>
          <w:rFonts w:ascii="Arial" w:hAnsi="Arial" w:cs="Arial"/>
          <w:sz w:val="20"/>
        </w:rPr>
        <w:t>í</w:t>
      </w:r>
      <w:r w:rsidR="002C0BE3">
        <w:rPr>
          <w:rFonts w:ascii="Arial" w:hAnsi="Arial" w:cs="Arial"/>
          <w:sz w:val="20"/>
        </w:rPr>
        <w:t>. Nejvyšší podíl výdajů na funkci „invalidita“ byl v roce 2015 v Norsku a na Islandu (v</w:t>
      </w:r>
      <w:r w:rsidR="00841905">
        <w:rPr>
          <w:rFonts w:ascii="Arial" w:hAnsi="Arial" w:cs="Arial"/>
          <w:sz w:val="20"/>
        </w:rPr>
        <w:t> </w:t>
      </w:r>
      <w:r w:rsidR="002C0BE3">
        <w:rPr>
          <w:rFonts w:ascii="Arial" w:hAnsi="Arial" w:cs="Arial"/>
          <w:sz w:val="20"/>
        </w:rPr>
        <w:t xml:space="preserve">obou zemích 16 %) a v Dánsku (13 %), </w:t>
      </w:r>
      <w:r w:rsidR="00841905">
        <w:rPr>
          <w:rFonts w:ascii="Arial" w:hAnsi="Arial" w:cs="Arial"/>
          <w:sz w:val="20"/>
        </w:rPr>
        <w:t>nejnižší pak na Kypru</w:t>
      </w:r>
      <w:r w:rsidR="002C0BE3">
        <w:rPr>
          <w:rFonts w:ascii="Arial" w:hAnsi="Arial" w:cs="Arial"/>
          <w:sz w:val="20"/>
        </w:rPr>
        <w:t xml:space="preserve"> a na Maltě (méně než 4 %). </w:t>
      </w:r>
      <w:r w:rsidR="00924C4D">
        <w:rPr>
          <w:rFonts w:ascii="Arial" w:hAnsi="Arial" w:cs="Arial"/>
          <w:sz w:val="20"/>
        </w:rPr>
        <w:t>Na funkci „pozůstalí“ vynaložilo největší část celkových výdaj</w:t>
      </w:r>
      <w:r w:rsidR="00841905">
        <w:rPr>
          <w:rFonts w:ascii="Arial" w:hAnsi="Arial" w:cs="Arial"/>
          <w:sz w:val="20"/>
        </w:rPr>
        <w:t>ů na sociální ochranu Řecko</w:t>
      </w:r>
      <w:r w:rsidR="00924C4D">
        <w:rPr>
          <w:rFonts w:ascii="Arial" w:hAnsi="Arial" w:cs="Arial"/>
          <w:sz w:val="20"/>
        </w:rPr>
        <w:t xml:space="preserve"> a</w:t>
      </w:r>
      <w:r w:rsidR="00C87EFF">
        <w:rPr>
          <w:rFonts w:ascii="Arial" w:hAnsi="Arial" w:cs="Arial"/>
          <w:sz w:val="20"/>
        </w:rPr>
        <w:t> </w:t>
      </w:r>
      <w:r w:rsidR="00924C4D">
        <w:rPr>
          <w:rFonts w:ascii="Arial" w:hAnsi="Arial" w:cs="Arial"/>
          <w:sz w:val="20"/>
        </w:rPr>
        <w:t xml:space="preserve">Polsko (přes 10 </w:t>
      </w:r>
      <w:r w:rsidR="00924C4D" w:rsidRPr="007D4B5E">
        <w:rPr>
          <w:rFonts w:ascii="Arial" w:hAnsi="Arial" w:cs="Arial"/>
          <w:sz w:val="20"/>
        </w:rPr>
        <w:t>%).</w:t>
      </w:r>
      <w:r w:rsidR="007D4B5E">
        <w:rPr>
          <w:rFonts w:ascii="Arial" w:hAnsi="Arial" w:cs="Arial"/>
          <w:sz w:val="20"/>
        </w:rPr>
        <w:t xml:space="preserve"> </w:t>
      </w:r>
      <w:r w:rsidR="007D4B5E" w:rsidRPr="007D4B5E">
        <w:rPr>
          <w:rFonts w:ascii="Arial" w:hAnsi="Arial" w:cs="Arial"/>
          <w:sz w:val="20"/>
        </w:rPr>
        <w:t>Poměrně vysoký (přes 12</w:t>
      </w:r>
      <w:r w:rsidR="00B7726A" w:rsidRPr="007D4B5E">
        <w:rPr>
          <w:rFonts w:ascii="Arial" w:hAnsi="Arial" w:cs="Arial"/>
          <w:sz w:val="20"/>
        </w:rPr>
        <w:t> %) byl v roce 201</w:t>
      </w:r>
      <w:r w:rsidR="002C1F7F">
        <w:rPr>
          <w:rFonts w:ascii="Arial" w:hAnsi="Arial" w:cs="Arial"/>
          <w:sz w:val="20"/>
        </w:rPr>
        <w:t>5</w:t>
      </w:r>
      <w:r w:rsidR="00B7726A" w:rsidRPr="007D4B5E">
        <w:rPr>
          <w:rFonts w:ascii="Arial" w:hAnsi="Arial" w:cs="Arial"/>
          <w:sz w:val="20"/>
        </w:rPr>
        <w:t xml:space="preserve"> podíl výdajů na fun</w:t>
      </w:r>
      <w:r w:rsidR="007D4B5E" w:rsidRPr="007D4B5E">
        <w:rPr>
          <w:rFonts w:ascii="Arial" w:hAnsi="Arial" w:cs="Arial"/>
          <w:sz w:val="20"/>
        </w:rPr>
        <w:t>kci „rodina/děti“ v Lucembursku, Estonsku a</w:t>
      </w:r>
      <w:r w:rsidR="0063531C">
        <w:rPr>
          <w:rFonts w:ascii="Arial" w:hAnsi="Arial" w:cs="Arial"/>
          <w:sz w:val="20"/>
        </w:rPr>
        <w:t> </w:t>
      </w:r>
      <w:bookmarkStart w:id="0" w:name="_GoBack"/>
      <w:bookmarkEnd w:id="0"/>
      <w:r w:rsidR="007D4B5E" w:rsidRPr="007D4B5E">
        <w:rPr>
          <w:rFonts w:ascii="Arial" w:hAnsi="Arial" w:cs="Arial"/>
          <w:sz w:val="20"/>
        </w:rPr>
        <w:t>Maďarsku, n</w:t>
      </w:r>
      <w:r w:rsidR="00B7726A" w:rsidRPr="007D4B5E">
        <w:rPr>
          <w:rFonts w:ascii="Arial" w:hAnsi="Arial" w:cs="Arial"/>
          <w:sz w:val="20"/>
        </w:rPr>
        <w:t>aopak</w:t>
      </w:r>
      <w:r w:rsidR="00DB3E98" w:rsidRPr="007D4B5E">
        <w:rPr>
          <w:rFonts w:ascii="Arial" w:hAnsi="Arial" w:cs="Arial"/>
          <w:sz w:val="20"/>
        </w:rPr>
        <w:t xml:space="preserve"> </w:t>
      </w:r>
      <w:r w:rsidR="00841905">
        <w:rPr>
          <w:rFonts w:ascii="Arial" w:hAnsi="Arial" w:cs="Arial"/>
          <w:sz w:val="20"/>
        </w:rPr>
        <w:t>nízký (méně než 4 %) v</w:t>
      </w:r>
      <w:r w:rsidR="00B7726A" w:rsidRPr="007D4B5E">
        <w:rPr>
          <w:rFonts w:ascii="Arial" w:hAnsi="Arial" w:cs="Arial"/>
          <w:sz w:val="20"/>
        </w:rPr>
        <w:t xml:space="preserve"> Nizozemí. </w:t>
      </w:r>
      <w:r w:rsidR="00B7726A" w:rsidRPr="001F311C">
        <w:rPr>
          <w:rFonts w:ascii="Arial" w:hAnsi="Arial" w:cs="Arial"/>
          <w:sz w:val="20"/>
        </w:rPr>
        <w:t>Česká republika je svou strukturou výdajů podle funkcí sociální ochrany spíše průměrným evropským státem.</w:t>
      </w:r>
      <w:r w:rsidR="00500B0D">
        <w:rPr>
          <w:rFonts w:ascii="Arial" w:hAnsi="Arial" w:cs="Arial"/>
          <w:sz w:val="20"/>
        </w:rPr>
        <w:t xml:space="preserve"> </w:t>
      </w:r>
    </w:p>
    <w:p w14:paraId="075954E3" w14:textId="20B037E8" w:rsidR="00C87EFF" w:rsidRDefault="00C87EFF">
      <w:pPr>
        <w:spacing w:line="240" w:lineRule="auto"/>
        <w:rPr>
          <w:rFonts w:cs="Arial"/>
          <w:szCs w:val="20"/>
        </w:rPr>
      </w:pPr>
      <w:r>
        <w:rPr>
          <w:rFonts w:cs="Arial"/>
        </w:rPr>
        <w:br w:type="page"/>
      </w:r>
    </w:p>
    <w:p w14:paraId="5D4102BB" w14:textId="3A7C66FB" w:rsidR="00782E0D" w:rsidRPr="009269FF" w:rsidRDefault="00782E0D" w:rsidP="00782E0D">
      <w:pPr>
        <w:pStyle w:val="Zkladntext"/>
        <w:jc w:val="center"/>
        <w:rPr>
          <w:rFonts w:ascii="Arial" w:hAnsi="Arial" w:cs="Arial"/>
          <w:b/>
          <w:sz w:val="20"/>
        </w:rPr>
      </w:pPr>
      <w:r w:rsidRPr="009269FF">
        <w:rPr>
          <w:rFonts w:ascii="Arial" w:hAnsi="Arial" w:cs="Arial"/>
          <w:b/>
          <w:sz w:val="20"/>
        </w:rPr>
        <w:lastRenderedPageBreak/>
        <w:t>Graf 7.4 Struktura výdajů na sociální ochranu podle funkcí</w:t>
      </w:r>
      <w:r w:rsidR="00682FE8" w:rsidRPr="009269FF">
        <w:rPr>
          <w:rFonts w:ascii="Arial" w:hAnsi="Arial" w:cs="Arial"/>
          <w:b/>
          <w:sz w:val="20"/>
        </w:rPr>
        <w:t xml:space="preserve"> a podíl </w:t>
      </w:r>
      <w:r w:rsidR="007B5759" w:rsidRPr="009269FF">
        <w:rPr>
          <w:rFonts w:ascii="Arial" w:hAnsi="Arial" w:cs="Arial"/>
          <w:b/>
          <w:sz w:val="20"/>
        </w:rPr>
        <w:t xml:space="preserve">výdajů </w:t>
      </w:r>
      <w:r w:rsidR="00682FE8" w:rsidRPr="009269FF">
        <w:rPr>
          <w:rFonts w:ascii="Arial" w:hAnsi="Arial" w:cs="Arial"/>
          <w:b/>
          <w:sz w:val="20"/>
        </w:rPr>
        <w:t>na HDP</w:t>
      </w:r>
    </w:p>
    <w:p w14:paraId="3482BE4F" w14:textId="5B0FACD7" w:rsidR="00561C96" w:rsidRDefault="009269FF" w:rsidP="00561C96">
      <w:pPr>
        <w:pStyle w:val="Zkladntext"/>
        <w:jc w:val="center"/>
        <w:rPr>
          <w:rFonts w:ascii="Arial" w:hAnsi="Arial" w:cs="Arial"/>
          <w:sz w:val="20"/>
        </w:rPr>
      </w:pPr>
      <w:r w:rsidRPr="009269FF">
        <w:rPr>
          <w:noProof/>
        </w:rPr>
        <w:drawing>
          <wp:anchor distT="0" distB="0" distL="114300" distR="114300" simplePos="0" relativeHeight="251664384" behindDoc="1" locked="0" layoutInCell="1" allowOverlap="1" wp14:anchorId="158AC799" wp14:editId="71DF1890">
            <wp:simplePos x="0" y="0"/>
            <wp:positionH relativeFrom="column">
              <wp:posOffset>4366260</wp:posOffset>
            </wp:positionH>
            <wp:positionV relativeFrom="paragraph">
              <wp:posOffset>252095</wp:posOffset>
            </wp:positionV>
            <wp:extent cx="1861185" cy="6115050"/>
            <wp:effectExtent l="0" t="0" r="5715" b="0"/>
            <wp:wrapTight wrapText="bothSides">
              <wp:wrapPolygon edited="0">
                <wp:start x="0" y="0"/>
                <wp:lineTo x="0" y="21533"/>
                <wp:lineTo x="21445" y="21533"/>
                <wp:lineTo x="21445" y="0"/>
                <wp:lineTo x="0" y="0"/>
              </wp:wrapPolygon>
            </wp:wrapTight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9FF">
        <w:rPr>
          <w:noProof/>
          <w:color w:val="FFFFFF" w:themeColor="background1"/>
        </w:rPr>
        <w:drawing>
          <wp:anchor distT="0" distB="0" distL="114300" distR="114300" simplePos="0" relativeHeight="251654143" behindDoc="1" locked="0" layoutInCell="1" allowOverlap="1" wp14:anchorId="06747584" wp14:editId="14A68C0C">
            <wp:simplePos x="0" y="0"/>
            <wp:positionH relativeFrom="margin">
              <wp:align>right</wp:align>
            </wp:positionH>
            <wp:positionV relativeFrom="paragraph">
              <wp:posOffset>252095</wp:posOffset>
            </wp:positionV>
            <wp:extent cx="6315075" cy="6848475"/>
            <wp:effectExtent l="0" t="0" r="0" b="0"/>
            <wp:wrapTight wrapText="bothSides">
              <wp:wrapPolygon edited="0">
                <wp:start x="0" y="0"/>
                <wp:lineTo x="0" y="21510"/>
                <wp:lineTo x="21502" y="21510"/>
                <wp:lineTo x="21502" y="0"/>
                <wp:lineTo x="0" y="0"/>
              </wp:wrapPolygon>
            </wp:wrapTight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E0D" w:rsidRPr="009269FF">
        <w:rPr>
          <w:rFonts w:ascii="Arial" w:hAnsi="Arial" w:cs="Arial"/>
          <w:b/>
          <w:sz w:val="20"/>
        </w:rPr>
        <w:t>ve vybraných evropských zemích v roce 2015</w:t>
      </w:r>
    </w:p>
    <w:p w14:paraId="5E11ABF2" w14:textId="3F1F6259" w:rsidR="00561C96" w:rsidRPr="00561C96" w:rsidRDefault="00561C96" w:rsidP="00561C96">
      <w:pPr>
        <w:pStyle w:val="Zkladntext"/>
        <w:rPr>
          <w:rFonts w:ascii="Arial" w:hAnsi="Arial" w:cs="Arial"/>
          <w:sz w:val="20"/>
        </w:rPr>
      </w:pPr>
      <w:r w:rsidRPr="00AF2F66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údaje za rok 2014</w:t>
      </w:r>
    </w:p>
    <w:p w14:paraId="4DE33BBE" w14:textId="76897E32" w:rsidR="00782E0D" w:rsidRPr="00E8045A" w:rsidRDefault="00782E0D" w:rsidP="00782E0D">
      <w:pPr>
        <w:pStyle w:val="Zkladntext"/>
        <w:widowControl w:val="0"/>
        <w:jc w:val="left"/>
        <w:rPr>
          <w:rFonts w:ascii="Arial" w:hAnsi="Arial" w:cs="Arial"/>
          <w:sz w:val="16"/>
          <w:szCs w:val="16"/>
        </w:rPr>
      </w:pPr>
      <w:r w:rsidRPr="00E8045A">
        <w:rPr>
          <w:rFonts w:ascii="Arial" w:hAnsi="Arial" w:cs="Arial"/>
          <w:sz w:val="16"/>
          <w:szCs w:val="16"/>
        </w:rPr>
        <w:t xml:space="preserve">Zdroj dat: </w:t>
      </w:r>
      <w:proofErr w:type="spellStart"/>
      <w:r w:rsidRPr="00E8045A">
        <w:rPr>
          <w:rFonts w:ascii="Arial" w:hAnsi="Arial" w:cs="Arial"/>
          <w:sz w:val="16"/>
          <w:szCs w:val="16"/>
        </w:rPr>
        <w:t>Eurostat</w:t>
      </w:r>
      <w:proofErr w:type="spellEnd"/>
      <w:r>
        <w:rPr>
          <w:rFonts w:ascii="Arial" w:hAnsi="Arial" w:cs="Arial"/>
          <w:sz w:val="16"/>
          <w:szCs w:val="16"/>
        </w:rPr>
        <w:t xml:space="preserve"> (</w:t>
      </w:r>
      <w:r w:rsidRPr="004E6A07">
        <w:rPr>
          <w:rFonts w:ascii="Arial" w:hAnsi="Arial" w:cs="Arial"/>
          <w:sz w:val="16"/>
          <w:szCs w:val="16"/>
        </w:rPr>
        <w:t>https://ec.europa.eu/eurostat/web/social-protection/data/main-tables</w:t>
      </w:r>
      <w:hyperlink r:id="rId25" w:history="1"/>
      <w:r w:rsidR="00CF6C31">
        <w:rPr>
          <w:rFonts w:ascii="Arial" w:hAnsi="Arial" w:cs="Arial"/>
          <w:sz w:val="16"/>
          <w:szCs w:val="16"/>
        </w:rPr>
        <w:t>) údaje k 24</w:t>
      </w:r>
      <w:r w:rsidRPr="00E8045A">
        <w:rPr>
          <w:rFonts w:ascii="Arial" w:hAnsi="Arial" w:cs="Arial"/>
          <w:sz w:val="16"/>
          <w:szCs w:val="16"/>
        </w:rPr>
        <w:t>. 10. 2018</w:t>
      </w:r>
    </w:p>
    <w:p w14:paraId="6C06D3D0" w14:textId="087D7C20" w:rsidR="00782E0D" w:rsidRDefault="00782E0D" w:rsidP="00AE5658">
      <w:pPr>
        <w:pStyle w:val="Zkladntext"/>
        <w:widowControl w:val="0"/>
        <w:rPr>
          <w:rFonts w:ascii="Arial" w:hAnsi="Arial" w:cs="Arial"/>
          <w:sz w:val="20"/>
        </w:rPr>
      </w:pPr>
    </w:p>
    <w:p w14:paraId="0149B2F2" w14:textId="77777777" w:rsidR="00E61DAC" w:rsidRDefault="00E61DAC" w:rsidP="007E20ED">
      <w:pPr>
        <w:pStyle w:val="Zkladntext"/>
        <w:widowControl w:val="0"/>
        <w:ind w:firstLine="708"/>
        <w:rPr>
          <w:rFonts w:ascii="Arial" w:hAnsi="Arial" w:cs="Arial"/>
          <w:sz w:val="20"/>
        </w:rPr>
      </w:pPr>
    </w:p>
    <w:p w14:paraId="7BEC51D1" w14:textId="4A56DC2E" w:rsidR="00556E52" w:rsidRDefault="00AE5658" w:rsidP="007E20ED">
      <w:pPr>
        <w:pStyle w:val="Zkladntext"/>
        <w:widowControl w:val="0"/>
        <w:ind w:firstLine="708"/>
      </w:pPr>
      <w:r w:rsidRPr="0006226E">
        <w:rPr>
          <w:rFonts w:ascii="Arial" w:hAnsi="Arial" w:cs="Arial"/>
          <w:sz w:val="20"/>
        </w:rPr>
        <w:t>Další informace o vývoj</w:t>
      </w:r>
      <w:r w:rsidR="007731F0" w:rsidRPr="0006226E">
        <w:rPr>
          <w:rFonts w:ascii="Arial" w:hAnsi="Arial" w:cs="Arial"/>
          <w:sz w:val="20"/>
        </w:rPr>
        <w:t>i</w:t>
      </w:r>
      <w:r w:rsidRPr="0006226E">
        <w:rPr>
          <w:rFonts w:ascii="Arial" w:hAnsi="Arial" w:cs="Arial"/>
          <w:sz w:val="20"/>
        </w:rPr>
        <w:t xml:space="preserve"> výdajů na sociální ochranu podle evropského statistického systému ESSPROS</w:t>
      </w:r>
      <w:r w:rsidR="00556E52" w:rsidRPr="0006226E">
        <w:rPr>
          <w:rFonts w:ascii="Arial" w:hAnsi="Arial" w:cs="Arial"/>
          <w:sz w:val="20"/>
        </w:rPr>
        <w:t xml:space="preserve"> jsou dostupné na internetových stránkách Ministerstva práce a sociálních věcí (MPSV)  </w:t>
      </w:r>
      <w:hyperlink r:id="rId26" w:history="1">
        <w:r w:rsidR="00556E52" w:rsidRPr="0006226E">
          <w:rPr>
            <w:rStyle w:val="Hypertextovodkaz"/>
            <w:rFonts w:ascii="Arial" w:hAnsi="Arial" w:cs="Arial"/>
            <w:sz w:val="20"/>
          </w:rPr>
          <w:t>http://www.mpsv.cz/cs/16142</w:t>
        </w:r>
      </w:hyperlink>
      <w:r w:rsidR="00371330">
        <w:t>.</w:t>
      </w:r>
    </w:p>
    <w:p w14:paraId="340BC9EB" w14:textId="642E333E" w:rsidR="00556E52" w:rsidRDefault="00371330" w:rsidP="00371330">
      <w:pPr>
        <w:pStyle w:val="Zkladntext"/>
        <w:widowControl w:val="0"/>
        <w:ind w:firstLine="708"/>
        <w:rPr>
          <w:rStyle w:val="Hypertextovodkaz"/>
          <w:rFonts w:ascii="Arial" w:hAnsi="Arial" w:cs="Arial"/>
          <w:sz w:val="20"/>
        </w:rPr>
      </w:pPr>
      <w:r w:rsidRPr="00371330">
        <w:rPr>
          <w:rFonts w:ascii="Arial" w:hAnsi="Arial" w:cs="Arial"/>
          <w:sz w:val="20"/>
        </w:rPr>
        <w:t xml:space="preserve">Mezinárodní srovnání </w:t>
      </w:r>
      <w:r>
        <w:rPr>
          <w:rFonts w:ascii="Arial" w:hAnsi="Arial" w:cs="Arial"/>
          <w:sz w:val="20"/>
        </w:rPr>
        <w:t xml:space="preserve">výdajů na sociální ochranu v rámci zemí EU </w:t>
      </w:r>
      <w:r w:rsidRPr="00371330">
        <w:rPr>
          <w:rFonts w:ascii="Arial" w:hAnsi="Arial" w:cs="Arial"/>
          <w:sz w:val="20"/>
        </w:rPr>
        <w:t>a další podrobné inform</w:t>
      </w:r>
      <w:r>
        <w:rPr>
          <w:rFonts w:ascii="Arial" w:hAnsi="Arial" w:cs="Arial"/>
          <w:sz w:val="20"/>
        </w:rPr>
        <w:t xml:space="preserve">ace </w:t>
      </w:r>
      <w:r w:rsidRPr="00371330">
        <w:rPr>
          <w:rFonts w:ascii="Arial" w:hAnsi="Arial" w:cs="Arial"/>
          <w:sz w:val="20"/>
        </w:rPr>
        <w:t xml:space="preserve">jsou k dispozici na internetových stránkách </w:t>
      </w:r>
      <w:proofErr w:type="spellStart"/>
      <w:r w:rsidRPr="00371330">
        <w:rPr>
          <w:rFonts w:ascii="Arial" w:hAnsi="Arial" w:cs="Arial"/>
          <w:sz w:val="20"/>
        </w:rPr>
        <w:t>Eurostatu</w:t>
      </w:r>
      <w:proofErr w:type="spellEnd"/>
      <w:r w:rsidRPr="00371330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hyperlink r:id="rId27" w:history="1">
        <w:r w:rsidRPr="00371330">
          <w:rPr>
            <w:rStyle w:val="Hypertextovodkaz"/>
            <w:rFonts w:ascii="Arial" w:hAnsi="Arial" w:cs="Arial"/>
            <w:sz w:val="20"/>
          </w:rPr>
          <w:t>http://ec.europa.eu/eurostat/web/social-protection/data/main-tables</w:t>
        </w:r>
      </w:hyperlink>
      <w:r w:rsidR="00F07F60">
        <w:rPr>
          <w:rStyle w:val="Hypertextovodkaz"/>
          <w:rFonts w:ascii="Arial" w:hAnsi="Arial" w:cs="Arial"/>
          <w:sz w:val="20"/>
        </w:rPr>
        <w:t>.</w:t>
      </w:r>
    </w:p>
    <w:p w14:paraId="2245DB4B" w14:textId="5B70AFB5" w:rsidR="00F07F60" w:rsidRDefault="00F07F60" w:rsidP="00F07F60">
      <w:pPr>
        <w:pStyle w:val="Zkladntext"/>
        <w:widowControl w:val="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Metodika </w:t>
      </w:r>
      <w:r w:rsidRPr="00371330">
        <w:rPr>
          <w:rFonts w:ascii="Arial" w:hAnsi="Arial" w:cs="Arial"/>
          <w:sz w:val="20"/>
        </w:rPr>
        <w:t xml:space="preserve">jednotných statistik sociální ochrany </w:t>
      </w:r>
      <w:r>
        <w:rPr>
          <w:rFonts w:ascii="Arial" w:hAnsi="Arial" w:cs="Arial"/>
          <w:sz w:val="20"/>
        </w:rPr>
        <w:t xml:space="preserve">ESSPROS je dostupná rovněž na stránkách </w:t>
      </w:r>
      <w:proofErr w:type="spellStart"/>
      <w:r>
        <w:rPr>
          <w:rFonts w:ascii="Arial" w:hAnsi="Arial" w:cs="Arial"/>
          <w:sz w:val="20"/>
        </w:rPr>
        <w:t>Eurostatu</w:t>
      </w:r>
      <w:proofErr w:type="spellEnd"/>
      <w:r>
        <w:rPr>
          <w:rFonts w:ascii="Arial" w:hAnsi="Arial" w:cs="Arial"/>
          <w:sz w:val="20"/>
        </w:rPr>
        <w:t xml:space="preserve">: </w:t>
      </w:r>
      <w:hyperlink r:id="rId28" w:history="1">
        <w:r w:rsidRPr="00711174">
          <w:rPr>
            <w:rStyle w:val="Hypertextovodkaz"/>
            <w:rFonts w:ascii="Arial" w:hAnsi="Arial" w:cs="Arial"/>
            <w:sz w:val="20"/>
          </w:rPr>
          <w:t>https://ec.europa.eu/eurostat/web/social-protection/methodology</w:t>
        </w:r>
      </w:hyperlink>
      <w:r>
        <w:rPr>
          <w:rFonts w:ascii="Arial" w:hAnsi="Arial" w:cs="Arial"/>
          <w:sz w:val="20"/>
        </w:rPr>
        <w:t>.</w:t>
      </w:r>
    </w:p>
    <w:sectPr w:rsidR="00F07F60" w:rsidSect="0030192A">
      <w:headerReference w:type="even" r:id="rId29"/>
      <w:headerReference w:type="default" r:id="rId30"/>
      <w:footerReference w:type="even" r:id="rId31"/>
      <w:footerReference w:type="default" r:id="rId32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F1A79" w14:textId="77777777" w:rsidR="009D6F89" w:rsidRDefault="009D6F89" w:rsidP="00E71A58">
      <w:r>
        <w:separator/>
      </w:r>
    </w:p>
  </w:endnote>
  <w:endnote w:type="continuationSeparator" w:id="0">
    <w:p w14:paraId="4A24A28B" w14:textId="77777777" w:rsidR="009D6F89" w:rsidRDefault="009D6F8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11FB" w14:textId="3F07532F" w:rsidR="00233965" w:rsidRDefault="00C84771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2DD01B3" wp14:editId="5378093D">
          <wp:simplePos x="0" y="0"/>
          <wp:positionH relativeFrom="column">
            <wp:posOffset>5660390</wp:posOffset>
          </wp:positionH>
          <wp:positionV relativeFrom="paragraph">
            <wp:posOffset>56515</wp:posOffset>
          </wp:positionV>
          <wp:extent cx="466725" cy="219075"/>
          <wp:effectExtent l="0" t="0" r="0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1381A6" w14:textId="4961AB6C" w:rsidR="00D108CC" w:rsidRPr="00D009CF" w:rsidRDefault="00D108CC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201</w:t>
    </w:r>
    <w:r w:rsidR="0003532C">
      <w:rPr>
        <w:rFonts w:ascii="Arial" w:hAnsi="Arial" w:cs="Arial"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88B1D" w14:textId="2E61EA0B" w:rsidR="00D108CC" w:rsidRDefault="00C8477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39710C3" wp14:editId="42F43A00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8CC">
      <w:tab/>
    </w:r>
    <w:r w:rsidR="00D108CC">
      <w:tab/>
    </w:r>
    <w:r w:rsidR="00D108CC" w:rsidRPr="00DC5B3B">
      <w:t xml:space="preserve">                              </w:t>
    </w:r>
  </w:p>
  <w:p w14:paraId="255D7BE1" w14:textId="77777777" w:rsidR="00D108CC" w:rsidRDefault="00D108CC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</w:t>
    </w:r>
    <w:r w:rsidR="0003532C">
      <w:rPr>
        <w:rFonts w:ascii="Arial" w:hAnsi="Arial" w:cs="Arial"/>
        <w:sz w:val="16"/>
        <w:szCs w:val="16"/>
      </w:rPr>
      <w:t>7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6756E" w14:textId="77777777" w:rsidR="009D6F89" w:rsidRDefault="009D6F89" w:rsidP="00E71A58">
      <w:r>
        <w:separator/>
      </w:r>
    </w:p>
  </w:footnote>
  <w:footnote w:type="continuationSeparator" w:id="0">
    <w:p w14:paraId="4B29450A" w14:textId="77777777" w:rsidR="009D6F89" w:rsidRDefault="009D6F8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29A7" w14:textId="77777777" w:rsidR="00D108CC" w:rsidRPr="00AD306C" w:rsidRDefault="00D108CC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</w:t>
    </w:r>
    <w:r w:rsidR="0003532C">
      <w:rPr>
        <w:rFonts w:ascii="Arial" w:hAnsi="Arial" w:cs="Arial"/>
        <w:sz w:val="16"/>
        <w:szCs w:val="16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D9437" w14:textId="77777777" w:rsidR="00D108CC" w:rsidRPr="00DC5B3B" w:rsidRDefault="00D108CC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</w:t>
    </w:r>
    <w:r w:rsidR="0003532C">
      <w:rPr>
        <w:rFonts w:ascii="Arial" w:hAnsi="Arial" w:cs="Arial"/>
        <w:sz w:val="16"/>
        <w:szCs w:val="16"/>
      </w:rPr>
      <w:t>ociálním zabezpečení za rok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587"/>
    <w:multiLevelType w:val="singleLevel"/>
    <w:tmpl w:val="6554D7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0A6C71F7"/>
    <w:multiLevelType w:val="hybridMultilevel"/>
    <w:tmpl w:val="C6F43228"/>
    <w:lvl w:ilvl="0" w:tplc="040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261C4006"/>
    <w:multiLevelType w:val="hybridMultilevel"/>
    <w:tmpl w:val="2AD0EC94"/>
    <w:lvl w:ilvl="0" w:tplc="ED8498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6403"/>
    <w:multiLevelType w:val="singleLevel"/>
    <w:tmpl w:val="2DEE4B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7627B"/>
    <w:multiLevelType w:val="multilevel"/>
    <w:tmpl w:val="9D10E6EE"/>
    <w:lvl w:ilvl="0">
      <w:start w:val="6"/>
      <w:numFmt w:val="bullet"/>
      <w:pStyle w:val="odrky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26EBE"/>
    <w:multiLevelType w:val="hybridMultilevel"/>
    <w:tmpl w:val="CD0E2E1E"/>
    <w:lvl w:ilvl="0" w:tplc="BF8836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C1D8C"/>
    <w:multiLevelType w:val="multilevel"/>
    <w:tmpl w:val="66EE4E7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623637"/>
    <w:multiLevelType w:val="hybridMultilevel"/>
    <w:tmpl w:val="3F065004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491F9F"/>
    <w:multiLevelType w:val="multilevel"/>
    <w:tmpl w:val="BFB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0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31"/>
    <w:rsid w:val="000062F9"/>
    <w:rsid w:val="000074D6"/>
    <w:rsid w:val="0000767A"/>
    <w:rsid w:val="00007B5D"/>
    <w:rsid w:val="00010702"/>
    <w:rsid w:val="000107CC"/>
    <w:rsid w:val="00010BB2"/>
    <w:rsid w:val="0001285A"/>
    <w:rsid w:val="00013DA3"/>
    <w:rsid w:val="0002591A"/>
    <w:rsid w:val="00026DBB"/>
    <w:rsid w:val="0003532C"/>
    <w:rsid w:val="0004694F"/>
    <w:rsid w:val="0005304E"/>
    <w:rsid w:val="0006226E"/>
    <w:rsid w:val="00062EC5"/>
    <w:rsid w:val="00067F12"/>
    <w:rsid w:val="00075EF7"/>
    <w:rsid w:val="000809BB"/>
    <w:rsid w:val="000834EF"/>
    <w:rsid w:val="00087634"/>
    <w:rsid w:val="000877DB"/>
    <w:rsid w:val="00097762"/>
    <w:rsid w:val="000A08C7"/>
    <w:rsid w:val="000A1183"/>
    <w:rsid w:val="000B4745"/>
    <w:rsid w:val="000B5F46"/>
    <w:rsid w:val="000C3408"/>
    <w:rsid w:val="000C769E"/>
    <w:rsid w:val="000D21E1"/>
    <w:rsid w:val="000D407A"/>
    <w:rsid w:val="000D79A6"/>
    <w:rsid w:val="000E0977"/>
    <w:rsid w:val="000E6AD2"/>
    <w:rsid w:val="000F4F61"/>
    <w:rsid w:val="000F651D"/>
    <w:rsid w:val="001113CC"/>
    <w:rsid w:val="00111C2D"/>
    <w:rsid w:val="00113232"/>
    <w:rsid w:val="00115B1F"/>
    <w:rsid w:val="00120540"/>
    <w:rsid w:val="001405FA"/>
    <w:rsid w:val="001425C3"/>
    <w:rsid w:val="00142BBF"/>
    <w:rsid w:val="00143E77"/>
    <w:rsid w:val="00144093"/>
    <w:rsid w:val="00151640"/>
    <w:rsid w:val="00152C21"/>
    <w:rsid w:val="001565AD"/>
    <w:rsid w:val="00162D2C"/>
    <w:rsid w:val="0016319C"/>
    <w:rsid w:val="00163793"/>
    <w:rsid w:val="00165A64"/>
    <w:rsid w:val="00166100"/>
    <w:rsid w:val="00167EA1"/>
    <w:rsid w:val="001714F2"/>
    <w:rsid w:val="0017223B"/>
    <w:rsid w:val="00172743"/>
    <w:rsid w:val="0018196D"/>
    <w:rsid w:val="00185010"/>
    <w:rsid w:val="0019286E"/>
    <w:rsid w:val="00192CB4"/>
    <w:rsid w:val="0019325F"/>
    <w:rsid w:val="00193560"/>
    <w:rsid w:val="001939E7"/>
    <w:rsid w:val="001A3327"/>
    <w:rsid w:val="001A552F"/>
    <w:rsid w:val="001A7BF6"/>
    <w:rsid w:val="001B0804"/>
    <w:rsid w:val="001B3110"/>
    <w:rsid w:val="001C1BC4"/>
    <w:rsid w:val="001C2372"/>
    <w:rsid w:val="001D7193"/>
    <w:rsid w:val="001E03F0"/>
    <w:rsid w:val="001E4425"/>
    <w:rsid w:val="001E7014"/>
    <w:rsid w:val="001F311C"/>
    <w:rsid w:val="001F4597"/>
    <w:rsid w:val="001F5982"/>
    <w:rsid w:val="002003DA"/>
    <w:rsid w:val="0020041A"/>
    <w:rsid w:val="00206DED"/>
    <w:rsid w:val="00207CBE"/>
    <w:rsid w:val="00210AA5"/>
    <w:rsid w:val="00212161"/>
    <w:rsid w:val="00213F4A"/>
    <w:rsid w:val="00220C45"/>
    <w:rsid w:val="0022139E"/>
    <w:rsid w:val="0022397F"/>
    <w:rsid w:val="002252E0"/>
    <w:rsid w:val="002255F6"/>
    <w:rsid w:val="00225619"/>
    <w:rsid w:val="002257D2"/>
    <w:rsid w:val="00226B6B"/>
    <w:rsid w:val="00230E52"/>
    <w:rsid w:val="00231687"/>
    <w:rsid w:val="00232835"/>
    <w:rsid w:val="00233965"/>
    <w:rsid w:val="00236443"/>
    <w:rsid w:val="002416AF"/>
    <w:rsid w:val="002436BA"/>
    <w:rsid w:val="00244A15"/>
    <w:rsid w:val="00246A3A"/>
    <w:rsid w:val="002472A0"/>
    <w:rsid w:val="0024799E"/>
    <w:rsid w:val="00252970"/>
    <w:rsid w:val="00264C1E"/>
    <w:rsid w:val="00267E97"/>
    <w:rsid w:val="00270BEB"/>
    <w:rsid w:val="00276F0E"/>
    <w:rsid w:val="002800C0"/>
    <w:rsid w:val="00286F19"/>
    <w:rsid w:val="00287768"/>
    <w:rsid w:val="002A7E14"/>
    <w:rsid w:val="002B00A9"/>
    <w:rsid w:val="002B4E91"/>
    <w:rsid w:val="002B77B1"/>
    <w:rsid w:val="002C0BE3"/>
    <w:rsid w:val="002C1F7F"/>
    <w:rsid w:val="002C43BD"/>
    <w:rsid w:val="002C6C0D"/>
    <w:rsid w:val="002D236A"/>
    <w:rsid w:val="002D34E8"/>
    <w:rsid w:val="002D5D83"/>
    <w:rsid w:val="002E02A1"/>
    <w:rsid w:val="002E44F4"/>
    <w:rsid w:val="002E6755"/>
    <w:rsid w:val="002F4B0C"/>
    <w:rsid w:val="002F50DD"/>
    <w:rsid w:val="002F532A"/>
    <w:rsid w:val="003003B4"/>
    <w:rsid w:val="0030192A"/>
    <w:rsid w:val="00304771"/>
    <w:rsid w:val="00306C5B"/>
    <w:rsid w:val="003209D6"/>
    <w:rsid w:val="003244D3"/>
    <w:rsid w:val="0032532F"/>
    <w:rsid w:val="003328E7"/>
    <w:rsid w:val="003378C4"/>
    <w:rsid w:val="003657F3"/>
    <w:rsid w:val="00371330"/>
    <w:rsid w:val="00374075"/>
    <w:rsid w:val="00375980"/>
    <w:rsid w:val="003761C3"/>
    <w:rsid w:val="00376E64"/>
    <w:rsid w:val="003776C8"/>
    <w:rsid w:val="003803FD"/>
    <w:rsid w:val="00385286"/>
    <w:rsid w:val="00385D98"/>
    <w:rsid w:val="0039171A"/>
    <w:rsid w:val="00393A4F"/>
    <w:rsid w:val="00393D57"/>
    <w:rsid w:val="00396209"/>
    <w:rsid w:val="003A24C5"/>
    <w:rsid w:val="003A2B4D"/>
    <w:rsid w:val="003A478C"/>
    <w:rsid w:val="003A5525"/>
    <w:rsid w:val="003A6B38"/>
    <w:rsid w:val="003B29A3"/>
    <w:rsid w:val="003B5A32"/>
    <w:rsid w:val="003B6BD0"/>
    <w:rsid w:val="003B7F9F"/>
    <w:rsid w:val="003C1488"/>
    <w:rsid w:val="003C6CC2"/>
    <w:rsid w:val="003C6EFD"/>
    <w:rsid w:val="003D375C"/>
    <w:rsid w:val="003D4AE3"/>
    <w:rsid w:val="003D7048"/>
    <w:rsid w:val="003E1690"/>
    <w:rsid w:val="003E182B"/>
    <w:rsid w:val="003E5B36"/>
    <w:rsid w:val="003F313C"/>
    <w:rsid w:val="003F318A"/>
    <w:rsid w:val="003F6CD6"/>
    <w:rsid w:val="004004F4"/>
    <w:rsid w:val="00400E62"/>
    <w:rsid w:val="00401AD6"/>
    <w:rsid w:val="004046B8"/>
    <w:rsid w:val="00412511"/>
    <w:rsid w:val="004136FD"/>
    <w:rsid w:val="00421DC9"/>
    <w:rsid w:val="00423060"/>
    <w:rsid w:val="0042669E"/>
    <w:rsid w:val="00430D93"/>
    <w:rsid w:val="00432043"/>
    <w:rsid w:val="00435D17"/>
    <w:rsid w:val="00436520"/>
    <w:rsid w:val="004402A5"/>
    <w:rsid w:val="00445201"/>
    <w:rsid w:val="00445632"/>
    <w:rsid w:val="004555A2"/>
    <w:rsid w:val="00456774"/>
    <w:rsid w:val="00460CAF"/>
    <w:rsid w:val="00461A70"/>
    <w:rsid w:val="004664CA"/>
    <w:rsid w:val="00467094"/>
    <w:rsid w:val="00471EAF"/>
    <w:rsid w:val="00473D97"/>
    <w:rsid w:val="00476265"/>
    <w:rsid w:val="0048086F"/>
    <w:rsid w:val="0048139F"/>
    <w:rsid w:val="004830CC"/>
    <w:rsid w:val="00492751"/>
    <w:rsid w:val="004A77DF"/>
    <w:rsid w:val="004B2146"/>
    <w:rsid w:val="004B33A3"/>
    <w:rsid w:val="004B362B"/>
    <w:rsid w:val="004B4975"/>
    <w:rsid w:val="004B55B7"/>
    <w:rsid w:val="004C0DAA"/>
    <w:rsid w:val="004C3867"/>
    <w:rsid w:val="004C4CD0"/>
    <w:rsid w:val="004C5664"/>
    <w:rsid w:val="004C5A88"/>
    <w:rsid w:val="004C69BE"/>
    <w:rsid w:val="004C70DC"/>
    <w:rsid w:val="004D0211"/>
    <w:rsid w:val="004D1172"/>
    <w:rsid w:val="004D2FB8"/>
    <w:rsid w:val="004D40DC"/>
    <w:rsid w:val="004D5336"/>
    <w:rsid w:val="004E6A07"/>
    <w:rsid w:val="004F06F5"/>
    <w:rsid w:val="004F4DBF"/>
    <w:rsid w:val="004F5EEB"/>
    <w:rsid w:val="00500B0D"/>
    <w:rsid w:val="005021AB"/>
    <w:rsid w:val="00505A6C"/>
    <w:rsid w:val="00505D2C"/>
    <w:rsid w:val="005108C0"/>
    <w:rsid w:val="00511873"/>
    <w:rsid w:val="005128ED"/>
    <w:rsid w:val="00513B7E"/>
    <w:rsid w:val="00525137"/>
    <w:rsid w:val="005251DD"/>
    <w:rsid w:val="005301F4"/>
    <w:rsid w:val="00532277"/>
    <w:rsid w:val="005339F3"/>
    <w:rsid w:val="0053471C"/>
    <w:rsid w:val="00544384"/>
    <w:rsid w:val="00545314"/>
    <w:rsid w:val="00546DC5"/>
    <w:rsid w:val="00556E52"/>
    <w:rsid w:val="005611C8"/>
    <w:rsid w:val="00561C96"/>
    <w:rsid w:val="005633D5"/>
    <w:rsid w:val="0056499C"/>
    <w:rsid w:val="00565A12"/>
    <w:rsid w:val="00565F6F"/>
    <w:rsid w:val="0056776E"/>
    <w:rsid w:val="00567A60"/>
    <w:rsid w:val="0057000C"/>
    <w:rsid w:val="00571A58"/>
    <w:rsid w:val="00574028"/>
    <w:rsid w:val="005762A0"/>
    <w:rsid w:val="005774A2"/>
    <w:rsid w:val="00577B68"/>
    <w:rsid w:val="005800D8"/>
    <w:rsid w:val="00582E38"/>
    <w:rsid w:val="00583E44"/>
    <w:rsid w:val="00583FFD"/>
    <w:rsid w:val="00584345"/>
    <w:rsid w:val="00593152"/>
    <w:rsid w:val="00595472"/>
    <w:rsid w:val="0059555B"/>
    <w:rsid w:val="005A057D"/>
    <w:rsid w:val="005A0D04"/>
    <w:rsid w:val="005A21E0"/>
    <w:rsid w:val="005A630A"/>
    <w:rsid w:val="005B282E"/>
    <w:rsid w:val="005B2C5A"/>
    <w:rsid w:val="005B4586"/>
    <w:rsid w:val="005B51ED"/>
    <w:rsid w:val="005B6FFC"/>
    <w:rsid w:val="005C5530"/>
    <w:rsid w:val="005C7D83"/>
    <w:rsid w:val="005D4F6C"/>
    <w:rsid w:val="005D5802"/>
    <w:rsid w:val="005E0178"/>
    <w:rsid w:val="005F0963"/>
    <w:rsid w:val="005F171D"/>
    <w:rsid w:val="0060226E"/>
    <w:rsid w:val="00603D03"/>
    <w:rsid w:val="00604307"/>
    <w:rsid w:val="0060487F"/>
    <w:rsid w:val="00607E35"/>
    <w:rsid w:val="00611D17"/>
    <w:rsid w:val="00615839"/>
    <w:rsid w:val="00616F6B"/>
    <w:rsid w:val="00624093"/>
    <w:rsid w:val="00625719"/>
    <w:rsid w:val="0062609C"/>
    <w:rsid w:val="006304F6"/>
    <w:rsid w:val="00632854"/>
    <w:rsid w:val="00634F4A"/>
    <w:rsid w:val="0063531C"/>
    <w:rsid w:val="006359AB"/>
    <w:rsid w:val="006404A7"/>
    <w:rsid w:val="00640572"/>
    <w:rsid w:val="006451E4"/>
    <w:rsid w:val="00652690"/>
    <w:rsid w:val="006527A0"/>
    <w:rsid w:val="006570DA"/>
    <w:rsid w:val="00657E87"/>
    <w:rsid w:val="006648D8"/>
    <w:rsid w:val="006668D0"/>
    <w:rsid w:val="006710C9"/>
    <w:rsid w:val="00672363"/>
    <w:rsid w:val="006726A9"/>
    <w:rsid w:val="00675E37"/>
    <w:rsid w:val="0068260E"/>
    <w:rsid w:val="00682F01"/>
    <w:rsid w:val="00682FE8"/>
    <w:rsid w:val="00685F49"/>
    <w:rsid w:val="00695BEF"/>
    <w:rsid w:val="006977F6"/>
    <w:rsid w:val="00697A13"/>
    <w:rsid w:val="006A109C"/>
    <w:rsid w:val="006A3019"/>
    <w:rsid w:val="006B238F"/>
    <w:rsid w:val="006B529D"/>
    <w:rsid w:val="006B678F"/>
    <w:rsid w:val="006B78D8"/>
    <w:rsid w:val="006C113F"/>
    <w:rsid w:val="006C1F14"/>
    <w:rsid w:val="006D1029"/>
    <w:rsid w:val="006D15FB"/>
    <w:rsid w:val="006D4FE6"/>
    <w:rsid w:val="006D5C77"/>
    <w:rsid w:val="006D61F6"/>
    <w:rsid w:val="006E01A9"/>
    <w:rsid w:val="006E163D"/>
    <w:rsid w:val="006E19AC"/>
    <w:rsid w:val="006E279A"/>
    <w:rsid w:val="006E313B"/>
    <w:rsid w:val="006E74BF"/>
    <w:rsid w:val="006F33BA"/>
    <w:rsid w:val="00700828"/>
    <w:rsid w:val="0070202F"/>
    <w:rsid w:val="0070387F"/>
    <w:rsid w:val="007109D8"/>
    <w:rsid w:val="00712F61"/>
    <w:rsid w:val="0071422E"/>
    <w:rsid w:val="007211F5"/>
    <w:rsid w:val="00726FF3"/>
    <w:rsid w:val="00730AE8"/>
    <w:rsid w:val="00731A68"/>
    <w:rsid w:val="00732B9F"/>
    <w:rsid w:val="00737F9F"/>
    <w:rsid w:val="00741493"/>
    <w:rsid w:val="00742C4C"/>
    <w:rsid w:val="00745F78"/>
    <w:rsid w:val="00751222"/>
    <w:rsid w:val="00751735"/>
    <w:rsid w:val="00752180"/>
    <w:rsid w:val="00752C7C"/>
    <w:rsid w:val="00755D3A"/>
    <w:rsid w:val="007568F2"/>
    <w:rsid w:val="007609C6"/>
    <w:rsid w:val="0076193A"/>
    <w:rsid w:val="00770519"/>
    <w:rsid w:val="007731F0"/>
    <w:rsid w:val="00776527"/>
    <w:rsid w:val="00782E0D"/>
    <w:rsid w:val="00786CA3"/>
    <w:rsid w:val="00791B54"/>
    <w:rsid w:val="00792261"/>
    <w:rsid w:val="007968EB"/>
    <w:rsid w:val="007A06E8"/>
    <w:rsid w:val="007A1F26"/>
    <w:rsid w:val="007A6DE9"/>
    <w:rsid w:val="007B0F80"/>
    <w:rsid w:val="007B1281"/>
    <w:rsid w:val="007B213A"/>
    <w:rsid w:val="007B47EE"/>
    <w:rsid w:val="007B5759"/>
    <w:rsid w:val="007B60D9"/>
    <w:rsid w:val="007D0D2A"/>
    <w:rsid w:val="007D3D51"/>
    <w:rsid w:val="007D4218"/>
    <w:rsid w:val="007D4B5E"/>
    <w:rsid w:val="007D5552"/>
    <w:rsid w:val="007E12CE"/>
    <w:rsid w:val="007E20ED"/>
    <w:rsid w:val="007E7E61"/>
    <w:rsid w:val="007F2310"/>
    <w:rsid w:val="007F3644"/>
    <w:rsid w:val="00801892"/>
    <w:rsid w:val="0080395F"/>
    <w:rsid w:val="00811BB4"/>
    <w:rsid w:val="00811CEE"/>
    <w:rsid w:val="008202F7"/>
    <w:rsid w:val="0082092C"/>
    <w:rsid w:val="00821FF6"/>
    <w:rsid w:val="0083143E"/>
    <w:rsid w:val="00831FC9"/>
    <w:rsid w:val="00834FAA"/>
    <w:rsid w:val="00836086"/>
    <w:rsid w:val="00841905"/>
    <w:rsid w:val="00847A5E"/>
    <w:rsid w:val="00852269"/>
    <w:rsid w:val="00852343"/>
    <w:rsid w:val="00853D2C"/>
    <w:rsid w:val="008570E4"/>
    <w:rsid w:val="008600D2"/>
    <w:rsid w:val="00865CEB"/>
    <w:rsid w:val="00870333"/>
    <w:rsid w:val="00870609"/>
    <w:rsid w:val="008747D9"/>
    <w:rsid w:val="00876086"/>
    <w:rsid w:val="008808E3"/>
    <w:rsid w:val="00884C3D"/>
    <w:rsid w:val="00886A8B"/>
    <w:rsid w:val="00890D04"/>
    <w:rsid w:val="00892136"/>
    <w:rsid w:val="00893381"/>
    <w:rsid w:val="008936B0"/>
    <w:rsid w:val="008A3943"/>
    <w:rsid w:val="008A4331"/>
    <w:rsid w:val="008A582A"/>
    <w:rsid w:val="008A7B73"/>
    <w:rsid w:val="008B06A5"/>
    <w:rsid w:val="008B103E"/>
    <w:rsid w:val="008B3CCF"/>
    <w:rsid w:val="008B7C02"/>
    <w:rsid w:val="008C0E88"/>
    <w:rsid w:val="008C29E3"/>
    <w:rsid w:val="008C3210"/>
    <w:rsid w:val="008C4674"/>
    <w:rsid w:val="008D2A16"/>
    <w:rsid w:val="008D4A94"/>
    <w:rsid w:val="008E31FF"/>
    <w:rsid w:val="008E7731"/>
    <w:rsid w:val="008F739D"/>
    <w:rsid w:val="009003A8"/>
    <w:rsid w:val="009004D5"/>
    <w:rsid w:val="00902EFF"/>
    <w:rsid w:val="0090382A"/>
    <w:rsid w:val="00916DED"/>
    <w:rsid w:val="00921509"/>
    <w:rsid w:val="00921B68"/>
    <w:rsid w:val="00921F14"/>
    <w:rsid w:val="00924C4D"/>
    <w:rsid w:val="0092547A"/>
    <w:rsid w:val="0092586B"/>
    <w:rsid w:val="009269FF"/>
    <w:rsid w:val="009278E3"/>
    <w:rsid w:val="00927F6A"/>
    <w:rsid w:val="0093263D"/>
    <w:rsid w:val="00933B14"/>
    <w:rsid w:val="00933B34"/>
    <w:rsid w:val="009356E9"/>
    <w:rsid w:val="009404CE"/>
    <w:rsid w:val="00941BE2"/>
    <w:rsid w:val="009425CE"/>
    <w:rsid w:val="0094427A"/>
    <w:rsid w:val="00950CEC"/>
    <w:rsid w:val="00953B30"/>
    <w:rsid w:val="00957EFD"/>
    <w:rsid w:val="00961980"/>
    <w:rsid w:val="0096469B"/>
    <w:rsid w:val="00970283"/>
    <w:rsid w:val="00971926"/>
    <w:rsid w:val="00973454"/>
    <w:rsid w:val="00974923"/>
    <w:rsid w:val="009749A4"/>
    <w:rsid w:val="00981C59"/>
    <w:rsid w:val="00983C02"/>
    <w:rsid w:val="00987CEB"/>
    <w:rsid w:val="00992400"/>
    <w:rsid w:val="00995B67"/>
    <w:rsid w:val="00996AF4"/>
    <w:rsid w:val="009B00E9"/>
    <w:rsid w:val="009B0977"/>
    <w:rsid w:val="009B6FD3"/>
    <w:rsid w:val="009B7152"/>
    <w:rsid w:val="009B750D"/>
    <w:rsid w:val="009C0617"/>
    <w:rsid w:val="009C2579"/>
    <w:rsid w:val="009C43C8"/>
    <w:rsid w:val="009C4480"/>
    <w:rsid w:val="009C5EDA"/>
    <w:rsid w:val="009D6F89"/>
    <w:rsid w:val="009E5596"/>
    <w:rsid w:val="009E6FBF"/>
    <w:rsid w:val="009F6FAD"/>
    <w:rsid w:val="00A01B53"/>
    <w:rsid w:val="00A01E47"/>
    <w:rsid w:val="00A03DF6"/>
    <w:rsid w:val="00A04CF6"/>
    <w:rsid w:val="00A07028"/>
    <w:rsid w:val="00A10D66"/>
    <w:rsid w:val="00A116C2"/>
    <w:rsid w:val="00A1320A"/>
    <w:rsid w:val="00A17341"/>
    <w:rsid w:val="00A1749B"/>
    <w:rsid w:val="00A17D70"/>
    <w:rsid w:val="00A200ED"/>
    <w:rsid w:val="00A20ADB"/>
    <w:rsid w:val="00A23E43"/>
    <w:rsid w:val="00A31E79"/>
    <w:rsid w:val="00A32CCB"/>
    <w:rsid w:val="00A33EFD"/>
    <w:rsid w:val="00A35033"/>
    <w:rsid w:val="00A44E44"/>
    <w:rsid w:val="00A46DE0"/>
    <w:rsid w:val="00A51ADD"/>
    <w:rsid w:val="00A5311C"/>
    <w:rsid w:val="00A55D99"/>
    <w:rsid w:val="00A62CE1"/>
    <w:rsid w:val="00A632EB"/>
    <w:rsid w:val="00A648A9"/>
    <w:rsid w:val="00A65AC0"/>
    <w:rsid w:val="00A65FA8"/>
    <w:rsid w:val="00A67899"/>
    <w:rsid w:val="00A67E6F"/>
    <w:rsid w:val="00A70621"/>
    <w:rsid w:val="00A71687"/>
    <w:rsid w:val="00A719B4"/>
    <w:rsid w:val="00A7275B"/>
    <w:rsid w:val="00A72FEB"/>
    <w:rsid w:val="00A731B7"/>
    <w:rsid w:val="00A74199"/>
    <w:rsid w:val="00A75E40"/>
    <w:rsid w:val="00A857C0"/>
    <w:rsid w:val="00A90C76"/>
    <w:rsid w:val="00A91092"/>
    <w:rsid w:val="00A94C93"/>
    <w:rsid w:val="00A9631C"/>
    <w:rsid w:val="00AA162F"/>
    <w:rsid w:val="00AA559A"/>
    <w:rsid w:val="00AB227D"/>
    <w:rsid w:val="00AB26A4"/>
    <w:rsid w:val="00AB2AF1"/>
    <w:rsid w:val="00AB2DE2"/>
    <w:rsid w:val="00AC1416"/>
    <w:rsid w:val="00AD306C"/>
    <w:rsid w:val="00AE5658"/>
    <w:rsid w:val="00AE6FBA"/>
    <w:rsid w:val="00AF0530"/>
    <w:rsid w:val="00AF2F66"/>
    <w:rsid w:val="00B01CAD"/>
    <w:rsid w:val="00B0714F"/>
    <w:rsid w:val="00B14F3A"/>
    <w:rsid w:val="00B1581D"/>
    <w:rsid w:val="00B17448"/>
    <w:rsid w:val="00B17E71"/>
    <w:rsid w:val="00B17FDE"/>
    <w:rsid w:val="00B27096"/>
    <w:rsid w:val="00B32DDB"/>
    <w:rsid w:val="00B4203F"/>
    <w:rsid w:val="00B54312"/>
    <w:rsid w:val="00B6608F"/>
    <w:rsid w:val="00B677D7"/>
    <w:rsid w:val="00B70D02"/>
    <w:rsid w:val="00B7495A"/>
    <w:rsid w:val="00B75EDD"/>
    <w:rsid w:val="00B7630E"/>
    <w:rsid w:val="00B76D1E"/>
    <w:rsid w:val="00B7726A"/>
    <w:rsid w:val="00B83702"/>
    <w:rsid w:val="00B93684"/>
    <w:rsid w:val="00B943B7"/>
    <w:rsid w:val="00B95940"/>
    <w:rsid w:val="00B97BEC"/>
    <w:rsid w:val="00BA0463"/>
    <w:rsid w:val="00BA493B"/>
    <w:rsid w:val="00BA6FAC"/>
    <w:rsid w:val="00BB3675"/>
    <w:rsid w:val="00BB5796"/>
    <w:rsid w:val="00BC3543"/>
    <w:rsid w:val="00BC7741"/>
    <w:rsid w:val="00BD1226"/>
    <w:rsid w:val="00BD366B"/>
    <w:rsid w:val="00BD4613"/>
    <w:rsid w:val="00BD4B9C"/>
    <w:rsid w:val="00BD6A6C"/>
    <w:rsid w:val="00BD6D50"/>
    <w:rsid w:val="00BE5327"/>
    <w:rsid w:val="00BF1E62"/>
    <w:rsid w:val="00BF71D3"/>
    <w:rsid w:val="00C00E7E"/>
    <w:rsid w:val="00C05CE2"/>
    <w:rsid w:val="00C13E0C"/>
    <w:rsid w:val="00C1729E"/>
    <w:rsid w:val="00C17913"/>
    <w:rsid w:val="00C21F94"/>
    <w:rsid w:val="00C2369D"/>
    <w:rsid w:val="00C24D2A"/>
    <w:rsid w:val="00C26121"/>
    <w:rsid w:val="00C3010E"/>
    <w:rsid w:val="00C30698"/>
    <w:rsid w:val="00C327D5"/>
    <w:rsid w:val="00C34969"/>
    <w:rsid w:val="00C43CF3"/>
    <w:rsid w:val="00C4545D"/>
    <w:rsid w:val="00C45C9A"/>
    <w:rsid w:val="00C51702"/>
    <w:rsid w:val="00C55C93"/>
    <w:rsid w:val="00C565C2"/>
    <w:rsid w:val="00C56B02"/>
    <w:rsid w:val="00C579F9"/>
    <w:rsid w:val="00C6146A"/>
    <w:rsid w:val="00C62CB9"/>
    <w:rsid w:val="00C65137"/>
    <w:rsid w:val="00C775D6"/>
    <w:rsid w:val="00C80F44"/>
    <w:rsid w:val="00C84771"/>
    <w:rsid w:val="00C87EFF"/>
    <w:rsid w:val="00C90CF4"/>
    <w:rsid w:val="00C93389"/>
    <w:rsid w:val="00C93C7E"/>
    <w:rsid w:val="00CA0604"/>
    <w:rsid w:val="00CA3E80"/>
    <w:rsid w:val="00CA6B42"/>
    <w:rsid w:val="00CA7C60"/>
    <w:rsid w:val="00CB3BFB"/>
    <w:rsid w:val="00CB4446"/>
    <w:rsid w:val="00CC1837"/>
    <w:rsid w:val="00CC1FD8"/>
    <w:rsid w:val="00CC4213"/>
    <w:rsid w:val="00CD04D0"/>
    <w:rsid w:val="00CD2AF1"/>
    <w:rsid w:val="00CE4127"/>
    <w:rsid w:val="00CE4BCF"/>
    <w:rsid w:val="00CE68CD"/>
    <w:rsid w:val="00CE7E7D"/>
    <w:rsid w:val="00CF363D"/>
    <w:rsid w:val="00CF51EC"/>
    <w:rsid w:val="00CF5290"/>
    <w:rsid w:val="00CF6C31"/>
    <w:rsid w:val="00D0071D"/>
    <w:rsid w:val="00D009CF"/>
    <w:rsid w:val="00D0178D"/>
    <w:rsid w:val="00D01E94"/>
    <w:rsid w:val="00D040DD"/>
    <w:rsid w:val="00D108CC"/>
    <w:rsid w:val="00D20989"/>
    <w:rsid w:val="00D20F09"/>
    <w:rsid w:val="00D314E4"/>
    <w:rsid w:val="00D32AAF"/>
    <w:rsid w:val="00D33F8D"/>
    <w:rsid w:val="00D34BDD"/>
    <w:rsid w:val="00D3551B"/>
    <w:rsid w:val="00D365D9"/>
    <w:rsid w:val="00D41C71"/>
    <w:rsid w:val="00D446F8"/>
    <w:rsid w:val="00D472AE"/>
    <w:rsid w:val="00D47800"/>
    <w:rsid w:val="00D51711"/>
    <w:rsid w:val="00D54136"/>
    <w:rsid w:val="00D63104"/>
    <w:rsid w:val="00D72BE7"/>
    <w:rsid w:val="00D73DB8"/>
    <w:rsid w:val="00D73DD4"/>
    <w:rsid w:val="00D73DFC"/>
    <w:rsid w:val="00D77086"/>
    <w:rsid w:val="00D84544"/>
    <w:rsid w:val="00D86E42"/>
    <w:rsid w:val="00D87913"/>
    <w:rsid w:val="00D94983"/>
    <w:rsid w:val="00D96D82"/>
    <w:rsid w:val="00DA010B"/>
    <w:rsid w:val="00DB1E73"/>
    <w:rsid w:val="00DB2526"/>
    <w:rsid w:val="00DB3AA5"/>
    <w:rsid w:val="00DB3E98"/>
    <w:rsid w:val="00DC3BBA"/>
    <w:rsid w:val="00DC3ED0"/>
    <w:rsid w:val="00DC5B3B"/>
    <w:rsid w:val="00DD45F1"/>
    <w:rsid w:val="00DD7048"/>
    <w:rsid w:val="00DE006B"/>
    <w:rsid w:val="00DE1B58"/>
    <w:rsid w:val="00DE3297"/>
    <w:rsid w:val="00DE47B5"/>
    <w:rsid w:val="00DF4FCD"/>
    <w:rsid w:val="00E01C0E"/>
    <w:rsid w:val="00E01CC4"/>
    <w:rsid w:val="00E04694"/>
    <w:rsid w:val="00E069D1"/>
    <w:rsid w:val="00E073DB"/>
    <w:rsid w:val="00E102AC"/>
    <w:rsid w:val="00E12DF9"/>
    <w:rsid w:val="00E1300B"/>
    <w:rsid w:val="00E14433"/>
    <w:rsid w:val="00E15214"/>
    <w:rsid w:val="00E17597"/>
    <w:rsid w:val="00E220A4"/>
    <w:rsid w:val="00E26C33"/>
    <w:rsid w:val="00E47D1F"/>
    <w:rsid w:val="00E56AF9"/>
    <w:rsid w:val="00E61DAC"/>
    <w:rsid w:val="00E66516"/>
    <w:rsid w:val="00E70707"/>
    <w:rsid w:val="00E71141"/>
    <w:rsid w:val="00E7166A"/>
    <w:rsid w:val="00E71A58"/>
    <w:rsid w:val="00E8045A"/>
    <w:rsid w:val="00E80912"/>
    <w:rsid w:val="00E83A55"/>
    <w:rsid w:val="00E84554"/>
    <w:rsid w:val="00E86BC2"/>
    <w:rsid w:val="00E9566A"/>
    <w:rsid w:val="00E97E71"/>
    <w:rsid w:val="00EA0C68"/>
    <w:rsid w:val="00EA16CF"/>
    <w:rsid w:val="00EA34C7"/>
    <w:rsid w:val="00EA4479"/>
    <w:rsid w:val="00EA4C44"/>
    <w:rsid w:val="00EA4C56"/>
    <w:rsid w:val="00EA5FC9"/>
    <w:rsid w:val="00EB477A"/>
    <w:rsid w:val="00EB5D4A"/>
    <w:rsid w:val="00EC67EE"/>
    <w:rsid w:val="00ED286F"/>
    <w:rsid w:val="00ED7514"/>
    <w:rsid w:val="00EE1E9E"/>
    <w:rsid w:val="00EE3521"/>
    <w:rsid w:val="00EE3E78"/>
    <w:rsid w:val="00EE78AF"/>
    <w:rsid w:val="00EF0044"/>
    <w:rsid w:val="00EF035B"/>
    <w:rsid w:val="00EF1F5A"/>
    <w:rsid w:val="00EF4D97"/>
    <w:rsid w:val="00F04811"/>
    <w:rsid w:val="00F0488C"/>
    <w:rsid w:val="00F07C01"/>
    <w:rsid w:val="00F07F60"/>
    <w:rsid w:val="00F14B1D"/>
    <w:rsid w:val="00F15BEF"/>
    <w:rsid w:val="00F168BC"/>
    <w:rsid w:val="00F21DFA"/>
    <w:rsid w:val="00F2239D"/>
    <w:rsid w:val="00F24FAA"/>
    <w:rsid w:val="00F3211B"/>
    <w:rsid w:val="00F3364D"/>
    <w:rsid w:val="00F406B6"/>
    <w:rsid w:val="00F40EF7"/>
    <w:rsid w:val="00F47A8A"/>
    <w:rsid w:val="00F52BDF"/>
    <w:rsid w:val="00F620DF"/>
    <w:rsid w:val="00F63DDE"/>
    <w:rsid w:val="00F63FB7"/>
    <w:rsid w:val="00F7017B"/>
    <w:rsid w:val="00F70F0F"/>
    <w:rsid w:val="00F73A0C"/>
    <w:rsid w:val="00F76FA7"/>
    <w:rsid w:val="00F81C0C"/>
    <w:rsid w:val="00F83062"/>
    <w:rsid w:val="00F83892"/>
    <w:rsid w:val="00FA07DB"/>
    <w:rsid w:val="00FA164C"/>
    <w:rsid w:val="00FA2A86"/>
    <w:rsid w:val="00FA4AFE"/>
    <w:rsid w:val="00FA71E8"/>
    <w:rsid w:val="00FA7F62"/>
    <w:rsid w:val="00FB1AEA"/>
    <w:rsid w:val="00FB4979"/>
    <w:rsid w:val="00FC0508"/>
    <w:rsid w:val="00FC0E5F"/>
    <w:rsid w:val="00FC1F26"/>
    <w:rsid w:val="00FC35AB"/>
    <w:rsid w:val="00FC400E"/>
    <w:rsid w:val="00FC556B"/>
    <w:rsid w:val="00FC56DE"/>
    <w:rsid w:val="00FE2F78"/>
    <w:rsid w:val="00FE42B8"/>
    <w:rsid w:val="00FE4638"/>
    <w:rsid w:val="00FE4DB0"/>
    <w:rsid w:val="00FE4E3E"/>
    <w:rsid w:val="00FF166A"/>
    <w:rsid w:val="00FF2C93"/>
    <w:rsid w:val="00FF3257"/>
    <w:rsid w:val="00FF6357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DA4401F"/>
  <w15:docId w15:val="{B6F92F1B-C824-47EB-B71E-CEA22DDD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Zkladntext">
    <w:name w:val="Body Text"/>
    <w:basedOn w:val="Normln"/>
    <w:link w:val="ZkladntextChar"/>
    <w:rsid w:val="005301F4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5301F4"/>
    <w:rPr>
      <w:rFonts w:ascii="Times New Roman" w:eastAsia="Times New Roman" w:hAnsi="Times New Roman"/>
      <w:sz w:val="24"/>
    </w:rPr>
  </w:style>
  <w:style w:type="paragraph" w:customStyle="1" w:styleId="PBA12">
    <w:name w:val="PB_A12"/>
    <w:basedOn w:val="Normln"/>
    <w:rsid w:val="005301F4"/>
    <w:pPr>
      <w:tabs>
        <w:tab w:val="left" w:pos="709"/>
      </w:tabs>
      <w:spacing w:before="120" w:line="312" w:lineRule="auto"/>
      <w:ind w:firstLine="709"/>
      <w:jc w:val="both"/>
    </w:pPr>
    <w:rPr>
      <w:sz w:val="24"/>
    </w:rPr>
  </w:style>
  <w:style w:type="paragraph" w:customStyle="1" w:styleId="Normln0">
    <w:name w:val="Norm‡ln’"/>
    <w:rsid w:val="00811BB4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rsid w:val="00811BB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qFormat/>
    <w:rsid w:val="00811BB4"/>
    <w:rPr>
      <w:b/>
      <w:bCs/>
    </w:rPr>
  </w:style>
  <w:style w:type="character" w:customStyle="1" w:styleId="clatext1">
    <w:name w:val="clatext1"/>
    <w:rsid w:val="00811BB4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akthlavicka1">
    <w:name w:val="akthlavicka1"/>
    <w:basedOn w:val="Standardnpsmoodstavce"/>
    <w:rsid w:val="00811BB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11BB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811BB4"/>
    <w:rPr>
      <w:rFonts w:ascii="Arial" w:eastAsia="Times New Roman" w:hAnsi="Arial"/>
      <w:szCs w:val="24"/>
    </w:rPr>
  </w:style>
  <w:style w:type="paragraph" w:customStyle="1" w:styleId="odrky">
    <w:name w:val="odrky"/>
    <w:basedOn w:val="Normln"/>
    <w:rsid w:val="00811BB4"/>
    <w:pPr>
      <w:numPr>
        <w:numId w:val="2"/>
      </w:numPr>
      <w:spacing w:after="60" w:line="240" w:lineRule="auto"/>
      <w:jc w:val="both"/>
    </w:pPr>
    <w:rPr>
      <w:rFonts w:cs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359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6359AB"/>
    <w:rPr>
      <w:rFonts w:ascii="Arial" w:eastAsia="Times New Roman" w:hAnsi="Arial"/>
      <w:sz w:val="16"/>
      <w:szCs w:val="16"/>
    </w:rPr>
  </w:style>
  <w:style w:type="paragraph" w:customStyle="1" w:styleId="Default">
    <w:name w:val="Default"/>
    <w:rsid w:val="00921B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363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72363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672363"/>
    <w:rPr>
      <w:vertAlign w:val="superscript"/>
    </w:rPr>
  </w:style>
  <w:style w:type="character" w:customStyle="1" w:styleId="attr">
    <w:name w:val="attr"/>
    <w:basedOn w:val="Standardnpsmoodstavce"/>
    <w:rsid w:val="00142BBF"/>
  </w:style>
  <w:style w:type="character" w:customStyle="1" w:styleId="content">
    <w:name w:val="content"/>
    <w:basedOn w:val="Standardnpsmoodstavce"/>
    <w:rsid w:val="0092586B"/>
  </w:style>
  <w:style w:type="character" w:styleId="Odkaznakoment">
    <w:name w:val="annotation reference"/>
    <w:uiPriority w:val="99"/>
    <w:semiHidden/>
    <w:unhideWhenUsed/>
    <w:rsid w:val="00D10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8C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108CC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8C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108CC"/>
    <w:rPr>
      <w:rFonts w:ascii="Arial" w:eastAsia="Times New Roman" w:hAnsi="Arial"/>
      <w:b/>
      <w:bCs/>
    </w:rPr>
  </w:style>
  <w:style w:type="character" w:styleId="Sledovanodkaz">
    <w:name w:val="FollowedHyperlink"/>
    <w:uiPriority w:val="99"/>
    <w:semiHidden/>
    <w:unhideWhenUsed/>
    <w:rsid w:val="005B282E"/>
    <w:rPr>
      <w:color w:val="800080"/>
      <w:u w:val="single"/>
    </w:rPr>
  </w:style>
  <w:style w:type="table" w:styleId="Mkatabulky">
    <w:name w:val="Table Grid"/>
    <w:basedOn w:val="Normlntabulka"/>
    <w:uiPriority w:val="59"/>
    <w:rsid w:val="0003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ec.europa.eu/eurostat/tgm/mapToolClosed.do?tab=map&amp;init=1&amp;plugin=1&amp;language=en&amp;pcode=tps00098&amp;toolbox=types" TargetMode="External"/><Relationship Id="rId26" Type="http://schemas.openxmlformats.org/officeDocument/2006/relationships/hyperlink" Target="http://www.mpsv.cz/cs/16142" TargetMode="External"/><Relationship Id="rId3" Type="http://schemas.openxmlformats.org/officeDocument/2006/relationships/styles" Target="styles.xml"/><Relationship Id="rId21" Type="http://schemas.openxmlformats.org/officeDocument/2006/relationships/hyperlink" Target="http://appsso.eurostat.ec.europa.eu/nui/show.do?dataset=spr_exp_sum&amp;lang=e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ec.europa.eu/eurostat/web/social-protection/data/main-tables" TargetMode="External"/><Relationship Id="rId25" Type="http://schemas.openxmlformats.org/officeDocument/2006/relationships/hyperlink" Target="http://ec.europa.eu/eurostat/tgm/mapToolClosed.do?tab=map&amp;init=1&amp;plugin=1&amp;language=en&amp;pcode=tps00098&amp;toolbox=type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www.czso.cz/csu/czso/evropsky_srovnavaci_progra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chart" Target="charts/chart5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chart" Target="charts/chart4.xml"/><Relationship Id="rId28" Type="http://schemas.openxmlformats.org/officeDocument/2006/relationships/hyperlink" Target="https://ec.europa.eu/eurostat/web/social-protection/methodology" TargetMode="External"/><Relationship Id="rId10" Type="http://schemas.openxmlformats.org/officeDocument/2006/relationships/image" Target="media/image1.png"/><Relationship Id="rId19" Type="http://schemas.openxmlformats.org/officeDocument/2006/relationships/chart" Target="charts/chart3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png"/><Relationship Id="rId22" Type="http://schemas.openxmlformats.org/officeDocument/2006/relationships/hyperlink" Target="http://ec.europa.eu/eurostat/tgm/mapToolClosed.do?tab=map&amp;init=1&amp;plugin=1&amp;language=en&amp;pcode=tps00098&amp;toolbox=types" TargetMode="External"/><Relationship Id="rId27" Type="http://schemas.openxmlformats.org/officeDocument/2006/relationships/hyperlink" Target="http://ec.europa.eu/eurostat/web/social-protection/data/main-tables" TargetMode="External"/><Relationship Id="rId30" Type="http://schemas.openxmlformats.org/officeDocument/2006/relationships/header" Target="header2.xml"/><Relationship Id="rId8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VIK~1\AppData\Local\Temp\publikace%20bar_lide%20a%20spolecnost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ABFS2\DATA\DATA\ZPRAC\TECHNOL\oddeleni_6301\4_Soci&#225;ln&#237;_zabezpe&#269;en&#237;\Vybran&#233;%20&#250;daje%20o%20soci&#225;ln&#237;m%20zabezpe&#269;en&#237;\2018\Pracovni\Tabulky\7_Esspros_2017_M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2018\7_Esspros_2017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2018\7_Esspros_2017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1\4_Soci&#225;ln&#237;_zabezpe&#269;en&#237;\Vybran&#233;%20&#250;daje%20o%20soci&#225;ln&#237;m%20zabezpe&#269;en&#237;\2018\Pracovni\Tabulky\Kopie%20-%207_Esspros_2017_M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oddeleni_6301\4_Soci&#225;ln&#237;_zabezpe&#269;en&#237;\Vybran&#233;%20&#250;daje%20o%20soci&#225;ln&#237;m%20zabezpe&#269;en&#237;\2018\Pracovni\Tabulky\Kopie%20-%207_Esspros_2017_M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380287637546942E-2"/>
          <c:y val="8.0356173243387563E-2"/>
          <c:w val="0.89923942472490626"/>
          <c:h val="0.803642954372823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graf_7.1!$M$2</c:f>
              <c:strCache>
                <c:ptCount val="1"/>
                <c:pt idx="0">
                  <c:v>Výdaje na sociální ochranu
 (v mld. Kč)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  <a:ln>
              <a:solidFill>
                <a:srgbClr val="4F81BD">
                  <a:lumMod val="75000"/>
                </a:srgbClr>
              </a:solidFill>
            </a:ln>
          </c:spPr>
          <c:invertIfNegative val="0"/>
          <c:cat>
            <c:numRef>
              <c:f>graf_7.1!$L$5:$L$25</c:f>
              <c:numCache>
                <c:formatCode>0</c:formatCode>
                <c:ptCount val="21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</c:numCache>
            </c:numRef>
          </c:cat>
          <c:val>
            <c:numRef>
              <c:f>graf_7.1!$M$5:$M$25</c:f>
              <c:numCache>
                <c:formatCode>#\ ##0.0</c:formatCode>
                <c:ptCount val="21"/>
                <c:pt idx="0">
                  <c:v>296.16300000000001</c:v>
                </c:pt>
                <c:pt idx="1">
                  <c:v>336.512</c:v>
                </c:pt>
                <c:pt idx="2">
                  <c:v>370.048</c:v>
                </c:pt>
                <c:pt idx="3">
                  <c:v>399.923</c:v>
                </c:pt>
                <c:pt idx="4">
                  <c:v>427.18299999999999</c:v>
                </c:pt>
                <c:pt idx="5">
                  <c:v>457.512</c:v>
                </c:pt>
                <c:pt idx="6">
                  <c:v>497.45499999999998</c:v>
                </c:pt>
                <c:pt idx="7">
                  <c:v>521.51300000000003</c:v>
                </c:pt>
                <c:pt idx="8">
                  <c:v>545.53700000000003</c:v>
                </c:pt>
                <c:pt idx="9">
                  <c:v>587.42100000000005</c:v>
                </c:pt>
                <c:pt idx="10">
                  <c:v>618.99699999999996</c:v>
                </c:pt>
                <c:pt idx="11">
                  <c:v>676.91200000000003</c:v>
                </c:pt>
                <c:pt idx="12">
                  <c:v>720.17200000000003</c:v>
                </c:pt>
                <c:pt idx="13">
                  <c:v>790.077</c:v>
                </c:pt>
                <c:pt idx="14">
                  <c:v>793.98800000000006</c:v>
                </c:pt>
                <c:pt idx="15">
                  <c:v>809.13800000000003</c:v>
                </c:pt>
                <c:pt idx="16">
                  <c:v>829.82007999999996</c:v>
                </c:pt>
                <c:pt idx="17">
                  <c:v>826.90793000000008</c:v>
                </c:pt>
                <c:pt idx="18">
                  <c:v>848.24653999999998</c:v>
                </c:pt>
                <c:pt idx="19">
                  <c:v>871.3</c:v>
                </c:pt>
                <c:pt idx="20">
                  <c:v>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C3-4FCB-A89F-71C5416CEF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2"/>
        <c:axId val="129868928"/>
        <c:axId val="129870464"/>
      </c:barChart>
      <c:lineChart>
        <c:grouping val="standard"/>
        <c:varyColors val="0"/>
        <c:ser>
          <c:idx val="1"/>
          <c:order val="1"/>
          <c:tx>
            <c:strRef>
              <c:f>graf_7.1!$O$2</c:f>
              <c:strCache>
                <c:ptCount val="1"/>
                <c:pt idx="0">
                  <c:v>Podíl výdajů na sociální ochranu k HDP</c:v>
                </c:pt>
              </c:strCache>
            </c:strRef>
          </c:tx>
          <c:spPr>
            <a:ln>
              <a:solidFill>
                <a:srgbClr val="A50021"/>
              </a:solidFill>
            </a:ln>
          </c:spPr>
          <c:marker>
            <c:symbol val="diamond"/>
            <c:size val="7"/>
            <c:spPr>
              <a:solidFill>
                <a:srgbClr val="D66068"/>
              </a:solidFill>
              <a:ln w="15875">
                <a:solidFill>
                  <a:srgbClr val="A50021"/>
                </a:solidFill>
              </a:ln>
            </c:spPr>
          </c:marker>
          <c:dLbls>
            <c:dLbl>
              <c:idx val="1"/>
              <c:layout>
                <c:manualLayout>
                  <c:x val="-3.8459640494465028E-2"/>
                  <c:y val="6.0000159107493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C3-4FCB-A89F-71C5416CEF51}"/>
                </c:ext>
              </c:extLst>
            </c:dLbl>
            <c:dLbl>
              <c:idx val="3"/>
              <c:layout>
                <c:manualLayout>
                  <c:x val="-3.6356591072803604E-2"/>
                  <c:y val="4.7753703528256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AC3-4FCB-A89F-71C5416CEF51}"/>
                </c:ext>
              </c:extLst>
            </c:dLbl>
            <c:dLbl>
              <c:idx val="13"/>
              <c:layout>
                <c:manualLayout>
                  <c:x val="-3.6356591072803604E-2"/>
                  <c:y val="0.102862753634822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C3-4FCB-A89F-71C5416CEF51}"/>
                </c:ext>
              </c:extLst>
            </c:dLbl>
            <c:dLbl>
              <c:idx val="14"/>
              <c:layout>
                <c:manualLayout>
                  <c:x val="-3.8459640494465028E-2"/>
                  <c:y val="7.8369842476349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AC3-4FCB-A89F-71C5416CEF51}"/>
                </c:ext>
              </c:extLst>
            </c:dLbl>
            <c:dLbl>
              <c:idx val="15"/>
              <c:layout>
                <c:manualLayout>
                  <c:x val="-3.6356591072803604E-2"/>
                  <c:y val="7.5308228581539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AC3-4FCB-A89F-71C5416CEF51}"/>
                </c:ext>
              </c:extLst>
            </c:dLbl>
            <c:dLbl>
              <c:idx val="16"/>
              <c:layout>
                <c:manualLayout>
                  <c:x val="-3.6356591072803604E-2"/>
                  <c:y val="4.7753703528256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AC3-4FCB-A89F-71C5416CEF51}"/>
                </c:ext>
              </c:extLst>
            </c:dLbl>
            <c:dLbl>
              <c:idx val="17"/>
              <c:layout>
                <c:manualLayout>
                  <c:x val="-3.8459640494465028E-2"/>
                  <c:y val="6.6123386897112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AC3-4FCB-A89F-71C5416CEF51}"/>
                </c:ext>
              </c:extLst>
            </c:dLbl>
            <c:dLbl>
              <c:idx val="18"/>
              <c:layout>
                <c:manualLayout>
                  <c:x val="-3.6356591072803604E-2"/>
                  <c:y val="5.08153174230661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AC3-4FCB-A89F-71C5416CEF51}"/>
                </c:ext>
              </c:extLst>
            </c:dLbl>
            <c:numFmt formatCode="#,##0.0" sourceLinked="0"/>
            <c:spPr>
              <a:solidFill>
                <a:sysClr val="window" lastClr="FFFFFF"/>
              </a:solidFill>
              <a:ln cap="rnd">
                <a:solidFill>
                  <a:srgbClr val="1F497D">
                    <a:alpha val="44000"/>
                  </a:srgbClr>
                </a:solidFill>
                <a:miter lim="800000"/>
              </a:ln>
            </c:spPr>
            <c:txPr>
              <a:bodyPr rot="0" vert="horz" anchor="ctr" anchorCtr="1"/>
              <a:lstStyle/>
              <a:p>
                <a:pPr>
                  <a:defRPr sz="8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graf_7.1!$L$5:$L$25</c:f>
              <c:numCache>
                <c:formatCode>0</c:formatCode>
                <c:ptCount val="21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</c:numCache>
            </c:numRef>
          </c:cat>
          <c:val>
            <c:numRef>
              <c:f>graf_7.1!$O$5:$O$25</c:f>
              <c:numCache>
                <c:formatCode>0.00</c:formatCode>
                <c:ptCount val="21"/>
                <c:pt idx="0">
                  <c:v>16.338927807342099</c:v>
                </c:pt>
                <c:pt idx="1">
                  <c:v>17.227773764648845</c:v>
                </c:pt>
                <c:pt idx="2">
                  <c:v>17.27108397465307</c:v>
                </c:pt>
                <c:pt idx="3">
                  <c:v>17.875251419121263</c:v>
                </c:pt>
                <c:pt idx="4">
                  <c:v>18.004619346463631</c:v>
                </c:pt>
                <c:pt idx="5">
                  <c:v>17.852879740303017</c:v>
                </c:pt>
                <c:pt idx="6">
                  <c:v>18.598993357595845</c:v>
                </c:pt>
                <c:pt idx="7">
                  <c:v>18.617731278044154</c:v>
                </c:pt>
                <c:pt idx="8" formatCode="General">
                  <c:v>17.8</c:v>
                </c:pt>
                <c:pt idx="9" formatCode="0.0">
                  <c:v>18</c:v>
                </c:pt>
                <c:pt idx="10" formatCode="General">
                  <c:v>17.600000000000001</c:v>
                </c:pt>
                <c:pt idx="11" formatCode="General">
                  <c:v>17.7</c:v>
                </c:pt>
                <c:pt idx="12" formatCode="General">
                  <c:v>17.899999999999999</c:v>
                </c:pt>
                <c:pt idx="13" formatCode="General">
                  <c:v>20.100000000000001</c:v>
                </c:pt>
                <c:pt idx="14" formatCode="General">
                  <c:v>20.100000000000001</c:v>
                </c:pt>
                <c:pt idx="15" formatCode="General">
                  <c:v>20.100000000000001</c:v>
                </c:pt>
                <c:pt idx="16" formatCode="General">
                  <c:v>20.399999999999999</c:v>
                </c:pt>
                <c:pt idx="17" formatCode="General">
                  <c:v>20.2</c:v>
                </c:pt>
                <c:pt idx="18" formatCode="General">
                  <c:v>19.7</c:v>
                </c:pt>
                <c:pt idx="19" formatCode="General">
                  <c:v>19.100000000000001</c:v>
                </c:pt>
                <c:pt idx="20" formatCode="0.0">
                  <c:v>18.87587851484588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8AC3-4FCB-A89F-71C5416CEF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890944"/>
        <c:axId val="129889024"/>
      </c:lineChart>
      <c:catAx>
        <c:axId val="12986892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29870464"/>
        <c:crosses val="autoZero"/>
        <c:auto val="1"/>
        <c:lblAlgn val="ctr"/>
        <c:lblOffset val="100"/>
        <c:noMultiLvlLbl val="0"/>
      </c:catAx>
      <c:valAx>
        <c:axId val="129870464"/>
        <c:scaling>
          <c:orientation val="minMax"/>
          <c:max val="900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00" b="0">
                    <a:latin typeface="Arial" pitchFamily="34" charset="0"/>
                    <a:cs typeface="Arial" pitchFamily="34" charset="0"/>
                  </a:defRPr>
                </a:pPr>
                <a:r>
                  <a:rPr lang="en-US" sz="800" b="0">
                    <a:latin typeface="Arial" pitchFamily="34" charset="0"/>
                    <a:cs typeface="Arial" pitchFamily="34" charset="0"/>
                  </a:rPr>
                  <a:t>mld. Kč</a:t>
                </a:r>
              </a:p>
            </c:rich>
          </c:tx>
          <c:layout>
            <c:manualLayout>
              <c:xMode val="edge"/>
              <c:yMode val="edge"/>
              <c:x val="1.0416666666666666E-2"/>
              <c:y val="1.1771164707563427E-3"/>
            </c:manualLayout>
          </c:layout>
          <c:overlay val="0"/>
        </c:title>
        <c:numFmt formatCode="#,##0_ ;\-#,##0\ 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29868928"/>
        <c:crosses val="autoZero"/>
        <c:crossBetween val="between"/>
        <c:majorUnit val="100"/>
      </c:valAx>
      <c:valAx>
        <c:axId val="129889024"/>
        <c:scaling>
          <c:orientation val="minMax"/>
          <c:max val="23"/>
          <c:min val="14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800" b="0">
                    <a:latin typeface="Arial" pitchFamily="34" charset="0"/>
                    <a:cs typeface="Arial" pitchFamily="34" charset="0"/>
                  </a:defRPr>
                </a:pPr>
                <a:r>
                  <a:rPr lang="en-US" sz="800" b="0">
                    <a:latin typeface="Arial" pitchFamily="34" charset="0"/>
                    <a:cs typeface="Arial" pitchFamily="34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0.95356249999999976"/>
              <c:y val="2.721235776759999E-3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29890944"/>
        <c:crosses val="max"/>
        <c:crossBetween val="between"/>
        <c:majorUnit val="1"/>
      </c:valAx>
      <c:catAx>
        <c:axId val="129890944"/>
        <c:scaling>
          <c:orientation val="minMax"/>
        </c:scaling>
        <c:delete val="1"/>
        <c:axPos val="b"/>
        <c:numFmt formatCode="0" sourceLinked="1"/>
        <c:majorTickMark val="out"/>
        <c:minorTickMark val="none"/>
        <c:tickLblPos val="none"/>
        <c:crossAx val="129889024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1632496253425736"/>
          <c:y val="0.14544907969573834"/>
          <c:w val="0.28099605057254284"/>
          <c:h val="0.1788233229407212"/>
        </c:manualLayout>
      </c:layout>
      <c:overlay val="0"/>
      <c:spPr>
        <a:solidFill>
          <a:sysClr val="window" lastClr="FFFFFF"/>
        </a:solidFill>
        <a:ln>
          <a:solidFill>
            <a:sysClr val="window" lastClr="FFFFFF">
              <a:lumMod val="75000"/>
            </a:sysClr>
          </a:solidFill>
        </a:ln>
      </c:spPr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0917410749603171E-2"/>
          <c:y val="8.3160485768294559E-2"/>
          <c:w val="0.92027357903452933"/>
          <c:h val="0.7468295867161685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graf_7.2!$M$5</c:f>
              <c:strCache>
                <c:ptCount val="1"/>
                <c:pt idx="0">
                  <c:v>nemoc/
zdravotní péče</c:v>
                </c:pt>
              </c:strCache>
            </c:strRef>
          </c:tx>
          <c:spPr>
            <a:solidFill>
              <a:srgbClr val="D96D75"/>
            </a:solidFill>
            <a:ln>
              <a:solidFill>
                <a:schemeClr val="accent2">
                  <a:lumMod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graf_7.2!$K$11:$K$27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graf_7.2!$M$11:$M$27</c:f>
              <c:numCache>
                <c:formatCode>#\ ##0_ ;\-#\ ##0\ </c:formatCode>
                <c:ptCount val="17"/>
                <c:pt idx="0">
                  <c:v>139.07499999999999</c:v>
                </c:pt>
                <c:pt idx="1">
                  <c:v>151.88399999999999</c:v>
                </c:pt>
                <c:pt idx="2">
                  <c:v>168.804</c:v>
                </c:pt>
                <c:pt idx="3">
                  <c:v>178.92</c:v>
                </c:pt>
                <c:pt idx="4">
                  <c:v>185.298</c:v>
                </c:pt>
                <c:pt idx="5">
                  <c:v>195.06700000000001</c:v>
                </c:pt>
                <c:pt idx="6">
                  <c:v>199.876</c:v>
                </c:pt>
                <c:pt idx="7">
                  <c:v>215.48699999999999</c:v>
                </c:pt>
                <c:pt idx="8">
                  <c:v>222.767</c:v>
                </c:pt>
                <c:pt idx="9">
                  <c:v>239.25399999999999</c:v>
                </c:pt>
                <c:pt idx="10">
                  <c:v>239.185</c:v>
                </c:pt>
                <c:pt idx="11">
                  <c:v>241.46100000000001</c:v>
                </c:pt>
                <c:pt idx="12">
                  <c:v>245.41</c:v>
                </c:pt>
                <c:pt idx="13">
                  <c:v>244.39</c:v>
                </c:pt>
                <c:pt idx="14">
                  <c:v>258.31700000000001</c:v>
                </c:pt>
                <c:pt idx="15">
                  <c:v>268.11900000000003</c:v>
                </c:pt>
                <c:pt idx="16">
                  <c:v>283.08600000000001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A9-4F25-9902-8F67DE18CA34}"/>
            </c:ext>
          </c:extLst>
        </c:ser>
        <c:ser>
          <c:idx val="0"/>
          <c:order val="1"/>
          <c:tx>
            <c:strRef>
              <c:f>graf_7.2!$N$5</c:f>
              <c:strCache>
                <c:ptCount val="1"/>
                <c:pt idx="0">
                  <c:v>invalidita</c:v>
                </c:pt>
              </c:strCache>
            </c:strRef>
          </c:tx>
          <c:spPr>
            <a:solidFill>
              <a:srgbClr val="EDB9BD"/>
            </a:solidFill>
            <a:ln>
              <a:solidFill>
                <a:schemeClr val="accent2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graf_7.2!$K$11:$K$27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graf_7.2!$N$11:$N$27</c:f>
              <c:numCache>
                <c:formatCode>#\ ##0_ ;\-#\ ##0\ </c:formatCode>
                <c:ptCount val="17"/>
                <c:pt idx="0">
                  <c:v>32.036999999999999</c:v>
                </c:pt>
                <c:pt idx="1">
                  <c:v>35.302</c:v>
                </c:pt>
                <c:pt idx="2">
                  <c:v>37.478999999999999</c:v>
                </c:pt>
                <c:pt idx="3">
                  <c:v>40.685000000000002</c:v>
                </c:pt>
                <c:pt idx="4">
                  <c:v>41.43</c:v>
                </c:pt>
                <c:pt idx="5">
                  <c:v>43.055999999999997</c:v>
                </c:pt>
                <c:pt idx="6">
                  <c:v>49.829000000000001</c:v>
                </c:pt>
                <c:pt idx="7">
                  <c:v>52.512</c:v>
                </c:pt>
                <c:pt idx="8">
                  <c:v>54.823</c:v>
                </c:pt>
                <c:pt idx="9">
                  <c:v>57.176000000000002</c:v>
                </c:pt>
                <c:pt idx="10">
                  <c:v>57.71</c:v>
                </c:pt>
                <c:pt idx="11">
                  <c:v>57.509</c:v>
                </c:pt>
                <c:pt idx="12">
                  <c:v>55.624000000000002</c:v>
                </c:pt>
                <c:pt idx="13">
                  <c:v>54.847999999999999</c:v>
                </c:pt>
                <c:pt idx="14">
                  <c:v>54.331000000000003</c:v>
                </c:pt>
                <c:pt idx="15">
                  <c:v>55.834000000000003</c:v>
                </c:pt>
                <c:pt idx="16">
                  <c:v>56.536000000000001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A9-4F25-9902-8F67DE18CA34}"/>
            </c:ext>
          </c:extLst>
        </c:ser>
        <c:ser>
          <c:idx val="2"/>
          <c:order val="2"/>
          <c:tx>
            <c:strRef>
              <c:f>graf_7.2!$O$5</c:f>
              <c:strCache>
                <c:ptCount val="1"/>
                <c:pt idx="0">
                  <c:v>stáří</c:v>
                </c:pt>
              </c:strCache>
            </c:strRef>
          </c:tx>
          <c:spPr>
            <a:solidFill>
              <a:srgbClr val="A889A9"/>
            </a:solidFill>
            <a:ln>
              <a:solidFill>
                <a:schemeClr val="accent4">
                  <a:lumMod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+mn-lt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graf_7.2!$K$11:$K$27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graf_7.2!$O$11:$O$27</c:f>
              <c:numCache>
                <c:formatCode>#\ ##0_ ;\-#\ ##0\ </c:formatCode>
                <c:ptCount val="17"/>
                <c:pt idx="0">
                  <c:v>160.64400000000001</c:v>
                </c:pt>
                <c:pt idx="1">
                  <c:v>169.625</c:v>
                </c:pt>
                <c:pt idx="2">
                  <c:v>182.541</c:v>
                </c:pt>
                <c:pt idx="3">
                  <c:v>185.22900000000001</c:v>
                </c:pt>
                <c:pt idx="4">
                  <c:v>194.50700000000001</c:v>
                </c:pt>
                <c:pt idx="5">
                  <c:v>212.20599999999999</c:v>
                </c:pt>
                <c:pt idx="6">
                  <c:v>227.17400000000001</c:v>
                </c:pt>
                <c:pt idx="7">
                  <c:v>254.17400000000001</c:v>
                </c:pt>
                <c:pt idx="8">
                  <c:v>281.44099999999997</c:v>
                </c:pt>
                <c:pt idx="9">
                  <c:v>310.322</c:v>
                </c:pt>
                <c:pt idx="10">
                  <c:v>321.47500000000002</c:v>
                </c:pt>
                <c:pt idx="11">
                  <c:v>340.97199999999998</c:v>
                </c:pt>
                <c:pt idx="12">
                  <c:v>358.03300000000002</c:v>
                </c:pt>
                <c:pt idx="13">
                  <c:v>352.05099999999999</c:v>
                </c:pt>
                <c:pt idx="14">
                  <c:v>360.48599999999999</c:v>
                </c:pt>
                <c:pt idx="15">
                  <c:v>371.28800000000001</c:v>
                </c:pt>
                <c:pt idx="16">
                  <c:v>381.416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A9-4F25-9902-8F67DE18CA34}"/>
            </c:ext>
          </c:extLst>
        </c:ser>
        <c:ser>
          <c:idx val="1"/>
          <c:order val="3"/>
          <c:tx>
            <c:strRef>
              <c:f>graf_7.2!$P$5</c:f>
              <c:strCache>
                <c:ptCount val="1"/>
                <c:pt idx="0">
                  <c:v>pozůstalí</c:v>
                </c:pt>
              </c:strCache>
            </c:strRef>
          </c:tx>
          <c:spPr>
            <a:solidFill>
              <a:srgbClr val="75538F"/>
            </a:solidFill>
            <a:ln>
              <a:solidFill>
                <a:schemeClr val="accent4">
                  <a:lumMod val="50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graf_7.2!$K$11:$K$27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graf_7.2!$P$11:$P$27</c:f>
              <c:numCache>
                <c:formatCode>#\ ##0_ ;\-#\ ##0\ </c:formatCode>
                <c:ptCount val="17"/>
                <c:pt idx="0">
                  <c:v>18.663</c:v>
                </c:pt>
                <c:pt idx="1">
                  <c:v>20.632000000000001</c:v>
                </c:pt>
                <c:pt idx="2">
                  <c:v>22.12</c:v>
                </c:pt>
                <c:pt idx="3">
                  <c:v>22.588999999999999</c:v>
                </c:pt>
                <c:pt idx="4">
                  <c:v>22.739000000000001</c:v>
                </c:pt>
                <c:pt idx="5">
                  <c:v>23.67</c:v>
                </c:pt>
                <c:pt idx="6">
                  <c:v>24.864000000000001</c:v>
                </c:pt>
                <c:pt idx="7">
                  <c:v>26.741</c:v>
                </c:pt>
                <c:pt idx="8">
                  <c:v>27.181999999999999</c:v>
                </c:pt>
                <c:pt idx="9">
                  <c:v>28.297000000000001</c:v>
                </c:pt>
                <c:pt idx="10">
                  <c:v>27.824000000000002</c:v>
                </c:pt>
                <c:pt idx="11">
                  <c:v>28.574999999999999</c:v>
                </c:pt>
                <c:pt idx="12">
                  <c:v>28.696000000000002</c:v>
                </c:pt>
                <c:pt idx="13">
                  <c:v>28.719000000000001</c:v>
                </c:pt>
                <c:pt idx="14">
                  <c:v>28.523</c:v>
                </c:pt>
                <c:pt idx="15">
                  <c:v>29.003</c:v>
                </c:pt>
                <c:pt idx="16">
                  <c:v>28.687000000000001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AA9-4F25-9902-8F67DE18CA34}"/>
            </c:ext>
          </c:extLst>
        </c:ser>
        <c:ser>
          <c:idx val="4"/>
          <c:order val="4"/>
          <c:tx>
            <c:strRef>
              <c:f>graf_7.2!$Q$5</c:f>
              <c:strCache>
                <c:ptCount val="1"/>
                <c:pt idx="0">
                  <c:v>rodina/
děti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graf_7.2!$K$11:$K$27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graf_7.2!$Q$11:$Q$27</c:f>
              <c:numCache>
                <c:formatCode>#\ ##0_ ;\-#\ ##0\ </c:formatCode>
                <c:ptCount val="17"/>
                <c:pt idx="0">
                  <c:v>34.984000000000002</c:v>
                </c:pt>
                <c:pt idx="1">
                  <c:v>36.451999999999998</c:v>
                </c:pt>
                <c:pt idx="2">
                  <c:v>38.738</c:v>
                </c:pt>
                <c:pt idx="3">
                  <c:v>38.476999999999997</c:v>
                </c:pt>
                <c:pt idx="4">
                  <c:v>44.164000000000001</c:v>
                </c:pt>
                <c:pt idx="5">
                  <c:v>56.795000000000002</c:v>
                </c:pt>
                <c:pt idx="6">
                  <c:v>59.762</c:v>
                </c:pt>
                <c:pt idx="7">
                  <c:v>74.808999999999997</c:v>
                </c:pt>
                <c:pt idx="8">
                  <c:v>79.616</c:v>
                </c:pt>
                <c:pt idx="9">
                  <c:v>80.013000000000005</c:v>
                </c:pt>
                <c:pt idx="10">
                  <c:v>79.090999999999994</c:v>
                </c:pt>
                <c:pt idx="11">
                  <c:v>73.093000000000004</c:v>
                </c:pt>
                <c:pt idx="12">
                  <c:v>71.150000000000006</c:v>
                </c:pt>
                <c:pt idx="13">
                  <c:v>72.480999999999995</c:v>
                </c:pt>
                <c:pt idx="14">
                  <c:v>71.418999999999997</c:v>
                </c:pt>
                <c:pt idx="15">
                  <c:v>74.209999999999994</c:v>
                </c:pt>
                <c:pt idx="16">
                  <c:v>77.331999999999994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A9-4F25-9902-8F67DE18CA34}"/>
            </c:ext>
          </c:extLst>
        </c:ser>
        <c:ser>
          <c:idx val="5"/>
          <c:order val="5"/>
          <c:tx>
            <c:strRef>
              <c:f>graf_7.2!$R$5</c:f>
              <c:strCache>
                <c:ptCount val="1"/>
                <c:pt idx="0">
                  <c:v>nezaměst-
nanost</c:v>
                </c:pt>
              </c:strCache>
            </c:strRef>
          </c:tx>
          <c:spPr>
            <a:solidFill>
              <a:srgbClr val="1672AA"/>
            </a:solidFill>
            <a:ln>
              <a:solidFill>
                <a:schemeClr val="tx2"/>
              </a:solidFill>
            </a:ln>
          </c:spPr>
          <c:invertIfNegative val="0"/>
          <c:cat>
            <c:numRef>
              <c:f>graf_7.2!$K$11:$K$27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graf_7.2!$R$11:$R$27</c:f>
              <c:numCache>
                <c:formatCode>#\ ##0_ ;\-#\ ##0\ </c:formatCode>
                <c:ptCount val="17"/>
                <c:pt idx="0">
                  <c:v>14.308999999999999</c:v>
                </c:pt>
                <c:pt idx="1">
                  <c:v>14.406000000000001</c:v>
                </c:pt>
                <c:pt idx="2">
                  <c:v>16.513000000000002</c:v>
                </c:pt>
                <c:pt idx="3">
                  <c:v>20.835999999999999</c:v>
                </c:pt>
                <c:pt idx="4">
                  <c:v>20.876999999999999</c:v>
                </c:pt>
                <c:pt idx="5">
                  <c:v>19.766999999999999</c:v>
                </c:pt>
                <c:pt idx="6">
                  <c:v>18.617999999999999</c:v>
                </c:pt>
                <c:pt idx="7">
                  <c:v>22.06</c:v>
                </c:pt>
                <c:pt idx="8">
                  <c:v>23.666</c:v>
                </c:pt>
                <c:pt idx="9">
                  <c:v>39.283000000000001</c:v>
                </c:pt>
                <c:pt idx="10">
                  <c:v>31.02</c:v>
                </c:pt>
                <c:pt idx="11">
                  <c:v>27.291</c:v>
                </c:pt>
                <c:pt idx="12">
                  <c:v>25.986999999999998</c:v>
                </c:pt>
                <c:pt idx="13">
                  <c:v>26.774000000000001</c:v>
                </c:pt>
                <c:pt idx="14">
                  <c:v>24.806999999999999</c:v>
                </c:pt>
                <c:pt idx="15">
                  <c:v>22.713999999999999</c:v>
                </c:pt>
                <c:pt idx="16">
                  <c:v>22.661000000000001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AA9-4F25-9902-8F67DE18CA34}"/>
            </c:ext>
          </c:extLst>
        </c:ser>
        <c:ser>
          <c:idx val="6"/>
          <c:order val="6"/>
          <c:tx>
            <c:strRef>
              <c:f>graf_7.2!$S$5</c:f>
              <c:strCache>
                <c:ptCount val="1"/>
                <c:pt idx="0">
                  <c:v>bydlení</c:v>
                </c:pt>
              </c:strCache>
            </c:strRef>
          </c:tx>
          <c:spPr>
            <a:solidFill>
              <a:srgbClr val="9EB709"/>
            </a:solidFill>
            <a:ln>
              <a:solidFill>
                <a:schemeClr val="accent3">
                  <a:lumMod val="50000"/>
                </a:schemeClr>
              </a:solidFill>
            </a:ln>
          </c:spPr>
          <c:invertIfNegative val="0"/>
          <c:cat>
            <c:numRef>
              <c:f>graf_7.2!$K$11:$K$27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graf_7.2!$S$11:$S$27</c:f>
              <c:numCache>
                <c:formatCode>#\ ##0_ ;\-#\ ##0\ </c:formatCode>
                <c:ptCount val="17"/>
                <c:pt idx="0">
                  <c:v>2.71</c:v>
                </c:pt>
                <c:pt idx="1">
                  <c:v>2.72</c:v>
                </c:pt>
                <c:pt idx="2">
                  <c:v>3.0379999999999998</c:v>
                </c:pt>
                <c:pt idx="3">
                  <c:v>2.9039999999999999</c:v>
                </c:pt>
                <c:pt idx="4">
                  <c:v>2.6230000000000002</c:v>
                </c:pt>
                <c:pt idx="5">
                  <c:v>2.5470000000000002</c:v>
                </c:pt>
                <c:pt idx="6">
                  <c:v>2.3889999999999998</c:v>
                </c:pt>
                <c:pt idx="7">
                  <c:v>2.2050000000000001</c:v>
                </c:pt>
                <c:pt idx="8">
                  <c:v>2.194</c:v>
                </c:pt>
                <c:pt idx="9">
                  <c:v>2.8959999999999999</c:v>
                </c:pt>
                <c:pt idx="10">
                  <c:v>4.3070000000000004</c:v>
                </c:pt>
                <c:pt idx="11">
                  <c:v>5.5890000000000004</c:v>
                </c:pt>
                <c:pt idx="12">
                  <c:v>7.5010000000000003</c:v>
                </c:pt>
                <c:pt idx="13">
                  <c:v>10.31</c:v>
                </c:pt>
                <c:pt idx="14">
                  <c:v>12.202999999999999</c:v>
                </c:pt>
                <c:pt idx="15">
                  <c:v>12.409000000000001</c:v>
                </c:pt>
                <c:pt idx="16">
                  <c:v>12.259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AA9-4F25-9902-8F67DE18CA34}"/>
            </c:ext>
          </c:extLst>
        </c:ser>
        <c:ser>
          <c:idx val="7"/>
          <c:order val="7"/>
          <c:tx>
            <c:strRef>
              <c:f>graf_7.2!$T$5</c:f>
              <c:strCache>
                <c:ptCount val="1"/>
                <c:pt idx="0">
                  <c:v>sociální vyloučení
 jinde neklasifikované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>
                  <a:lumMod val="50000"/>
                </a:schemeClr>
              </a:solidFill>
            </a:ln>
          </c:spPr>
          <c:invertIfNegative val="0"/>
          <c:cat>
            <c:numRef>
              <c:f>graf_7.2!$K$11:$K$27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graf_7.2!$T$11:$T$27</c:f>
              <c:numCache>
                <c:formatCode>#\ ##0_ ;\-#\ ##0\ </c:formatCode>
                <c:ptCount val="17"/>
                <c:pt idx="0">
                  <c:v>11.178000000000001</c:v>
                </c:pt>
                <c:pt idx="1">
                  <c:v>11.818</c:v>
                </c:pt>
                <c:pt idx="2">
                  <c:v>12.803000000000001</c:v>
                </c:pt>
                <c:pt idx="3">
                  <c:v>14.742000000000001</c:v>
                </c:pt>
                <c:pt idx="4">
                  <c:v>15.153</c:v>
                </c:pt>
                <c:pt idx="5">
                  <c:v>15.135999999999999</c:v>
                </c:pt>
                <c:pt idx="6">
                  <c:v>16.202000000000002</c:v>
                </c:pt>
                <c:pt idx="7">
                  <c:v>7.3529999999999998</c:v>
                </c:pt>
                <c:pt idx="8">
                  <c:v>6.444</c:v>
                </c:pt>
                <c:pt idx="9">
                  <c:v>8.8190000000000008</c:v>
                </c:pt>
                <c:pt idx="10">
                  <c:v>8.56</c:v>
                </c:pt>
                <c:pt idx="11">
                  <c:v>10.234</c:v>
                </c:pt>
                <c:pt idx="12">
                  <c:v>13.132</c:v>
                </c:pt>
                <c:pt idx="13">
                  <c:v>12.661</c:v>
                </c:pt>
                <c:pt idx="14">
                  <c:v>13.512</c:v>
                </c:pt>
                <c:pt idx="15">
                  <c:v>12.683999999999999</c:v>
                </c:pt>
                <c:pt idx="16">
                  <c:v>11.928000000000001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AA9-4F25-9902-8F67DE18CA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100"/>
        <c:axId val="130056576"/>
        <c:axId val="130058112"/>
      </c:barChart>
      <c:catAx>
        <c:axId val="130056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30058112"/>
        <c:crosses val="autoZero"/>
        <c:auto val="1"/>
        <c:lblAlgn val="ctr"/>
        <c:lblOffset val="100"/>
        <c:noMultiLvlLbl val="0"/>
      </c:catAx>
      <c:valAx>
        <c:axId val="130058112"/>
        <c:scaling>
          <c:orientation val="minMax"/>
          <c:max val="900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00" b="0">
                    <a:latin typeface="Arial" pitchFamily="34" charset="0"/>
                    <a:cs typeface="Arial" pitchFamily="34" charset="0"/>
                  </a:defRPr>
                </a:pPr>
                <a:r>
                  <a:rPr lang="en-US" sz="800" b="0">
                    <a:latin typeface="Arial" pitchFamily="34" charset="0"/>
                    <a:cs typeface="Arial" pitchFamily="34" charset="0"/>
                  </a:rPr>
                  <a:t>mld. Kč</a:t>
                </a:r>
              </a:p>
            </c:rich>
          </c:tx>
          <c:layout>
            <c:manualLayout>
              <c:xMode val="edge"/>
              <c:yMode val="edge"/>
              <c:x val="2.0931452952686346E-2"/>
              <c:y val="1.1203133287095594E-2"/>
            </c:manualLayout>
          </c:layout>
          <c:overlay val="0"/>
        </c:title>
        <c:numFmt formatCode="#,##0_ ;\-#,##0\ 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30056576"/>
        <c:crosses val="autoZero"/>
        <c:crossBetween val="between"/>
        <c:minorUnit val="20"/>
      </c:valAx>
    </c:plotArea>
    <c:legend>
      <c:legendPos val="b"/>
      <c:layout>
        <c:manualLayout>
          <c:xMode val="edge"/>
          <c:yMode val="edge"/>
          <c:x val="3.7407229241039404E-2"/>
          <c:y val="0.89438878650806952"/>
          <c:w val="0.96259277075896055"/>
          <c:h val="0.1056112134919306"/>
        </c:manualLayout>
      </c:layout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lt1"/>
    </a:solidFill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graf_7.3!$P$5</c:f>
              <c:strCache>
                <c:ptCount val="1"/>
                <c:pt idx="0">
                  <c:v>výdaje na sociální ochranu v PPS/obyv.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12700">
              <a:solidFill>
                <a:schemeClr val="tx2"/>
              </a:solidFill>
            </a:ln>
            <a:effectLst/>
          </c:spPr>
          <c:invertIfNegative val="0"/>
          <c:dPt>
            <c:idx val="1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tx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18C-4876-A55A-F411038C8A0A}"/>
              </c:ext>
            </c:extLst>
          </c:dPt>
          <c:dPt>
            <c:idx val="18"/>
            <c:invertIfNegative val="0"/>
            <c:bubble3D val="0"/>
            <c:spPr>
              <a:solidFill>
                <a:schemeClr val="tx2"/>
              </a:solidFill>
              <a:ln w="12700">
                <a:solidFill>
                  <a:schemeClr val="tx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18C-4876-A55A-F411038C8A0A}"/>
              </c:ext>
            </c:extLst>
          </c:dPt>
          <c:cat>
            <c:strRef>
              <c:f>graf_7.3!$O$6:$O$39</c:f>
              <c:strCache>
                <c:ptCount val="34"/>
                <c:pt idx="0">
                  <c:v>TU</c:v>
                </c:pt>
                <c:pt idx="1">
                  <c:v>RS</c:v>
                </c:pt>
                <c:pt idx="2">
                  <c:v>RO</c:v>
                </c:pt>
                <c:pt idx="3">
                  <c:v>BG</c:v>
                </c:pt>
                <c:pt idx="4">
                  <c:v>LV</c:v>
                </c:pt>
                <c:pt idx="5">
                  <c:v>LT</c:v>
                </c:pt>
                <c:pt idx="6">
                  <c:v>HR</c:v>
                </c:pt>
                <c:pt idx="7">
                  <c:v>EE</c:v>
                </c:pt>
                <c:pt idx="8">
                  <c:v>HU</c:v>
                </c:pt>
                <c:pt idx="9">
                  <c:v>SK</c:v>
                </c:pt>
                <c:pt idx="10">
                  <c:v>MT</c:v>
                </c:pt>
                <c:pt idx="11">
                  <c:v>CZ</c:v>
                </c:pt>
                <c:pt idx="12">
                  <c:v>CY</c:v>
                </c:pt>
                <c:pt idx="13">
                  <c:v>EL</c:v>
                </c:pt>
                <c:pt idx="14">
                  <c:v>SI</c:v>
                </c:pt>
                <c:pt idx="15">
                  <c:v>PT</c:v>
                </c:pt>
                <c:pt idx="16">
                  <c:v>ES</c:v>
                </c:pt>
                <c:pt idx="17">
                  <c:v>IE</c:v>
                </c:pt>
                <c:pt idx="18">
                  <c:v>EU 28 </c:v>
                </c:pt>
                <c:pt idx="19">
                  <c:v>IS</c:v>
                </c:pt>
                <c:pt idx="20">
                  <c:v>IT</c:v>
                </c:pt>
                <c:pt idx="21">
                  <c:v>UK</c:v>
                </c:pt>
                <c:pt idx="22">
                  <c:v>EA 19</c:v>
                </c:pt>
                <c:pt idx="23">
                  <c:v>FI</c:v>
                </c:pt>
                <c:pt idx="24">
                  <c:v>SE</c:v>
                </c:pt>
                <c:pt idx="25">
                  <c:v>BE</c:v>
                </c:pt>
                <c:pt idx="26">
                  <c:v>FR</c:v>
                </c:pt>
                <c:pt idx="27">
                  <c:v>DE</c:v>
                </c:pt>
                <c:pt idx="28">
                  <c:v>NL</c:v>
                </c:pt>
                <c:pt idx="29">
                  <c:v>AT</c:v>
                </c:pt>
                <c:pt idx="30">
                  <c:v>DK</c:v>
                </c:pt>
                <c:pt idx="31">
                  <c:v>CH</c:v>
                </c:pt>
                <c:pt idx="32">
                  <c:v>NO</c:v>
                </c:pt>
                <c:pt idx="33">
                  <c:v>LU</c:v>
                </c:pt>
              </c:strCache>
            </c:strRef>
          </c:cat>
          <c:val>
            <c:numRef>
              <c:f>graf_7.3!$P$6:$P$39</c:f>
              <c:numCache>
                <c:formatCode>#\ ##0" ";\-#\ ##0" ";".   "\ </c:formatCode>
                <c:ptCount val="34"/>
                <c:pt idx="0">
                  <c:v>2266.42</c:v>
                </c:pt>
                <c:pt idx="1">
                  <c:v>2401.39</c:v>
                </c:pt>
                <c:pt idx="2">
                  <c:v>2504.0500000000002</c:v>
                </c:pt>
                <c:pt idx="3">
                  <c:v>2675.23</c:v>
                </c:pt>
                <c:pt idx="4">
                  <c:v>2843.68</c:v>
                </c:pt>
                <c:pt idx="5">
                  <c:v>3606.58</c:v>
                </c:pt>
                <c:pt idx="6">
                  <c:v>3650.75</c:v>
                </c:pt>
                <c:pt idx="7">
                  <c:v>3665.58</c:v>
                </c:pt>
                <c:pt idx="8">
                  <c:v>4087.23</c:v>
                </c:pt>
                <c:pt idx="9">
                  <c:v>4264.9399999999996</c:v>
                </c:pt>
                <c:pt idx="10">
                  <c:v>4607.47</c:v>
                </c:pt>
                <c:pt idx="11" formatCode="General">
                  <c:v>5190.79</c:v>
                </c:pt>
                <c:pt idx="12">
                  <c:v>5210.34</c:v>
                </c:pt>
                <c:pt idx="13">
                  <c:v>5312.61</c:v>
                </c:pt>
                <c:pt idx="14">
                  <c:v>5600.42</c:v>
                </c:pt>
                <c:pt idx="15">
                  <c:v>5664.63</c:v>
                </c:pt>
                <c:pt idx="16">
                  <c:v>6367.41</c:v>
                </c:pt>
                <c:pt idx="17">
                  <c:v>7417.28</c:v>
                </c:pt>
                <c:pt idx="18">
                  <c:v>7911.41</c:v>
                </c:pt>
                <c:pt idx="19">
                  <c:v>7962.16</c:v>
                </c:pt>
                <c:pt idx="20">
                  <c:v>8088</c:v>
                </c:pt>
                <c:pt idx="21">
                  <c:v>8487.64</c:v>
                </c:pt>
                <c:pt idx="22">
                  <c:v>9130.48</c:v>
                </c:pt>
                <c:pt idx="23">
                  <c:v>10121.129999999999</c:v>
                </c:pt>
                <c:pt idx="24">
                  <c:v>10272.42</c:v>
                </c:pt>
                <c:pt idx="25">
                  <c:v>10381.620000000001</c:v>
                </c:pt>
                <c:pt idx="26">
                  <c:v>10746.66</c:v>
                </c:pt>
                <c:pt idx="27">
                  <c:v>10818.99</c:v>
                </c:pt>
                <c:pt idx="28">
                  <c:v>11116.96</c:v>
                </c:pt>
                <c:pt idx="29">
                  <c:v>11146.21</c:v>
                </c:pt>
                <c:pt idx="30">
                  <c:v>11435.5</c:v>
                </c:pt>
                <c:pt idx="31">
                  <c:v>12063.74</c:v>
                </c:pt>
                <c:pt idx="32">
                  <c:v>12732.09</c:v>
                </c:pt>
                <c:pt idx="33">
                  <c:v>14987.66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8C-4876-A55A-F411038C8A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293244512"/>
        <c:axId val="293244928"/>
      </c:barChart>
      <c:catAx>
        <c:axId val="2932445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93244928"/>
        <c:crosses val="autoZero"/>
        <c:auto val="1"/>
        <c:lblAlgn val="ctr"/>
        <c:lblOffset val="100"/>
        <c:noMultiLvlLbl val="0"/>
      </c:catAx>
      <c:valAx>
        <c:axId val="293244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ash"/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93244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573793040455409"/>
          <c:y val="1.8306300040570638E-2"/>
          <c:w val="0.57263839972920483"/>
          <c:h val="0.897507624631033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graf_7.4!$Z$4</c:f>
              <c:strCache>
                <c:ptCount val="1"/>
                <c:pt idx="0">
                  <c:v>podíl výdajů na sociální ochranu k HDP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graf_7.4!$Y$5:$Y$38</c:f>
              <c:strCache>
                <c:ptCount val="34"/>
                <c:pt idx="0">
                  <c:v>EL</c:v>
                </c:pt>
                <c:pt idx="1">
                  <c:v>DK</c:v>
                </c:pt>
                <c:pt idx="2">
                  <c:v>PL*</c:v>
                </c:pt>
                <c:pt idx="3">
                  <c:v>CY</c:v>
                </c:pt>
                <c:pt idx="4">
                  <c:v>IT</c:v>
                </c:pt>
                <c:pt idx="5">
                  <c:v>FI</c:v>
                </c:pt>
                <c:pt idx="6">
                  <c:v>PT</c:v>
                </c:pt>
                <c:pt idx="7">
                  <c:v>LV</c:v>
                </c:pt>
                <c:pt idx="8">
                  <c:v>LU</c:v>
                </c:pt>
                <c:pt idx="9">
                  <c:v>RS</c:v>
                </c:pt>
                <c:pt idx="10">
                  <c:v>AT</c:v>
                </c:pt>
                <c:pt idx="11">
                  <c:v>SE</c:v>
                </c:pt>
                <c:pt idx="12">
                  <c:v>RO</c:v>
                </c:pt>
                <c:pt idx="13">
                  <c:v>HU</c:v>
                </c:pt>
                <c:pt idx="14">
                  <c:v>BG</c:v>
                </c:pt>
                <c:pt idx="15">
                  <c:v>ES</c:v>
                </c:pt>
                <c:pt idx="16">
                  <c:v>EE</c:v>
                </c:pt>
                <c:pt idx="17">
                  <c:v>FR</c:v>
                </c:pt>
                <c:pt idx="18">
                  <c:v>EU 28 *</c:v>
                </c:pt>
                <c:pt idx="19">
                  <c:v>BE</c:v>
                </c:pt>
                <c:pt idx="20">
                  <c:v>EA 19</c:v>
                </c:pt>
                <c:pt idx="21">
                  <c:v>CH</c:v>
                </c:pt>
                <c:pt idx="22">
                  <c:v>LT</c:v>
                </c:pt>
                <c:pt idx="23">
                  <c:v>NO</c:v>
                </c:pt>
                <c:pt idx="24">
                  <c:v>SK</c:v>
                </c:pt>
                <c:pt idx="25">
                  <c:v>CZ</c:v>
                </c:pt>
                <c:pt idx="26">
                  <c:v>SI</c:v>
                </c:pt>
                <c:pt idx="27">
                  <c:v>UK</c:v>
                </c:pt>
                <c:pt idx="28">
                  <c:v>MT</c:v>
                </c:pt>
                <c:pt idx="29">
                  <c:v>NL</c:v>
                </c:pt>
                <c:pt idx="30">
                  <c:v>HR</c:v>
                </c:pt>
                <c:pt idx="31">
                  <c:v>DE</c:v>
                </c:pt>
                <c:pt idx="32">
                  <c:v>IS</c:v>
                </c:pt>
                <c:pt idx="33">
                  <c:v>IE</c:v>
                </c:pt>
              </c:strCache>
            </c:strRef>
          </c:cat>
          <c:val>
            <c:numRef>
              <c:f>graf_7.4!$Z$5:$Z$38</c:f>
              <c:numCache>
                <c:formatCode>0.0"%"</c:formatCode>
                <c:ptCount val="34"/>
                <c:pt idx="0">
                  <c:v>26.4</c:v>
                </c:pt>
                <c:pt idx="1">
                  <c:v>32.299999999999997</c:v>
                </c:pt>
                <c:pt idx="2">
                  <c:v>19.100000000000001</c:v>
                </c:pt>
                <c:pt idx="3">
                  <c:v>21.8</c:v>
                </c:pt>
                <c:pt idx="4">
                  <c:v>29.9</c:v>
                </c:pt>
                <c:pt idx="5">
                  <c:v>31.6</c:v>
                </c:pt>
                <c:pt idx="6">
                  <c:v>25.7</c:v>
                </c:pt>
                <c:pt idx="7">
                  <c:v>14.9</c:v>
                </c:pt>
                <c:pt idx="8">
                  <c:v>22.1</c:v>
                </c:pt>
                <c:pt idx="9">
                  <c:v>22.1</c:v>
                </c:pt>
                <c:pt idx="10">
                  <c:v>29.8</c:v>
                </c:pt>
                <c:pt idx="11">
                  <c:v>29.2</c:v>
                </c:pt>
                <c:pt idx="12">
                  <c:v>14.6</c:v>
                </c:pt>
                <c:pt idx="13">
                  <c:v>19.399999999999999</c:v>
                </c:pt>
                <c:pt idx="14">
                  <c:v>17.899999999999999</c:v>
                </c:pt>
                <c:pt idx="15">
                  <c:v>24.6</c:v>
                </c:pt>
                <c:pt idx="16">
                  <c:v>16.100000000000001</c:v>
                </c:pt>
                <c:pt idx="17">
                  <c:v>33.9</c:v>
                </c:pt>
                <c:pt idx="18">
                  <c:v>28.6</c:v>
                </c:pt>
                <c:pt idx="19">
                  <c:v>30.4</c:v>
                </c:pt>
                <c:pt idx="20">
                  <c:v>29.2</c:v>
                </c:pt>
                <c:pt idx="21">
                  <c:v>27.3</c:v>
                </c:pt>
                <c:pt idx="22">
                  <c:v>15.6</c:v>
                </c:pt>
                <c:pt idx="23">
                  <c:v>27.9</c:v>
                </c:pt>
                <c:pt idx="24">
                  <c:v>18.2</c:v>
                </c:pt>
                <c:pt idx="25">
                  <c:v>19</c:v>
                </c:pt>
                <c:pt idx="26">
                  <c:v>23.7</c:v>
                </c:pt>
                <c:pt idx="27">
                  <c:v>28.5</c:v>
                </c:pt>
                <c:pt idx="28">
                  <c:v>17.100000000000001</c:v>
                </c:pt>
                <c:pt idx="29">
                  <c:v>29.9</c:v>
                </c:pt>
                <c:pt idx="30">
                  <c:v>21</c:v>
                </c:pt>
                <c:pt idx="31">
                  <c:v>29</c:v>
                </c:pt>
                <c:pt idx="32">
                  <c:v>22.3</c:v>
                </c:pt>
                <c:pt idx="33">
                  <c:v>16.3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C0-44A2-9754-EDD9E6100C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axId val="297199984"/>
        <c:axId val="297202064"/>
      </c:barChart>
      <c:catAx>
        <c:axId val="297199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97202064"/>
        <c:crosses val="autoZero"/>
        <c:auto val="1"/>
        <c:lblAlgn val="ctr"/>
        <c:lblOffset val="100"/>
        <c:noMultiLvlLbl val="0"/>
      </c:catAx>
      <c:valAx>
        <c:axId val="297202064"/>
        <c:scaling>
          <c:orientation val="minMax"/>
        </c:scaling>
        <c:delete val="1"/>
        <c:axPos val="b"/>
        <c:numFmt formatCode="0.0&quot;%&quot;" sourceLinked="1"/>
        <c:majorTickMark val="none"/>
        <c:minorTickMark val="none"/>
        <c:tickLblPos val="nextTo"/>
        <c:crossAx val="29719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cs-CZ"/>
          </a:p>
        </c:txPr>
      </c:legendEntry>
      <c:layout>
        <c:manualLayout>
          <c:xMode val="edge"/>
          <c:yMode val="edge"/>
          <c:x val="0.13211421755494482"/>
          <c:y val="0.94399571548883487"/>
          <c:w val="0.75330233157907467"/>
          <c:h val="4.95982774271178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418569850714366E-2"/>
          <c:y val="1.3697456599650932E-2"/>
          <c:w val="0.6197617605491621"/>
          <c:h val="0.80117077159513617"/>
        </c:manualLayout>
      </c:layout>
      <c:barChart>
        <c:barDir val="bar"/>
        <c:grouping val="percentStacked"/>
        <c:varyColors val="0"/>
        <c:ser>
          <c:idx val="3"/>
          <c:order val="0"/>
          <c:tx>
            <c:strRef>
              <c:f>graf_7.4!$P$4</c:f>
              <c:strCache>
                <c:ptCount val="1"/>
                <c:pt idx="0">
                  <c:v>nemoc/
zdravotní 
péče</c:v>
                </c:pt>
              </c:strCache>
            </c:strRef>
          </c:tx>
          <c:spPr>
            <a:solidFill>
              <a:srgbClr val="D96D75"/>
            </a:solidFill>
            <a:ln w="9525">
              <a:solidFill>
                <a:schemeClr val="accent2">
                  <a:lumMod val="75000"/>
                </a:schemeClr>
              </a:solidFill>
            </a:ln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E22-43C9-BDDB-20EBC09E8167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E22-43C9-BDDB-20EBC09E8167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E22-43C9-BDDB-20EBC09E8167}"/>
              </c:ext>
            </c:extLst>
          </c:dPt>
          <c:dPt>
            <c:idx val="25"/>
            <c:invertIfNegative val="0"/>
            <c:bubble3D val="0"/>
            <c:spPr>
              <a:solidFill>
                <a:srgbClr val="D04C55"/>
              </a:solidFill>
              <a:ln w="22225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4-8E22-43C9-BDDB-20EBC09E8167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E22-43C9-BDDB-20EBC09E81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graf_7.4!$O$5:$O$38</c:f>
              <c:strCache>
                <c:ptCount val="34"/>
                <c:pt idx="0">
                  <c:v>EL</c:v>
                </c:pt>
                <c:pt idx="1">
                  <c:v>DK</c:v>
                </c:pt>
                <c:pt idx="2">
                  <c:v>PL*</c:v>
                </c:pt>
                <c:pt idx="3">
                  <c:v>CY</c:v>
                </c:pt>
                <c:pt idx="4">
                  <c:v>IT</c:v>
                </c:pt>
                <c:pt idx="5">
                  <c:v>FI</c:v>
                </c:pt>
                <c:pt idx="6">
                  <c:v>PT</c:v>
                </c:pt>
                <c:pt idx="7">
                  <c:v>LV</c:v>
                </c:pt>
                <c:pt idx="8">
                  <c:v>LU</c:v>
                </c:pt>
                <c:pt idx="9">
                  <c:v>RS</c:v>
                </c:pt>
                <c:pt idx="10">
                  <c:v>AT</c:v>
                </c:pt>
                <c:pt idx="11">
                  <c:v>SE</c:v>
                </c:pt>
                <c:pt idx="12">
                  <c:v>RO</c:v>
                </c:pt>
                <c:pt idx="13">
                  <c:v>HU</c:v>
                </c:pt>
                <c:pt idx="14">
                  <c:v>BG</c:v>
                </c:pt>
                <c:pt idx="15">
                  <c:v>ES</c:v>
                </c:pt>
                <c:pt idx="16">
                  <c:v>EE</c:v>
                </c:pt>
                <c:pt idx="17">
                  <c:v>FR</c:v>
                </c:pt>
                <c:pt idx="18">
                  <c:v>EU 28 </c:v>
                </c:pt>
                <c:pt idx="19">
                  <c:v>BE</c:v>
                </c:pt>
                <c:pt idx="20">
                  <c:v>EA 19</c:v>
                </c:pt>
                <c:pt idx="21">
                  <c:v>CH</c:v>
                </c:pt>
                <c:pt idx="22">
                  <c:v>LT</c:v>
                </c:pt>
                <c:pt idx="23">
                  <c:v>NO</c:v>
                </c:pt>
                <c:pt idx="24">
                  <c:v>SK</c:v>
                </c:pt>
                <c:pt idx="25">
                  <c:v>CZ</c:v>
                </c:pt>
                <c:pt idx="26">
                  <c:v>SI</c:v>
                </c:pt>
                <c:pt idx="27">
                  <c:v>UK</c:v>
                </c:pt>
                <c:pt idx="28">
                  <c:v>MT</c:v>
                </c:pt>
                <c:pt idx="29">
                  <c:v>NL</c:v>
                </c:pt>
                <c:pt idx="30">
                  <c:v>HR</c:v>
                </c:pt>
                <c:pt idx="31">
                  <c:v>DE</c:v>
                </c:pt>
                <c:pt idx="32">
                  <c:v>IS</c:v>
                </c:pt>
                <c:pt idx="33">
                  <c:v>IE</c:v>
                </c:pt>
              </c:strCache>
            </c:strRef>
          </c:cat>
          <c:val>
            <c:numRef>
              <c:f>graf_7.4!$P$5:$P$38</c:f>
              <c:numCache>
                <c:formatCode>0.0</c:formatCode>
                <c:ptCount val="34"/>
                <c:pt idx="0">
                  <c:v>19.55</c:v>
                </c:pt>
                <c:pt idx="1">
                  <c:v>20.190000000000001</c:v>
                </c:pt>
                <c:pt idx="2">
                  <c:v>21.29</c:v>
                </c:pt>
                <c:pt idx="3">
                  <c:v>22.24</c:v>
                </c:pt>
                <c:pt idx="4">
                  <c:v>23.03</c:v>
                </c:pt>
                <c:pt idx="5">
                  <c:v>23.31</c:v>
                </c:pt>
                <c:pt idx="6">
                  <c:v>24.28</c:v>
                </c:pt>
                <c:pt idx="7">
                  <c:v>24.48</c:v>
                </c:pt>
                <c:pt idx="8">
                  <c:v>24.68</c:v>
                </c:pt>
                <c:pt idx="9">
                  <c:v>25.28</c:v>
                </c:pt>
                <c:pt idx="10">
                  <c:v>25.35</c:v>
                </c:pt>
                <c:pt idx="11">
                  <c:v>26.01</c:v>
                </c:pt>
                <c:pt idx="12">
                  <c:v>26.56</c:v>
                </c:pt>
                <c:pt idx="13">
                  <c:v>26.65</c:v>
                </c:pt>
                <c:pt idx="14">
                  <c:v>26.79</c:v>
                </c:pt>
                <c:pt idx="15">
                  <c:v>27.35</c:v>
                </c:pt>
                <c:pt idx="16">
                  <c:v>28.52</c:v>
                </c:pt>
                <c:pt idx="17">
                  <c:v>28.55</c:v>
                </c:pt>
                <c:pt idx="18">
                  <c:v>29.17</c:v>
                </c:pt>
                <c:pt idx="19">
                  <c:v>29.25</c:v>
                </c:pt>
                <c:pt idx="20">
                  <c:v>29.28</c:v>
                </c:pt>
                <c:pt idx="21">
                  <c:v>29.8</c:v>
                </c:pt>
                <c:pt idx="22">
                  <c:v>29.87</c:v>
                </c:pt>
                <c:pt idx="23">
                  <c:v>30.01</c:v>
                </c:pt>
                <c:pt idx="24">
                  <c:v>31.24</c:v>
                </c:pt>
                <c:pt idx="25">
                  <c:v>31.68</c:v>
                </c:pt>
                <c:pt idx="26">
                  <c:v>32.340000000000003</c:v>
                </c:pt>
                <c:pt idx="27">
                  <c:v>32.71</c:v>
                </c:pt>
                <c:pt idx="28">
                  <c:v>32.770000000000003</c:v>
                </c:pt>
                <c:pt idx="29">
                  <c:v>33</c:v>
                </c:pt>
                <c:pt idx="30">
                  <c:v>33.54</c:v>
                </c:pt>
                <c:pt idx="31">
                  <c:v>34.700000000000003</c:v>
                </c:pt>
                <c:pt idx="32">
                  <c:v>36.21</c:v>
                </c:pt>
                <c:pt idx="33">
                  <c:v>37.82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E22-43C9-BDDB-20EBC09E8167}"/>
            </c:ext>
          </c:extLst>
        </c:ser>
        <c:ser>
          <c:idx val="0"/>
          <c:order val="1"/>
          <c:tx>
            <c:strRef>
              <c:f>graf_7.4!$Q$4</c:f>
              <c:strCache>
                <c:ptCount val="1"/>
                <c:pt idx="0">
                  <c:v>invalidita</c:v>
                </c:pt>
              </c:strCache>
            </c:strRef>
          </c:tx>
          <c:spPr>
            <a:solidFill>
              <a:srgbClr val="EDB9BD"/>
            </a:solidFill>
            <a:ln>
              <a:solidFill>
                <a:schemeClr val="accent2"/>
              </a:solidFill>
            </a:ln>
          </c:spPr>
          <c:invertIfNegative val="0"/>
          <c:dPt>
            <c:idx val="2"/>
            <c:invertIfNegative val="0"/>
            <c:bubble3D val="0"/>
            <c:spPr>
              <a:solidFill>
                <a:srgbClr val="EDB9BD"/>
              </a:solidFill>
              <a:ln w="9525">
                <a:solidFill>
                  <a:schemeClr val="accent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8-8E22-43C9-BDDB-20EBC09E8167}"/>
              </c:ext>
            </c:extLst>
          </c:dPt>
          <c:dPt>
            <c:idx val="19"/>
            <c:invertIfNegative val="0"/>
            <c:bubble3D val="0"/>
            <c:spPr>
              <a:solidFill>
                <a:srgbClr val="EDB9BD"/>
              </a:solidFill>
              <a:ln w="9525">
                <a:solidFill>
                  <a:schemeClr val="accent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A-8E22-43C9-BDDB-20EBC09E8167}"/>
              </c:ext>
            </c:extLst>
          </c:dPt>
          <c:dPt>
            <c:idx val="22"/>
            <c:invertIfNegative val="0"/>
            <c:bubble3D val="0"/>
            <c:spPr>
              <a:solidFill>
                <a:srgbClr val="EDB9BD"/>
              </a:solidFill>
              <a:ln w="9525">
                <a:solidFill>
                  <a:schemeClr val="accent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C-8E22-43C9-BDDB-20EBC09E8167}"/>
              </c:ext>
            </c:extLst>
          </c:dPt>
          <c:dPt>
            <c:idx val="25"/>
            <c:invertIfNegative val="0"/>
            <c:bubble3D val="0"/>
            <c:spPr>
              <a:solidFill>
                <a:srgbClr val="E39197"/>
              </a:solidFill>
              <a:ln w="22225"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E-8E22-43C9-BDDB-20EBC09E8167}"/>
              </c:ext>
            </c:extLst>
          </c:dPt>
          <c:dPt>
            <c:idx val="26"/>
            <c:invertIfNegative val="0"/>
            <c:bubble3D val="0"/>
            <c:spPr>
              <a:solidFill>
                <a:srgbClr val="EDB9BD"/>
              </a:solidFill>
              <a:ln w="9525">
                <a:solidFill>
                  <a:schemeClr val="accent2"/>
                </a:solidFill>
              </a:ln>
            </c:spPr>
            <c:extLst>
              <c:ext xmlns:c16="http://schemas.microsoft.com/office/drawing/2014/chart" uri="{C3380CC4-5D6E-409C-BE32-E72D297353CC}">
                <c16:uniqueId val="{00000010-8E22-43C9-BDDB-20EBC09E816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graf_7.4!$O$5:$O$38</c:f>
              <c:strCache>
                <c:ptCount val="34"/>
                <c:pt idx="0">
                  <c:v>EL</c:v>
                </c:pt>
                <c:pt idx="1">
                  <c:v>DK</c:v>
                </c:pt>
                <c:pt idx="2">
                  <c:v>PL*</c:v>
                </c:pt>
                <c:pt idx="3">
                  <c:v>CY</c:v>
                </c:pt>
                <c:pt idx="4">
                  <c:v>IT</c:v>
                </c:pt>
                <c:pt idx="5">
                  <c:v>FI</c:v>
                </c:pt>
                <c:pt idx="6">
                  <c:v>PT</c:v>
                </c:pt>
                <c:pt idx="7">
                  <c:v>LV</c:v>
                </c:pt>
                <c:pt idx="8">
                  <c:v>LU</c:v>
                </c:pt>
                <c:pt idx="9">
                  <c:v>RS</c:v>
                </c:pt>
                <c:pt idx="10">
                  <c:v>AT</c:v>
                </c:pt>
                <c:pt idx="11">
                  <c:v>SE</c:v>
                </c:pt>
                <c:pt idx="12">
                  <c:v>RO</c:v>
                </c:pt>
                <c:pt idx="13">
                  <c:v>HU</c:v>
                </c:pt>
                <c:pt idx="14">
                  <c:v>BG</c:v>
                </c:pt>
                <c:pt idx="15">
                  <c:v>ES</c:v>
                </c:pt>
                <c:pt idx="16">
                  <c:v>EE</c:v>
                </c:pt>
                <c:pt idx="17">
                  <c:v>FR</c:v>
                </c:pt>
                <c:pt idx="18">
                  <c:v>EU 28 </c:v>
                </c:pt>
                <c:pt idx="19">
                  <c:v>BE</c:v>
                </c:pt>
                <c:pt idx="20">
                  <c:v>EA 19</c:v>
                </c:pt>
                <c:pt idx="21">
                  <c:v>CH</c:v>
                </c:pt>
                <c:pt idx="22">
                  <c:v>LT</c:v>
                </c:pt>
                <c:pt idx="23">
                  <c:v>NO</c:v>
                </c:pt>
                <c:pt idx="24">
                  <c:v>SK</c:v>
                </c:pt>
                <c:pt idx="25">
                  <c:v>CZ</c:v>
                </c:pt>
                <c:pt idx="26">
                  <c:v>SI</c:v>
                </c:pt>
                <c:pt idx="27">
                  <c:v>UK</c:v>
                </c:pt>
                <c:pt idx="28">
                  <c:v>MT</c:v>
                </c:pt>
                <c:pt idx="29">
                  <c:v>NL</c:v>
                </c:pt>
                <c:pt idx="30">
                  <c:v>HR</c:v>
                </c:pt>
                <c:pt idx="31">
                  <c:v>DE</c:v>
                </c:pt>
                <c:pt idx="32">
                  <c:v>IS</c:v>
                </c:pt>
                <c:pt idx="33">
                  <c:v>IE</c:v>
                </c:pt>
              </c:strCache>
            </c:strRef>
          </c:cat>
          <c:val>
            <c:numRef>
              <c:f>graf_7.4!$Q$5:$Q$38</c:f>
              <c:numCache>
                <c:formatCode>0.0</c:formatCode>
                <c:ptCount val="34"/>
                <c:pt idx="0">
                  <c:v>6.36</c:v>
                </c:pt>
                <c:pt idx="1">
                  <c:v>13.04</c:v>
                </c:pt>
                <c:pt idx="2">
                  <c:v>8.2799999999999994</c:v>
                </c:pt>
                <c:pt idx="3">
                  <c:v>3.3</c:v>
                </c:pt>
                <c:pt idx="4">
                  <c:v>5.84</c:v>
                </c:pt>
                <c:pt idx="5">
                  <c:v>10.36</c:v>
                </c:pt>
                <c:pt idx="6">
                  <c:v>7.34</c:v>
                </c:pt>
                <c:pt idx="7">
                  <c:v>9.2799999999999994</c:v>
                </c:pt>
                <c:pt idx="8">
                  <c:v>11.05</c:v>
                </c:pt>
                <c:pt idx="9">
                  <c:v>6.54</c:v>
                </c:pt>
                <c:pt idx="10">
                  <c:v>6.64</c:v>
                </c:pt>
                <c:pt idx="11">
                  <c:v>11.58</c:v>
                </c:pt>
                <c:pt idx="12">
                  <c:v>7.44</c:v>
                </c:pt>
                <c:pt idx="13">
                  <c:v>6.77</c:v>
                </c:pt>
                <c:pt idx="14">
                  <c:v>7.57</c:v>
                </c:pt>
                <c:pt idx="15">
                  <c:v>7.17</c:v>
                </c:pt>
                <c:pt idx="16">
                  <c:v>11.4</c:v>
                </c:pt>
                <c:pt idx="17">
                  <c:v>6.38</c:v>
                </c:pt>
                <c:pt idx="18">
                  <c:v>7.29</c:v>
                </c:pt>
                <c:pt idx="19">
                  <c:v>8.1</c:v>
                </c:pt>
                <c:pt idx="20">
                  <c:v>7.19</c:v>
                </c:pt>
                <c:pt idx="21">
                  <c:v>9.06</c:v>
                </c:pt>
                <c:pt idx="22">
                  <c:v>9.33</c:v>
                </c:pt>
                <c:pt idx="23">
                  <c:v>16.41</c:v>
                </c:pt>
                <c:pt idx="24">
                  <c:v>8.84</c:v>
                </c:pt>
                <c:pt idx="25">
                  <c:v>6.6</c:v>
                </c:pt>
                <c:pt idx="26">
                  <c:v>5.74</c:v>
                </c:pt>
                <c:pt idx="27">
                  <c:v>6.14</c:v>
                </c:pt>
                <c:pt idx="28">
                  <c:v>3.72</c:v>
                </c:pt>
                <c:pt idx="29">
                  <c:v>9.51</c:v>
                </c:pt>
                <c:pt idx="30">
                  <c:v>12.17</c:v>
                </c:pt>
                <c:pt idx="31">
                  <c:v>8.14</c:v>
                </c:pt>
                <c:pt idx="32">
                  <c:v>15.99</c:v>
                </c:pt>
                <c:pt idx="33">
                  <c:v>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8E22-43C9-BDDB-20EBC09E8167}"/>
            </c:ext>
          </c:extLst>
        </c:ser>
        <c:ser>
          <c:idx val="2"/>
          <c:order val="2"/>
          <c:tx>
            <c:strRef>
              <c:f>graf_7.4!$R$4</c:f>
              <c:strCache>
                <c:ptCount val="1"/>
                <c:pt idx="0">
                  <c:v>stáří</c:v>
                </c:pt>
              </c:strCache>
            </c:strRef>
          </c:tx>
          <c:spPr>
            <a:solidFill>
              <a:srgbClr val="A889A9"/>
            </a:solidFill>
            <a:ln>
              <a:solidFill>
                <a:schemeClr val="accent4">
                  <a:lumMod val="75000"/>
                </a:schemeClr>
              </a:solidFill>
            </a:ln>
          </c:spPr>
          <c:invertIfNegative val="0"/>
          <c:dPt>
            <c:idx val="2"/>
            <c:invertIfNegative val="0"/>
            <c:bubble3D val="0"/>
            <c:spPr>
              <a:solidFill>
                <a:srgbClr val="A889A9"/>
              </a:solidFill>
              <a:ln w="9525">
                <a:solidFill>
                  <a:schemeClr val="accent4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3-8E22-43C9-BDDB-20EBC09E8167}"/>
              </c:ext>
            </c:extLst>
          </c:dPt>
          <c:dPt>
            <c:idx val="19"/>
            <c:invertIfNegative val="0"/>
            <c:bubble3D val="0"/>
            <c:spPr>
              <a:solidFill>
                <a:srgbClr val="A889A9"/>
              </a:solidFill>
              <a:ln w="9525">
                <a:solidFill>
                  <a:schemeClr val="accent4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5-8E22-43C9-BDDB-20EBC09E8167}"/>
              </c:ext>
            </c:extLst>
          </c:dPt>
          <c:dPt>
            <c:idx val="22"/>
            <c:invertIfNegative val="0"/>
            <c:bubble3D val="0"/>
            <c:spPr>
              <a:solidFill>
                <a:srgbClr val="A889A9"/>
              </a:solidFill>
              <a:ln w="9525">
                <a:solidFill>
                  <a:schemeClr val="accent4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7-8E22-43C9-BDDB-20EBC09E8167}"/>
              </c:ext>
            </c:extLst>
          </c:dPt>
          <c:dPt>
            <c:idx val="25"/>
            <c:invertIfNegative val="0"/>
            <c:bubble3D val="0"/>
            <c:spPr>
              <a:solidFill>
                <a:srgbClr val="926B93"/>
              </a:solidFill>
              <a:ln w="22225"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9-8E22-43C9-BDDB-20EBC09E8167}"/>
              </c:ext>
            </c:extLst>
          </c:dPt>
          <c:dPt>
            <c:idx val="26"/>
            <c:invertIfNegative val="0"/>
            <c:bubble3D val="0"/>
            <c:spPr>
              <a:solidFill>
                <a:srgbClr val="A889A9"/>
              </a:solidFill>
              <a:ln w="9525">
                <a:solidFill>
                  <a:schemeClr val="accent4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B-8E22-43C9-BDDB-20EBC09E81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graf_7.4!$O$5:$O$38</c:f>
              <c:strCache>
                <c:ptCount val="34"/>
                <c:pt idx="0">
                  <c:v>EL</c:v>
                </c:pt>
                <c:pt idx="1">
                  <c:v>DK</c:v>
                </c:pt>
                <c:pt idx="2">
                  <c:v>PL*</c:v>
                </c:pt>
                <c:pt idx="3">
                  <c:v>CY</c:v>
                </c:pt>
                <c:pt idx="4">
                  <c:v>IT</c:v>
                </c:pt>
                <c:pt idx="5">
                  <c:v>FI</c:v>
                </c:pt>
                <c:pt idx="6">
                  <c:v>PT</c:v>
                </c:pt>
                <c:pt idx="7">
                  <c:v>LV</c:v>
                </c:pt>
                <c:pt idx="8">
                  <c:v>LU</c:v>
                </c:pt>
                <c:pt idx="9">
                  <c:v>RS</c:v>
                </c:pt>
                <c:pt idx="10">
                  <c:v>AT</c:v>
                </c:pt>
                <c:pt idx="11">
                  <c:v>SE</c:v>
                </c:pt>
                <c:pt idx="12">
                  <c:v>RO</c:v>
                </c:pt>
                <c:pt idx="13">
                  <c:v>HU</c:v>
                </c:pt>
                <c:pt idx="14">
                  <c:v>BG</c:v>
                </c:pt>
                <c:pt idx="15">
                  <c:v>ES</c:v>
                </c:pt>
                <c:pt idx="16">
                  <c:v>EE</c:v>
                </c:pt>
                <c:pt idx="17">
                  <c:v>FR</c:v>
                </c:pt>
                <c:pt idx="18">
                  <c:v>EU 28 </c:v>
                </c:pt>
                <c:pt idx="19">
                  <c:v>BE</c:v>
                </c:pt>
                <c:pt idx="20">
                  <c:v>EA 19</c:v>
                </c:pt>
                <c:pt idx="21">
                  <c:v>CH</c:v>
                </c:pt>
                <c:pt idx="22">
                  <c:v>LT</c:v>
                </c:pt>
                <c:pt idx="23">
                  <c:v>NO</c:v>
                </c:pt>
                <c:pt idx="24">
                  <c:v>SK</c:v>
                </c:pt>
                <c:pt idx="25">
                  <c:v>CZ</c:v>
                </c:pt>
                <c:pt idx="26">
                  <c:v>SI</c:v>
                </c:pt>
                <c:pt idx="27">
                  <c:v>UK</c:v>
                </c:pt>
                <c:pt idx="28">
                  <c:v>MT</c:v>
                </c:pt>
                <c:pt idx="29">
                  <c:v>NL</c:v>
                </c:pt>
                <c:pt idx="30">
                  <c:v>HR</c:v>
                </c:pt>
                <c:pt idx="31">
                  <c:v>DE</c:v>
                </c:pt>
                <c:pt idx="32">
                  <c:v>IS</c:v>
                </c:pt>
                <c:pt idx="33">
                  <c:v>IE</c:v>
                </c:pt>
              </c:strCache>
            </c:strRef>
          </c:cat>
          <c:val>
            <c:numRef>
              <c:f>graf_7.4!$R$5:$R$38</c:f>
              <c:numCache>
                <c:formatCode>0.0</c:formatCode>
                <c:ptCount val="34"/>
                <c:pt idx="0">
                  <c:v>55.17</c:v>
                </c:pt>
                <c:pt idx="1">
                  <c:v>37.18</c:v>
                </c:pt>
                <c:pt idx="2">
                  <c:v>49.66</c:v>
                </c:pt>
                <c:pt idx="3">
                  <c:v>48.01</c:v>
                </c:pt>
                <c:pt idx="4">
                  <c:v>49.06</c:v>
                </c:pt>
                <c:pt idx="5">
                  <c:v>39.76</c:v>
                </c:pt>
                <c:pt idx="6">
                  <c:v>50.69</c:v>
                </c:pt>
                <c:pt idx="7">
                  <c:v>48.78</c:v>
                </c:pt>
                <c:pt idx="8">
                  <c:v>30.66</c:v>
                </c:pt>
                <c:pt idx="9">
                  <c:v>46.17</c:v>
                </c:pt>
                <c:pt idx="10">
                  <c:v>44.44</c:v>
                </c:pt>
                <c:pt idx="11">
                  <c:v>42.41</c:v>
                </c:pt>
                <c:pt idx="12">
                  <c:v>50.53</c:v>
                </c:pt>
                <c:pt idx="13">
                  <c:v>44.92</c:v>
                </c:pt>
                <c:pt idx="14">
                  <c:v>44.73</c:v>
                </c:pt>
                <c:pt idx="15">
                  <c:v>39.96</c:v>
                </c:pt>
                <c:pt idx="16">
                  <c:v>43.51</c:v>
                </c:pt>
                <c:pt idx="17">
                  <c:v>40.130000000000003</c:v>
                </c:pt>
                <c:pt idx="18">
                  <c:v>40.24</c:v>
                </c:pt>
                <c:pt idx="19">
                  <c:v>34.979999999999997</c:v>
                </c:pt>
                <c:pt idx="20">
                  <c:v>39.32</c:v>
                </c:pt>
                <c:pt idx="21">
                  <c:v>42.92</c:v>
                </c:pt>
                <c:pt idx="22">
                  <c:v>44.34</c:v>
                </c:pt>
                <c:pt idx="23">
                  <c:v>34.78</c:v>
                </c:pt>
                <c:pt idx="24">
                  <c:v>40.78</c:v>
                </c:pt>
                <c:pt idx="25">
                  <c:v>43.87</c:v>
                </c:pt>
                <c:pt idx="26">
                  <c:v>41.89</c:v>
                </c:pt>
                <c:pt idx="27">
                  <c:v>42.2</c:v>
                </c:pt>
                <c:pt idx="28">
                  <c:v>42.82</c:v>
                </c:pt>
                <c:pt idx="29">
                  <c:v>38.369999999999997</c:v>
                </c:pt>
                <c:pt idx="30">
                  <c:v>34.119999999999997</c:v>
                </c:pt>
                <c:pt idx="31">
                  <c:v>32.53</c:v>
                </c:pt>
                <c:pt idx="32">
                  <c:v>26.32</c:v>
                </c:pt>
                <c:pt idx="33">
                  <c:v>29.88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8E22-43C9-BDDB-20EBC09E8167}"/>
            </c:ext>
          </c:extLst>
        </c:ser>
        <c:ser>
          <c:idx val="1"/>
          <c:order val="3"/>
          <c:tx>
            <c:strRef>
              <c:f>graf_7.4!$S$4</c:f>
              <c:strCache>
                <c:ptCount val="1"/>
                <c:pt idx="0">
                  <c:v>pozůstalí</c:v>
                </c:pt>
              </c:strCache>
            </c:strRef>
          </c:tx>
          <c:spPr>
            <a:solidFill>
              <a:srgbClr val="75538F"/>
            </a:solidFill>
            <a:ln w="9525">
              <a:solidFill>
                <a:schemeClr val="accent4">
                  <a:lumMod val="50000"/>
                </a:schemeClr>
              </a:solidFill>
            </a:ln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8E22-43C9-BDDB-20EBC09E8167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8E22-43C9-BDDB-20EBC09E8167}"/>
              </c:ext>
            </c:extLst>
          </c:dPt>
          <c:dPt>
            <c:idx val="25"/>
            <c:invertIfNegative val="0"/>
            <c:bubble3D val="0"/>
            <c:spPr>
              <a:solidFill>
                <a:srgbClr val="5B416F"/>
              </a:solidFill>
              <a:ln w="22225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20-8E22-43C9-BDDB-20EBC09E8167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1-8E22-43C9-BDDB-20EBC09E8167}"/>
              </c:ext>
            </c:extLst>
          </c:dPt>
          <c:dLbls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1-8E22-43C9-BDDB-20EBC09E8167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0-8E22-43C9-BDDB-20EBC09E8167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F-8E22-43C9-BDDB-20EBC09E8167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E-8E22-43C9-BDDB-20EBC09E8167}"/>
                </c:ext>
              </c:extLst>
            </c:dLbl>
            <c:dLbl>
              <c:idx val="2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D-8E22-43C9-BDDB-20EBC09E8167}"/>
                </c:ext>
              </c:extLst>
            </c:dLbl>
            <c:dLbl>
              <c:idx val="2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C-8E22-43C9-BDDB-20EBC09E8167}"/>
                </c:ext>
              </c:extLst>
            </c:dLbl>
            <c:dLbl>
              <c:idx val="3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3-8E22-43C9-BDDB-20EBC09E8167}"/>
                </c:ext>
              </c:extLst>
            </c:dLbl>
            <c:dLbl>
              <c:idx val="3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2-8E22-43C9-BDDB-20EBC09E81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graf_7.4!$O$5:$O$38</c:f>
              <c:strCache>
                <c:ptCount val="34"/>
                <c:pt idx="0">
                  <c:v>EL</c:v>
                </c:pt>
                <c:pt idx="1">
                  <c:v>DK</c:v>
                </c:pt>
                <c:pt idx="2">
                  <c:v>PL*</c:v>
                </c:pt>
                <c:pt idx="3">
                  <c:v>CY</c:v>
                </c:pt>
                <c:pt idx="4">
                  <c:v>IT</c:v>
                </c:pt>
                <c:pt idx="5">
                  <c:v>FI</c:v>
                </c:pt>
                <c:pt idx="6">
                  <c:v>PT</c:v>
                </c:pt>
                <c:pt idx="7">
                  <c:v>LV</c:v>
                </c:pt>
                <c:pt idx="8">
                  <c:v>LU</c:v>
                </c:pt>
                <c:pt idx="9">
                  <c:v>RS</c:v>
                </c:pt>
                <c:pt idx="10">
                  <c:v>AT</c:v>
                </c:pt>
                <c:pt idx="11">
                  <c:v>SE</c:v>
                </c:pt>
                <c:pt idx="12">
                  <c:v>RO</c:v>
                </c:pt>
                <c:pt idx="13">
                  <c:v>HU</c:v>
                </c:pt>
                <c:pt idx="14">
                  <c:v>BG</c:v>
                </c:pt>
                <c:pt idx="15">
                  <c:v>ES</c:v>
                </c:pt>
                <c:pt idx="16">
                  <c:v>EE</c:v>
                </c:pt>
                <c:pt idx="17">
                  <c:v>FR</c:v>
                </c:pt>
                <c:pt idx="18">
                  <c:v>EU 28 </c:v>
                </c:pt>
                <c:pt idx="19">
                  <c:v>BE</c:v>
                </c:pt>
                <c:pt idx="20">
                  <c:v>EA 19</c:v>
                </c:pt>
                <c:pt idx="21">
                  <c:v>CH</c:v>
                </c:pt>
                <c:pt idx="22">
                  <c:v>LT</c:v>
                </c:pt>
                <c:pt idx="23">
                  <c:v>NO</c:v>
                </c:pt>
                <c:pt idx="24">
                  <c:v>SK</c:v>
                </c:pt>
                <c:pt idx="25">
                  <c:v>CZ</c:v>
                </c:pt>
                <c:pt idx="26">
                  <c:v>SI</c:v>
                </c:pt>
                <c:pt idx="27">
                  <c:v>UK</c:v>
                </c:pt>
                <c:pt idx="28">
                  <c:v>MT</c:v>
                </c:pt>
                <c:pt idx="29">
                  <c:v>NL</c:v>
                </c:pt>
                <c:pt idx="30">
                  <c:v>HR</c:v>
                </c:pt>
                <c:pt idx="31">
                  <c:v>DE</c:v>
                </c:pt>
                <c:pt idx="32">
                  <c:v>IS</c:v>
                </c:pt>
                <c:pt idx="33">
                  <c:v>IE</c:v>
                </c:pt>
              </c:strCache>
            </c:strRef>
          </c:cat>
          <c:val>
            <c:numRef>
              <c:f>graf_7.4!$S$5:$S$38</c:f>
              <c:numCache>
                <c:formatCode>0.0</c:formatCode>
                <c:ptCount val="34"/>
                <c:pt idx="0">
                  <c:v>10.25</c:v>
                </c:pt>
                <c:pt idx="1">
                  <c:v>6.57</c:v>
                </c:pt>
                <c:pt idx="2">
                  <c:v>10.24</c:v>
                </c:pt>
                <c:pt idx="3">
                  <c:v>6.9</c:v>
                </c:pt>
                <c:pt idx="4">
                  <c:v>9.2100000000000009</c:v>
                </c:pt>
                <c:pt idx="5">
                  <c:v>2.69</c:v>
                </c:pt>
                <c:pt idx="6">
                  <c:v>7.58</c:v>
                </c:pt>
                <c:pt idx="7">
                  <c:v>1.26</c:v>
                </c:pt>
                <c:pt idx="8">
                  <c:v>7.85</c:v>
                </c:pt>
                <c:pt idx="9">
                  <c:v>9.74</c:v>
                </c:pt>
                <c:pt idx="10">
                  <c:v>6.01</c:v>
                </c:pt>
                <c:pt idx="11">
                  <c:v>1.1599999999999999</c:v>
                </c:pt>
                <c:pt idx="12">
                  <c:v>4.67</c:v>
                </c:pt>
                <c:pt idx="13">
                  <c:v>5.72</c:v>
                </c:pt>
                <c:pt idx="14">
                  <c:v>5.48</c:v>
                </c:pt>
                <c:pt idx="15">
                  <c:v>9.83</c:v>
                </c:pt>
                <c:pt idx="16">
                  <c:v>0.37</c:v>
                </c:pt>
                <c:pt idx="17">
                  <c:v>5.46</c:v>
                </c:pt>
                <c:pt idx="18">
                  <c:v>5.66</c:v>
                </c:pt>
                <c:pt idx="19">
                  <c:v>6.54</c:v>
                </c:pt>
                <c:pt idx="20">
                  <c:v>6.86</c:v>
                </c:pt>
                <c:pt idx="21">
                  <c:v>5.05</c:v>
                </c:pt>
                <c:pt idx="22">
                  <c:v>2.93</c:v>
                </c:pt>
                <c:pt idx="23">
                  <c:v>0.97</c:v>
                </c:pt>
                <c:pt idx="24">
                  <c:v>5.12</c:v>
                </c:pt>
                <c:pt idx="25">
                  <c:v>3.43</c:v>
                </c:pt>
                <c:pt idx="26">
                  <c:v>6.4</c:v>
                </c:pt>
                <c:pt idx="27">
                  <c:v>0.31</c:v>
                </c:pt>
                <c:pt idx="28">
                  <c:v>8.3000000000000007</c:v>
                </c:pt>
                <c:pt idx="29">
                  <c:v>4.05</c:v>
                </c:pt>
                <c:pt idx="30">
                  <c:v>9.6300000000000008</c:v>
                </c:pt>
                <c:pt idx="31">
                  <c:v>6.58</c:v>
                </c:pt>
                <c:pt idx="32">
                  <c:v>2.37</c:v>
                </c:pt>
                <c:pt idx="33">
                  <c:v>2.2799999999999998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8E22-43C9-BDDB-20EBC09E8167}"/>
            </c:ext>
          </c:extLst>
        </c:ser>
        <c:ser>
          <c:idx val="4"/>
          <c:order val="4"/>
          <c:tx>
            <c:strRef>
              <c:f>graf_7.4!$T$4</c:f>
              <c:strCache>
                <c:ptCount val="1"/>
                <c:pt idx="0">
                  <c:v>rodina/
děti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9525">
              <a:solidFill>
                <a:schemeClr val="accent1">
                  <a:lumMod val="75000"/>
                </a:schemeClr>
              </a:solidFill>
            </a:ln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3-8E22-43C9-BDDB-20EBC09E8167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4-8E22-43C9-BDDB-20EBC09E8167}"/>
              </c:ext>
            </c:extLst>
          </c:dPt>
          <c:dPt>
            <c:idx val="25"/>
            <c:invertIfNegative val="0"/>
            <c:bubble3D val="0"/>
            <c:spPr>
              <a:solidFill>
                <a:srgbClr val="749BCA"/>
              </a:solidFill>
              <a:ln w="22225"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26-8E22-43C9-BDDB-20EBC09E8167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7-8E22-43C9-BDDB-20EBC09E8167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4-8E22-43C9-BDDB-20EBC09E8167}"/>
                </c:ext>
              </c:extLst>
            </c:dLbl>
            <c:dLbl>
              <c:idx val="2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8E22-43C9-BDDB-20EBC09E816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graf_7.4!$O$5:$O$38</c:f>
              <c:strCache>
                <c:ptCount val="34"/>
                <c:pt idx="0">
                  <c:v>EL</c:v>
                </c:pt>
                <c:pt idx="1">
                  <c:v>DK</c:v>
                </c:pt>
                <c:pt idx="2">
                  <c:v>PL*</c:v>
                </c:pt>
                <c:pt idx="3">
                  <c:v>CY</c:v>
                </c:pt>
                <c:pt idx="4">
                  <c:v>IT</c:v>
                </c:pt>
                <c:pt idx="5">
                  <c:v>FI</c:v>
                </c:pt>
                <c:pt idx="6">
                  <c:v>PT</c:v>
                </c:pt>
                <c:pt idx="7">
                  <c:v>LV</c:v>
                </c:pt>
                <c:pt idx="8">
                  <c:v>LU</c:v>
                </c:pt>
                <c:pt idx="9">
                  <c:v>RS</c:v>
                </c:pt>
                <c:pt idx="10">
                  <c:v>AT</c:v>
                </c:pt>
                <c:pt idx="11">
                  <c:v>SE</c:v>
                </c:pt>
                <c:pt idx="12">
                  <c:v>RO</c:v>
                </c:pt>
                <c:pt idx="13">
                  <c:v>HU</c:v>
                </c:pt>
                <c:pt idx="14">
                  <c:v>BG</c:v>
                </c:pt>
                <c:pt idx="15">
                  <c:v>ES</c:v>
                </c:pt>
                <c:pt idx="16">
                  <c:v>EE</c:v>
                </c:pt>
                <c:pt idx="17">
                  <c:v>FR</c:v>
                </c:pt>
                <c:pt idx="18">
                  <c:v>EU 28 </c:v>
                </c:pt>
                <c:pt idx="19">
                  <c:v>BE</c:v>
                </c:pt>
                <c:pt idx="20">
                  <c:v>EA 19</c:v>
                </c:pt>
                <c:pt idx="21">
                  <c:v>CH</c:v>
                </c:pt>
                <c:pt idx="22">
                  <c:v>LT</c:v>
                </c:pt>
                <c:pt idx="23">
                  <c:v>NO</c:v>
                </c:pt>
                <c:pt idx="24">
                  <c:v>SK</c:v>
                </c:pt>
                <c:pt idx="25">
                  <c:v>CZ</c:v>
                </c:pt>
                <c:pt idx="26">
                  <c:v>SI</c:v>
                </c:pt>
                <c:pt idx="27">
                  <c:v>UK</c:v>
                </c:pt>
                <c:pt idx="28">
                  <c:v>MT</c:v>
                </c:pt>
                <c:pt idx="29">
                  <c:v>NL</c:v>
                </c:pt>
                <c:pt idx="30">
                  <c:v>HR</c:v>
                </c:pt>
                <c:pt idx="31">
                  <c:v>DE</c:v>
                </c:pt>
                <c:pt idx="32">
                  <c:v>IS</c:v>
                </c:pt>
                <c:pt idx="33">
                  <c:v>IE</c:v>
                </c:pt>
              </c:strCache>
            </c:strRef>
          </c:cat>
          <c:val>
            <c:numRef>
              <c:f>graf_7.4!$T$5:$T$38</c:f>
              <c:numCache>
                <c:formatCode>0.0</c:formatCode>
                <c:ptCount val="34"/>
                <c:pt idx="0">
                  <c:v>4.0999999999999996</c:v>
                </c:pt>
                <c:pt idx="1">
                  <c:v>11.17</c:v>
                </c:pt>
                <c:pt idx="2">
                  <c:v>8.2100000000000009</c:v>
                </c:pt>
                <c:pt idx="3">
                  <c:v>6.18</c:v>
                </c:pt>
                <c:pt idx="4">
                  <c:v>5.98</c:v>
                </c:pt>
                <c:pt idx="5">
                  <c:v>10.27</c:v>
                </c:pt>
                <c:pt idx="6">
                  <c:v>4.6900000000000004</c:v>
                </c:pt>
                <c:pt idx="7">
                  <c:v>10.82</c:v>
                </c:pt>
                <c:pt idx="8">
                  <c:v>15.49</c:v>
                </c:pt>
                <c:pt idx="9">
                  <c:v>6.26</c:v>
                </c:pt>
                <c:pt idx="10">
                  <c:v>9.57</c:v>
                </c:pt>
                <c:pt idx="11">
                  <c:v>10.37</c:v>
                </c:pt>
                <c:pt idx="12">
                  <c:v>8.81</c:v>
                </c:pt>
                <c:pt idx="13">
                  <c:v>11.98</c:v>
                </c:pt>
                <c:pt idx="14">
                  <c:v>10.95</c:v>
                </c:pt>
                <c:pt idx="15">
                  <c:v>5.29</c:v>
                </c:pt>
                <c:pt idx="16">
                  <c:v>12.76</c:v>
                </c:pt>
                <c:pt idx="17">
                  <c:v>7.73</c:v>
                </c:pt>
                <c:pt idx="18">
                  <c:v>8.52</c:v>
                </c:pt>
                <c:pt idx="19">
                  <c:v>7.33</c:v>
                </c:pt>
                <c:pt idx="20">
                  <c:v>7.94</c:v>
                </c:pt>
                <c:pt idx="21">
                  <c:v>6.06</c:v>
                </c:pt>
                <c:pt idx="22">
                  <c:v>7.52</c:v>
                </c:pt>
                <c:pt idx="23">
                  <c:v>11.91</c:v>
                </c:pt>
                <c:pt idx="24">
                  <c:v>9.14</c:v>
                </c:pt>
                <c:pt idx="25">
                  <c:v>8.77</c:v>
                </c:pt>
                <c:pt idx="26">
                  <c:v>7.63</c:v>
                </c:pt>
                <c:pt idx="27">
                  <c:v>10.039999999999999</c:v>
                </c:pt>
                <c:pt idx="28">
                  <c:v>6.7</c:v>
                </c:pt>
                <c:pt idx="29">
                  <c:v>3.86</c:v>
                </c:pt>
                <c:pt idx="30">
                  <c:v>7.1</c:v>
                </c:pt>
                <c:pt idx="31">
                  <c:v>11.35</c:v>
                </c:pt>
                <c:pt idx="32">
                  <c:v>11.07</c:v>
                </c:pt>
                <c:pt idx="33">
                  <c:v>8.9499999999999993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8-8E22-43C9-BDDB-20EBC09E8167}"/>
            </c:ext>
          </c:extLst>
        </c:ser>
        <c:ser>
          <c:idx val="5"/>
          <c:order val="5"/>
          <c:tx>
            <c:strRef>
              <c:f>graf_7.4!$U$4</c:f>
              <c:strCache>
                <c:ptCount val="1"/>
                <c:pt idx="0">
                  <c:v>nezaměst-
nanost</c:v>
                </c:pt>
              </c:strCache>
            </c:strRef>
          </c:tx>
          <c:spPr>
            <a:solidFill>
              <a:srgbClr val="1672AA"/>
            </a:solidFill>
            <a:ln w="9525">
              <a:solidFill>
                <a:schemeClr val="tx2"/>
              </a:solidFill>
            </a:ln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9-8E22-43C9-BDDB-20EBC09E8167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A-8E22-43C9-BDDB-20EBC09E8167}"/>
              </c:ext>
            </c:extLst>
          </c:dPt>
          <c:dPt>
            <c:idx val="25"/>
            <c:invertIfNegative val="0"/>
            <c:bubble3D val="0"/>
            <c:spPr>
              <a:solidFill>
                <a:srgbClr val="125E8C"/>
              </a:solidFill>
              <a:ln w="22225"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2C-8E22-43C9-BDDB-20EBC09E8167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D-8E22-43C9-BDDB-20EBC09E8167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B-8E22-43C9-BDDB-20EBC09E816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8E22-43C9-BDDB-20EBC09E8167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A-8E22-43C9-BDDB-20EBC09E8167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9-8E22-43C9-BDDB-20EBC09E8167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8-8E22-43C9-BDDB-20EBC09E8167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6-8E22-43C9-BDDB-20EBC09E8167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5-8E22-43C9-BDDB-20EBC09E8167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7-8E22-43C9-BDDB-20EBC09E8167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6-8E22-43C9-BDDB-20EBC09E8167}"/>
                </c:ext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8E22-43C9-BDDB-20EBC09E8167}"/>
                </c:ext>
              </c:extLst>
            </c:dLbl>
            <c:dLbl>
              <c:idx val="2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4-8E22-43C9-BDDB-20EBC09E8167}"/>
                </c:ext>
              </c:extLst>
            </c:dLbl>
            <c:dLbl>
              <c:idx val="2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8E22-43C9-BDDB-20EBC09E8167}"/>
                </c:ext>
              </c:extLst>
            </c:dLbl>
            <c:dLbl>
              <c:idx val="2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2-8E22-43C9-BDDB-20EBC09E8167}"/>
                </c:ext>
              </c:extLst>
            </c:dLbl>
            <c:dLbl>
              <c:idx val="2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8E22-43C9-BDDB-20EBC09E8167}"/>
                </c:ext>
              </c:extLst>
            </c:dLbl>
            <c:dLbl>
              <c:idx val="2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8E22-43C9-BDDB-20EBC09E8167}"/>
                </c:ext>
              </c:extLst>
            </c:dLbl>
            <c:dLbl>
              <c:idx val="2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8E22-43C9-BDDB-20EBC09E8167}"/>
                </c:ext>
              </c:extLst>
            </c:dLbl>
            <c:dLbl>
              <c:idx val="2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0-8E22-43C9-BDDB-20EBC09E8167}"/>
                </c:ext>
              </c:extLst>
            </c:dLbl>
            <c:dLbl>
              <c:idx val="3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E-8E22-43C9-BDDB-20EBC09E8167}"/>
                </c:ext>
              </c:extLst>
            </c:dLbl>
            <c:dLbl>
              <c:idx val="3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8E22-43C9-BDDB-20EBC09E8167}"/>
                </c:ext>
              </c:extLst>
            </c:dLbl>
            <c:dLbl>
              <c:idx val="3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8E22-43C9-BDDB-20EBC09E81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graf_7.4!$O$5:$O$38</c:f>
              <c:strCache>
                <c:ptCount val="34"/>
                <c:pt idx="0">
                  <c:v>EL</c:v>
                </c:pt>
                <c:pt idx="1">
                  <c:v>DK</c:v>
                </c:pt>
                <c:pt idx="2">
                  <c:v>PL*</c:v>
                </c:pt>
                <c:pt idx="3">
                  <c:v>CY</c:v>
                </c:pt>
                <c:pt idx="4">
                  <c:v>IT</c:v>
                </c:pt>
                <c:pt idx="5">
                  <c:v>FI</c:v>
                </c:pt>
                <c:pt idx="6">
                  <c:v>PT</c:v>
                </c:pt>
                <c:pt idx="7">
                  <c:v>LV</c:v>
                </c:pt>
                <c:pt idx="8">
                  <c:v>LU</c:v>
                </c:pt>
                <c:pt idx="9">
                  <c:v>RS</c:v>
                </c:pt>
                <c:pt idx="10">
                  <c:v>AT</c:v>
                </c:pt>
                <c:pt idx="11">
                  <c:v>SE</c:v>
                </c:pt>
                <c:pt idx="12">
                  <c:v>RO</c:v>
                </c:pt>
                <c:pt idx="13">
                  <c:v>HU</c:v>
                </c:pt>
                <c:pt idx="14">
                  <c:v>BG</c:v>
                </c:pt>
                <c:pt idx="15">
                  <c:v>ES</c:v>
                </c:pt>
                <c:pt idx="16">
                  <c:v>EE</c:v>
                </c:pt>
                <c:pt idx="17">
                  <c:v>FR</c:v>
                </c:pt>
                <c:pt idx="18">
                  <c:v>EU 28 </c:v>
                </c:pt>
                <c:pt idx="19">
                  <c:v>BE</c:v>
                </c:pt>
                <c:pt idx="20">
                  <c:v>EA 19</c:v>
                </c:pt>
                <c:pt idx="21">
                  <c:v>CH</c:v>
                </c:pt>
                <c:pt idx="22">
                  <c:v>LT</c:v>
                </c:pt>
                <c:pt idx="23">
                  <c:v>NO</c:v>
                </c:pt>
                <c:pt idx="24">
                  <c:v>SK</c:v>
                </c:pt>
                <c:pt idx="25">
                  <c:v>CZ</c:v>
                </c:pt>
                <c:pt idx="26">
                  <c:v>SI</c:v>
                </c:pt>
                <c:pt idx="27">
                  <c:v>UK</c:v>
                </c:pt>
                <c:pt idx="28">
                  <c:v>MT</c:v>
                </c:pt>
                <c:pt idx="29">
                  <c:v>NL</c:v>
                </c:pt>
                <c:pt idx="30">
                  <c:v>HR</c:v>
                </c:pt>
                <c:pt idx="31">
                  <c:v>DE</c:v>
                </c:pt>
                <c:pt idx="32">
                  <c:v>IS</c:v>
                </c:pt>
                <c:pt idx="33">
                  <c:v>IE</c:v>
                </c:pt>
              </c:strCache>
            </c:strRef>
          </c:cat>
          <c:val>
            <c:numRef>
              <c:f>graf_7.4!$U$5:$U$38</c:f>
              <c:numCache>
                <c:formatCode>0.0</c:formatCode>
                <c:ptCount val="34"/>
                <c:pt idx="0">
                  <c:v>3.96</c:v>
                </c:pt>
                <c:pt idx="1">
                  <c:v>4.88</c:v>
                </c:pt>
                <c:pt idx="2">
                  <c:v>1.31</c:v>
                </c:pt>
                <c:pt idx="3">
                  <c:v>5.7</c:v>
                </c:pt>
                <c:pt idx="4">
                  <c:v>5.98</c:v>
                </c:pt>
                <c:pt idx="5">
                  <c:v>8.5399999999999991</c:v>
                </c:pt>
                <c:pt idx="6">
                  <c:v>4.57</c:v>
                </c:pt>
                <c:pt idx="7">
                  <c:v>4.08</c:v>
                </c:pt>
                <c:pt idx="8">
                  <c:v>6.59</c:v>
                </c:pt>
                <c:pt idx="9">
                  <c:v>3.01</c:v>
                </c:pt>
                <c:pt idx="10">
                  <c:v>5.64</c:v>
                </c:pt>
                <c:pt idx="11">
                  <c:v>3.64</c:v>
                </c:pt>
                <c:pt idx="12">
                  <c:v>0.73</c:v>
                </c:pt>
                <c:pt idx="13">
                  <c:v>1.95</c:v>
                </c:pt>
                <c:pt idx="14">
                  <c:v>2.9</c:v>
                </c:pt>
                <c:pt idx="15">
                  <c:v>8.9600000000000009</c:v>
                </c:pt>
                <c:pt idx="16">
                  <c:v>2.72</c:v>
                </c:pt>
                <c:pt idx="17">
                  <c:v>6.21</c:v>
                </c:pt>
                <c:pt idx="18">
                  <c:v>5.14</c:v>
                </c:pt>
                <c:pt idx="19">
                  <c:v>10.66</c:v>
                </c:pt>
                <c:pt idx="20">
                  <c:v>6.15</c:v>
                </c:pt>
                <c:pt idx="21">
                  <c:v>3.69</c:v>
                </c:pt>
                <c:pt idx="22">
                  <c:v>3.42</c:v>
                </c:pt>
                <c:pt idx="23">
                  <c:v>2.4300000000000002</c:v>
                </c:pt>
                <c:pt idx="24">
                  <c:v>2.91</c:v>
                </c:pt>
                <c:pt idx="25">
                  <c:v>2.68</c:v>
                </c:pt>
                <c:pt idx="26">
                  <c:v>2.73</c:v>
                </c:pt>
                <c:pt idx="27">
                  <c:v>1.42</c:v>
                </c:pt>
                <c:pt idx="28">
                  <c:v>2.97</c:v>
                </c:pt>
                <c:pt idx="29">
                  <c:v>5.21</c:v>
                </c:pt>
                <c:pt idx="30">
                  <c:v>2.36</c:v>
                </c:pt>
                <c:pt idx="31">
                  <c:v>3.66</c:v>
                </c:pt>
                <c:pt idx="32">
                  <c:v>2.4300000000000002</c:v>
                </c:pt>
                <c:pt idx="33">
                  <c:v>11.59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E-8E22-43C9-BDDB-20EBC09E8167}"/>
            </c:ext>
          </c:extLst>
        </c:ser>
        <c:ser>
          <c:idx val="6"/>
          <c:order val="6"/>
          <c:tx>
            <c:strRef>
              <c:f>graf_7.4!$V$4</c:f>
              <c:strCache>
                <c:ptCount val="1"/>
                <c:pt idx="0">
                  <c:v>bydlení</c:v>
                </c:pt>
              </c:strCache>
            </c:strRef>
          </c:tx>
          <c:spPr>
            <a:solidFill>
              <a:srgbClr val="9EB709"/>
            </a:solidFill>
            <a:ln w="9525">
              <a:solidFill>
                <a:schemeClr val="accent3">
                  <a:lumMod val="50000"/>
                </a:schemeClr>
              </a:solidFill>
            </a:ln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F-8E22-43C9-BDDB-20EBC09E8167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0-8E22-43C9-BDDB-20EBC09E8167}"/>
              </c:ext>
            </c:extLst>
          </c:dPt>
          <c:dPt>
            <c:idx val="25"/>
            <c:invertIfNegative val="0"/>
            <c:bubble3D val="0"/>
            <c:spPr>
              <a:solidFill>
                <a:srgbClr val="859A08"/>
              </a:solidFill>
              <a:ln w="22225"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32-8E22-43C9-BDDB-20EBC09E8167}"/>
              </c:ext>
            </c:extLst>
          </c:dPt>
          <c:dPt>
            <c:idx val="26"/>
            <c:invertIfNegative val="0"/>
            <c:bubble3D val="0"/>
            <c:spPr>
              <a:solidFill>
                <a:srgbClr val="92D050"/>
              </a:solidFill>
              <a:ln w="9525">
                <a:solidFill>
                  <a:schemeClr val="accent3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34-8E22-43C9-BDDB-20EBC09E8167}"/>
              </c:ext>
            </c:extLst>
          </c:dPt>
          <c:cat>
            <c:strRef>
              <c:f>graf_7.4!$O$5:$O$38</c:f>
              <c:strCache>
                <c:ptCount val="34"/>
                <c:pt idx="0">
                  <c:v>EL</c:v>
                </c:pt>
                <c:pt idx="1">
                  <c:v>DK</c:v>
                </c:pt>
                <c:pt idx="2">
                  <c:v>PL*</c:v>
                </c:pt>
                <c:pt idx="3">
                  <c:v>CY</c:v>
                </c:pt>
                <c:pt idx="4">
                  <c:v>IT</c:v>
                </c:pt>
                <c:pt idx="5">
                  <c:v>FI</c:v>
                </c:pt>
                <c:pt idx="6">
                  <c:v>PT</c:v>
                </c:pt>
                <c:pt idx="7">
                  <c:v>LV</c:v>
                </c:pt>
                <c:pt idx="8">
                  <c:v>LU</c:v>
                </c:pt>
                <c:pt idx="9">
                  <c:v>RS</c:v>
                </c:pt>
                <c:pt idx="10">
                  <c:v>AT</c:v>
                </c:pt>
                <c:pt idx="11">
                  <c:v>SE</c:v>
                </c:pt>
                <c:pt idx="12">
                  <c:v>RO</c:v>
                </c:pt>
                <c:pt idx="13">
                  <c:v>HU</c:v>
                </c:pt>
                <c:pt idx="14">
                  <c:v>BG</c:v>
                </c:pt>
                <c:pt idx="15">
                  <c:v>ES</c:v>
                </c:pt>
                <c:pt idx="16">
                  <c:v>EE</c:v>
                </c:pt>
                <c:pt idx="17">
                  <c:v>FR</c:v>
                </c:pt>
                <c:pt idx="18">
                  <c:v>EU 28 </c:v>
                </c:pt>
                <c:pt idx="19">
                  <c:v>BE</c:v>
                </c:pt>
                <c:pt idx="20">
                  <c:v>EA 19</c:v>
                </c:pt>
                <c:pt idx="21">
                  <c:v>CH</c:v>
                </c:pt>
                <c:pt idx="22">
                  <c:v>LT</c:v>
                </c:pt>
                <c:pt idx="23">
                  <c:v>NO</c:v>
                </c:pt>
                <c:pt idx="24">
                  <c:v>SK</c:v>
                </c:pt>
                <c:pt idx="25">
                  <c:v>CZ</c:v>
                </c:pt>
                <c:pt idx="26">
                  <c:v>SI</c:v>
                </c:pt>
                <c:pt idx="27">
                  <c:v>UK</c:v>
                </c:pt>
                <c:pt idx="28">
                  <c:v>MT</c:v>
                </c:pt>
                <c:pt idx="29">
                  <c:v>NL</c:v>
                </c:pt>
                <c:pt idx="30">
                  <c:v>HR</c:v>
                </c:pt>
                <c:pt idx="31">
                  <c:v>DE</c:v>
                </c:pt>
                <c:pt idx="32">
                  <c:v>IS</c:v>
                </c:pt>
                <c:pt idx="33">
                  <c:v>IE</c:v>
                </c:pt>
              </c:strCache>
            </c:strRef>
          </c:cat>
          <c:val>
            <c:numRef>
              <c:f>graf_7.4!$V$5:$V$38</c:f>
              <c:numCache>
                <c:formatCode>0.0</c:formatCode>
                <c:ptCount val="34"/>
                <c:pt idx="0">
                  <c:v>0.11</c:v>
                </c:pt>
                <c:pt idx="1">
                  <c:v>2.2599999999999998</c:v>
                </c:pt>
                <c:pt idx="2">
                  <c:v>0.3</c:v>
                </c:pt>
                <c:pt idx="3">
                  <c:v>1.7</c:v>
                </c:pt>
                <c:pt idx="4">
                  <c:v>0.12</c:v>
                </c:pt>
                <c:pt idx="5">
                  <c:v>2.23</c:v>
                </c:pt>
                <c:pt idx="6">
                  <c:v>0.01</c:v>
                </c:pt>
                <c:pt idx="7">
                  <c:v>0.59</c:v>
                </c:pt>
                <c:pt idx="8">
                  <c:v>1.42</c:v>
                </c:pt>
                <c:pt idx="9">
                  <c:v>0.36</c:v>
                </c:pt>
                <c:pt idx="10">
                  <c:v>0.41</c:v>
                </c:pt>
                <c:pt idx="11">
                  <c:v>1.54</c:v>
                </c:pt>
                <c:pt idx="12">
                  <c:v>0.12</c:v>
                </c:pt>
                <c:pt idx="13">
                  <c:v>1.37</c:v>
                </c:pt>
                <c:pt idx="14">
                  <c:v>0</c:v>
                </c:pt>
                <c:pt idx="15">
                  <c:v>0.42</c:v>
                </c:pt>
                <c:pt idx="16">
                  <c:v>0.16</c:v>
                </c:pt>
                <c:pt idx="17">
                  <c:v>2.59</c:v>
                </c:pt>
                <c:pt idx="18">
                  <c:v>2.06</c:v>
                </c:pt>
                <c:pt idx="19">
                  <c:v>0.8</c:v>
                </c:pt>
                <c:pt idx="20">
                  <c:v>1.51</c:v>
                </c:pt>
                <c:pt idx="21">
                  <c:v>0.5</c:v>
                </c:pt>
                <c:pt idx="22">
                  <c:v>0.37</c:v>
                </c:pt>
                <c:pt idx="23">
                  <c:v>0.46</c:v>
                </c:pt>
                <c:pt idx="24">
                  <c:v>0.24</c:v>
                </c:pt>
                <c:pt idx="25">
                  <c:v>1.47</c:v>
                </c:pt>
                <c:pt idx="26">
                  <c:v>0.11</c:v>
                </c:pt>
                <c:pt idx="27">
                  <c:v>4.9000000000000004</c:v>
                </c:pt>
                <c:pt idx="28">
                  <c:v>1.28</c:v>
                </c:pt>
                <c:pt idx="29">
                  <c:v>1.6</c:v>
                </c:pt>
                <c:pt idx="30">
                  <c:v>0.11</c:v>
                </c:pt>
                <c:pt idx="31">
                  <c:v>1.99</c:v>
                </c:pt>
                <c:pt idx="32">
                  <c:v>2.5</c:v>
                </c:pt>
                <c:pt idx="33">
                  <c:v>3.28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5-8E22-43C9-BDDB-20EBC09E8167}"/>
            </c:ext>
          </c:extLst>
        </c:ser>
        <c:ser>
          <c:idx val="7"/>
          <c:order val="7"/>
          <c:tx>
            <c:strRef>
              <c:f>graf_7.4!$W$4</c:f>
              <c:strCache>
                <c:ptCount val="1"/>
                <c:pt idx="0">
                  <c:v>sociální 
vyloučení jinde neklasifikované</c:v>
                </c:pt>
              </c:strCache>
            </c:strRef>
          </c:tx>
          <c:spPr>
            <a:solidFill>
              <a:schemeClr val="accent6"/>
            </a:solidFill>
            <a:ln w="9525">
              <a:solidFill>
                <a:schemeClr val="accent6">
                  <a:lumMod val="50000"/>
                </a:schemeClr>
              </a:solidFill>
            </a:ln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6-8E22-43C9-BDDB-20EBC09E8167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7-8E22-43C9-BDDB-20EBC09E8167}"/>
              </c:ext>
            </c:extLst>
          </c:dPt>
          <c:dPt>
            <c:idx val="25"/>
            <c:invertIfNegative val="0"/>
            <c:bubble3D val="0"/>
            <c:spPr>
              <a:solidFill>
                <a:srgbClr val="E46D0A"/>
              </a:solidFill>
              <a:ln w="22225"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39-8E22-43C9-BDDB-20EBC09E8167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A-8E22-43C9-BDDB-20EBC09E8167}"/>
              </c:ext>
            </c:extLst>
          </c:dPt>
          <c:cat>
            <c:strRef>
              <c:f>graf_7.4!$O$5:$O$38</c:f>
              <c:strCache>
                <c:ptCount val="34"/>
                <c:pt idx="0">
                  <c:v>EL</c:v>
                </c:pt>
                <c:pt idx="1">
                  <c:v>DK</c:v>
                </c:pt>
                <c:pt idx="2">
                  <c:v>PL*</c:v>
                </c:pt>
                <c:pt idx="3">
                  <c:v>CY</c:v>
                </c:pt>
                <c:pt idx="4">
                  <c:v>IT</c:v>
                </c:pt>
                <c:pt idx="5">
                  <c:v>FI</c:v>
                </c:pt>
                <c:pt idx="6">
                  <c:v>PT</c:v>
                </c:pt>
                <c:pt idx="7">
                  <c:v>LV</c:v>
                </c:pt>
                <c:pt idx="8">
                  <c:v>LU</c:v>
                </c:pt>
                <c:pt idx="9">
                  <c:v>RS</c:v>
                </c:pt>
                <c:pt idx="10">
                  <c:v>AT</c:v>
                </c:pt>
                <c:pt idx="11">
                  <c:v>SE</c:v>
                </c:pt>
                <c:pt idx="12">
                  <c:v>RO</c:v>
                </c:pt>
                <c:pt idx="13">
                  <c:v>HU</c:v>
                </c:pt>
                <c:pt idx="14">
                  <c:v>BG</c:v>
                </c:pt>
                <c:pt idx="15">
                  <c:v>ES</c:v>
                </c:pt>
                <c:pt idx="16">
                  <c:v>EE</c:v>
                </c:pt>
                <c:pt idx="17">
                  <c:v>FR</c:v>
                </c:pt>
                <c:pt idx="18">
                  <c:v>EU 28 </c:v>
                </c:pt>
                <c:pt idx="19">
                  <c:v>BE</c:v>
                </c:pt>
                <c:pt idx="20">
                  <c:v>EA 19</c:v>
                </c:pt>
                <c:pt idx="21">
                  <c:v>CH</c:v>
                </c:pt>
                <c:pt idx="22">
                  <c:v>LT</c:v>
                </c:pt>
                <c:pt idx="23">
                  <c:v>NO</c:v>
                </c:pt>
                <c:pt idx="24">
                  <c:v>SK</c:v>
                </c:pt>
                <c:pt idx="25">
                  <c:v>CZ</c:v>
                </c:pt>
                <c:pt idx="26">
                  <c:v>SI</c:v>
                </c:pt>
                <c:pt idx="27">
                  <c:v>UK</c:v>
                </c:pt>
                <c:pt idx="28">
                  <c:v>MT</c:v>
                </c:pt>
                <c:pt idx="29">
                  <c:v>NL</c:v>
                </c:pt>
                <c:pt idx="30">
                  <c:v>HR</c:v>
                </c:pt>
                <c:pt idx="31">
                  <c:v>DE</c:v>
                </c:pt>
                <c:pt idx="32">
                  <c:v>IS</c:v>
                </c:pt>
                <c:pt idx="33">
                  <c:v>IE</c:v>
                </c:pt>
              </c:strCache>
            </c:strRef>
          </c:cat>
          <c:val>
            <c:numRef>
              <c:f>graf_7.4!$W$5:$W$38</c:f>
              <c:numCache>
                <c:formatCode>0.0</c:formatCode>
                <c:ptCount val="34"/>
                <c:pt idx="0">
                  <c:v>0.48</c:v>
                </c:pt>
                <c:pt idx="1">
                  <c:v>4.71</c:v>
                </c:pt>
                <c:pt idx="2">
                  <c:v>0.72</c:v>
                </c:pt>
                <c:pt idx="3">
                  <c:v>5.97</c:v>
                </c:pt>
                <c:pt idx="4">
                  <c:v>0.77</c:v>
                </c:pt>
                <c:pt idx="5">
                  <c:v>2.84</c:v>
                </c:pt>
                <c:pt idx="6">
                  <c:v>0.84</c:v>
                </c:pt>
                <c:pt idx="7">
                  <c:v>0.73</c:v>
                </c:pt>
                <c:pt idx="8">
                  <c:v>2.27</c:v>
                </c:pt>
                <c:pt idx="9">
                  <c:v>2.65</c:v>
                </c:pt>
                <c:pt idx="10">
                  <c:v>1.93</c:v>
                </c:pt>
                <c:pt idx="11">
                  <c:v>3.29</c:v>
                </c:pt>
                <c:pt idx="12">
                  <c:v>1.1399999999999999</c:v>
                </c:pt>
                <c:pt idx="13">
                  <c:v>0.65</c:v>
                </c:pt>
                <c:pt idx="14">
                  <c:v>1.59</c:v>
                </c:pt>
                <c:pt idx="15">
                  <c:v>1.03</c:v>
                </c:pt>
                <c:pt idx="16">
                  <c:v>0.55000000000000004</c:v>
                </c:pt>
                <c:pt idx="17">
                  <c:v>2.95</c:v>
                </c:pt>
                <c:pt idx="18">
                  <c:v>1.92</c:v>
                </c:pt>
                <c:pt idx="19">
                  <c:v>2.33</c:v>
                </c:pt>
                <c:pt idx="20">
                  <c:v>1.75</c:v>
                </c:pt>
                <c:pt idx="21">
                  <c:v>2.91</c:v>
                </c:pt>
                <c:pt idx="22">
                  <c:v>2.21</c:v>
                </c:pt>
                <c:pt idx="23">
                  <c:v>3.03</c:v>
                </c:pt>
                <c:pt idx="24">
                  <c:v>1.74</c:v>
                </c:pt>
                <c:pt idx="25">
                  <c:v>1.5</c:v>
                </c:pt>
                <c:pt idx="26">
                  <c:v>3.16</c:v>
                </c:pt>
                <c:pt idx="27">
                  <c:v>2.2799999999999998</c:v>
                </c:pt>
                <c:pt idx="28">
                  <c:v>1.45</c:v>
                </c:pt>
                <c:pt idx="29">
                  <c:v>4.3899999999999997</c:v>
                </c:pt>
                <c:pt idx="30">
                  <c:v>0.97</c:v>
                </c:pt>
                <c:pt idx="31">
                  <c:v>1.05</c:v>
                </c:pt>
                <c:pt idx="32">
                  <c:v>3.11</c:v>
                </c:pt>
                <c:pt idx="33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B-8E22-43C9-BDDB-20EBC09E81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100"/>
        <c:axId val="132491136"/>
        <c:axId val="132492672"/>
      </c:barChart>
      <c:catAx>
        <c:axId val="1324911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32492672"/>
        <c:crosses val="autoZero"/>
        <c:auto val="1"/>
        <c:lblAlgn val="ctr"/>
        <c:lblOffset val="100"/>
        <c:noMultiLvlLbl val="0"/>
      </c:catAx>
      <c:valAx>
        <c:axId val="132492672"/>
        <c:scaling>
          <c:orientation val="minMax"/>
          <c:max val="1"/>
          <c:min val="0"/>
        </c:scaling>
        <c:delete val="0"/>
        <c:axPos val="b"/>
        <c:majorGridlines>
          <c:spPr>
            <a:ln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32491136"/>
        <c:crosses val="autoZero"/>
        <c:crossBetween val="between"/>
        <c:majorUnit val="0.1"/>
        <c:minorUnit val="5.0000000000000024E-2"/>
      </c:valAx>
    </c:plotArea>
    <c:legend>
      <c:legendPos val="b"/>
      <c:layout>
        <c:manualLayout>
          <c:xMode val="edge"/>
          <c:yMode val="edge"/>
          <c:x val="2.7878370407318994E-2"/>
          <c:y val="0.88456422780253996"/>
          <c:w val="0.91608840750109855"/>
          <c:h val="7.8347223286936149E-2"/>
        </c:manualLayout>
      </c:layout>
      <c:overlay val="0"/>
      <c:txPr>
        <a:bodyPr/>
        <a:lstStyle/>
        <a:p>
          <a:pPr>
            <a:defRPr sz="900">
              <a:latin typeface="+mn-lt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lt1"/>
    </a:solidFill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5FBC-C5BF-4101-8C88-D80271B8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34</TotalTime>
  <Pages>5</Pages>
  <Words>1403</Words>
  <Characters>8279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Chodounská</dc:creator>
  <cp:lastModifiedBy>Markéta Pištorová, Mgr.</cp:lastModifiedBy>
  <cp:revision>15</cp:revision>
  <cp:lastPrinted>2018-11-08T12:42:00Z</cp:lastPrinted>
  <dcterms:created xsi:type="dcterms:W3CDTF">2018-11-07T13:12:00Z</dcterms:created>
  <dcterms:modified xsi:type="dcterms:W3CDTF">2018-11-08T12:43:00Z</dcterms:modified>
</cp:coreProperties>
</file>