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9F1" w14:textId="77777777" w:rsidR="00014D57" w:rsidRPr="003F6D94" w:rsidRDefault="00491103" w:rsidP="002C02F4">
      <w:pPr>
        <w:pStyle w:val="Nadpis1"/>
      </w:pPr>
      <w:r>
        <w:t xml:space="preserve">1. </w:t>
      </w:r>
      <w:r w:rsidR="001777BD" w:rsidRPr="003F6D94">
        <w:t>ZÁKLADNÍ INFORMACE</w:t>
      </w:r>
      <w:r w:rsidR="00983040" w:rsidRPr="003F6D94">
        <w:t xml:space="preserve"> O STATISTIC</w:t>
      </w:r>
      <w:r w:rsidR="00860E85" w:rsidRPr="003F6D94">
        <w:t>E</w:t>
      </w:r>
      <w:r w:rsidR="00D676A9"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14:paraId="4C2DEAC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BEFBB6B" w14:textId="77777777"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BBAE" w14:textId="77777777" w:rsidR="00B53E68" w:rsidRPr="003F6D94" w:rsidRDefault="00B53E68" w:rsidP="00D676A9">
            <w:r w:rsidRPr="003F6D94">
              <w:t xml:space="preserve">Nepřímá veřejná (daňová) podpora </w:t>
            </w:r>
            <w:r w:rsidR="00543992" w:rsidRPr="003F6D94">
              <w:t>výzkumu a vývoje</w:t>
            </w:r>
            <w:r w:rsidR="00D676A9">
              <w:t xml:space="preserve"> </w:t>
            </w:r>
            <w:r w:rsidR="0094156A">
              <w:t>–</w:t>
            </w:r>
            <w:r w:rsidR="00D676A9">
              <w:t xml:space="preserve"> </w:t>
            </w:r>
            <w:r w:rsidR="00D676A9" w:rsidRPr="00D676A9">
              <w:t>Government Tax Relief for R&amp;D Expenditures (GTARD)</w:t>
            </w:r>
          </w:p>
        </w:tc>
      </w:tr>
      <w:tr w:rsidR="00855FB3" w:rsidRPr="003F6D94" w14:paraId="2B6D67CD" w14:textId="77777777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895F6EC" w14:textId="77777777"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2E688B" w14:textId="77777777"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14:paraId="44D0F3F1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33EC01" w14:textId="77777777"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59C" w14:textId="77777777" w:rsidR="00B53E68" w:rsidRPr="003F6D94" w:rsidRDefault="00B53E68" w:rsidP="002C02F4">
            <w:r w:rsidRPr="003F6D94">
              <w:t>Roční</w:t>
            </w:r>
          </w:p>
        </w:tc>
      </w:tr>
      <w:tr w:rsidR="00B53E68" w:rsidRPr="003F6D94" w14:paraId="169DD8A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2B4F53" w14:textId="77777777"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F6C5" w14:textId="77777777"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14:paraId="53A83FA0" w14:textId="77777777" w:rsidTr="00D676A9">
        <w:trPr>
          <w:trHeight w:hRule="exact"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08E6161" w14:textId="77777777"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BC" w14:textId="6DA2F40A" w:rsidR="00D676A9" w:rsidRDefault="00240A22" w:rsidP="00D676A9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</w:t>
            </w:r>
            <w:r w:rsidR="00D676A9">
              <w:t xml:space="preserve">(podnik) </w:t>
            </w:r>
            <w:r w:rsidR="00B53E68" w:rsidRPr="003F6D94">
              <w:t xml:space="preserve">provádějící </w:t>
            </w:r>
            <w:r w:rsidR="00D676A9">
              <w:t>výzkum a vývoj</w:t>
            </w:r>
            <w:r w:rsidR="00B53E68" w:rsidRPr="003F6D94">
              <w:t xml:space="preserve"> na území Č</w:t>
            </w:r>
            <w:r w:rsidR="00D676A9">
              <w:t>eské republiky</w:t>
            </w:r>
            <w:r w:rsidR="00B53E68" w:rsidRPr="003F6D94">
              <w:t xml:space="preserve">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</w:t>
            </w:r>
            <w:r w:rsidR="00D676A9">
              <w:t xml:space="preserve">svoji výzkumnou a vývojovou činnost </w:t>
            </w:r>
            <w:r w:rsidR="00B53E68" w:rsidRPr="003F6D94">
              <w:t>od základu daně</w:t>
            </w:r>
            <w:r w:rsidR="00D676A9">
              <w:t xml:space="preserve"> z příjmu</w:t>
            </w:r>
          </w:p>
          <w:p w14:paraId="30753871" w14:textId="77777777" w:rsidR="00D676A9" w:rsidRDefault="00D676A9" w:rsidP="00D676A9"/>
          <w:p w14:paraId="1C0302EC" w14:textId="77777777" w:rsidR="00D676A9" w:rsidRDefault="00D676A9" w:rsidP="00D676A9"/>
          <w:p w14:paraId="3A93D03B" w14:textId="77777777" w:rsidR="00B53E68" w:rsidRPr="003F6D94" w:rsidRDefault="00B53E68" w:rsidP="00D676A9">
            <w:r w:rsidRPr="003F6D94">
              <w:t>.</w:t>
            </w:r>
          </w:p>
        </w:tc>
      </w:tr>
      <w:tr w:rsidR="00B53E68" w:rsidRPr="003F6D94" w14:paraId="37984D95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89DAEF2" w14:textId="77777777"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613D" w14:textId="77777777" w:rsidR="00B53E68" w:rsidRPr="003F6D94" w:rsidRDefault="00B53E68" w:rsidP="002C02F4">
            <w:r w:rsidRPr="003F6D94">
              <w:t xml:space="preserve">Nepřímá veřejná (daňová) podpora projektů </w:t>
            </w:r>
            <w:r w:rsidR="007628FD">
              <w:t>výzkumu a vývoje</w:t>
            </w:r>
            <w:r w:rsidRPr="003F6D94">
              <w:t xml:space="preserve"> prováděných právnickými osobami na území České republiky </w:t>
            </w:r>
          </w:p>
        </w:tc>
      </w:tr>
      <w:tr w:rsidR="00B53E68" w:rsidRPr="003F6D94" w14:paraId="0F2A1D36" w14:textId="77777777" w:rsidTr="0094156A">
        <w:trPr>
          <w:trHeight w:hRule="exact" w:val="96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8E52099" w14:textId="77777777"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4C2" w14:textId="77777777" w:rsidR="00CF7DE3" w:rsidRDefault="00A969F7" w:rsidP="0094156A">
            <w:pPr>
              <w:tabs>
                <w:tab w:val="left" w:pos="190"/>
              </w:tabs>
              <w:ind w:left="48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14:paraId="2D2C14E3" w14:textId="2950E2A7" w:rsidR="00B53E68" w:rsidRPr="003F6D94" w:rsidRDefault="00A969F7" w:rsidP="0094156A">
            <w:pPr>
              <w:numPr>
                <w:ilvl w:val="0"/>
                <w:numId w:val="39"/>
              </w:numPr>
              <w:tabs>
                <w:tab w:val="left" w:pos="190"/>
              </w:tabs>
              <w:spacing w:line="240" w:lineRule="auto"/>
              <w:contextualSpacing/>
              <w:jc w:val="left"/>
            </w:pPr>
            <w:r>
              <w:t>p</w:t>
            </w:r>
            <w:r w:rsidR="00B53E68" w:rsidRPr="003F6D94">
              <w:t>očet podniků</w:t>
            </w:r>
            <w:r w:rsidR="0094156A">
              <w:t>, které v sledovaném roce uplatnily</w:t>
            </w:r>
            <w:r w:rsidR="00B53E68" w:rsidRPr="003F6D94">
              <w:t xml:space="preserve"> nepřímou veřejnou (daňovou) podporou </w:t>
            </w:r>
            <w:r w:rsidR="007628FD">
              <w:t>výzkumu a vývoje</w:t>
            </w:r>
          </w:p>
        </w:tc>
      </w:tr>
      <w:tr w:rsidR="00B53E68" w:rsidRPr="003F6D94" w14:paraId="1AD18957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AF64C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18D" w14:textId="58A0DE78" w:rsidR="00B53E68" w:rsidRPr="003F6D94" w:rsidRDefault="00A969F7" w:rsidP="00E270BF">
            <w:pPr>
              <w:pStyle w:val="Odstavecseseznamem"/>
              <w:numPr>
                <w:ilvl w:val="0"/>
                <w:numId w:val="39"/>
              </w:numPr>
              <w:spacing w:after="0"/>
              <w:ind w:left="757" w:hanging="425"/>
            </w:pPr>
            <w:r>
              <w:t>o</w:t>
            </w:r>
            <w:r w:rsidR="00B53E68" w:rsidRPr="003F6D94">
              <w:t>bjem odečtených výdajů spojených s realizací projektů VaV</w:t>
            </w:r>
            <w:r w:rsidR="0094156A" w:rsidRPr="003F6D94">
              <w:t xml:space="preserve"> uplatněných</w:t>
            </w:r>
            <w:r w:rsidR="0094156A">
              <w:t xml:space="preserve"> od základu daně z příjmu</w:t>
            </w:r>
          </w:p>
        </w:tc>
      </w:tr>
      <w:tr w:rsidR="00B53E68" w:rsidRPr="003F6D94" w14:paraId="2BD2B783" w14:textId="77777777" w:rsidTr="00E270BF">
        <w:trPr>
          <w:trHeight w:hRule="exact" w:val="551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8E7D48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3994" w14:textId="77777777" w:rsidR="00B53E68" w:rsidRPr="003F6D94" w:rsidRDefault="00A969F7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v</w:t>
            </w:r>
            <w:r w:rsidR="00B53E68" w:rsidRPr="003F6D94">
              <w:t>ýše nepřímé veřejné</w:t>
            </w:r>
            <w:r w:rsidR="0094156A">
              <w:t xml:space="preserve"> (daňové) </w:t>
            </w:r>
            <w:r w:rsidR="00B53E68" w:rsidRPr="003F6D94">
              <w:t xml:space="preserve">podpory </w:t>
            </w:r>
            <w:r w:rsidR="00B47754">
              <w:t>výzkumu a vývoje</w:t>
            </w:r>
          </w:p>
        </w:tc>
      </w:tr>
      <w:tr w:rsidR="00B53E68" w:rsidRPr="003F6D94" w14:paraId="2C1FB4D7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DD6E0C6" w14:textId="77777777" w:rsidR="00B53E68" w:rsidRPr="003F6D94" w:rsidRDefault="00B53E68" w:rsidP="00E029E5">
            <w:pPr>
              <w:jc w:val="left"/>
            </w:pPr>
            <w:r w:rsidRPr="003F6D94">
              <w:t>Používaná 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102" w14:textId="3C2FDAA3" w:rsidR="00B53E68" w:rsidRPr="003F6D94" w:rsidRDefault="00B53E68" w:rsidP="0094156A">
            <w:r w:rsidRPr="003F6D94">
              <w:t>Zjišťované ukazatele jsou sledovány podle:</w:t>
            </w:r>
          </w:p>
        </w:tc>
      </w:tr>
      <w:tr w:rsidR="00B53E68" w:rsidRPr="003F6D94" w14:paraId="7BA958E0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697126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9EDE" w14:textId="77777777" w:rsidR="00B53E68" w:rsidRPr="003F6D94" w:rsidRDefault="001F654F" w:rsidP="0094156A">
            <w:pPr>
              <w:pStyle w:val="Odstavecseseznamem"/>
              <w:numPr>
                <w:ilvl w:val="0"/>
                <w:numId w:val="40"/>
              </w:numPr>
            </w:pPr>
            <w:r>
              <w:t>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14:paraId="42FC7C33" w14:textId="77777777" w:rsidTr="0094156A">
        <w:trPr>
          <w:trHeight w:hRule="exact" w:val="50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C5B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6BB" w14:textId="77777777" w:rsidR="00B53E68" w:rsidRPr="003F6D94" w:rsidRDefault="00B53E68" w:rsidP="0094156A">
            <w:pPr>
              <w:pStyle w:val="Odstavecseseznamem"/>
              <w:numPr>
                <w:ilvl w:val="0"/>
                <w:numId w:val="40"/>
              </w:numPr>
            </w:pPr>
            <w:r w:rsidRPr="003F6D94">
              <w:t>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14:paraId="144DCC36" w14:textId="77777777" w:rsidTr="0094156A">
        <w:trPr>
          <w:trHeight w:hRule="exact" w:val="55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358951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CBA1" w14:textId="77777777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>p</w:t>
            </w:r>
            <w:r w:rsidR="00B53E68" w:rsidRPr="003F6D94">
              <w:t>řevažující ekonomické činnosti (klasifikace CZ-NACE)</w:t>
            </w:r>
          </w:p>
        </w:tc>
      </w:tr>
      <w:tr w:rsidR="00B53E68" w:rsidRPr="003F6D94" w14:paraId="521CD73A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9FFCA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3026" w14:textId="103B47DB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 xml:space="preserve">sídla podniků </w:t>
            </w:r>
            <w:r w:rsidR="00B53E68" w:rsidRPr="003F6D94">
              <w:t>(klasifikace CZ</w:t>
            </w:r>
            <w:r w:rsidR="00B53E68" w:rsidRPr="003F6D94">
              <w:noBreakHyphen/>
              <w:t>NUTS</w:t>
            </w:r>
            <w:r w:rsidR="0076076C" w:rsidRPr="003F6D94">
              <w:t> </w:t>
            </w:r>
            <w:r w:rsidR="00B53E68" w:rsidRPr="003F6D94">
              <w:t>3)</w:t>
            </w:r>
          </w:p>
        </w:tc>
      </w:tr>
      <w:tr w:rsidR="00B53E68" w:rsidRPr="003F6D94" w14:paraId="7775CB46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779B977" w14:textId="77777777"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B90" w14:textId="65243517" w:rsidR="00B53E68" w:rsidRPr="003F6D94" w:rsidRDefault="00B53E68" w:rsidP="0094156A">
            <w:r w:rsidRPr="003F6D94">
              <w:t>Roky 2005</w:t>
            </w:r>
            <w:r w:rsidR="0094156A">
              <w:t xml:space="preserve"> až 2016</w:t>
            </w:r>
          </w:p>
        </w:tc>
      </w:tr>
      <w:tr w:rsidR="00B53E68" w:rsidRPr="003F6D94" w14:paraId="4C74C03D" w14:textId="77777777" w:rsidTr="000B247B">
        <w:trPr>
          <w:trHeight w:hRule="exact" w:val="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612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144E" w14:textId="238C8ACF" w:rsidR="00B53E68" w:rsidRPr="003F6D94" w:rsidRDefault="00B53E68" w:rsidP="002C02F4"/>
        </w:tc>
      </w:tr>
      <w:tr w:rsidR="00B53E68" w:rsidRPr="003F6D94" w14:paraId="4DE841CD" w14:textId="77777777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FFBE13" w14:textId="77777777"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B78B" w14:textId="77777777"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Pr="003F6D94">
              <w:t xml:space="preserve">nepřímé veřejné </w:t>
            </w:r>
            <w:r w:rsidR="00C376B7">
              <w:t xml:space="preserve">(daňové) </w:t>
            </w:r>
            <w:r w:rsidRPr="003F6D94">
              <w:t>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r w:rsidR="0096737D">
              <w:t>Frascati manuálu</w:t>
            </w:r>
            <w:r w:rsidR="00674524">
              <w:t xml:space="preserve"> 2015 (kapitola č. 13)</w:t>
            </w:r>
            <w:r w:rsidRPr="003F6D94">
              <w:t>.</w:t>
            </w:r>
          </w:p>
          <w:p w14:paraId="3B2D24C4" w14:textId="77777777"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8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14:paraId="62314411" w14:textId="77777777" w:rsidR="00014D57" w:rsidRPr="003F6D94" w:rsidRDefault="00014D57" w:rsidP="002C02F4"/>
    <w:p w14:paraId="170D1DEA" w14:textId="77777777" w:rsidR="005A3847" w:rsidRPr="003F6D94" w:rsidRDefault="00491103" w:rsidP="002C02F4">
      <w:pPr>
        <w:pStyle w:val="Nadpis1"/>
      </w:pPr>
      <w:r>
        <w:lastRenderedPageBreak/>
        <w:t xml:space="preserve">2. </w:t>
      </w:r>
      <w:r w:rsidR="00E43D8B" w:rsidRPr="003F6D94">
        <w:t>METODIKA</w:t>
      </w:r>
    </w:p>
    <w:p w14:paraId="6D415666" w14:textId="77777777"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9E3721" w:rsidRPr="003F6D94">
        <w:rPr>
          <w:rStyle w:val="st"/>
        </w:rPr>
        <w:t>Nepřímá veřejná (daňová)</w:t>
      </w:r>
      <w:r w:rsidR="00DE5AD6" w:rsidRPr="003F6D94">
        <w:rPr>
          <w:rStyle w:val="st"/>
        </w:rPr>
        <w:t xml:space="preserve"> podpora VaV v ČR</w:t>
      </w:r>
    </w:p>
    <w:p w14:paraId="7E9C7053" w14:textId="77777777" w:rsidR="00400DE4" w:rsidRPr="003F6D94" w:rsidRDefault="003C3462" w:rsidP="002C02F4">
      <w:pPr>
        <w:pStyle w:val="Nadpis3"/>
        <w:rPr>
          <w:rStyle w:val="st"/>
          <w:sz w:val="24"/>
        </w:rPr>
      </w:pPr>
      <w:r>
        <w:rPr>
          <w:rStyle w:val="st"/>
          <w:sz w:val="24"/>
        </w:rPr>
        <w:t xml:space="preserve">Vývoj </w:t>
      </w:r>
      <w:r w:rsidR="00016F16">
        <w:rPr>
          <w:rStyle w:val="st"/>
          <w:sz w:val="24"/>
        </w:rPr>
        <w:t xml:space="preserve">základní </w:t>
      </w:r>
      <w:r w:rsidR="00ED3D04" w:rsidRPr="003F6D94">
        <w:rPr>
          <w:rStyle w:val="st"/>
          <w:sz w:val="24"/>
        </w:rPr>
        <w:t>legisla</w:t>
      </w:r>
      <w:r w:rsidR="006959A5" w:rsidRPr="003F6D94">
        <w:rPr>
          <w:rStyle w:val="st"/>
          <w:sz w:val="24"/>
        </w:rPr>
        <w:t>tiv</w:t>
      </w:r>
      <w:r>
        <w:rPr>
          <w:rStyle w:val="st"/>
          <w:sz w:val="24"/>
        </w:rPr>
        <w:t>y</w:t>
      </w:r>
      <w:r w:rsidR="006959A5" w:rsidRPr="003F6D94">
        <w:rPr>
          <w:rStyle w:val="st"/>
          <w:sz w:val="24"/>
        </w:rPr>
        <w:t xml:space="preserve"> </w:t>
      </w:r>
      <w:r w:rsidR="002275C2" w:rsidRPr="003F6D94">
        <w:rPr>
          <w:rStyle w:val="st"/>
          <w:sz w:val="24"/>
        </w:rPr>
        <w:t xml:space="preserve">k </w:t>
      </w:r>
      <w:r w:rsidR="006959A5" w:rsidRPr="003F6D94">
        <w:rPr>
          <w:rStyle w:val="st"/>
          <w:sz w:val="24"/>
        </w:rPr>
        <w:t>daňový</w:t>
      </w:r>
      <w:r w:rsidR="002275C2" w:rsidRPr="003F6D94">
        <w:rPr>
          <w:rStyle w:val="st"/>
          <w:sz w:val="24"/>
        </w:rPr>
        <w:t>m</w:t>
      </w:r>
      <w:r w:rsidR="006959A5" w:rsidRPr="003F6D94">
        <w:rPr>
          <w:rStyle w:val="st"/>
          <w:sz w:val="24"/>
        </w:rPr>
        <w:t xml:space="preserve"> odpočtů</w:t>
      </w:r>
      <w:r w:rsidR="002275C2" w:rsidRPr="003F6D94">
        <w:rPr>
          <w:rStyle w:val="st"/>
          <w:sz w:val="24"/>
        </w:rPr>
        <w:t>m</w:t>
      </w:r>
      <w:r w:rsidR="006959A5" w:rsidRPr="003F6D94">
        <w:rPr>
          <w:rStyle w:val="st"/>
          <w:sz w:val="24"/>
        </w:rPr>
        <w:t xml:space="preserve"> na </w:t>
      </w:r>
      <w:r w:rsidR="008C60B9">
        <w:rPr>
          <w:rStyle w:val="st"/>
          <w:sz w:val="24"/>
        </w:rPr>
        <w:t xml:space="preserve">VaV </w:t>
      </w:r>
      <w:r w:rsidR="00565180" w:rsidRPr="003F6D94">
        <w:rPr>
          <w:rStyle w:val="st"/>
          <w:sz w:val="24"/>
        </w:rPr>
        <w:t>v ČR</w:t>
      </w:r>
    </w:p>
    <w:p w14:paraId="528E284C" w14:textId="66914A11" w:rsidR="00143212" w:rsidRPr="00143212" w:rsidRDefault="00143212" w:rsidP="00143212">
      <w:r w:rsidRPr="00143212">
        <w:t xml:space="preserve">Nepřímá veřejná podpora </w:t>
      </w:r>
      <w:r w:rsidR="00081090">
        <w:t>výzkumné a vývojové (dále jen VaV) činnosti prováděné v podnikatelském sektoru</w:t>
      </w:r>
      <w:r w:rsidRPr="00143212">
        <w:t xml:space="preserve"> je v jednotlivých zemích poskytována součinností vícero nástrojů. Přistoupíme-li však k popisu politiky nepřímé veřejné podpory VaV v České republice je situace relativně přehlednější. Na úvod můžeme konstatovat, že je zde využíván v zásadě jeden nástroj. Ekonomické subjekty provádějící VaV mohou uplatnit </w:t>
      </w:r>
      <w:r w:rsidR="00E411CA" w:rsidRPr="00143212">
        <w:rPr>
          <w:b/>
        </w:rPr>
        <w:t xml:space="preserve">odčitatelnou </w:t>
      </w:r>
      <w:r w:rsidRPr="00143212">
        <w:rPr>
          <w:b/>
        </w:rPr>
        <w:t>položku</w:t>
      </w:r>
      <w:r w:rsidRPr="00143212">
        <w:t xml:space="preserve"> </w:t>
      </w:r>
      <w:r w:rsidRPr="00143212">
        <w:rPr>
          <w:b/>
        </w:rPr>
        <w:t>od základu daně na podporu VaV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1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Pr="00143212">
        <w:t xml:space="preserve">). V následujících odstavcích stručně rekapitulujeme sadu hlavních právních předpisů, jež postupně strukturovaly legislativní zázemí nepřímé veřejné podpory VaV. </w:t>
      </w:r>
    </w:p>
    <w:p w14:paraId="32ACC719" w14:textId="0B8651D5" w:rsidR="008A4421" w:rsidRDefault="00143212" w:rsidP="00351439">
      <w:r w:rsidRPr="00143212">
        <w:t>Vrátíme-li se k</w:t>
      </w:r>
      <w:r w:rsidR="000B247B">
        <w:t xml:space="preserve"> zákonu o dani z příjmu (</w:t>
      </w:r>
      <w:r w:rsidRPr="00143212">
        <w:t>ZDP</w:t>
      </w:r>
      <w:r w:rsidR="000B247B">
        <w:t>)</w:t>
      </w:r>
      <w:r w:rsidRPr="00143212">
        <w:t xml:space="preserve">, formulace o nepřímé veřejné podpoře VaV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ve výši 100 % nákladů, jež „[…] </w:t>
      </w:r>
      <w:r w:rsidRPr="00143212">
        <w:rPr>
          <w:i/>
        </w:rPr>
        <w:t>vynaložil v daném zdaňovacím období nebo období, za něž se podává daňové přiznání, při realizaci projektů výzkumu a vývoje</w:t>
      </w:r>
      <w:r w:rsidRPr="00143212">
        <w:t xml:space="preserve"> […]</w:t>
      </w:r>
      <w:r w:rsidR="000D5C4F" w:rsidRPr="00143212">
        <w:t>.</w:t>
      </w:r>
    </w:p>
    <w:p w14:paraId="295EDB9B" w14:textId="77777777" w:rsidR="00DD6B25" w:rsidRDefault="00515299" w:rsidP="00351439">
      <w:r>
        <w:t>ZDP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</w:t>
      </w:r>
      <w:r w:rsidR="0062019D">
        <w:rPr>
          <w:rStyle w:val="Znakapoznpodarou"/>
        </w:rPr>
        <w:footnoteReference w:id="2"/>
      </w:r>
      <w:r w:rsidR="001814CD">
        <w:t>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>projektu VaV</w:t>
      </w:r>
      <w:r w:rsidR="001158C8" w:rsidRPr="003F6D94">
        <w:t xml:space="preserve">. </w:t>
      </w:r>
      <w:r w:rsidR="00E148C9" w:rsidRPr="003F6D94">
        <w:t xml:space="preserve">Projekty VaV se </w:t>
      </w:r>
      <w:r w:rsidR="00A266A5">
        <w:t xml:space="preserve">tím </w:t>
      </w:r>
      <w:r w:rsidR="00E148C9" w:rsidRPr="003F6D94">
        <w:t>st</w:t>
      </w:r>
      <w:r w:rsidR="00E148C9">
        <w:t xml:space="preserve">aly nutnou </w:t>
      </w:r>
      <w:r w:rsidR="00E148C9" w:rsidRPr="003F6D94">
        <w:t>součástí posuzovaných žádostí o přiznání nepřímé podpory VaV</w:t>
      </w:r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E148C9" w:rsidRPr="003F6D94">
        <w:t xml:space="preserve"> přiznání nepřímé podpory VaV.</w:t>
      </w:r>
    </w:p>
    <w:p w14:paraId="3826D34F" w14:textId="77777777" w:rsidR="001158C8" w:rsidRPr="003F6D94" w:rsidRDefault="00B42DC0" w:rsidP="00351439">
      <w:pPr>
        <w:rPr>
          <w:rStyle w:val="st"/>
          <w:rFonts w:cs="Arial"/>
          <w:sz w:val="20"/>
          <w:szCs w:val="20"/>
        </w:rPr>
      </w:pPr>
      <w:r>
        <w:t>K u</w:t>
      </w:r>
      <w:r w:rsidR="001158C8" w:rsidRPr="003F6D94">
        <w:t>stanovení</w:t>
      </w:r>
      <w:r w:rsidR="007955D7">
        <w:t>m</w:t>
      </w:r>
      <w:r w:rsidR="00832450">
        <w:t xml:space="preserve"> ZDP </w:t>
      </w:r>
      <w:r w:rsidR="00402980">
        <w:t xml:space="preserve">týkajícím se </w:t>
      </w:r>
      <w:r w:rsidR="008F08F9">
        <w:t xml:space="preserve">odpočtu výdajů na VaV od základu daně </w:t>
      </w:r>
      <w:r w:rsidR="001158C8" w:rsidRPr="003F6D94">
        <w:t xml:space="preserve">byl Ministerstvem financí ČR vypracován </w:t>
      </w:r>
      <w:r w:rsidR="001158C8" w:rsidRPr="001E169E">
        <w:rPr>
          <w:b/>
        </w:rPr>
        <w:t>POKYN D-288</w:t>
      </w:r>
      <w:r w:rsidR="001158C8" w:rsidRPr="003F6D94">
        <w:rPr>
          <w:rStyle w:val="Znakapoznpodarou"/>
          <w:rFonts w:cs="Arial"/>
          <w:szCs w:val="20"/>
        </w:rPr>
        <w:footnoteReference w:id="3"/>
      </w:r>
      <w:r w:rsidR="007E059D">
        <w:rPr>
          <w:b/>
        </w:rPr>
        <w:t xml:space="preserve"> </w:t>
      </w:r>
      <w:r w:rsidR="001158C8" w:rsidRPr="003F6D94">
        <w:t>ze dne 3. 10. 2005</w:t>
      </w:r>
      <w:r w:rsidR="001158C8" w:rsidRPr="003F6D94">
        <w:rPr>
          <w:rStyle w:val="Znakapoznpodarou"/>
          <w:rFonts w:cs="Arial"/>
          <w:szCs w:val="20"/>
        </w:rPr>
        <w:footnoteReference w:id="4"/>
      </w:r>
      <w:r w:rsidR="00697F3E">
        <w:t xml:space="preserve">. Pokyn </w:t>
      </w:r>
      <w:r w:rsidR="008F2FE6">
        <w:t xml:space="preserve">stanovil </w:t>
      </w:r>
      <w:r w:rsidR="001158C8" w:rsidRPr="003F6D94">
        <w:t xml:space="preserve">podmínky a </w:t>
      </w:r>
      <w:r w:rsidR="00CA55F2">
        <w:t xml:space="preserve">postupy </w:t>
      </w:r>
      <w:r w:rsidR="001158C8" w:rsidRPr="003F6D94">
        <w:t>uplat</w:t>
      </w:r>
      <w:r w:rsidR="00CA55F2">
        <w:t>ňování</w:t>
      </w:r>
      <w:r w:rsidR="001158C8" w:rsidRPr="003F6D94">
        <w:t xml:space="preserve"> nepřímé (daňové) </w:t>
      </w:r>
      <w:r w:rsidR="00CA301D">
        <w:t xml:space="preserve">veřejné </w:t>
      </w:r>
      <w:r w:rsidR="001158C8" w:rsidRPr="003F6D94">
        <w:t xml:space="preserve">podpory VaV. </w:t>
      </w:r>
      <w:r w:rsidR="000F63D8">
        <w:t>V</w:t>
      </w:r>
      <w:r w:rsidR="001158C8" w:rsidRPr="003F6D94">
        <w:t> letech 2010</w:t>
      </w:r>
      <w:r w:rsidR="00B34D26">
        <w:rPr>
          <w:rStyle w:val="Znakapoznpodarou"/>
        </w:rPr>
        <w:footnoteReference w:id="5"/>
      </w:r>
      <w:r w:rsidR="001158C8" w:rsidRPr="003F6D94">
        <w:t xml:space="preserve"> a 2014 </w:t>
      </w:r>
      <w:r w:rsidR="000F63D8">
        <w:t xml:space="preserve">proběhla jeho </w:t>
      </w:r>
      <w:r w:rsidR="001158C8" w:rsidRPr="003F6D94">
        <w:t>aktualiz</w:t>
      </w:r>
      <w:r w:rsidR="000F63D8">
        <w:t>ace</w:t>
      </w:r>
      <w:r w:rsidR="001158C8" w:rsidRPr="003F6D94">
        <w:rPr>
          <w:rStyle w:val="Znakapoznpodarou"/>
          <w:rFonts w:cs="Arial"/>
          <w:szCs w:val="20"/>
        </w:rPr>
        <w:footnoteReference w:id="6"/>
      </w:r>
      <w:r w:rsidR="001158C8" w:rsidRPr="003F6D94">
        <w:t>.</w:t>
      </w:r>
      <w:r w:rsidR="00590B56">
        <w:t xml:space="preserve"> </w:t>
      </w:r>
      <w:r w:rsidR="001158C8" w:rsidRPr="003F6D94">
        <w:rPr>
          <w:rStyle w:val="st"/>
          <w:rFonts w:cs="Arial"/>
          <w:sz w:val="20"/>
          <w:szCs w:val="20"/>
        </w:rPr>
        <w:t xml:space="preserve">Metodologický pokyn D-288 se </w:t>
      </w:r>
      <w:r w:rsidR="00CE5967">
        <w:rPr>
          <w:rStyle w:val="st"/>
          <w:rFonts w:cs="Arial"/>
          <w:sz w:val="20"/>
          <w:szCs w:val="20"/>
        </w:rPr>
        <w:t>zaměřuje zejména na</w:t>
      </w:r>
      <w:r w:rsidR="001158C8" w:rsidRPr="003F6D94">
        <w:rPr>
          <w:rStyle w:val="st"/>
          <w:rFonts w:cs="Arial"/>
          <w:sz w:val="20"/>
          <w:szCs w:val="20"/>
        </w:rPr>
        <w:t xml:space="preserve"> definice </w:t>
      </w:r>
      <w:r w:rsidR="004C4319">
        <w:rPr>
          <w:rStyle w:val="st"/>
          <w:rFonts w:cs="Arial"/>
          <w:sz w:val="20"/>
          <w:szCs w:val="20"/>
        </w:rPr>
        <w:t>činností a výdajů</w:t>
      </w:r>
      <w:r w:rsidR="001158C8" w:rsidRPr="003F6D94">
        <w:rPr>
          <w:rStyle w:val="st"/>
          <w:rFonts w:cs="Arial"/>
          <w:sz w:val="20"/>
          <w:szCs w:val="20"/>
        </w:rPr>
        <w:t>,</w:t>
      </w:r>
      <w:r w:rsidR="00504BEA">
        <w:rPr>
          <w:rStyle w:val="st"/>
          <w:rFonts w:cs="Arial"/>
          <w:sz w:val="20"/>
          <w:szCs w:val="20"/>
        </w:rPr>
        <w:t xml:space="preserve"> které </w:t>
      </w:r>
      <w:r w:rsidR="001158C8" w:rsidRPr="003F6D94">
        <w:rPr>
          <w:rStyle w:val="st"/>
          <w:rFonts w:cs="Arial"/>
          <w:sz w:val="20"/>
          <w:szCs w:val="20"/>
        </w:rPr>
        <w:t xml:space="preserve">lze </w:t>
      </w:r>
      <w:r w:rsidR="003217FC">
        <w:rPr>
          <w:rStyle w:val="st"/>
          <w:rFonts w:cs="Arial"/>
          <w:sz w:val="20"/>
          <w:szCs w:val="20"/>
        </w:rPr>
        <w:t>z hlediska ne</w:t>
      </w:r>
      <w:r w:rsidR="001158C8" w:rsidRPr="003F6D94">
        <w:rPr>
          <w:rStyle w:val="st"/>
          <w:rFonts w:cs="Arial"/>
          <w:sz w:val="20"/>
          <w:szCs w:val="20"/>
        </w:rPr>
        <w:t xml:space="preserve">přímé </w:t>
      </w:r>
      <w:r w:rsidR="00A72932">
        <w:rPr>
          <w:rStyle w:val="st"/>
          <w:rFonts w:cs="Arial"/>
          <w:sz w:val="20"/>
          <w:szCs w:val="20"/>
        </w:rPr>
        <w:t xml:space="preserve">veřejné </w:t>
      </w:r>
      <w:r w:rsidR="001158C8" w:rsidRPr="003F6D94">
        <w:rPr>
          <w:rStyle w:val="st"/>
          <w:rFonts w:cs="Arial"/>
          <w:sz w:val="20"/>
          <w:szCs w:val="20"/>
        </w:rPr>
        <w:t>podpory VaV považovat za VaV</w:t>
      </w:r>
      <w:r w:rsidR="005175B3">
        <w:rPr>
          <w:rStyle w:val="st"/>
          <w:rFonts w:cs="Arial"/>
          <w:sz w:val="20"/>
          <w:szCs w:val="20"/>
        </w:rPr>
        <w:t xml:space="preserve">. </w:t>
      </w:r>
      <w:r w:rsidR="00852D0E">
        <w:rPr>
          <w:rStyle w:val="st"/>
          <w:rFonts w:cs="Arial"/>
          <w:sz w:val="20"/>
          <w:szCs w:val="20"/>
        </w:rPr>
        <w:t xml:space="preserve">Z tohoto důvodu obsahuje </w:t>
      </w:r>
      <w:r w:rsidR="003160DA">
        <w:rPr>
          <w:rStyle w:val="st"/>
          <w:rFonts w:cs="Arial"/>
          <w:sz w:val="20"/>
          <w:szCs w:val="20"/>
        </w:rPr>
        <w:t xml:space="preserve">široký </w:t>
      </w:r>
      <w:r w:rsidR="001158C8" w:rsidRPr="003F6D94">
        <w:rPr>
          <w:rStyle w:val="st"/>
          <w:rFonts w:cs="Arial"/>
          <w:sz w:val="20"/>
          <w:szCs w:val="20"/>
        </w:rPr>
        <w:t>výč</w:t>
      </w:r>
      <w:r w:rsidR="00DC7CE0">
        <w:rPr>
          <w:rStyle w:val="st"/>
          <w:rFonts w:cs="Arial"/>
          <w:sz w:val="20"/>
          <w:szCs w:val="20"/>
        </w:rPr>
        <w:t>e</w:t>
      </w:r>
      <w:r w:rsidR="001158C8" w:rsidRPr="003F6D94">
        <w:rPr>
          <w:rStyle w:val="st"/>
          <w:rFonts w:cs="Arial"/>
          <w:sz w:val="20"/>
          <w:szCs w:val="20"/>
        </w:rPr>
        <w:t xml:space="preserve">t </w:t>
      </w:r>
      <w:r w:rsidR="0052453A">
        <w:rPr>
          <w:rStyle w:val="st"/>
          <w:rFonts w:cs="Arial"/>
          <w:sz w:val="20"/>
          <w:szCs w:val="20"/>
        </w:rPr>
        <w:t>aktivit/nákladů</w:t>
      </w:r>
      <w:r w:rsidR="00F54318">
        <w:rPr>
          <w:rStyle w:val="st"/>
          <w:rFonts w:cs="Arial"/>
          <w:sz w:val="20"/>
          <w:szCs w:val="20"/>
        </w:rPr>
        <w:t>, jež do VaV patří</w:t>
      </w:r>
      <w:r w:rsidR="001158C8" w:rsidRPr="003F6D94">
        <w:rPr>
          <w:rStyle w:val="st"/>
          <w:rFonts w:cs="Arial"/>
          <w:sz w:val="20"/>
          <w:szCs w:val="20"/>
        </w:rPr>
        <w:t xml:space="preserve">, odlišených od </w:t>
      </w:r>
      <w:r w:rsidR="004932B2">
        <w:rPr>
          <w:rStyle w:val="st"/>
          <w:rFonts w:cs="Arial"/>
          <w:sz w:val="20"/>
          <w:szCs w:val="20"/>
        </w:rPr>
        <w:t>těch</w:t>
      </w:r>
      <w:r w:rsidR="001158C8" w:rsidRPr="003F6D94">
        <w:rPr>
          <w:rStyle w:val="st"/>
          <w:rFonts w:cs="Arial"/>
          <w:sz w:val="20"/>
          <w:szCs w:val="20"/>
        </w:rPr>
        <w:t xml:space="preserve">, jež </w:t>
      </w:r>
      <w:r w:rsidR="004932B2">
        <w:rPr>
          <w:rStyle w:val="st"/>
          <w:rFonts w:cs="Arial"/>
          <w:sz w:val="20"/>
          <w:szCs w:val="20"/>
        </w:rPr>
        <w:t xml:space="preserve">naopak </w:t>
      </w:r>
      <w:r w:rsidR="001158C8" w:rsidRPr="003F6D94">
        <w:rPr>
          <w:rStyle w:val="st"/>
          <w:rFonts w:cs="Arial"/>
          <w:sz w:val="20"/>
          <w:szCs w:val="20"/>
        </w:rPr>
        <w:t xml:space="preserve">za VaV považovat nelze. </w:t>
      </w:r>
      <w:r w:rsidR="00BA0A11">
        <w:rPr>
          <w:rStyle w:val="st"/>
          <w:rFonts w:cs="Arial"/>
          <w:sz w:val="20"/>
          <w:szCs w:val="20"/>
        </w:rPr>
        <w:t>Pokyn d</w:t>
      </w:r>
      <w:r w:rsidR="001158C8" w:rsidRPr="003F6D94">
        <w:rPr>
          <w:rStyle w:val="st"/>
          <w:rFonts w:cs="Arial"/>
          <w:sz w:val="20"/>
          <w:szCs w:val="20"/>
        </w:rPr>
        <w:t xml:space="preserve">ále </w:t>
      </w:r>
      <w:r w:rsidR="00710AE0">
        <w:rPr>
          <w:rStyle w:val="st"/>
          <w:rFonts w:cs="Arial"/>
          <w:sz w:val="20"/>
          <w:szCs w:val="20"/>
        </w:rPr>
        <w:t xml:space="preserve">rozlišuje </w:t>
      </w:r>
      <w:r w:rsidR="001158C8" w:rsidRPr="003F6D94">
        <w:rPr>
          <w:rStyle w:val="st"/>
          <w:rFonts w:cs="Arial"/>
          <w:sz w:val="20"/>
          <w:szCs w:val="20"/>
        </w:rPr>
        <w:t xml:space="preserve">uznatelné výdaje vynaložené na realizaci VaV </w:t>
      </w:r>
      <w:r w:rsidR="001158C8" w:rsidRPr="003F6D94">
        <w:rPr>
          <w:rStyle w:val="st"/>
          <w:rFonts w:cs="Arial"/>
          <w:sz w:val="20"/>
          <w:szCs w:val="20"/>
        </w:rPr>
        <w:lastRenderedPageBreak/>
        <w:t xml:space="preserve">či postupy v případech, v nichž poplatník čerpá podporu z veřejných zdrojů. Je třeba zdůraznit, že </w:t>
      </w:r>
      <w:r w:rsidR="001158C8" w:rsidRPr="003F6D94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="001158C8" w:rsidRPr="003F6D94">
        <w:rPr>
          <w:rStyle w:val="st"/>
          <w:rFonts w:cs="Arial"/>
          <w:sz w:val="20"/>
          <w:szCs w:val="20"/>
        </w:rPr>
        <w:t>.</w:t>
      </w:r>
    </w:p>
    <w:p w14:paraId="448548B4" w14:textId="77777777" w:rsidR="00F1372C" w:rsidRPr="003F6D94" w:rsidRDefault="002C1E1D" w:rsidP="00351439">
      <w:pPr>
        <w:spacing w:after="240"/>
      </w:pPr>
      <w:r w:rsidRPr="003F6D94">
        <w:t>Př</w:t>
      </w:r>
      <w:r w:rsidR="009F5367" w:rsidRPr="003F6D94">
        <w:t xml:space="preserve">ímá a nepřímá </w:t>
      </w:r>
      <w:r w:rsidR="00043B2A">
        <w:t xml:space="preserve">veřejná </w:t>
      </w:r>
      <w:r w:rsidR="009F5367" w:rsidRPr="003F6D94">
        <w:t>podpora VaV mají vzájemně</w:t>
      </w:r>
      <w:r w:rsidRPr="003F6D94">
        <w:t> exkluzivní vztah</w:t>
      </w:r>
      <w:r w:rsidR="0074248B" w:rsidRPr="003F6D94">
        <w:t>.</w:t>
      </w:r>
      <w:r w:rsidRPr="003F6D94">
        <w:t xml:space="preserve"> </w:t>
      </w:r>
      <w:r w:rsidR="00793EC8" w:rsidRPr="003F6D94">
        <w:t xml:space="preserve">Odpočet uznatelných výdajů na VaV od daňového základu může subjekt uplatnit pouze v případě, </w:t>
      </w:r>
      <w:r w:rsidR="00EA44EB" w:rsidRPr="003F6D94">
        <w:t>ne</w:t>
      </w:r>
      <w:r w:rsidR="00A250CB" w:rsidRPr="003F6D94">
        <w:t xml:space="preserve">získal-li </w:t>
      </w:r>
      <w:r w:rsidR="00793EC8" w:rsidRPr="003F6D94">
        <w:t xml:space="preserve">na daný </w:t>
      </w:r>
      <w:r w:rsidR="00A250CB" w:rsidRPr="003F6D94">
        <w:t xml:space="preserve">projekt </w:t>
      </w:r>
      <w:r w:rsidR="00793EC8" w:rsidRPr="003F6D94">
        <w:t xml:space="preserve">VaV přímou </w:t>
      </w:r>
      <w:r w:rsidR="00C71C41" w:rsidRPr="003F6D94">
        <w:t xml:space="preserve">veřejnou </w:t>
      </w:r>
      <w:r w:rsidR="00793EC8" w:rsidRPr="003F6D94">
        <w:t xml:space="preserve">podporu VaV. </w:t>
      </w:r>
      <w:r w:rsidR="001D178F" w:rsidRPr="003F6D94">
        <w:t xml:space="preserve">Vzájemná 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14:paraId="4842F469" w14:textId="77777777"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</w:t>
      </w:r>
      <w:r w:rsidR="00AF0D71" w:rsidRPr="00B57EF4">
        <w:rPr>
          <w:rStyle w:val="st"/>
          <w:rFonts w:cs="Arial"/>
          <w:sz w:val="24"/>
          <w:szCs w:val="24"/>
        </w:rPr>
        <w:t xml:space="preserve">nepřímé </w:t>
      </w:r>
      <w:r w:rsidR="00081090">
        <w:rPr>
          <w:rStyle w:val="st"/>
          <w:rFonts w:cs="Arial"/>
          <w:sz w:val="24"/>
          <w:szCs w:val="24"/>
        </w:rPr>
        <w:t xml:space="preserve">veřejné </w:t>
      </w:r>
      <w:r w:rsidR="007B6493">
        <w:rPr>
          <w:rStyle w:val="st"/>
          <w:rFonts w:cs="Arial"/>
          <w:sz w:val="24"/>
          <w:szCs w:val="24"/>
        </w:rPr>
        <w:t>(</w:t>
      </w:r>
      <w:r w:rsidR="00C03303" w:rsidRPr="00B57EF4">
        <w:rPr>
          <w:rStyle w:val="st"/>
          <w:rFonts w:cs="Arial"/>
          <w:sz w:val="24"/>
          <w:szCs w:val="24"/>
        </w:rPr>
        <w:t>daňové</w:t>
      </w:r>
      <w:r w:rsidR="00AF0D71" w:rsidRPr="00B57EF4">
        <w:rPr>
          <w:rStyle w:val="st"/>
          <w:rFonts w:cs="Arial"/>
          <w:sz w:val="24"/>
          <w:szCs w:val="24"/>
        </w:rPr>
        <w:t>)</w:t>
      </w:r>
      <w:r w:rsidR="00C03303" w:rsidRPr="00B57EF4">
        <w:rPr>
          <w:rStyle w:val="st"/>
          <w:rFonts w:cs="Arial"/>
          <w:sz w:val="24"/>
          <w:szCs w:val="24"/>
        </w:rPr>
        <w:t xml:space="preserve">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r w:rsidR="00E148CD">
        <w:rPr>
          <w:rStyle w:val="st"/>
          <w:rFonts w:cs="Arial"/>
          <w:sz w:val="24"/>
          <w:szCs w:val="24"/>
        </w:rPr>
        <w:t xml:space="preserve">VaV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14:paraId="4BA743E0" w14:textId="77777777"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D0003C" w:rsidRPr="003F6D94">
        <w:rPr>
          <w:rStyle w:val="st"/>
          <w:rFonts w:cs="Arial"/>
          <w:sz w:val="20"/>
          <w:szCs w:val="20"/>
        </w:rPr>
        <w:t xml:space="preserve">nepřímé podpory </w:t>
      </w:r>
      <w:r w:rsidR="001A6564" w:rsidRPr="003F6D94">
        <w:rPr>
          <w:rStyle w:val="st"/>
          <w:rFonts w:cs="Arial"/>
          <w:sz w:val="20"/>
          <w:szCs w:val="20"/>
        </w:rPr>
        <w:t xml:space="preserve">VaV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r w:rsidR="00B95B09" w:rsidRPr="003F6D94">
        <w:rPr>
          <w:rStyle w:val="st"/>
          <w:rFonts w:cs="Arial"/>
          <w:sz w:val="20"/>
          <w:szCs w:val="20"/>
        </w:rPr>
        <w:t>Frascati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7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14:paraId="6AE3B925" w14:textId="77777777"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  <w:lang w:val="en-US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14:paraId="3D42B94D" w14:textId="77777777"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VaV</w:t>
      </w:r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8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VaV</w:t>
      </w:r>
      <w:r w:rsidR="00A35763" w:rsidRPr="00AC23F9">
        <w:rPr>
          <w:rStyle w:val="Znakapoznpodarou"/>
          <w:szCs w:val="20"/>
        </w:rPr>
        <w:footnoteReference w:id="9"/>
      </w:r>
      <w:r w:rsidR="00A35763" w:rsidRPr="003F6D94">
        <w:rPr>
          <w:rStyle w:val="st"/>
          <w:sz w:val="20"/>
          <w:szCs w:val="20"/>
        </w:rPr>
        <w:t>.</w:t>
      </w:r>
    </w:p>
    <w:p w14:paraId="43CB985D" w14:textId="77777777"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VaV od ostatních (příbuzných) činností je přítomnost ocenitelného prvku novosti a vyjasnění výzkumné nebo technické nejistoty. </w:t>
      </w:r>
      <w:r w:rsidR="00470CEE" w:rsidRPr="003F6D94">
        <w:rPr>
          <w:rStyle w:val="st"/>
          <w:sz w:val="20"/>
          <w:szCs w:val="20"/>
        </w:rPr>
        <w:t xml:space="preserve">VaV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14:paraId="74A0F602" w14:textId="77777777"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14:paraId="5E0A9CD7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14:paraId="582FD685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14:paraId="3E45942B" w14:textId="77777777"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14:paraId="0E520606" w14:textId="77777777"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14:paraId="7BBDC3D5" w14:textId="77777777" w:rsidR="00961B2B" w:rsidRPr="003F6D94" w:rsidRDefault="00DE5F59" w:rsidP="004A13D8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VaV</w:t>
      </w:r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>prostřednictvím celé řady činností specifikovaných ve výše uvedeném pokynu D</w:t>
      </w:r>
      <w:r w:rsidR="004818A4">
        <w:rPr>
          <w:rStyle w:val="st"/>
          <w:rFonts w:cs="Arial"/>
          <w:sz w:val="20"/>
          <w:szCs w:val="20"/>
        </w:rPr>
        <w:t>-</w:t>
      </w:r>
      <w:r w:rsidR="00D15A54" w:rsidRPr="003F6D94">
        <w:rPr>
          <w:rStyle w:val="st"/>
          <w:rFonts w:cs="Arial"/>
          <w:sz w:val="20"/>
          <w:szCs w:val="20"/>
        </w:rPr>
        <w:t>288</w:t>
      </w:r>
      <w:r w:rsidR="00635B9F" w:rsidRPr="003F6D94">
        <w:rPr>
          <w:rStyle w:val="Znakapoznpodarou"/>
          <w:rFonts w:cs="Arial"/>
          <w:szCs w:val="20"/>
        </w:rPr>
        <w:footnoteReference w:id="10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14:paraId="68DFE3BC" w14:textId="77777777" w:rsidR="00C1654D" w:rsidRDefault="00C1654D" w:rsidP="002C02F4">
      <w:pPr>
        <w:rPr>
          <w:rStyle w:val="st"/>
          <w:rFonts w:cs="Arial"/>
          <w:sz w:val="20"/>
          <w:szCs w:val="20"/>
          <w:u w:val="single"/>
        </w:rPr>
      </w:pPr>
    </w:p>
    <w:p w14:paraId="3A0EB04D" w14:textId="73E9BC0B"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rFonts w:cs="Arial"/>
          <w:sz w:val="20"/>
          <w:szCs w:val="20"/>
          <w:u w:val="single"/>
        </w:rPr>
        <w:lastRenderedPageBreak/>
        <w:t>Činnosti, jež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dle</w:t>
      </w:r>
      <w:r w:rsidR="0024246D" w:rsidRPr="003F6D94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984135">
        <w:rPr>
          <w:rStyle w:val="st"/>
          <w:rFonts w:cs="Arial"/>
          <w:sz w:val="20"/>
          <w:szCs w:val="20"/>
          <w:u w:val="single"/>
        </w:rPr>
        <w:t xml:space="preserve">D-288 nelze řadit do VaV </w:t>
      </w:r>
      <w:r w:rsidRPr="003F6D94">
        <w:rPr>
          <w:rStyle w:val="st"/>
          <w:rFonts w:cs="Arial"/>
          <w:sz w:val="20"/>
          <w:szCs w:val="20"/>
          <w:u w:val="single"/>
        </w:rPr>
        <w:t>jsou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14:paraId="608E3F6E" w14:textId="77777777"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14:paraId="4C244769" w14:textId="77777777"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údajů, 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lidu, průzkum trhu, 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6D468EE" w14:textId="77777777"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3DCA2783" w14:textId="77777777"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14:paraId="0F5A9726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1653604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14:paraId="3C2CC45D" w14:textId="77777777" w:rsidR="008A160B" w:rsidRPr="008A160B" w:rsidRDefault="00961B2B" w:rsidP="008A160B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b/>
          <w:sz w:val="24"/>
          <w:szCs w:val="24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  <w:r w:rsidR="008A160B" w:rsidRPr="003F6D94" w:rsidDel="008A160B">
        <w:rPr>
          <w:rStyle w:val="st"/>
          <w:rFonts w:cs="Arial"/>
          <w:sz w:val="20"/>
          <w:szCs w:val="20"/>
        </w:rPr>
        <w:t xml:space="preserve"> </w:t>
      </w:r>
    </w:p>
    <w:p w14:paraId="2EE0D13B" w14:textId="5BBB515A" w:rsidR="004A77A8" w:rsidRPr="008A160B" w:rsidRDefault="0016263F" w:rsidP="008A160B">
      <w:pPr>
        <w:pStyle w:val="Nadpis3"/>
        <w:rPr>
          <w:rStyle w:val="st"/>
          <w:rFonts w:cs="Arial"/>
          <w:sz w:val="24"/>
          <w:szCs w:val="24"/>
        </w:rPr>
      </w:pPr>
      <w:r w:rsidRPr="008A160B">
        <w:rPr>
          <w:rStyle w:val="st"/>
          <w:rFonts w:cs="Arial"/>
          <w:sz w:val="24"/>
          <w:szCs w:val="24"/>
        </w:rPr>
        <w:t>Výdaje uznatelné z hlediska nepřímé</w:t>
      </w:r>
      <w:r w:rsidR="00880BA5" w:rsidRPr="008A160B">
        <w:rPr>
          <w:rStyle w:val="st"/>
          <w:rFonts w:cs="Arial"/>
          <w:sz w:val="24"/>
          <w:szCs w:val="24"/>
        </w:rPr>
        <w:t xml:space="preserve"> (daňové)</w:t>
      </w:r>
      <w:r w:rsidRPr="008A160B">
        <w:rPr>
          <w:rStyle w:val="st"/>
          <w:rFonts w:cs="Arial"/>
          <w:sz w:val="24"/>
          <w:szCs w:val="24"/>
        </w:rPr>
        <w:t xml:space="preserve"> podpory</w:t>
      </w:r>
      <w:r w:rsidR="001F0ACB" w:rsidRPr="008A160B">
        <w:rPr>
          <w:rStyle w:val="st"/>
          <w:rFonts w:cs="Arial"/>
          <w:sz w:val="24"/>
          <w:szCs w:val="24"/>
        </w:rPr>
        <w:t xml:space="preserve"> VaV</w:t>
      </w:r>
    </w:p>
    <w:p w14:paraId="01C77FEE" w14:textId="77777777"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>Podle metodického pokynu D-288</w:t>
      </w:r>
      <w:r w:rsidR="00BB5CA1" w:rsidRPr="00BB5CA1">
        <w:rPr>
          <w:szCs w:val="20"/>
        </w:rPr>
        <w:t xml:space="preserve"> </w:t>
      </w:r>
      <w:r w:rsidR="0075518E" w:rsidRPr="00E87568">
        <w:rPr>
          <w:b/>
          <w:color w:val="009BB4"/>
          <w:szCs w:val="20"/>
        </w:rPr>
        <w:t>PATŘÍ</w:t>
      </w:r>
      <w:r w:rsidR="00BB5CA1" w:rsidRPr="005B58BA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VaV:</w:t>
      </w:r>
    </w:p>
    <w:p w14:paraId="5D83897A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VaV)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1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14:paraId="1A3DFA1F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14:paraId="56B137D9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14:paraId="67B86FB3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14:paraId="29A20723" w14:textId="77777777" w:rsidR="00205612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>výdaje na: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 xml:space="preserve">, teplo, plyn, </w:t>
      </w:r>
      <w:r w:rsidRPr="003F6D94">
        <w:rPr>
          <w:rStyle w:val="st"/>
          <w:sz w:val="20"/>
          <w:szCs w:val="20"/>
        </w:rPr>
        <w:lastRenderedPageBreak/>
        <w:t>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2"/>
      </w:r>
      <w:r w:rsidR="00470756" w:rsidRPr="003F6D94">
        <w:rPr>
          <w:rStyle w:val="st"/>
          <w:sz w:val="20"/>
          <w:szCs w:val="20"/>
        </w:rPr>
        <w:t xml:space="preserve">; </w:t>
      </w:r>
      <w:r w:rsidRPr="003F6D94">
        <w:rPr>
          <w:rStyle w:val="st"/>
          <w:sz w:val="20"/>
          <w:szCs w:val="20"/>
        </w:rPr>
        <w:t xml:space="preserve">výdaje na certifikaci výsledků </w:t>
      </w:r>
      <w:r w:rsidR="00635B9F" w:rsidRPr="003F6D94">
        <w:rPr>
          <w:rStyle w:val="st"/>
          <w:sz w:val="20"/>
          <w:szCs w:val="20"/>
        </w:rPr>
        <w:t>VaV</w:t>
      </w:r>
      <w:r w:rsidR="006F4C74" w:rsidRPr="003F6D94">
        <w:rPr>
          <w:rStyle w:val="Znakapoznpodarou"/>
          <w:szCs w:val="20"/>
        </w:rPr>
        <w:footnoteReference w:id="13"/>
      </w:r>
      <w:r w:rsidR="00C319C7" w:rsidRPr="003F6D94">
        <w:rPr>
          <w:rStyle w:val="st"/>
          <w:sz w:val="20"/>
          <w:szCs w:val="20"/>
        </w:rPr>
        <w:t xml:space="preserve"> (do roku 2013)</w:t>
      </w:r>
      <w:r w:rsidR="009E2132" w:rsidRPr="003F6D94">
        <w:rPr>
          <w:rStyle w:val="st"/>
          <w:sz w:val="20"/>
          <w:szCs w:val="20"/>
        </w:rPr>
        <w:t>.</w:t>
      </w:r>
    </w:p>
    <w:p w14:paraId="47F88CC7" w14:textId="77777777" w:rsidR="00D23446" w:rsidRPr="003F6D94" w:rsidRDefault="008A1825" w:rsidP="002C02F4">
      <w:pPr>
        <w:rPr>
          <w:szCs w:val="20"/>
        </w:rPr>
      </w:pPr>
      <w:r>
        <w:rPr>
          <w:szCs w:val="20"/>
        </w:rPr>
        <w:t xml:space="preserve">Dle nové verze pokynu </w:t>
      </w:r>
      <w:r w:rsidR="0069136B">
        <w:rPr>
          <w:szCs w:val="20"/>
        </w:rPr>
        <w:t xml:space="preserve">D-288 </w:t>
      </w:r>
      <w:r>
        <w:rPr>
          <w:szCs w:val="20"/>
        </w:rPr>
        <w:t>platn</w:t>
      </w:r>
      <w:r w:rsidR="001C6CEB">
        <w:rPr>
          <w:szCs w:val="20"/>
        </w:rPr>
        <w:t>é</w:t>
      </w:r>
      <w:r>
        <w:rPr>
          <w:szCs w:val="20"/>
        </w:rPr>
        <w:t xml:space="preserve"> od </w:t>
      </w:r>
      <w:r w:rsidR="00D23446" w:rsidRPr="003F6D94">
        <w:rPr>
          <w:szCs w:val="20"/>
        </w:rPr>
        <w:t>1. ledna 2014</w:t>
      </w:r>
      <w:r w:rsidR="00F24805" w:rsidRPr="003F6D94">
        <w:rPr>
          <w:szCs w:val="20"/>
        </w:rPr>
        <w:t xml:space="preserve"> </w:t>
      </w:r>
      <w:r>
        <w:rPr>
          <w:szCs w:val="20"/>
        </w:rPr>
        <w:t xml:space="preserve">lze uplatnit také výdaje </w:t>
      </w:r>
      <w:r w:rsidR="00270A89" w:rsidRPr="003F6D94">
        <w:rPr>
          <w:rStyle w:val="st"/>
          <w:rFonts w:cs="Arial"/>
          <w:sz w:val="20"/>
          <w:szCs w:val="20"/>
        </w:rPr>
        <w:t xml:space="preserve">na </w:t>
      </w:r>
      <w:r w:rsidR="00270A89" w:rsidRPr="003F6D94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3F6D94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>
        <w:rPr>
          <w:rStyle w:val="st"/>
          <w:rFonts w:cs="Arial"/>
          <w:sz w:val="20"/>
          <w:szCs w:val="20"/>
        </w:rPr>
        <w:t xml:space="preserve">jež </w:t>
      </w:r>
      <w:r w:rsidR="00270A89" w:rsidRPr="003F6D94">
        <w:rPr>
          <w:rStyle w:val="st"/>
          <w:rFonts w:cs="Arial"/>
          <w:sz w:val="20"/>
          <w:szCs w:val="20"/>
        </w:rPr>
        <w:t>splňují definiční znaky v § 2 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4"/>
      </w:r>
      <w:r w:rsidR="00D23446" w:rsidRPr="003F6D94">
        <w:rPr>
          <w:rStyle w:val="st"/>
          <w:rFonts w:cs="Arial"/>
          <w:sz w:val="20"/>
          <w:szCs w:val="20"/>
        </w:rPr>
        <w:t xml:space="preserve"> a souvisí s realizací projektu VaV. Za finanční zdaňovací období do roku 2013 si podniky mohly odečíst jen výdaje na VaV, který prováděly samy</w:t>
      </w:r>
      <w:r w:rsidR="00D23446" w:rsidRPr="003F6D94">
        <w:rPr>
          <w:szCs w:val="20"/>
        </w:rPr>
        <w:t xml:space="preserve">. </w:t>
      </w:r>
      <w:r w:rsidR="00D23446" w:rsidRPr="003F6D94">
        <w:rPr>
          <w:rStyle w:val="st"/>
          <w:rFonts w:cs="Arial"/>
          <w:sz w:val="20"/>
          <w:szCs w:val="20"/>
        </w:rPr>
        <w:t xml:space="preserve">Dalším rozšířením uplatnitelných </w:t>
      </w:r>
      <w:r w:rsidR="00C029A2" w:rsidRPr="003F6D94">
        <w:rPr>
          <w:rStyle w:val="st"/>
          <w:rFonts w:cs="Arial"/>
          <w:sz w:val="20"/>
          <w:szCs w:val="20"/>
        </w:rPr>
        <w:t>výdajů</w:t>
      </w:r>
      <w:r w:rsidR="00D23446" w:rsidRPr="003F6D94">
        <w:rPr>
          <w:rStyle w:val="st"/>
          <w:rFonts w:cs="Arial"/>
          <w:sz w:val="20"/>
          <w:szCs w:val="20"/>
        </w:rPr>
        <w:t xml:space="preserve"> je také možnost zahrnout do odpočtu </w:t>
      </w:r>
      <w:r w:rsidR="00D23446" w:rsidRPr="003F6D94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="00D23446" w:rsidRPr="003F6D94">
        <w:rPr>
          <w:rStyle w:val="st"/>
          <w:rFonts w:cs="Arial"/>
          <w:sz w:val="20"/>
          <w:szCs w:val="20"/>
        </w:rPr>
        <w:t>, která souvisí s realizací projektu VaV.</w:t>
      </w:r>
    </w:p>
    <w:p w14:paraId="253D7793" w14:textId="77777777"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14:paraId="42210E9B" w14:textId="77777777"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D-288 </w:t>
      </w:r>
      <w:r w:rsidRPr="00D33C44">
        <w:rPr>
          <w:b/>
          <w:color w:val="009BB4"/>
          <w:szCs w:val="20"/>
        </w:rPr>
        <w:t>NEPATŘÍ</w:t>
      </w:r>
      <w:r w:rsidRPr="00D33C44">
        <w:rPr>
          <w:b/>
          <w:szCs w:val="20"/>
        </w:rPr>
        <w:t xml:space="preserve"> mezi uznatelné výdaje na VaV:</w:t>
      </w:r>
    </w:p>
    <w:p w14:paraId="093A1FBC" w14:textId="77777777"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>tyto výdaje nejsou považovány za výdaje vynaložené na VaV, jehož ústředním kritériem je vznik ocenitelného prvku novosti;</w:t>
      </w:r>
    </w:p>
    <w:p w14:paraId="15E03775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VaV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5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nehmotných výsledků VaV pořízených od výzkumných organizací]</w:t>
      </w:r>
      <w:r w:rsidRPr="003F6D94">
        <w:rPr>
          <w:rStyle w:val="st"/>
          <w:sz w:val="20"/>
          <w:szCs w:val="20"/>
        </w:rPr>
        <w:t>;</w:t>
      </w:r>
    </w:p>
    <w:p w14:paraId="55BC33E8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služby</w:t>
      </w:r>
      <w:r w:rsidRPr="003F6D94">
        <w:rPr>
          <w:rStyle w:val="st"/>
          <w:sz w:val="20"/>
          <w:szCs w:val="20"/>
        </w:rPr>
        <w:t>, včetně nákladu na činnosti VaV, pokud je poplatník sám neprovádí při realizaci projektu VaV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služeb VaV pořízených od výzkumných organizací]</w:t>
      </w:r>
      <w:r w:rsidR="00815C78" w:rsidRPr="003F6D94">
        <w:rPr>
          <w:rStyle w:val="st"/>
          <w:sz w:val="20"/>
          <w:szCs w:val="20"/>
        </w:rPr>
        <w:t>;</w:t>
      </w:r>
    </w:p>
    <w:p w14:paraId="30203229" w14:textId="77777777" w:rsidR="00514B70" w:rsidRPr="003F6D94" w:rsidRDefault="0003234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na certifikaci </w:t>
      </w:r>
      <w:r w:rsidR="00C319C7" w:rsidRPr="003F6D94">
        <w:rPr>
          <w:rStyle w:val="st"/>
          <w:b/>
          <w:sz w:val="20"/>
          <w:szCs w:val="20"/>
        </w:rPr>
        <w:t xml:space="preserve">(od roku 2014) </w:t>
      </w:r>
      <w:r w:rsidRPr="003F6D94">
        <w:rPr>
          <w:rStyle w:val="st"/>
          <w:sz w:val="20"/>
          <w:szCs w:val="20"/>
        </w:rPr>
        <w:t>výsledků dosažených prostřednictvím VaV</w:t>
      </w:r>
      <w:r w:rsidR="00815C78" w:rsidRPr="003F6D94">
        <w:rPr>
          <w:rStyle w:val="st"/>
          <w:sz w:val="20"/>
          <w:szCs w:val="20"/>
        </w:rPr>
        <w:t xml:space="preserve">, tj. </w:t>
      </w:r>
      <w:r w:rsidRPr="003F6D94">
        <w:rPr>
          <w:rStyle w:val="st"/>
          <w:sz w:val="20"/>
          <w:szCs w:val="20"/>
        </w:rPr>
        <w:t>získání potřebných certifikátů, provedení akreditovaných zkoušek vydávaných oprávněnými pracovišti nebo získání oprávnění k provozu od oprávněných institucí a úřadů (například homologace vozidla, dále také odborné posouzení výsledku, popř. zajištění jeho právní ochrany).</w:t>
      </w:r>
    </w:p>
    <w:p w14:paraId="5E31116E" w14:textId="77777777" w:rsidR="00205612" w:rsidRPr="003F6D94" w:rsidRDefault="00A06FFA" w:rsidP="002C02F4">
      <w:r>
        <w:t>Připomínáme, že v</w:t>
      </w:r>
      <w:r w:rsidR="00205612" w:rsidRPr="003F6D94">
        <w:t xml:space="preserve">ýše uvedenou daňovou (nepřímou) podporu VaV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r w:rsidR="0052639A">
        <w:rPr>
          <w:b/>
        </w:rPr>
        <w:t xml:space="preserve">VaV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6"/>
      </w:r>
      <w:r w:rsidR="000C5FBB" w:rsidRPr="00A67DD9">
        <w:t>.</w:t>
      </w:r>
    </w:p>
    <w:p w14:paraId="1B768E31" w14:textId="77777777" w:rsidR="00205612" w:rsidRPr="003F6D94" w:rsidRDefault="00205612" w:rsidP="002C02F4">
      <w:pPr>
        <w:spacing w:after="240"/>
      </w:pPr>
      <w:r w:rsidRPr="003F6D94">
        <w:t xml:space="preserve">Daňovou podporu VaV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r w:rsidR="006920F9">
        <w:t xml:space="preserve">VaV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14:paraId="2E39B07D" w14:textId="642B92D7" w:rsidR="007E1850" w:rsidRPr="003F6D94" w:rsidRDefault="00491103" w:rsidP="002C02F4">
      <w:pPr>
        <w:pStyle w:val="Nadpis2"/>
      </w:pPr>
      <w:r>
        <w:lastRenderedPageBreak/>
        <w:t xml:space="preserve">2.2 </w:t>
      </w:r>
      <w:r w:rsidR="007E1850" w:rsidRPr="003F6D94">
        <w:t xml:space="preserve">Statistika </w:t>
      </w:r>
      <w:r w:rsidR="00E8544D" w:rsidRPr="003F6D94">
        <w:t>nepřímé</w:t>
      </w:r>
      <w:r w:rsidR="008B2A29" w:rsidRPr="003F6D94">
        <w:t xml:space="preserve"> veřejné</w:t>
      </w:r>
      <w:r w:rsidR="00880BA5">
        <w:t xml:space="preserve"> (daňové)</w:t>
      </w:r>
      <w:r w:rsidR="009D45E6" w:rsidRPr="003F6D94">
        <w:t xml:space="preserve"> </w:t>
      </w:r>
      <w:r w:rsidR="00200034" w:rsidRPr="003F6D94">
        <w:t xml:space="preserve">podpory </w:t>
      </w:r>
      <w:r w:rsidR="00570286" w:rsidRPr="003F6D94">
        <w:t>VaV</w:t>
      </w:r>
    </w:p>
    <w:p w14:paraId="76347835" w14:textId="77F2EBA1" w:rsidR="00570286" w:rsidRPr="00C97707" w:rsidRDefault="0095686D" w:rsidP="00351439">
      <w:pPr>
        <w:rPr>
          <w:b/>
        </w:rPr>
      </w:pPr>
      <w:r w:rsidRPr="003F6D94">
        <w:t>Zapojení n</w:t>
      </w:r>
      <w:r w:rsidR="00570286" w:rsidRPr="003F6D94">
        <w:t>epřím</w:t>
      </w:r>
      <w:r w:rsidRPr="003F6D94">
        <w:t>é v</w:t>
      </w:r>
      <w:r w:rsidR="00570286" w:rsidRPr="003F6D94">
        <w:t>eřejn</w:t>
      </w:r>
      <w:r w:rsidRPr="003F6D94">
        <w:t>é</w:t>
      </w:r>
      <w:r w:rsidR="00570286" w:rsidRPr="003F6D94">
        <w:t xml:space="preserve"> podpor</w:t>
      </w:r>
      <w:r w:rsidRPr="003F6D94">
        <w:t xml:space="preserve">y </w:t>
      </w:r>
      <w:r w:rsidR="0056641C">
        <w:t xml:space="preserve">VaV </w:t>
      </w:r>
      <w:r w:rsidRPr="003F6D94">
        <w:t>do financování</w:t>
      </w:r>
      <w:r w:rsidR="00570286" w:rsidRPr="003F6D94">
        <w:t xml:space="preserve"> VaV</w:t>
      </w:r>
      <w:r w:rsidRPr="003F6D94">
        <w:t xml:space="preserve"> je </w:t>
      </w:r>
      <w:r w:rsidR="00DE5C8F">
        <w:t xml:space="preserve">programově </w:t>
      </w:r>
      <w:r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</w:t>
      </w:r>
      <w:r w:rsidR="00BD0E37" w:rsidRPr="003F6D94">
        <w:rPr>
          <w:b/>
        </w:rPr>
        <w:t>nepřímé veřejné (</w:t>
      </w:r>
      <w:r w:rsidR="00570286" w:rsidRPr="003F6D94">
        <w:rPr>
          <w:b/>
        </w:rPr>
        <w:t>daňov</w:t>
      </w:r>
      <w:r w:rsidR="00C03303" w:rsidRPr="003F6D94">
        <w:rPr>
          <w:b/>
        </w:rPr>
        <w:t>é</w:t>
      </w:r>
      <w:r w:rsidR="00BD0E37" w:rsidRPr="003F6D94">
        <w:rPr>
          <w:b/>
        </w:rPr>
        <w:t>)</w:t>
      </w:r>
      <w:r w:rsidR="00C03303" w:rsidRPr="003F6D94">
        <w:rPr>
          <w:b/>
        </w:rPr>
        <w:t xml:space="preserve"> podpory </w:t>
      </w:r>
      <w:r w:rsidR="00570286" w:rsidRPr="003F6D94">
        <w:rPr>
          <w:b/>
        </w:rPr>
        <w:t>VaV</w:t>
      </w:r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A10723">
        <w:t xml:space="preserve">o nepřímé veřejné podpoře VaV </w:t>
      </w:r>
      <w:r w:rsidR="00092214" w:rsidRPr="003F6D94">
        <w:t xml:space="preserve">je </w:t>
      </w:r>
      <w:r w:rsidR="00EB3B7D" w:rsidRPr="003F6D94">
        <w:t>ve Frascati manuálu</w:t>
      </w:r>
      <w:r w:rsidR="00EE4445">
        <w:rPr>
          <w:rStyle w:val="Znakapoznpodarou"/>
        </w:rPr>
        <w:footnoteReference w:id="17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CD5BD2">
        <w:t>doplňuje</w:t>
      </w:r>
      <w:r w:rsidR="006F3EF2">
        <w:t xml:space="preserve"> </w:t>
      </w:r>
      <w:r w:rsidR="0018673B" w:rsidRPr="003F6D94">
        <w:t xml:space="preserve">statistiku </w:t>
      </w:r>
      <w:r w:rsidR="00BF1395" w:rsidRPr="003F6D94">
        <w:t>přím</w:t>
      </w:r>
      <w:r w:rsidR="0018673B" w:rsidRPr="003F6D94">
        <w:t>é</w:t>
      </w:r>
      <w:r w:rsidR="00BF1395" w:rsidRPr="003F6D94">
        <w:t xml:space="preserve"> veřejn</w:t>
      </w:r>
      <w:r w:rsidR="0018673B" w:rsidRPr="003F6D94">
        <w:t>é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VaV</w:t>
      </w:r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VaV</w:t>
      </w:r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14:paraId="55F4906C" w14:textId="77777777" w:rsidR="007E1850" w:rsidRPr="003F6D94" w:rsidRDefault="002B1828" w:rsidP="00351439">
      <w:pPr>
        <w:spacing w:after="240"/>
      </w:pPr>
      <w:r>
        <w:t xml:space="preserve">První výsledky statistiky </w:t>
      </w:r>
      <w:r w:rsidR="00C013A9" w:rsidRPr="003F6D94">
        <w:t xml:space="preserve">nepřímé veřejné </w:t>
      </w:r>
      <w:r w:rsidR="00C03303" w:rsidRPr="003F6D94">
        <w:t>podpory VaV</w:t>
      </w:r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využívaným ve statistice nepřímé </w:t>
      </w:r>
      <w:r w:rsidR="006122C1">
        <w:t xml:space="preserve">veřejné </w:t>
      </w:r>
      <w:r w:rsidR="007E1850" w:rsidRPr="003F6D94">
        <w:t xml:space="preserve">podpory VaV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14:paraId="22557327" w14:textId="191274B2"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16486C" w:rsidRPr="00DE7FEE">
        <w:rPr>
          <w:rStyle w:val="st"/>
          <w:sz w:val="24"/>
          <w:szCs w:val="24"/>
        </w:rPr>
        <w:t xml:space="preserve">statistiky nepřímé </w:t>
      </w:r>
      <w:r w:rsidR="00A14C12">
        <w:rPr>
          <w:rStyle w:val="st"/>
          <w:sz w:val="24"/>
          <w:szCs w:val="24"/>
        </w:rPr>
        <w:t>veřejné</w:t>
      </w:r>
      <w:r w:rsidR="00880BA5">
        <w:rPr>
          <w:rStyle w:val="st"/>
          <w:sz w:val="24"/>
          <w:szCs w:val="24"/>
        </w:rPr>
        <w:t xml:space="preserve"> (daňové)</w:t>
      </w:r>
      <w:r w:rsidR="00A14C12">
        <w:rPr>
          <w:rStyle w:val="st"/>
          <w:sz w:val="24"/>
          <w:szCs w:val="24"/>
        </w:rPr>
        <w:t xml:space="preserve"> </w:t>
      </w:r>
      <w:r w:rsidR="00200034" w:rsidRPr="00DE7FEE">
        <w:rPr>
          <w:rStyle w:val="st"/>
          <w:sz w:val="24"/>
          <w:szCs w:val="24"/>
        </w:rPr>
        <w:t>podpory Va</w:t>
      </w:r>
      <w:r w:rsidR="006F223A">
        <w:rPr>
          <w:rStyle w:val="st"/>
          <w:sz w:val="24"/>
          <w:szCs w:val="24"/>
        </w:rPr>
        <w:t>V</w:t>
      </w:r>
    </w:p>
    <w:p w14:paraId="432F5292" w14:textId="77777777" w:rsidR="00E1118A" w:rsidRDefault="007337F1" w:rsidP="00351439">
      <w:pPr>
        <w:spacing w:after="240"/>
      </w:pPr>
      <w:r>
        <w:t xml:space="preserve">Statistika </w:t>
      </w:r>
      <w:r w:rsidR="00BD3852">
        <w:t>nepřímé veřejné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14:paraId="097F75BF" w14:textId="3F670B73"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475DA2" w:rsidRPr="00C715D2">
        <w:rPr>
          <w:b/>
          <w:u w:val="single"/>
        </w:rPr>
        <w:t>nepřímé veřej</w:t>
      </w:r>
      <w:r w:rsidR="00382A0F">
        <w:rPr>
          <w:b/>
          <w:u w:val="single"/>
        </w:rPr>
        <w:t xml:space="preserve">né </w:t>
      </w:r>
      <w:r w:rsidR="00880BA5">
        <w:rPr>
          <w:b/>
          <w:u w:val="single"/>
        </w:rPr>
        <w:t xml:space="preserve">(daňové) </w:t>
      </w:r>
      <w:r w:rsidR="00382A0F">
        <w:rPr>
          <w:b/>
          <w:u w:val="single"/>
        </w:rPr>
        <w:t>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14:paraId="79D4D788" w14:textId="1282E08B"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200034" w:rsidRPr="003F6D94">
        <w:rPr>
          <w:b/>
        </w:rPr>
        <w:t xml:space="preserve"> nepřím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veřejn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14:paraId="755D709E" w14:textId="77777777"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>výdajů na VaV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14:paraId="1CB6531D" w14:textId="485E021C"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</w:t>
      </w:r>
      <w:r w:rsidR="00880BA5">
        <w:rPr>
          <w:b/>
        </w:rPr>
        <w:t>nepřímé veřejné (</w:t>
      </w:r>
      <w:r w:rsidRPr="003F6D94">
        <w:rPr>
          <w:b/>
        </w:rPr>
        <w:t>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880BA5">
        <w:rPr>
          <w:b/>
        </w:rPr>
        <w:t>)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Pr="003F6D94">
        <w:rPr>
          <w:u w:val="single"/>
        </w:rPr>
        <w:t>získané nepřímé veřejné podpory VaV</w:t>
      </w:r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14:paraId="5D55ED1C" w14:textId="77777777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14:paraId="199F40CD" w14:textId="634578FE"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2F0B8B" w:rsidRPr="00EB3E53">
              <w:rPr>
                <w:b/>
                <w:color w:val="009BB4"/>
                <w:sz w:val="18"/>
                <w:szCs w:val="18"/>
              </w:rPr>
              <w:t>nepřímé veřejné</w:t>
            </w:r>
            <w:r w:rsidR="005451BD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(daňové)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D85B3F8" w14:textId="77777777"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14:paraId="614A8FF5" w14:textId="77777777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14:paraId="447637F8" w14:textId="77777777"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14:paraId="064DF50C" w14:textId="77777777" w:rsidR="00F026D4" w:rsidRPr="00EB3E53" w:rsidRDefault="002F0B8B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Nepřímá veř</w:t>
            </w:r>
            <w:r w:rsidR="00A649D6" w:rsidRPr="00EB3E53">
              <w:rPr>
                <w:sz w:val="18"/>
                <w:szCs w:val="18"/>
              </w:rPr>
              <w:t>ejná</w:t>
            </w:r>
            <w:r w:rsidRPr="00EB3E53">
              <w:rPr>
                <w:sz w:val="18"/>
                <w:szCs w:val="18"/>
              </w:rPr>
              <w:t xml:space="preserve"> podpora VaV</w:t>
            </w:r>
            <w:r w:rsidR="00B336B5"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b/>
                <w:sz w:val="18"/>
                <w:szCs w:val="18"/>
              </w:rPr>
              <w:t>=</w:t>
            </w:r>
          </w:p>
          <w:p w14:paraId="77BE7990" w14:textId="3A6DAB84" w:rsidR="002F0B8B" w:rsidRPr="00EB3E53" w:rsidRDefault="008851F3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b/>
                <w:sz w:val="18"/>
                <w:szCs w:val="18"/>
              </w:rPr>
              <w:t>= objem</w:t>
            </w:r>
            <w:r w:rsidR="00F026D4" w:rsidRPr="00EB3E53">
              <w:rPr>
                <w:sz w:val="18"/>
                <w:szCs w:val="18"/>
              </w:rPr>
              <w:t xml:space="preserve"> odečtených výdajů na VaV od</w:t>
            </w:r>
            <w:r w:rsidR="002F0B8B" w:rsidRPr="00EB3E53">
              <w:rPr>
                <w:sz w:val="18"/>
                <w:szCs w:val="18"/>
              </w:rPr>
              <w:t xml:space="preserve"> základu daně z příjmu  </w:t>
            </w:r>
            <w:r w:rsidR="002F0B8B" w:rsidRPr="00EB3E53">
              <w:rPr>
                <w:b/>
                <w:sz w:val="18"/>
                <w:szCs w:val="18"/>
              </w:rPr>
              <w:t>*</w:t>
            </w:r>
            <w:r w:rsidR="002F0B8B" w:rsidRPr="00EB3E53">
              <w:rPr>
                <w:sz w:val="18"/>
                <w:szCs w:val="18"/>
              </w:rPr>
              <w:t xml:space="preserve">  sazba daně z</w:t>
            </w:r>
            <w:r w:rsidR="00027C33" w:rsidRPr="00EB3E53">
              <w:rPr>
                <w:sz w:val="18"/>
                <w:szCs w:val="18"/>
              </w:rPr>
              <w:t> </w:t>
            </w:r>
            <w:r w:rsidR="002F0B8B" w:rsidRPr="00EB3E53">
              <w:rPr>
                <w:sz w:val="18"/>
                <w:szCs w:val="18"/>
              </w:rPr>
              <w:t>příjmu</w:t>
            </w:r>
          </w:p>
        </w:tc>
      </w:tr>
    </w:tbl>
    <w:p w14:paraId="04819395" w14:textId="5D082B8C" w:rsidR="00C463A9" w:rsidRPr="003F6D94" w:rsidRDefault="00C463A9" w:rsidP="00E07A69">
      <w:pPr>
        <w:spacing w:before="240" w:after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18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482"/>
        <w:gridCol w:w="498"/>
        <w:gridCol w:w="1020"/>
        <w:gridCol w:w="1020"/>
        <w:gridCol w:w="1020"/>
        <w:gridCol w:w="1011"/>
        <w:gridCol w:w="961"/>
        <w:gridCol w:w="2207"/>
        <w:gridCol w:w="158"/>
      </w:tblGrid>
      <w:tr w:rsidR="008C5842" w:rsidRPr="003F6D94" w14:paraId="1B57597A" w14:textId="77777777" w:rsidTr="00C1654D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14:paraId="7A076BFB" w14:textId="77777777"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Tabulka 1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právnických osob mezi lety 2005 a 2014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9C66683" w14:textId="77777777" w:rsidR="008C5842" w:rsidRPr="003F6D94" w:rsidRDefault="008C5842" w:rsidP="002C02F4"/>
        </w:tc>
      </w:tr>
      <w:tr w:rsidR="002D5DAB" w:rsidRPr="003F6D94" w14:paraId="54D17582" w14:textId="77777777" w:rsidTr="00C1654D">
        <w:trPr>
          <w:trHeight w:val="397"/>
        </w:trPr>
        <w:tc>
          <w:tcPr>
            <w:tcW w:w="83" w:type="pct"/>
            <w:vMerge w:val="restart"/>
            <w:shd w:val="clear" w:color="auto" w:fill="DAEEF3"/>
            <w:vAlign w:val="center"/>
            <w:hideMark/>
          </w:tcPr>
          <w:p w14:paraId="01106568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14:paraId="6D0EF037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14:paraId="712258FA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DBC62E2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F2A5FE0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7AD042B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3385BFC3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D1A6306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6855A615" w14:textId="77777777" w:rsidR="002D5DAB" w:rsidRPr="00EB3E53" w:rsidRDefault="000C5755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2010 – 2016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8D169B7" w14:textId="77777777" w:rsidR="002D5DAB" w:rsidRPr="003F6D94" w:rsidRDefault="002D5DAB" w:rsidP="002C02F4"/>
        </w:tc>
      </w:tr>
      <w:tr w:rsidR="002D5DAB" w:rsidRPr="003F6D94" w14:paraId="5A86DEBE" w14:textId="77777777" w:rsidTr="00C1654D">
        <w:trPr>
          <w:trHeight w:val="397"/>
        </w:trPr>
        <w:tc>
          <w:tcPr>
            <w:tcW w:w="83" w:type="pct"/>
            <w:vMerge/>
            <w:shd w:val="clear" w:color="auto" w:fill="DAEEF3"/>
            <w:vAlign w:val="center"/>
            <w:hideMark/>
          </w:tcPr>
          <w:p w14:paraId="0295E8E0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14:paraId="4C139B63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14:paraId="273CFFC8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A2D6BD4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B8E8B7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568A34B1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0F1454E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1A0ACDC9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2B8548A6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340DDB9" w14:textId="77777777" w:rsidR="002D5DAB" w:rsidRPr="003F6D94" w:rsidRDefault="002D5DAB" w:rsidP="00956BF9"/>
        </w:tc>
      </w:tr>
    </w:tbl>
    <w:p w14:paraId="031C0561" w14:textId="77777777" w:rsidR="00090FED" w:rsidRPr="003F6D94" w:rsidRDefault="00C36C5C" w:rsidP="00E910A6">
      <w:pPr>
        <w:spacing w:before="240"/>
      </w:pPr>
      <w:r w:rsidRPr="003F6D94">
        <w:lastRenderedPageBreak/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C463A9" w:rsidRPr="003F6D94">
        <w:t>nepřím</w:t>
      </w:r>
      <w:r w:rsidR="00FD099A" w:rsidRPr="003F6D94">
        <w:t>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14:paraId="6507125C" w14:textId="5F803989"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14:paraId="5B582F23" w14:textId="77777777"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19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14:paraId="611528C8" w14:textId="79A15B3C" w:rsidR="00C463A9" w:rsidRPr="003F6D94" w:rsidRDefault="00777D0D" w:rsidP="002C02F4">
      <w:r w:rsidRPr="003F6D94">
        <w:rPr>
          <w:b/>
        </w:rPr>
        <w:t xml:space="preserve">Příjemcem nepřímé </w:t>
      </w:r>
      <w:r w:rsidR="00680F42" w:rsidRPr="003F6D94">
        <w:rPr>
          <w:b/>
        </w:rPr>
        <w:t>veřejné</w:t>
      </w:r>
      <w:r w:rsidR="00C42C92">
        <w:rPr>
          <w:b/>
        </w:rPr>
        <w:t xml:space="preserve"> (daňové)</w:t>
      </w:r>
      <w:r w:rsidR="00680F42" w:rsidRPr="003F6D94">
        <w:rPr>
          <w:b/>
        </w:rPr>
        <w:t xml:space="preserve"> </w:t>
      </w:r>
      <w:r w:rsidRPr="003F6D94">
        <w:rPr>
          <w:b/>
        </w:rPr>
        <w:t>podpory VaV</w:t>
      </w:r>
      <w:r w:rsidRPr="003F6D94">
        <w:t xml:space="preserve"> je daňový poplatník</w:t>
      </w:r>
      <w:r w:rsidR="009D0132">
        <w:t xml:space="preserve">, </w:t>
      </w:r>
      <w:r w:rsidRPr="003F6D94">
        <w:t>p</w:t>
      </w:r>
      <w:r w:rsidR="00C463A9" w:rsidRPr="003F6D94">
        <w:t>rávnická osoba</w:t>
      </w:r>
      <w:r w:rsidRPr="003F6D94">
        <w:t xml:space="preserve"> vymezená</w:t>
      </w:r>
      <w:r w:rsidR="00C463A9" w:rsidRPr="003F6D94">
        <w:t xml:space="preserve"> jako </w:t>
      </w:r>
      <w:r w:rsidRPr="003F6D94">
        <w:t xml:space="preserve">finanční nebo nefinanční </w:t>
      </w:r>
      <w:r w:rsidR="00C463A9" w:rsidRPr="003F6D94">
        <w:t xml:space="preserve">podnik </w:t>
      </w:r>
      <w:r w:rsidRPr="003F6D94">
        <w:t>dle</w:t>
      </w:r>
      <w:r w:rsidR="00C463A9" w:rsidRPr="003F6D94">
        <w:t xml:space="preserve"> Systém</w:t>
      </w:r>
      <w:r w:rsidRPr="003F6D94">
        <w:t>u národních účtů 2010</w:t>
      </w:r>
      <w:r w:rsidR="00C95805">
        <w:t>.</w:t>
      </w:r>
      <w:r w:rsidRPr="003F6D94">
        <w:t xml:space="preserve"> </w:t>
      </w:r>
    </w:p>
    <w:p w14:paraId="03CA5D0C" w14:textId="31C8C081" w:rsidR="00090FED" w:rsidRPr="003F6D94" w:rsidRDefault="007E1850" w:rsidP="002C02F4">
      <w:r w:rsidRPr="003F6D94">
        <w:t xml:space="preserve">Český statistický úřad publikuje údaje </w:t>
      </w:r>
      <w:r w:rsidR="00C95805">
        <w:t xml:space="preserve">o nepřímé veřejné (daňové) podpoře VaV </w:t>
      </w:r>
      <w:r w:rsidRPr="003F6D94">
        <w:t>v podrobném členění v souladu s metodikou OECD p</w:t>
      </w:r>
      <w:r w:rsidR="00C9101A" w:rsidRPr="003F6D94">
        <w:t xml:space="preserve">ouze za </w:t>
      </w:r>
      <w:r w:rsidRPr="003F6D94">
        <w:t xml:space="preserve">právnické osoby (podniky). </w:t>
      </w:r>
    </w:p>
    <w:p w14:paraId="0560476A" w14:textId="11880319"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0C5755">
        <w:t xml:space="preserve"> roce 2016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4E0807">
        <w:t xml:space="preserve"> (konkrétně 54 osob)</w:t>
      </w:r>
      <w:r w:rsidR="00090FED" w:rsidRPr="003F6D94">
        <w:t xml:space="preserve"> výdaje na VaV v objemu </w:t>
      </w:r>
      <w:r w:rsidR="003C620B">
        <w:t>38</w:t>
      </w:r>
      <w:r w:rsidR="00090FED" w:rsidRPr="00454634">
        <w:t xml:space="preserve"> mil. Kč</w:t>
      </w:r>
      <w:r w:rsidR="00F025AB" w:rsidRPr="00454634">
        <w:t>.</w:t>
      </w:r>
      <w:r w:rsidR="00090FED" w:rsidRPr="003F6D94">
        <w:t xml:space="preserve"> </w:t>
      </w:r>
    </w:p>
    <w:p w14:paraId="29EB9EC4" w14:textId="07985406" w:rsidR="00F2439A" w:rsidRDefault="00F2439A" w:rsidP="000B3AF1">
      <w:pPr>
        <w:spacing w:after="240"/>
      </w:pPr>
      <w:r w:rsidRPr="00F2439A">
        <w:drawing>
          <wp:inline distT="0" distB="0" distL="0" distR="0" wp14:anchorId="6413303B" wp14:editId="7083B3DF">
            <wp:extent cx="5886450" cy="3105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5DCE" w14:textId="2206B997" w:rsidR="00F2439A" w:rsidRDefault="00F2439A" w:rsidP="00F2439A">
      <w:pPr>
        <w:spacing w:after="240"/>
        <w:rPr>
          <w:strike/>
          <w:color w:val="FF0000"/>
        </w:rPr>
      </w:pPr>
    </w:p>
    <w:p w14:paraId="59A06DDF" w14:textId="203ECB3C" w:rsidR="00F33CEC" w:rsidRDefault="00F33CEC" w:rsidP="000B3AF1">
      <w:pPr>
        <w:spacing w:after="240"/>
      </w:pPr>
    </w:p>
    <w:p w14:paraId="4F88CF4B" w14:textId="77777777" w:rsidR="00F2439A" w:rsidRPr="00F025AB" w:rsidRDefault="00F2439A" w:rsidP="000B3AF1">
      <w:pPr>
        <w:spacing w:after="240"/>
        <w:rPr>
          <w:strike/>
          <w:color w:val="FF0000"/>
        </w:rPr>
      </w:pPr>
    </w:p>
    <w:p w14:paraId="7BADE3ED" w14:textId="3C621931" w:rsidR="0069148C" w:rsidRPr="00845BA2" w:rsidRDefault="0069148C" w:rsidP="003E7A4F">
      <w:pPr>
        <w:pStyle w:val="Nadpis3"/>
        <w:spacing w:before="48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lastRenderedPageBreak/>
        <w:t>Třídění ukazatel</w:t>
      </w:r>
      <w:r w:rsidR="00C95805">
        <w:rPr>
          <w:rStyle w:val="st"/>
          <w:sz w:val="24"/>
          <w:szCs w:val="24"/>
        </w:rPr>
        <w:t>ů</w:t>
      </w:r>
      <w:r w:rsidRPr="00845BA2">
        <w:rPr>
          <w:rStyle w:val="st"/>
          <w:sz w:val="24"/>
          <w:szCs w:val="24"/>
        </w:rPr>
        <w:t xml:space="preserve"> statistiky </w:t>
      </w:r>
      <w:r w:rsidR="00CE06FE" w:rsidRPr="00845BA2">
        <w:rPr>
          <w:rStyle w:val="st"/>
          <w:sz w:val="24"/>
          <w:szCs w:val="24"/>
        </w:rPr>
        <w:t>nepřímé veřejné</w:t>
      </w:r>
      <w:r w:rsidR="00C95805">
        <w:rPr>
          <w:rStyle w:val="st"/>
          <w:sz w:val="24"/>
          <w:szCs w:val="24"/>
        </w:rPr>
        <w:t xml:space="preserve"> (daňové)</w:t>
      </w:r>
      <w:r w:rsidRPr="00845BA2">
        <w:rPr>
          <w:rStyle w:val="st"/>
          <w:sz w:val="24"/>
          <w:szCs w:val="24"/>
        </w:rPr>
        <w:t xml:space="preserve"> podpory VaV</w:t>
      </w:r>
    </w:p>
    <w:p w14:paraId="590DE379" w14:textId="77777777"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20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14:paraId="04DC73D9" w14:textId="77777777"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14:paraId="18550BF9" w14:textId="77777777"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14:paraId="11B91585" w14:textId="77777777"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14:paraId="047B3C6D" w14:textId="77777777"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(S.11001 + S.12X01) zahrnují všechny nefinanční podniky, finanční instituce,  kvazikorporace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14:paraId="06C9E26A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(S.11002 + S.12X02) zahrnují všechny nefinanční podniky, finanční instituce a kvazikorporace, které jsou uznány za nezávislé právnické osoby a jsou tržními výrobci nebo poskytovateli služeb, jež nejsou pod kontrolou vládních nebo nerezidentských institucionálních jednotek.</w:t>
      </w:r>
    </w:p>
    <w:p w14:paraId="09FFB48F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(S.11003 + S.12X03) zahrnující všechny podniky, finanční instituce a kvazikorporace, které jsou ovládány nerezidentskými (zahraničními) jednotkami</w:t>
      </w:r>
      <w:r w:rsidR="00E64B71" w:rsidRPr="009C0DCA">
        <w:rPr>
          <w:rStyle w:val="Znakapoznpodarou"/>
        </w:rPr>
        <w:footnoteReference w:id="21"/>
      </w:r>
      <w:r w:rsidRPr="009C0DCA">
        <w:t xml:space="preserve"> (zahraniční afilace). Nejčastěji jde o dceřiné společnosti nerezidentských (zahraničních) mateřských korporací.</w:t>
      </w:r>
    </w:p>
    <w:p w14:paraId="31BE8055" w14:textId="77777777"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E1493C">
        <w:t>0 - 9 zaměstnanc</w:t>
      </w:r>
      <w:r w:rsidR="00385513">
        <w:t>ů</w:t>
      </w:r>
      <w:r w:rsidR="00E1493C">
        <w:t>)</w:t>
      </w:r>
      <w:r w:rsidR="00091308">
        <w:rPr>
          <w:lang w:val="en-US"/>
        </w:rPr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F2092E">
        <w:t xml:space="preserve"> -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rPr>
          <w:lang w:val="en-US"/>
        </w:rPr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F2092E">
        <w:t xml:space="preserve">0 -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14:paraId="744E0110" w14:textId="77777777"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2"/>
      </w:r>
      <w:r w:rsidR="00A72D60">
        <w:t>.</w:t>
      </w:r>
    </w:p>
    <w:p w14:paraId="6F8BA7E3" w14:textId="77777777"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14:paraId="5BB4B104" w14:textId="77777777"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3"/>
      </w:r>
    </w:p>
    <w:p w14:paraId="3DF7C28A" w14:textId="77777777"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87146F" w:rsidRPr="00F510B4">
        <w:t>údaje o nepřímé veřejné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VaVaI,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14:paraId="64EF0B09" w14:textId="77777777" w:rsidR="00A0061E" w:rsidRPr="003F6D94" w:rsidRDefault="00491103" w:rsidP="002C02F4">
      <w:pPr>
        <w:pStyle w:val="Nadpis2"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14:paraId="41874F7B" w14:textId="77777777"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7E1850" w:rsidRPr="003F6D94">
        <w:t xml:space="preserve"> nepřímé </w:t>
      </w:r>
      <w:r w:rsidR="00CE06FE" w:rsidRPr="003F6D94">
        <w:t xml:space="preserve">veřejné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přímé veřejné podpory výzkumu a vývoje (GBARD).</w:t>
      </w:r>
      <w:r w:rsidR="001602BC">
        <w:t xml:space="preserve"> </w:t>
      </w:r>
    </w:p>
    <w:p w14:paraId="7F00FB25" w14:textId="77777777"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14:paraId="63AFB5FF" w14:textId="77777777"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3F6D94">
        <w:rPr>
          <w:b/>
        </w:rPr>
        <w:t>podnikatelského</w:t>
      </w:r>
      <w:r w:rsidR="00FD293E" w:rsidRPr="003F6D94">
        <w:t>,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14:paraId="66E5E5B4" w14:textId="77777777"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Pr="003B7DEB">
        <w:rPr>
          <w:b/>
        </w:rPr>
        <w:t>Prováděcího nařízení Komise (EU) č. 995</w:t>
      </w:r>
      <w:r w:rsidRPr="00E44D95">
        <w:rPr>
          <w:b/>
        </w:rPr>
        <w:t>/2012</w:t>
      </w:r>
      <w:r w:rsidRPr="003F6D94">
        <w:t xml:space="preserve"> o tvorbě a rozvoji statistiky Společenství v oblasti vědy a techniky</w:t>
      </w:r>
      <w:r w:rsidR="0071598A">
        <w:t xml:space="preserve">. 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Frascati manuálu</w:t>
      </w:r>
      <w:r w:rsidRPr="003F6D94">
        <w:t>.</w:t>
      </w:r>
    </w:p>
    <w:p w14:paraId="1CAA2414" w14:textId="77777777"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3F6D94">
        <w:rPr>
          <w:i/>
        </w:rPr>
        <w:t>původ finančních zdrojů</w:t>
      </w:r>
      <w:r w:rsidRPr="003F6D94">
        <w:t xml:space="preserve"> určených na provádění VaV. ČSÚ dle doporučení uvedených ve Frascati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14:paraId="4636C624" w14:textId="77777777"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14:paraId="3E5C39BB" w14:textId="77777777"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Pr="003F6D94">
        <w:rPr>
          <w:b/>
        </w:rPr>
        <w:t xml:space="preserve"> </w:t>
      </w:r>
      <w:r w:rsidR="00925EA9" w:rsidRPr="003F6D94">
        <w:t xml:space="preserve"> V posledních </w:t>
      </w:r>
      <w:r w:rsidR="00237129">
        <w:t>8</w:t>
      </w:r>
      <w:r w:rsidR="00925EA9" w:rsidRPr="003F6D94">
        <w:t xml:space="preserve"> letech mohly soukromé podniky využít pro svůj VaV veřejnou podporu z národního programu TIP, který vyhlásilo Ministerstvo průmyslu a obchodu v</w:t>
      </w:r>
      <w:r w:rsidR="003A51CB" w:rsidRPr="003F6D94">
        <w:t> </w:t>
      </w:r>
      <w:r w:rsidR="00925EA9" w:rsidRPr="003F6D94">
        <w:t>roce</w:t>
      </w:r>
      <w:r w:rsidR="003A51CB" w:rsidRPr="003F6D94">
        <w:t xml:space="preserve"> 2009</w:t>
      </w:r>
      <w:r w:rsidR="00925EA9" w:rsidRPr="003F6D94">
        <w:t>. Program TIP je zaměřený na nové materiály a výrobky, nové progresivní technologie a nové informační a řídicí systémy. Podniky mohly také využít některý z programů vyhlášených Technologickou agenturou ČR (</w:t>
      </w:r>
      <w:r w:rsidR="00DE5304" w:rsidRPr="003F6D94">
        <w:t xml:space="preserve">např. </w:t>
      </w:r>
      <w:r w:rsidR="003716F8" w:rsidRPr="003F6D94">
        <w:t xml:space="preserve">ALFA,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</w:p>
    <w:p w14:paraId="731F8EED" w14:textId="77777777"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F572CF">
        <w:rPr>
          <w:u w:val="single"/>
        </w:rPr>
        <w:t>není zahrnuta</w:t>
      </w:r>
      <w:r w:rsidRPr="003F6D94">
        <w:t xml:space="preserve"> </w:t>
      </w:r>
      <w:r w:rsidRPr="003F6D94">
        <w:rPr>
          <w:b/>
        </w:rPr>
        <w:t xml:space="preserve">nepřímá </w:t>
      </w:r>
      <w:r w:rsidR="00DE5E6B">
        <w:rPr>
          <w:b/>
        </w:rPr>
        <w:t xml:space="preserve">veřejná </w:t>
      </w:r>
      <w:r w:rsidRPr="003F6D94">
        <w:rPr>
          <w:b/>
        </w:rPr>
        <w:t>podpora VaV</w:t>
      </w:r>
      <w:r w:rsidRPr="003F6D94">
        <w:t xml:space="preserve"> provád</w:t>
      </w:r>
      <w:r w:rsidR="0071344A">
        <w:t>ěného v podnikatelském sektoru.</w:t>
      </w:r>
    </w:p>
    <w:p w14:paraId="1CBB0BB1" w14:textId="77777777"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operačních programů (především OP VaVpI a OP PI)</w:t>
      </w:r>
      <w:r w:rsidR="0002501D">
        <w:t>. Dalšími zdroji byly 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14:paraId="4EBC46DD" w14:textId="77777777"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14:paraId="58B6CF90" w14:textId="77777777"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VaV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hyperlink r:id="rId10" w:history="1">
        <w:r w:rsidRPr="003F6D94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</w:p>
    <w:p w14:paraId="7845B59B" w14:textId="7DCC8A17"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lastRenderedPageBreak/>
        <w:t>Stat</w:t>
      </w:r>
      <w:r w:rsidR="002C5962">
        <w:rPr>
          <w:rStyle w:val="st"/>
          <w:sz w:val="24"/>
          <w:szCs w:val="24"/>
        </w:rPr>
        <w:t>istika přímé veřejné podpory výzkumu a vývoje</w:t>
      </w:r>
    </w:p>
    <w:p w14:paraId="2554E389" w14:textId="77777777"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DC1B7E" w:rsidRPr="003F6D94">
        <w:rPr>
          <w:rFonts w:eastAsia="MS Gothic"/>
          <w:b/>
        </w:rPr>
        <w:t xml:space="preserve">přímé </w:t>
      </w:r>
      <w:r w:rsidR="00B52135" w:rsidRPr="003F6D94">
        <w:rPr>
          <w:rFonts w:eastAsia="MS Gothic"/>
          <w:b/>
        </w:rPr>
        <w:t xml:space="preserve">veřejné </w:t>
      </w:r>
      <w:r w:rsidR="00DC1B7E" w:rsidRPr="003F6D94">
        <w:rPr>
          <w:rFonts w:eastAsia="MS Gothic"/>
          <w:b/>
        </w:rPr>
        <w:t>podpory VaV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4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 5-01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5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14:paraId="44A9CBB9" w14:textId="77777777"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Pr="003F6D94">
        <w:t>nepřímé veřejné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14:paraId="40F94097" w14:textId="77777777" w:rsidR="00B36297" w:rsidRDefault="00704AFC" w:rsidP="00AB65E6">
      <w:pPr>
        <w:spacing w:after="600"/>
        <w:jc w:val="left"/>
        <w:rPr>
          <w:rStyle w:val="Hypertextovodkaz"/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hyperlink r:id="rId11" w:history="1">
        <w:r w:rsidR="002E4175" w:rsidRPr="00D969DE">
          <w:rPr>
            <w:rStyle w:val="Hypertextovodkaz"/>
            <w:color w:val="009BB4"/>
          </w:rPr>
          <w:t>https://www.czso.cz/csu/czso/statni-rozpoctove-vydaje-na-vyzkum-a-vyvoj</w:t>
        </w:r>
      </w:hyperlink>
    </w:p>
    <w:p w14:paraId="000673C7" w14:textId="77777777"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>Poznámky k údajům v tabulkách a grafech</w:t>
      </w:r>
    </w:p>
    <w:p w14:paraId="12943698" w14:textId="77777777"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14:paraId="5AFF1985" w14:textId="77777777"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14:paraId="0782E293" w14:textId="77777777" w:rsidR="000A03DC" w:rsidRPr="003F6D94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14:paraId="433AC7D7" w14:textId="77777777"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14:paraId="411163EA" w14:textId="77777777"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14:paraId="5332D58F" w14:textId="77777777"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 xml:space="preserve">Seznam </w:t>
      </w:r>
      <w:r w:rsidR="00270A16">
        <w:rPr>
          <w:b/>
          <w:color w:val="009BB4"/>
          <w:sz w:val="28"/>
          <w:szCs w:val="28"/>
        </w:rPr>
        <w:t xml:space="preserve">použitých </w:t>
      </w:r>
      <w:r w:rsidRPr="003F6D94">
        <w:rPr>
          <w:b/>
          <w:color w:val="009BB4"/>
          <w:sz w:val="28"/>
          <w:szCs w:val="28"/>
        </w:rPr>
        <w:t>zkratek</w:t>
      </w:r>
    </w:p>
    <w:p w14:paraId="6037A8B6" w14:textId="77777777" w:rsidR="003716F8" w:rsidRPr="003F6D94" w:rsidRDefault="000C5C4E" w:rsidP="002C02F4">
      <w:pPr>
        <w:tabs>
          <w:tab w:val="left" w:pos="1134"/>
        </w:tabs>
        <w:spacing w:after="0"/>
      </w:pPr>
      <w:r w:rsidRPr="003F6D94">
        <w:t>ALFA</w:t>
      </w:r>
      <w:r w:rsidRPr="003F6D94">
        <w:tab/>
      </w:r>
      <w:r w:rsidR="003716F8" w:rsidRPr="003F6D94">
        <w:t xml:space="preserve">Program na podporu aplikovaného </w:t>
      </w:r>
      <w:r w:rsidR="00554544" w:rsidRPr="003F6D94">
        <w:t>VaV vyhlášený TA ČR</w:t>
      </w:r>
    </w:p>
    <w:p w14:paraId="52503F2F" w14:textId="77777777"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14:paraId="6B94CB95" w14:textId="77777777"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14:paraId="46530758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14:paraId="7A4D8A51" w14:textId="77777777"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14:paraId="0BC02CFB" w14:textId="77777777"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14:paraId="668A4DDB" w14:textId="77777777"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14:paraId="62D9BEFF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554544" w:rsidRPr="003F6D94">
        <w:t>Nepřímá veřejná podpora</w:t>
      </w:r>
      <w:r w:rsidRPr="003F6D94">
        <w:t xml:space="preserve"> VaV</w:t>
      </w:r>
    </w:p>
    <w:p w14:paraId="568120D1" w14:textId="77777777"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14:paraId="32D4C625" w14:textId="77777777"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14:paraId="27C25994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14:paraId="65F337F6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14:paraId="3EB6D739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14:paraId="076B6D0B" w14:textId="77777777"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14:paraId="3F42EF7A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14:paraId="05E9E2CE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14:paraId="78AEB740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14:paraId="61B8F7DA" w14:textId="77777777"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14:paraId="10094BBA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lastRenderedPageBreak/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14:paraId="4FAAD6C4" w14:textId="77777777"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14:paraId="67FDFFE2" w14:textId="77777777"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14:paraId="164E6369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14:paraId="5848729C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 xml:space="preserve">TIP </w:t>
      </w:r>
      <w:r w:rsidRPr="003F6D94">
        <w:tab/>
        <w:t>Resortní program VaV vyhlášený MPO</w:t>
      </w:r>
    </w:p>
    <w:p w14:paraId="6E619EBD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VaV</w:t>
      </w:r>
      <w:r w:rsidRPr="003F6D94">
        <w:tab/>
      </w:r>
      <w:r w:rsidR="00554544" w:rsidRPr="003F6D94">
        <w:t>V</w:t>
      </w:r>
      <w:r w:rsidRPr="003F6D94">
        <w:t>ýzkum a vývoj</w:t>
      </w:r>
    </w:p>
    <w:p w14:paraId="3213B139" w14:textId="77777777" w:rsidR="00AB2D2E" w:rsidRPr="003F6D94" w:rsidRDefault="00AB2D2E" w:rsidP="002C02F4">
      <w:pPr>
        <w:tabs>
          <w:tab w:val="left" w:pos="1134"/>
        </w:tabs>
        <w:spacing w:after="0"/>
      </w:pPr>
      <w:r w:rsidRPr="003F6D94">
        <w:t>VaVaI</w:t>
      </w:r>
      <w:r w:rsidRPr="003F6D94">
        <w:tab/>
        <w:t>Výzkum, vývoj a inovace</w:t>
      </w:r>
    </w:p>
    <w:p w14:paraId="38829539" w14:textId="1877DE0B"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14:paraId="498DF8BA" w14:textId="7800A5B2" w:rsidR="000B247B" w:rsidRDefault="000B247B" w:rsidP="00A416A5">
      <w:pPr>
        <w:tabs>
          <w:tab w:val="left" w:pos="1134"/>
        </w:tabs>
        <w:spacing w:after="0"/>
        <w:jc w:val="left"/>
      </w:pPr>
      <w:r>
        <w:t>ZDP</w:t>
      </w:r>
      <w:r>
        <w:tab/>
      </w:r>
      <w:r>
        <w:t>zákonu o dani z</w:t>
      </w:r>
      <w:r w:rsidR="00945BCD">
        <w:t> </w:t>
      </w:r>
      <w:r>
        <w:t>příjmu</w:t>
      </w:r>
      <w:r w:rsidR="00945BCD">
        <w:t xml:space="preserve"> </w:t>
      </w:r>
      <w:r w:rsidR="00945BCD" w:rsidRPr="00945BCD">
        <w:t>č. 586/1992 Sb.</w:t>
      </w:r>
    </w:p>
    <w:p w14:paraId="0EF3CD40" w14:textId="74A464CE" w:rsidR="000B247B" w:rsidRDefault="000B247B" w:rsidP="00A416A5">
      <w:pPr>
        <w:tabs>
          <w:tab w:val="left" w:pos="1134"/>
        </w:tabs>
        <w:spacing w:after="0"/>
        <w:jc w:val="left"/>
      </w:pPr>
    </w:p>
    <w:p w14:paraId="61BC3728" w14:textId="77777777" w:rsidR="000B247B" w:rsidRPr="003F6D94" w:rsidRDefault="000B247B" w:rsidP="00A416A5">
      <w:pPr>
        <w:tabs>
          <w:tab w:val="left" w:pos="1134"/>
        </w:tabs>
        <w:spacing w:after="0"/>
        <w:jc w:val="left"/>
        <w:sectPr w:rsidR="000B247B" w:rsidRPr="003F6D94" w:rsidSect="003521E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134" w:bottom="1418" w:left="1134" w:header="680" w:footer="472" w:gutter="0"/>
          <w:pgNumType w:start="8"/>
          <w:cols w:space="708"/>
          <w:docGrid w:linePitch="360"/>
        </w:sectPr>
      </w:pPr>
    </w:p>
    <w:p w14:paraId="04A38A6C" w14:textId="77777777" w:rsidR="00CE4C65" w:rsidRPr="003F6D94" w:rsidRDefault="00CE4C65" w:rsidP="00A416A5">
      <w:pPr>
        <w:rPr>
          <w:rFonts w:cs="Arial"/>
          <w:szCs w:val="20"/>
        </w:rPr>
      </w:pPr>
      <w:bookmarkStart w:id="0" w:name="_GoBack"/>
      <w:bookmarkEnd w:id="0"/>
    </w:p>
    <w:sectPr w:rsidR="00CE4C65" w:rsidRPr="003F6D94" w:rsidSect="0036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1DED" w14:textId="77777777" w:rsidR="004235A3" w:rsidRDefault="004235A3" w:rsidP="003F4F0F">
      <w:r>
        <w:separator/>
      </w:r>
    </w:p>
  </w:endnote>
  <w:endnote w:type="continuationSeparator" w:id="0">
    <w:p w14:paraId="26D8400B" w14:textId="77777777" w:rsidR="004235A3" w:rsidRDefault="004235A3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769" w14:textId="09F6A123"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8618C5">
      <w:rPr>
        <w:rFonts w:ascii="Arial" w:hAnsi="Arial" w:cs="Arial"/>
        <w:noProof/>
        <w:sz w:val="16"/>
        <w:szCs w:val="16"/>
      </w:rPr>
      <w:t>18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="000C5755">
      <w:rPr>
        <w:rFonts w:ascii="Arial" w:hAnsi="Arial" w:cs="Arial"/>
        <w:sz w:val="16"/>
        <w:szCs w:val="16"/>
      </w:rPr>
      <w:tab/>
      <w:t>2016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A5C6" w14:textId="77777777"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626CBA" w14:textId="0B430AF1" w:rsidR="007C4771" w:rsidRPr="00DE60CE" w:rsidRDefault="007C4771" w:rsidP="00DE60CE">
    <w:pPr>
      <w:pStyle w:val="Zpat"/>
      <w:tabs>
        <w:tab w:val="left" w:pos="3996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="000C5755">
      <w:rPr>
        <w:rFonts w:ascii="Arial" w:hAnsi="Arial" w:cs="Arial"/>
        <w:sz w:val="16"/>
        <w:szCs w:val="16"/>
      </w:rPr>
      <w:t>2016</w:t>
    </w:r>
    <w:r w:rsidR="008618C5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8618C5">
      <w:rPr>
        <w:rFonts w:ascii="Arial" w:hAnsi="Arial" w:cs="Arial"/>
        <w:noProof/>
        <w:sz w:val="16"/>
        <w:szCs w:val="16"/>
      </w:rPr>
      <w:t>17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DF4F" w14:textId="77777777" w:rsidR="004235A3" w:rsidRDefault="004235A3" w:rsidP="003F4F0F">
      <w:r>
        <w:separator/>
      </w:r>
    </w:p>
  </w:footnote>
  <w:footnote w:type="continuationSeparator" w:id="0">
    <w:p w14:paraId="149FF5F1" w14:textId="77777777" w:rsidR="004235A3" w:rsidRDefault="004235A3" w:rsidP="003F4F0F">
      <w:r>
        <w:continuationSeparator/>
      </w:r>
    </w:p>
  </w:footnote>
  <w:footnote w:id="1">
    <w:p w14:paraId="5FE9DE48" w14:textId="77777777" w:rsidR="007C4771" w:rsidRPr="008D4737" w:rsidRDefault="007C4771" w:rsidP="00A64A81">
      <w:pPr>
        <w:pStyle w:val="Textpoznpodarou"/>
        <w:spacing w:after="80"/>
        <w:rPr>
          <w:rFonts w:cs="Arial"/>
          <w:sz w:val="18"/>
          <w:szCs w:val="18"/>
          <w:lang w:val="en-US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</w:t>
      </w:r>
      <w:r w:rsidR="0096729E" w:rsidRPr="008D4737">
        <w:rPr>
          <w:rFonts w:cs="Arial"/>
          <w:sz w:val="18"/>
          <w:szCs w:val="18"/>
        </w:rPr>
        <w:t xml:space="preserve">aktuálního znění </w:t>
      </w:r>
      <w:r w:rsidRPr="008D4737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2">
    <w:p w14:paraId="5E13B792" w14:textId="77777777" w:rsidR="0062019D" w:rsidRPr="008D4737" w:rsidRDefault="0062019D" w:rsidP="0062019D">
      <w:pPr>
        <w:pStyle w:val="Textpoznpodarou"/>
        <w:spacing w:after="80"/>
        <w:ind w:left="284" w:right="284" w:hanging="284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sz w:val="18"/>
          <w:szCs w:val="18"/>
          <w:u w:val="single"/>
        </w:rPr>
        <w:t>Plné znění nového odstavce 5 bylo následující:</w:t>
      </w:r>
    </w:p>
    <w:p w14:paraId="357638A7" w14:textId="77777777" w:rsidR="0062019D" w:rsidRPr="008D4737" w:rsidRDefault="0062019D" w:rsidP="0062019D">
      <w:pPr>
        <w:pStyle w:val="Textpoznpodarou"/>
        <w:tabs>
          <w:tab w:val="left" w:pos="9356"/>
        </w:tabs>
        <w:spacing w:after="80"/>
        <w:ind w:left="284" w:right="284"/>
        <w:rPr>
          <w:sz w:val="18"/>
          <w:szCs w:val="18"/>
          <w:lang w:val="en-US"/>
        </w:rPr>
      </w:pPr>
      <w:r w:rsidRPr="008D4737">
        <w:rPr>
          <w:i/>
          <w:sz w:val="18"/>
          <w:szCs w:val="18"/>
        </w:rPr>
        <w:t>"</w:t>
      </w:r>
      <w:r w:rsidRPr="008D4737">
        <w:rPr>
          <w:sz w:val="18"/>
          <w:szCs w:val="18"/>
          <w:lang w:val="en-US"/>
        </w:rPr>
        <w:t>[</w:t>
      </w:r>
      <w:r w:rsidRPr="008D4737">
        <w:rPr>
          <w:sz w:val="18"/>
          <w:szCs w:val="18"/>
        </w:rPr>
        <w:t xml:space="preserve">…] </w:t>
      </w:r>
      <w:r w:rsidRPr="008D4737">
        <w:rPr>
          <w:i/>
          <w:sz w:val="18"/>
          <w:szCs w:val="18"/>
        </w:rPr>
        <w:t>Projektem výzkumu a vývoje, na jehož realizaci může být uplatněn odpočet podle odstavce 4, se rozumí písemný dokument, ve kterém poplatník před zahájením řešení projektu výzkumu a vývoje vymezí svou činnost ve výzkumu a vývoji a který obsahuje zejména základní identifikační údaje o poplatníkovi, kterými jsou obchodní firma nebo název poplatníka, jeho sídlo a identifikační číslo, bylo-li přiděleno, popřípadě jméno a příjmení poplatníka, je-li poplatník fyzickou osobou, místo jeho trvalého pobytu a místo podnikání, dobu řešení projektu (datum zahájení a datum ukončení řešení projektu), cíle projektu, které jsou dosažitelné v době řešení projektu a vyhodnotitelné po jeho ukončení, předpokládané celkové výdaje (náklady) na řešení projektu a předpokládané výdaje (náklady) v jednotlivých letech řešení projektu, jména a příjmení osob, které budou odborně zajišťovat řešení projektu s uvedením jejich kvalifikace a formy pracovněprávního vztahu k poplatníkovi, způsob kontroly a hodnocení postupu řešení projektu a dosažených výsledků, datum, místo, jméno a příjmení oprávněné osoby, která projekt schválila před zahájením jeho řešení; oprávněnou osobou se rozumí poplatník, je-li fyzickou osobou, nebo osoba vykonávající funkci statutárního orgánu poplatníka nebo jeho členem."</w:t>
      </w:r>
      <w:r w:rsidRPr="008D4737">
        <w:rPr>
          <w:sz w:val="18"/>
          <w:szCs w:val="18"/>
        </w:rPr>
        <w:t xml:space="preserve"> </w:t>
      </w:r>
      <w:r w:rsidRPr="008D4737">
        <w:rPr>
          <w:sz w:val="18"/>
          <w:szCs w:val="18"/>
          <w:lang w:val="en-US"/>
        </w:rPr>
        <w:t xml:space="preserve">[Zákon </w:t>
      </w:r>
      <w:r w:rsidRPr="008D4737">
        <w:rPr>
          <w:sz w:val="18"/>
          <w:szCs w:val="18"/>
        </w:rPr>
        <w:t>545/2005 Sb</w:t>
      </w:r>
      <w:r w:rsidR="00FB0990" w:rsidRPr="008D4737">
        <w:rPr>
          <w:sz w:val="18"/>
          <w:szCs w:val="18"/>
        </w:rPr>
        <w:t>., kterým se mění zákon 586/1992 Sb., o daních z</w:t>
      </w:r>
      <w:r w:rsidR="00811C3D" w:rsidRPr="008D4737">
        <w:rPr>
          <w:sz w:val="18"/>
          <w:szCs w:val="18"/>
        </w:rPr>
        <w:t> příjmů, ve znění pozdějších předpisů, a některé související zákony</w:t>
      </w:r>
      <w:r w:rsidR="00811C3D" w:rsidRPr="008D4737">
        <w:rPr>
          <w:sz w:val="18"/>
          <w:szCs w:val="18"/>
          <w:lang w:val="en-US"/>
        </w:rPr>
        <w:t>]</w:t>
      </w:r>
      <w:r w:rsidR="00623113" w:rsidRPr="008D4737">
        <w:rPr>
          <w:sz w:val="18"/>
          <w:szCs w:val="18"/>
          <w:lang w:val="en-US"/>
        </w:rPr>
        <w:t>.</w:t>
      </w:r>
    </w:p>
  </w:footnote>
  <w:footnote w:id="3">
    <w:p w14:paraId="136825A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Č.j.: 15/96 003/2005-151. Úplné platné </w:t>
      </w:r>
      <w:r w:rsidR="00E17BBA" w:rsidRPr="008D4737">
        <w:rPr>
          <w:rFonts w:cs="Arial"/>
          <w:sz w:val="18"/>
          <w:szCs w:val="18"/>
        </w:rPr>
        <w:t>znění</w:t>
      </w:r>
      <w:r w:rsidRPr="008D4737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4">
    <w:p w14:paraId="1D78457E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hyperlink r:id="rId1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http://www.mfcr.cz/cs/legislativa/financni-zpravodaj/2005/financni-zpravodaj-cislo-102005-cast-1-1602</w:t>
        </w:r>
      </w:hyperlink>
    </w:p>
  </w:footnote>
  <w:footnote w:id="5">
    <w:p w14:paraId="2A0EA880" w14:textId="77777777" w:rsidR="00B34D26" w:rsidRPr="008D4737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0C178C" w:rsidRPr="008D4737">
        <w:rPr>
          <w:rFonts w:cs="Arial"/>
          <w:sz w:val="18"/>
          <w:szCs w:val="18"/>
        </w:rPr>
        <w:t xml:space="preserve">Finanční zpravodaj č. 4/2010. Bod 11: </w:t>
      </w:r>
      <w:hyperlink r:id="rId2" w:history="1">
        <w:r w:rsidR="000C178C"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http://www.mfcr.cz/cs/legislativa/financni-zpravodaj/2010/financni-zpravodaj-cislo-42010-1554</w:t>
        </w:r>
      </w:hyperlink>
      <w:r w:rsidR="000C178C" w:rsidRPr="008D4737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6">
    <w:p w14:paraId="0F62F30C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hyperlink r:id="rId3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http://www.mfcr.cz/cs/legislativa/financni-zpravodaj/2014/financni-zpravodaj-cislo-42014-19704</w:t>
        </w:r>
      </w:hyperlink>
    </w:p>
  </w:footnote>
  <w:footnote w:id="7">
    <w:p w14:paraId="6212BDD8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i/>
          <w:sz w:val="18"/>
          <w:szCs w:val="18"/>
          <w:lang w:val="en-US"/>
        </w:rPr>
        <w:t>Frascati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Pr="008D4737">
        <w:rPr>
          <w:rFonts w:cs="Arial"/>
          <w:sz w:val="18"/>
          <w:szCs w:val="18"/>
        </w:rPr>
        <w:t xml:space="preserve">Rovněž dostupné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4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8">
    <w:p w14:paraId="0409E0F0" w14:textId="77777777"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</w:t>
      </w:r>
      <w:r w:rsidR="0056739F">
        <w:rPr>
          <w:i/>
          <w:sz w:val="18"/>
          <w:szCs w:val="18"/>
        </w:rPr>
        <w:t>ele výzkumu a vývoje za rok 2016</w:t>
      </w:r>
      <w:r w:rsidRPr="008D4737">
        <w:rPr>
          <w:sz w:val="18"/>
          <w:szCs w:val="18"/>
        </w:rPr>
        <w:t xml:space="preserve"> [onlin</w:t>
      </w:r>
      <w:r w:rsidR="0056739F">
        <w:rPr>
          <w:sz w:val="18"/>
          <w:szCs w:val="18"/>
        </w:rPr>
        <w:t>e]. Český statistický úřad, 2017</w:t>
      </w:r>
      <w:r w:rsidRPr="008D4737">
        <w:rPr>
          <w:sz w:val="18"/>
          <w:szCs w:val="18"/>
        </w:rPr>
        <w:t xml:space="preserve">. Praha. Dostupné z: </w:t>
      </w:r>
      <w:hyperlink r:id="rId5" w:history="1">
        <w:r w:rsidR="0056739F" w:rsidRPr="0056739F">
          <w:rPr>
            <w:rStyle w:val="Hypertextovodkaz"/>
            <w:rFonts w:cs="Arial"/>
            <w:color w:val="009BB4"/>
            <w:sz w:val="18"/>
            <w:szCs w:val="18"/>
          </w:rPr>
          <w:t>https://www.czso.cz/csu/czso/ukazatele-vyzkumu-a-vyvoje-2016</w:t>
        </w:r>
      </w:hyperlink>
      <w:r w:rsidR="0056739F">
        <w:rPr>
          <w:rFonts w:cs="Arial"/>
          <w:sz w:val="18"/>
          <w:szCs w:val="18"/>
        </w:rPr>
        <w:t xml:space="preserve"> </w:t>
      </w:r>
    </w:p>
  </w:footnote>
  <w:footnote w:id="9">
    <w:p w14:paraId="0A070605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hyperlink r:id="rId6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https://www.czso.cz/csu/czso/statistika_vyzkumu_a_vyvoje</w:t>
        </w:r>
      </w:hyperlink>
    </w:p>
  </w:footnote>
  <w:footnote w:id="10">
    <w:p w14:paraId="4A7EB57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824040" w:rsidRPr="008D4737">
        <w:rPr>
          <w:rFonts w:cs="Arial"/>
          <w:sz w:val="18"/>
          <w:szCs w:val="18"/>
        </w:rPr>
        <w:t>D-288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>nejsou standardně zařazovány do VaV</w:t>
      </w:r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VaV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>do VaV</w:t>
      </w:r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1">
    <w:p w14:paraId="7A03C920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VaV) nejsou jen výzkumní pracovníci, kteří přímo provádějí VaV, patří sem i pomocní, techničtí, odborní, administrativní a jiní pracovníci působící na pracovištích VaV subjektů provádějících VaV. Podrobnější vymezení zaměstnanců VaV je rozepsáno ve zmíněném Frascati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2">
    <w:p w14:paraId="7E47D458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3">
    <w:p w14:paraId="24AA40C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VaV uváděné ve Frascati manuálu.</w:t>
      </w:r>
    </w:p>
  </w:footnote>
  <w:footnote w:id="14">
    <w:p w14:paraId="3283380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5">
    <w:p w14:paraId="6F085CEC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VaV od výzkumných organizací.</w:t>
      </w:r>
    </w:p>
  </w:footnote>
  <w:footnote w:id="16">
    <w:p w14:paraId="2EE1AC6B" w14:textId="77777777"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7">
    <w:p w14:paraId="22A040E4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rFonts w:cs="Arial"/>
          <w:i/>
          <w:sz w:val="18"/>
          <w:szCs w:val="18"/>
          <w:lang w:val="en-US"/>
        </w:rPr>
        <w:t>Frascati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Pr="008D4737">
        <w:rPr>
          <w:rFonts w:cs="Arial"/>
          <w:sz w:val="18"/>
          <w:szCs w:val="18"/>
        </w:rPr>
        <w:t xml:space="preserve">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7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18">
    <w:p w14:paraId="78E63142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19">
    <w:p w14:paraId="31FCA74A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20">
    <w:p w14:paraId="44AA9487" w14:textId="77777777"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hyperlink r:id="rId8" w:history="1">
        <w:r w:rsidR="00D97673" w:rsidRPr="008D4737">
          <w:rPr>
            <w:rStyle w:val="Hypertextovodkaz"/>
            <w:color w:val="009BB4"/>
            <w:sz w:val="18"/>
            <w:szCs w:val="18"/>
          </w:rPr>
          <w:t>§ 20 zákona č. 89/1995 Sb</w:t>
        </w:r>
      </w:hyperlink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1">
    <w:p w14:paraId="5F10E64B" w14:textId="77777777"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2">
    <w:p w14:paraId="265FB0A0" w14:textId="77777777"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9" w:history="1">
        <w:r w:rsidRPr="008D4737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</w:p>
  </w:footnote>
  <w:footnote w:id="23">
    <w:p w14:paraId="4007BAC0" w14:textId="77777777"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0" w:history="1">
        <w:r w:rsidR="00D6150F" w:rsidRPr="008D4737">
          <w:rPr>
            <w:rStyle w:val="Hypertextovodkaz"/>
            <w:color w:val="009BB4"/>
            <w:sz w:val="18"/>
            <w:szCs w:val="18"/>
          </w:rPr>
          <w:t>https://www.czso.cz/csu/czso/klasifikace_uzemnich_statistickych_jednotek_-cz_nuts-_2011</w:t>
        </w:r>
      </w:hyperlink>
    </w:p>
  </w:footnote>
  <w:footnote w:id="24">
    <w:p w14:paraId="640EE441" w14:textId="77777777" w:rsidR="00237129" w:rsidRPr="0037586A" w:rsidRDefault="00237129" w:rsidP="00237129">
      <w:pPr>
        <w:spacing w:after="0"/>
        <w:rPr>
          <w:sz w:val="18"/>
          <w:szCs w:val="18"/>
        </w:rPr>
      </w:pPr>
      <w:r w:rsidRPr="0037586A">
        <w:rPr>
          <w:rStyle w:val="Znakapoznpodarou"/>
          <w:sz w:val="18"/>
          <w:szCs w:val="18"/>
        </w:rPr>
        <w:footnoteRef/>
      </w:r>
      <w:r w:rsidRPr="0037586A">
        <w:rPr>
          <w:sz w:val="18"/>
          <w:szCs w:val="18"/>
        </w:rPr>
        <w:t xml:space="preserve"> </w:t>
      </w:r>
      <w:r w:rsidRPr="0037586A">
        <w:rPr>
          <w:sz w:val="18"/>
          <w:szCs w:val="18"/>
          <w:lang w:val="en-GB"/>
        </w:rPr>
        <w:t xml:space="preserve">Government Budget Appropriations for Research and Development </w:t>
      </w:r>
      <w:r w:rsidRPr="0037586A">
        <w:rPr>
          <w:sz w:val="18"/>
          <w:szCs w:val="18"/>
        </w:rPr>
        <w:t>– GBARD</w:t>
      </w:r>
    </w:p>
  </w:footnote>
  <w:footnote w:id="25">
    <w:p w14:paraId="2A577E7C" w14:textId="77777777"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37586A">
        <w:rPr>
          <w:rStyle w:val="Znakapoznpodarou"/>
          <w:rFonts w:cs="Arial"/>
          <w:sz w:val="18"/>
          <w:szCs w:val="18"/>
        </w:rPr>
        <w:footnoteRef/>
      </w:r>
      <w:r w:rsidRPr="0037586A">
        <w:rPr>
          <w:rFonts w:cs="Arial"/>
          <w:sz w:val="18"/>
          <w:szCs w:val="18"/>
        </w:rPr>
        <w:t xml:space="preserve"> </w:t>
      </w:r>
      <w:hyperlink r:id="rId11" w:history="1">
        <w:r w:rsidRPr="0037586A">
          <w:rPr>
            <w:rStyle w:val="Hypertextovodkaz"/>
            <w:rFonts w:cs="Arial"/>
            <w:color w:val="009BB4"/>
            <w:sz w:val="18"/>
            <w:szCs w:val="18"/>
          </w:rPr>
          <w:t>http://www.isvav.cz/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1EA" w14:textId="77777777" w:rsidR="007C4771" w:rsidRPr="005A660F" w:rsidRDefault="007C4771" w:rsidP="003F4F0F">
    <w:pPr>
      <w:pStyle w:val="Zhlav"/>
      <w:rPr>
        <w:rFonts w:ascii="Arial" w:hAnsi="Arial" w:cs="Arial"/>
        <w:sz w:val="16"/>
        <w:szCs w:val="16"/>
      </w:rPr>
    </w:pPr>
    <w:r w:rsidRPr="005A660F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23A" w14:textId="77777777" w:rsidR="007C4771" w:rsidRPr="002B1A25" w:rsidRDefault="007C4771" w:rsidP="003F4F0F">
    <w:pPr>
      <w:pStyle w:val="Zhlav"/>
      <w:rPr>
        <w:rFonts w:ascii="Arial" w:hAnsi="Arial" w:cs="Arial"/>
        <w:sz w:val="16"/>
        <w:szCs w:val="16"/>
      </w:rPr>
    </w:pPr>
    <w:r w:rsidRPr="002B1A25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1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11"/>
  </w:num>
  <w:num w:numId="9">
    <w:abstractNumId w:val="3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24"/>
  </w:num>
  <w:num w:numId="22">
    <w:abstractNumId w:val="38"/>
  </w:num>
  <w:num w:numId="23">
    <w:abstractNumId w:val="34"/>
  </w:num>
  <w:num w:numId="24">
    <w:abstractNumId w:val="7"/>
  </w:num>
  <w:num w:numId="25">
    <w:abstractNumId w:val="31"/>
  </w:num>
  <w:num w:numId="26">
    <w:abstractNumId w:val="10"/>
  </w:num>
  <w:num w:numId="27">
    <w:abstractNumId w:val="39"/>
  </w:num>
  <w:num w:numId="28">
    <w:abstractNumId w:val="17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26"/>
  </w:num>
  <w:num w:numId="37">
    <w:abstractNumId w:val="32"/>
  </w:num>
  <w:num w:numId="38">
    <w:abstractNumId w:val="29"/>
  </w:num>
  <w:num w:numId="39">
    <w:abstractNumId w:val="5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3944"/>
    <w:rsid w:val="00003987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B46"/>
    <w:rsid w:val="000A7C7B"/>
    <w:rsid w:val="000B0777"/>
    <w:rsid w:val="000B10E3"/>
    <w:rsid w:val="000B1F4E"/>
    <w:rsid w:val="000B247B"/>
    <w:rsid w:val="000B2502"/>
    <w:rsid w:val="000B3966"/>
    <w:rsid w:val="000B3A90"/>
    <w:rsid w:val="000B3AF1"/>
    <w:rsid w:val="000B3BB4"/>
    <w:rsid w:val="000B3DE2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8C5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1095"/>
    <w:rsid w:val="00201371"/>
    <w:rsid w:val="002013DB"/>
    <w:rsid w:val="00201576"/>
    <w:rsid w:val="00202570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46D"/>
    <w:rsid w:val="002425A8"/>
    <w:rsid w:val="00242B9B"/>
    <w:rsid w:val="00242FD0"/>
    <w:rsid w:val="002436BA"/>
    <w:rsid w:val="00243FD5"/>
    <w:rsid w:val="002442B5"/>
    <w:rsid w:val="0024467C"/>
    <w:rsid w:val="00244A15"/>
    <w:rsid w:val="00244E40"/>
    <w:rsid w:val="00244FDA"/>
    <w:rsid w:val="00244FFB"/>
    <w:rsid w:val="00245732"/>
    <w:rsid w:val="00247061"/>
    <w:rsid w:val="0024708C"/>
    <w:rsid w:val="00247879"/>
    <w:rsid w:val="0024799E"/>
    <w:rsid w:val="00250259"/>
    <w:rsid w:val="00250351"/>
    <w:rsid w:val="0025064A"/>
    <w:rsid w:val="00251C55"/>
    <w:rsid w:val="0025369C"/>
    <w:rsid w:val="00253F4C"/>
    <w:rsid w:val="00253F55"/>
    <w:rsid w:val="0025424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4309"/>
    <w:rsid w:val="0027431A"/>
    <w:rsid w:val="00274C86"/>
    <w:rsid w:val="002752A1"/>
    <w:rsid w:val="00275CBD"/>
    <w:rsid w:val="00275DC4"/>
    <w:rsid w:val="00276B63"/>
    <w:rsid w:val="00276D9A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6AAC"/>
    <w:rsid w:val="002C6BCF"/>
    <w:rsid w:val="002C7240"/>
    <w:rsid w:val="002C7411"/>
    <w:rsid w:val="002C7893"/>
    <w:rsid w:val="002D04E1"/>
    <w:rsid w:val="002D0898"/>
    <w:rsid w:val="002D118C"/>
    <w:rsid w:val="002D1326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25D8"/>
    <w:rsid w:val="00332A37"/>
    <w:rsid w:val="00332CDF"/>
    <w:rsid w:val="00333777"/>
    <w:rsid w:val="00333ABA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6188"/>
    <w:rsid w:val="003564B8"/>
    <w:rsid w:val="00356753"/>
    <w:rsid w:val="00356A61"/>
    <w:rsid w:val="00356AAA"/>
    <w:rsid w:val="00356ABD"/>
    <w:rsid w:val="00356D37"/>
    <w:rsid w:val="003574C0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2969"/>
    <w:rsid w:val="003A2B4D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D63"/>
    <w:rsid w:val="0041306A"/>
    <w:rsid w:val="00413B81"/>
    <w:rsid w:val="00413CFF"/>
    <w:rsid w:val="00414077"/>
    <w:rsid w:val="00414240"/>
    <w:rsid w:val="004147FA"/>
    <w:rsid w:val="00414BF4"/>
    <w:rsid w:val="0041670A"/>
    <w:rsid w:val="00417092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E0A"/>
    <w:rsid w:val="004251DA"/>
    <w:rsid w:val="00425596"/>
    <w:rsid w:val="00426007"/>
    <w:rsid w:val="00426B0F"/>
    <w:rsid w:val="00427030"/>
    <w:rsid w:val="00427185"/>
    <w:rsid w:val="00427319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57FBC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C72"/>
    <w:rsid w:val="004B3CCC"/>
    <w:rsid w:val="004B4712"/>
    <w:rsid w:val="004B4917"/>
    <w:rsid w:val="004B4CE5"/>
    <w:rsid w:val="004B55B7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6DF"/>
    <w:rsid w:val="004E476A"/>
    <w:rsid w:val="004E4D16"/>
    <w:rsid w:val="004E4FFB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90C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802"/>
    <w:rsid w:val="005D5C56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C91"/>
    <w:rsid w:val="00616630"/>
    <w:rsid w:val="00616C47"/>
    <w:rsid w:val="00617486"/>
    <w:rsid w:val="006179E9"/>
    <w:rsid w:val="00617B46"/>
    <w:rsid w:val="0062019D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B5A"/>
    <w:rsid w:val="00673CD6"/>
    <w:rsid w:val="00674524"/>
    <w:rsid w:val="00675DDF"/>
    <w:rsid w:val="00675E37"/>
    <w:rsid w:val="0067608A"/>
    <w:rsid w:val="00676213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279A"/>
    <w:rsid w:val="006E28C8"/>
    <w:rsid w:val="006E313B"/>
    <w:rsid w:val="006E3584"/>
    <w:rsid w:val="006E4647"/>
    <w:rsid w:val="006E484D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515"/>
    <w:rsid w:val="00707ACC"/>
    <w:rsid w:val="00710016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6352"/>
    <w:rsid w:val="00746597"/>
    <w:rsid w:val="00747B4C"/>
    <w:rsid w:val="00747C7A"/>
    <w:rsid w:val="00747DCC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C0198"/>
    <w:rsid w:val="007C0786"/>
    <w:rsid w:val="007C0886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8C5"/>
    <w:rsid w:val="00861C27"/>
    <w:rsid w:val="00862277"/>
    <w:rsid w:val="00862B72"/>
    <w:rsid w:val="00862C91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5CF6"/>
    <w:rsid w:val="00936618"/>
    <w:rsid w:val="00936B83"/>
    <w:rsid w:val="00936FF5"/>
    <w:rsid w:val="0093753B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992"/>
    <w:rsid w:val="009C3A34"/>
    <w:rsid w:val="009C3B7E"/>
    <w:rsid w:val="009C3E65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3FC8"/>
    <w:rsid w:val="009F4BA1"/>
    <w:rsid w:val="009F4CD4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3C6"/>
    <w:rsid w:val="00A544E5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3207"/>
    <w:rsid w:val="00B2432E"/>
    <w:rsid w:val="00B258FE"/>
    <w:rsid w:val="00B25F29"/>
    <w:rsid w:val="00B26489"/>
    <w:rsid w:val="00B264D7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6A12"/>
    <w:rsid w:val="00BF728A"/>
    <w:rsid w:val="00C004CD"/>
    <w:rsid w:val="00C0085D"/>
    <w:rsid w:val="00C01237"/>
    <w:rsid w:val="00C013A9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4D"/>
    <w:rsid w:val="00C16594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BEE"/>
    <w:rsid w:val="00C32D87"/>
    <w:rsid w:val="00C33504"/>
    <w:rsid w:val="00C3352D"/>
    <w:rsid w:val="00C34AE9"/>
    <w:rsid w:val="00C356D7"/>
    <w:rsid w:val="00C36300"/>
    <w:rsid w:val="00C364B9"/>
    <w:rsid w:val="00C36C5C"/>
    <w:rsid w:val="00C376B7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507F"/>
    <w:rsid w:val="00CB50C6"/>
    <w:rsid w:val="00CB5529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C0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756"/>
    <w:rsid w:val="00DC5B3B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87B"/>
    <w:rsid w:val="00DD7BF2"/>
    <w:rsid w:val="00DD7EC9"/>
    <w:rsid w:val="00DE0791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FEE"/>
    <w:rsid w:val="00DF03E2"/>
    <w:rsid w:val="00DF1241"/>
    <w:rsid w:val="00DF1398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3E53"/>
    <w:rsid w:val="00EB5885"/>
    <w:rsid w:val="00EB6008"/>
    <w:rsid w:val="00EB66B7"/>
    <w:rsid w:val="00EB688A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5998"/>
    <w:rsid w:val="00F35BEC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A2E"/>
    <w:rsid w:val="00F810B2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288872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innovation/rd-tax-stat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23164307/zakon_c_89_1995_sb_20150101.pdf/866ff7f0-07ea-46cb-a5ad-30df63cd335d?version=1.0" TargetMode="External"/><Relationship Id="rId3" Type="http://schemas.openxmlformats.org/officeDocument/2006/relationships/hyperlink" Target="http://www.mfcr.cz/cs/legislativa/financni-zpravodaj/2014/financni-zpravodaj-cislo-42014-19704" TargetMode="External"/><Relationship Id="rId7" Type="http://schemas.openxmlformats.org/officeDocument/2006/relationships/hyperlink" Target="http://www.oecd.org/sti/frascatimanual" TargetMode="External"/><Relationship Id="rId2" Type="http://schemas.openxmlformats.org/officeDocument/2006/relationships/hyperlink" Target="http://www.mfcr.cz/cs/legislativa/financni-zpravodaj/2010/financni-zpravodaj-cislo-42010-155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s://www.czso.cz/csu/czso/statistika_vyzkumu_a_vyvoje" TargetMode="External"/><Relationship Id="rId11" Type="http://schemas.openxmlformats.org/officeDocument/2006/relationships/hyperlink" Target="http://www.isvav.cz/" TargetMode="External"/><Relationship Id="rId5" Type="http://schemas.openxmlformats.org/officeDocument/2006/relationships/hyperlink" Target="https://www.czso.cz/csu/czso/ukazatele-vyzkumu-a-vyvoje-2016" TargetMode="External"/><Relationship Id="rId10" Type="http://schemas.openxmlformats.org/officeDocument/2006/relationships/hyperlink" Target="https://www.czso.cz/csu/czso/klasifikace_uzemnich_statistickych_jednotek_-cz_nuts-_2011" TargetMode="External"/><Relationship Id="rId4" Type="http://schemas.openxmlformats.org/officeDocument/2006/relationships/hyperlink" Target="http://www.oecd.org/sti/frascatimanual" TargetMode="External"/><Relationship Id="rId9" Type="http://schemas.openxmlformats.org/officeDocument/2006/relationships/hyperlink" Target="https://www.czso.cz/csu/czso/klasifikace_ekonomickych_cinnosti_cz_n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8AB-ABEA-4519-82FD-7CD095B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12</Pages>
  <Words>4020</Words>
  <Characters>23719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2018-04-03T11:32:00Z</cp:lastPrinted>
  <dcterms:created xsi:type="dcterms:W3CDTF">2018-04-03T11:31:00Z</dcterms:created>
  <dcterms:modified xsi:type="dcterms:W3CDTF">2018-04-03T11:32:00Z</dcterms:modified>
</cp:coreProperties>
</file>