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8" w:rsidRDefault="00FE6B18" w:rsidP="00281013">
      <w:pPr>
        <w:pStyle w:val="Nadpis1"/>
        <w:jc w:val="both"/>
      </w:pPr>
      <w:bookmarkStart w:id="0" w:name="_GoBack"/>
      <w:bookmarkEnd w:id="0"/>
      <w:r>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nástrojů, jejichž kombinace se v jednotlivých ekonomikách různí. Skladba nástrojů nepřímé veřejné podpory VaV je přirozenou výslednicí odlišných tradic a širších strategických a konceptuálních rámců národních politik v oblasti podpory VaVaI.</w:t>
      </w:r>
    </w:p>
    <w:p w:rsidR="00FE6B18" w:rsidRPr="005544B7" w:rsidRDefault="00FE6B18" w:rsidP="00281013">
      <w:pPr>
        <w:pStyle w:val="Nadpis3"/>
        <w:jc w:val="both"/>
        <w:rPr>
          <w:sz w:val="20"/>
        </w:rPr>
      </w:pPr>
      <w:r w:rsidRPr="005544B7">
        <w:rPr>
          <w:sz w:val="20"/>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r w:rsidRPr="00EA6BCA">
        <w:rPr>
          <w:b/>
          <w:i/>
        </w:rPr>
        <w:t>ii.</w:t>
      </w:r>
      <w:r>
        <w:t xml:space="preserve"> </w:t>
      </w:r>
      <w:r>
        <w:rPr>
          <w:i/>
        </w:rPr>
        <w:t>Daň</w:t>
      </w:r>
      <w:r w:rsidRPr="00562821">
        <w:rPr>
          <w:i/>
        </w:rPr>
        <w:t>ové dobropisy</w:t>
      </w:r>
      <w:r w:rsidRPr="00562821">
        <w:t xml:space="preserve"> (slevy na dani</w:t>
      </w:r>
      <w:r>
        <w:t xml:space="preserve">, </w:t>
      </w:r>
      <w:r w:rsidRPr="00562821">
        <w:t>tax</w:t>
      </w:r>
      <w:r>
        <w:t xml:space="preserve"> credit). Jsou procentuálně stanovenými částkami od vypočtené daně, jež zůstává podnikatelským subjektům podporujícím VaV. Může být stanovena pevnou sazbou (</w:t>
      </w:r>
      <w:r w:rsidRPr="002A67C7">
        <w:rPr>
          <w:i/>
        </w:rPr>
        <w:t>fix rate</w:t>
      </w:r>
      <w:r>
        <w:t>), případně variabilní sazbou odvislou od přírůstku výdajů na VaV (</w:t>
      </w:r>
      <w:r w:rsidRPr="00650B5E">
        <w:rPr>
          <w:i/>
        </w:rPr>
        <w:t>incremental rate</w:t>
      </w:r>
      <w:r>
        <w:t xml:space="preserve">) plynoucí ze srovnání s referenčním obdobím. Opět jde o nástroj hojně užívaný v zemích EU a OECD. </w:t>
      </w:r>
    </w:p>
    <w:p w:rsidR="00FE6B18" w:rsidRDefault="00FE6B18" w:rsidP="00281013">
      <w:pPr>
        <w:ind w:left="284" w:hanging="284"/>
        <w:jc w:val="both"/>
      </w:pPr>
      <w:r w:rsidRPr="00EA6BCA">
        <w:rPr>
          <w:b/>
          <w:i/>
        </w:rPr>
        <w:t>iii</w:t>
      </w:r>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r w:rsidRPr="00EA6BCA">
        <w:rPr>
          <w:b/>
          <w:i/>
        </w:rPr>
        <w:t>iv.</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r w:rsidRPr="00EA6BCA">
        <w:rPr>
          <w:b/>
          <w:i/>
        </w:rPr>
        <w:t>vi.</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r w:rsidRPr="00EA6BCA">
        <w:rPr>
          <w:b/>
          <w:i/>
        </w:rPr>
        <w:t>vii</w:t>
      </w:r>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r w:rsidRPr="001C4BE4">
        <w:rPr>
          <w:b/>
          <w:i/>
        </w:rPr>
        <w:t>viii</w:t>
      </w:r>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r w:rsidRPr="004565C6">
        <w:rPr>
          <w:b/>
          <w:i/>
        </w:rPr>
        <w:t>ix.</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r w:rsidRPr="0081161D">
        <w:rPr>
          <w:b/>
          <w:i/>
        </w:rPr>
        <w:t>xi.</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r w:rsidRPr="0081161D">
        <w:rPr>
          <w:b/>
          <w:i/>
        </w:rPr>
        <w:t>xii.)</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Pr="003F6D94"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93436B"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Default="0093436B" w:rsidP="00281013">
      <w:pPr>
        <w:spacing w:after="240"/>
        <w:ind w:firstLine="425"/>
        <w:jc w:val="both"/>
        <w:rPr>
          <w:rFonts w:cs="Arial"/>
          <w:szCs w:val="20"/>
        </w:rPr>
      </w:pPr>
    </w:p>
    <w:p w:rsidR="002B1217" w:rsidRPr="003F6D94" w:rsidRDefault="002B1217" w:rsidP="00281013">
      <w:pPr>
        <w:spacing w:after="240"/>
        <w:ind w:firstLine="425"/>
        <w:jc w:val="both"/>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se rozumí výdaje (náklady), které</w:t>
      </w:r>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poplatník vynaložil při realizaci projektu výzkumu a vývoje na</w:t>
      </w:r>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výdaje (náklady) na služby, s výjimkou výdajů (nákladů) na</w:t>
      </w:r>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Pr="003F6D94"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lastRenderedPageBreak/>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3F6D9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Default="0093436B" w:rsidP="00281013">
      <w:pPr>
        <w:jc w:val="both"/>
        <w:rPr>
          <w:rFonts w:cs="Arial"/>
          <w:b/>
          <w:color w:val="009BB4"/>
          <w:sz w:val="28"/>
          <w:szCs w:val="28"/>
        </w:rPr>
      </w:pPr>
    </w:p>
    <w:p w:rsidR="0093436B" w:rsidRDefault="0093436B" w:rsidP="00281013">
      <w:pPr>
        <w:jc w:val="both"/>
        <w:rPr>
          <w:rFonts w:cs="Arial"/>
          <w:b/>
          <w:color w:val="009BB4"/>
          <w:sz w:val="28"/>
          <w:szCs w:val="28"/>
        </w:rPr>
      </w:pPr>
    </w:p>
    <w:p w:rsidR="0093436B" w:rsidRPr="003F6D94" w:rsidRDefault="0093436B" w:rsidP="00281013">
      <w:pPr>
        <w:jc w:val="both"/>
        <w:rPr>
          <w:rFonts w:cs="Arial"/>
          <w:b/>
          <w:color w:val="009BB4"/>
          <w:sz w:val="28"/>
          <w:szCs w:val="28"/>
        </w:rPr>
      </w:pPr>
      <w:r w:rsidRPr="003F6D94">
        <w:rPr>
          <w:rFonts w:cs="Arial"/>
          <w:b/>
          <w:color w:val="009BB4"/>
          <w:sz w:val="28"/>
          <w:szCs w:val="28"/>
        </w:rPr>
        <w:lastRenderedPageBreak/>
        <w:t>Plné znění metodického pokynu D-288</w:t>
      </w:r>
      <w:r w:rsidRPr="003F6D94">
        <w:rPr>
          <w:rStyle w:val="Znakapoznpodarou"/>
          <w:rFonts w:cs="Arial"/>
          <w:b/>
          <w:color w:val="009BB4"/>
          <w:sz w:val="28"/>
          <w:szCs w:val="28"/>
        </w:rPr>
        <w:footnoteReference w:id="2"/>
      </w:r>
      <w:r w:rsidRPr="003F6D94">
        <w:rPr>
          <w:rFonts w:cs="Arial"/>
          <w:b/>
          <w:color w:val="009BB4"/>
          <w:sz w:val="28"/>
          <w:szCs w:val="28"/>
        </w:rPr>
        <w:t xml:space="preserve"> MFČR k jednotnému postupu při uplatňování ustanovení 34 odst. 4 a 5 zákona č. 586/1992 Sb., o daních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Projekt výzkumu a vývoje</w:t>
      </w:r>
    </w:p>
    <w:p w:rsidR="0093436B" w:rsidRPr="003F6D94" w:rsidRDefault="00D2543F" w:rsidP="00281013">
      <w:pPr>
        <w:jc w:val="both"/>
        <w:rPr>
          <w:rFonts w:cs="Arial"/>
          <w:szCs w:val="20"/>
        </w:rPr>
      </w:pPr>
      <w:hyperlink r:id="rId8"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9"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0"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3F6D94" w:rsidRDefault="0093436B" w:rsidP="00281013">
      <w:pPr>
        <w:jc w:val="both"/>
        <w:outlineLvl w:val="1"/>
        <w:rPr>
          <w:rFonts w:cs="Arial"/>
          <w:b/>
          <w:bCs/>
          <w:color w:val="009BB4"/>
          <w:sz w:val="24"/>
        </w:rPr>
      </w:pPr>
      <w:r w:rsidRPr="003F6D94">
        <w:rPr>
          <w:rFonts w:cs="Arial"/>
          <w:b/>
          <w:bCs/>
          <w:color w:val="009BB4"/>
          <w:sz w:val="24"/>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1" w:tooltip="Výzkum" w:history="1">
        <w:r w:rsidRPr="003F6D94">
          <w:rPr>
            <w:rFonts w:cs="Arial"/>
            <w:color w:val="009BB4"/>
            <w:szCs w:val="20"/>
            <w:u w:val="single"/>
          </w:rPr>
          <w:t>výzkum</w:t>
        </w:r>
      </w:hyperlink>
      <w:r w:rsidRPr="003F6D94">
        <w:rPr>
          <w:rFonts w:cs="Arial"/>
          <w:szCs w:val="20"/>
        </w:rPr>
        <w:t xml:space="preserve"> a </w:t>
      </w:r>
      <w:hyperlink r:id="rId12"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stanovené cíle projektu (jejich dosažitelnost a vyhodnotitelnost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lastRenderedPageBreak/>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očekávaný  přínos,  t.j.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3"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4"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5"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6" w:tooltip="Projekt výzkumu a vývoje" w:history="1">
        <w:r w:rsidRPr="003F6D94">
          <w:rPr>
            <w:rFonts w:cs="Arial"/>
            <w:color w:val="009BB4"/>
            <w:szCs w:val="20"/>
            <w:u w:val="single"/>
          </w:rPr>
          <w:t>projektu</w:t>
        </w:r>
      </w:hyperlink>
      <w:r w:rsidRPr="003F6D94">
        <w:rPr>
          <w:rFonts w:cs="Arial"/>
          <w:szCs w:val="20"/>
        </w:rPr>
        <w:t xml:space="preserve"> prováděné k tomu oprávněnými institucemi či úřady nebo zajištění jejich právní ochrany podle zvláštních právních předpisů</w:t>
      </w:r>
      <w:r w:rsidRPr="003F6D94">
        <w:rPr>
          <w:rStyle w:val="Znakapoznpodarou"/>
          <w:rFonts w:cs="Arial"/>
          <w:szCs w:val="20"/>
        </w:rPr>
        <w:footnoteReference w:id="3"/>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lastRenderedPageBreak/>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1" w:name="3-1"/>
      <w:bookmarkEnd w:id="1"/>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 xml:space="preserve">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w:t>
      </w:r>
      <w:r w:rsidRPr="003F6D94">
        <w:rPr>
          <w:rFonts w:cs="Arial"/>
          <w:szCs w:val="20"/>
        </w:rPr>
        <w:lastRenderedPageBreak/>
        <w:t>výroba, předvýrobní příprava, distribuce zboží a služeb a příbuzné technické služby v rámci činností inovačního charakteru.</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7"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8"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4"/>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5"/>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6"/>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2" w:name="5-1"/>
      <w:bookmarkEnd w:id="2"/>
      <w:r w:rsidRPr="003F6D94">
        <w:rPr>
          <w:rFonts w:cs="Arial"/>
          <w:szCs w:val="20"/>
        </w:rPr>
        <w:t>Za náklad vynaložený na realizaci projektů nelze pro účely § 34 odst. 4 zákona považovat zůstatkovou cenu vyřazeného majetku.</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19"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7"/>
      </w:r>
      <w:r w:rsidRPr="003F6D94">
        <w:rPr>
          <w:rFonts w:cs="Arial"/>
          <w:szCs w:val="20"/>
        </w:rPr>
        <w:t xml:space="preserve">, při respektování časové a věcné souvislosti a jsou současně daňově uznatelné v daném zdaňovacím období nebo v období, za které se podává </w:t>
      </w:r>
      <w:hyperlink r:id="rId20"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1"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2"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přiznání, jsou považovány i náklady, </w:t>
      </w:r>
      <w:r w:rsidRPr="003F6D94">
        <w:rPr>
          <w:rFonts w:cs="Arial"/>
          <w:szCs w:val="20"/>
        </w:rPr>
        <w:lastRenderedPageBreak/>
        <w:t>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3" w:name="6-1"/>
      <w:bookmarkEnd w:id="3"/>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D2543F" w:rsidP="00281013">
      <w:pPr>
        <w:numPr>
          <w:ilvl w:val="0"/>
          <w:numId w:val="15"/>
        </w:numPr>
        <w:tabs>
          <w:tab w:val="clear" w:pos="720"/>
          <w:tab w:val="num" w:pos="426"/>
        </w:tabs>
        <w:spacing w:after="120"/>
        <w:ind w:left="426" w:hanging="284"/>
        <w:jc w:val="both"/>
        <w:rPr>
          <w:rFonts w:cs="Arial"/>
          <w:szCs w:val="20"/>
        </w:rPr>
      </w:pPr>
      <w:hyperlink r:id="rId23" w:tooltip="Daňový odpočet od zakladu daně na výzkum a vývoj" w:history="1">
        <w:r w:rsidR="0093436B" w:rsidRPr="003F6D94">
          <w:rPr>
            <w:rFonts w:cs="Arial"/>
            <w:color w:val="009BB4"/>
            <w:szCs w:val="20"/>
            <w:u w:val="single"/>
          </w:rPr>
          <w:t>Odpočet od zakladu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majetku, které souvisí s realizaci </w:t>
      </w:r>
      <w:hyperlink r:id="rId24"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5"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současně souvisejících s realizaci projektů výzkumu a vývoje poplatníka, který uplatňuje odpočet od základu daně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6"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lastRenderedPageBreak/>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se k projektu výzkumu a vývoje) nemá tato veřejná podpora (např. dotace od úřadu práce na úhradu mzdových nákladů, uplatněná sleva na dani podle §35a a §35b zákona o daních z příjmů) vliv na </w:t>
      </w:r>
      <w:hyperlink r:id="rId27"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3F6D94" w:rsidRDefault="0093436B" w:rsidP="00281013">
      <w:pPr>
        <w:jc w:val="both"/>
        <w:outlineLvl w:val="1"/>
        <w:rPr>
          <w:rFonts w:cs="Arial"/>
          <w:b/>
          <w:bCs/>
          <w:color w:val="009BB4"/>
          <w:sz w:val="24"/>
        </w:rPr>
      </w:pPr>
      <w:r w:rsidRPr="003F6D94">
        <w:rPr>
          <w:rFonts w:cs="Arial"/>
          <w:b/>
          <w:bCs/>
          <w:color w:val="009BB4"/>
          <w:sz w:val="24"/>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8"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29" w:tooltip="Daňový odpočet na výzkum a vývoj" w:history="1">
        <w:r w:rsidRPr="003F6D94">
          <w:rPr>
            <w:rFonts w:cs="Arial"/>
            <w:color w:val="009BB4"/>
            <w:szCs w:val="20"/>
            <w:u w:val="single"/>
          </w:rPr>
          <w:t>odpočet</w:t>
        </w:r>
      </w:hyperlink>
      <w:r w:rsidRPr="003F6D94">
        <w:rPr>
          <w:rFonts w:cs="Arial"/>
          <w:szCs w:val="20"/>
        </w:rPr>
        <w:t>, t.j. v období,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3F6D94" w:rsidRDefault="0093436B" w:rsidP="00281013">
      <w:pPr>
        <w:jc w:val="both"/>
        <w:outlineLvl w:val="1"/>
        <w:rPr>
          <w:rFonts w:cs="Arial"/>
          <w:b/>
          <w:bCs/>
          <w:color w:val="009BB4"/>
          <w:sz w:val="24"/>
        </w:rPr>
      </w:pPr>
      <w:r w:rsidRPr="003F6D94">
        <w:rPr>
          <w:rFonts w:cs="Arial"/>
          <w:b/>
          <w:bCs/>
          <w:color w:val="009BB4"/>
          <w:sz w:val="24"/>
        </w:rPr>
        <w:t>Dodatečné daňové přiznání</w:t>
      </w:r>
    </w:p>
    <w:p w:rsidR="0093436B" w:rsidRPr="003F6D94" w:rsidRDefault="0093436B" w:rsidP="00281013">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93436B" w:rsidRPr="003F6D94" w:rsidRDefault="0093436B" w:rsidP="00281013">
      <w:pPr>
        <w:jc w:val="both"/>
        <w:outlineLvl w:val="1"/>
        <w:rPr>
          <w:rFonts w:cs="Arial"/>
          <w:b/>
          <w:bCs/>
          <w:color w:val="009BB4"/>
          <w:sz w:val="24"/>
        </w:rPr>
      </w:pPr>
      <w:r w:rsidRPr="003F6D94">
        <w:rPr>
          <w:rFonts w:cs="Arial"/>
          <w:b/>
          <w:bCs/>
          <w:color w:val="009BB4"/>
          <w:sz w:val="24"/>
        </w:rPr>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3F6D94" w:rsidRDefault="0093436B" w:rsidP="00281013">
      <w:pPr>
        <w:jc w:val="both"/>
        <w:outlineLvl w:val="1"/>
        <w:rPr>
          <w:rFonts w:cs="Arial"/>
          <w:b/>
          <w:bCs/>
          <w:color w:val="009BB4"/>
          <w:sz w:val="24"/>
        </w:rPr>
      </w:pPr>
      <w:r w:rsidRPr="003F6D94">
        <w:rPr>
          <w:rFonts w:cs="Arial"/>
          <w:b/>
          <w:bCs/>
          <w:color w:val="009BB4"/>
          <w:sz w:val="24"/>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0"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1"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w:t>
      </w:r>
      <w:r w:rsidRPr="003F6D94">
        <w:rPr>
          <w:rFonts w:cs="Arial"/>
          <w:szCs w:val="20"/>
        </w:rPr>
        <w:lastRenderedPageBreak/>
        <w:t>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Pr="00ED0B8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93436B" w:rsidRDefault="0093436B" w:rsidP="00281013">
      <w:pPr>
        <w:spacing w:line="240" w:lineRule="auto"/>
        <w:jc w:val="both"/>
        <w:rPr>
          <w:rFonts w:eastAsia="MS Gothic"/>
          <w:b/>
          <w:bCs/>
          <w:color w:val="009BB4"/>
          <w:sz w:val="32"/>
          <w:szCs w:val="28"/>
        </w:rPr>
      </w:pPr>
      <w:r>
        <w:br w:type="page"/>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D2543F" w:rsidP="005D4046">
      <w:pPr>
        <w:jc w:val="both"/>
        <w:rPr>
          <w:color w:val="009BB4"/>
          <w:sz w:val="18"/>
          <w:szCs w:val="18"/>
        </w:rPr>
      </w:pPr>
      <w:hyperlink r:id="rId32"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D2543F" w:rsidP="005D4046">
      <w:pPr>
        <w:jc w:val="both"/>
        <w:rPr>
          <w:rStyle w:val="Hypertextovodkaz"/>
          <w:color w:val="009BB4"/>
        </w:rPr>
      </w:pPr>
      <w:hyperlink r:id="rId33"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D2543F" w:rsidP="00603FA0">
      <w:pPr>
        <w:jc w:val="both"/>
        <w:rPr>
          <w:rStyle w:val="Hypertextovodkaz"/>
          <w:color w:val="009BB4"/>
          <w:sz w:val="18"/>
          <w:szCs w:val="18"/>
        </w:rPr>
      </w:pPr>
      <w:hyperlink r:id="rId34"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D2543F" w:rsidP="007D1DB1">
      <w:pPr>
        <w:jc w:val="both"/>
        <w:rPr>
          <w:rStyle w:val="Hypertextovodkaz"/>
          <w:color w:val="009BB4"/>
          <w:sz w:val="18"/>
          <w:szCs w:val="18"/>
        </w:rPr>
      </w:pPr>
      <w:hyperlink r:id="rId35" w:history="1">
        <w:r w:rsidR="007D1DB1" w:rsidRPr="007D1DB1">
          <w:rPr>
            <w:rStyle w:val="Hypertextovodkaz"/>
            <w:color w:val="009BB4"/>
            <w:sz w:val="18"/>
            <w:szCs w:val="18"/>
          </w:rPr>
          <w:t>https://www.czso.cz/csu/czso/specialiste-v-oblasti-vedy-a-techniky-a-jejich-mzdy</w:t>
        </w:r>
      </w:hyperlink>
    </w:p>
    <w:p w:rsidR="005D4046" w:rsidRPr="00645DAB" w:rsidRDefault="005D4046" w:rsidP="005D4046">
      <w:pPr>
        <w:spacing w:before="80"/>
        <w:jc w:val="both"/>
        <w:rPr>
          <w:sz w:val="18"/>
        </w:rPr>
      </w:pPr>
      <w:r w:rsidRPr="00645DAB">
        <w:rPr>
          <w:sz w:val="18"/>
        </w:rPr>
        <w:t>Studenti a absolventi terciárního stupně vzdělávání</w:t>
      </w:r>
    </w:p>
    <w:p w:rsidR="004751DB" w:rsidRPr="004751DB" w:rsidRDefault="00D2543F" w:rsidP="004751DB">
      <w:pPr>
        <w:jc w:val="both"/>
        <w:rPr>
          <w:rStyle w:val="Hypertextovodkaz"/>
          <w:color w:val="009BB4"/>
          <w:sz w:val="18"/>
          <w:szCs w:val="18"/>
        </w:rPr>
      </w:pPr>
      <w:hyperlink r:id="rId36" w:history="1">
        <w:r w:rsidR="004751DB" w:rsidRPr="004751DB">
          <w:rPr>
            <w:rStyle w:val="Hypertextovodkaz"/>
            <w:color w:val="009BB4"/>
            <w:sz w:val="18"/>
            <w:szCs w:val="18"/>
          </w:rPr>
          <w:t>https://www.czso.cz/csu/czso/terciarni-vzdelavani-studenti-a-absolventi-vysokoskolskeho-a-vyssiho-odborneho-vzdelavani-dle-urovne-a-oboru-vzdelani</w:t>
        </w:r>
      </w:hyperlink>
    </w:p>
    <w:p w:rsidR="005D4046" w:rsidRPr="00880087" w:rsidRDefault="005D4046" w:rsidP="005D4046">
      <w:pPr>
        <w:spacing w:before="80"/>
        <w:jc w:val="both"/>
        <w:rPr>
          <w:sz w:val="18"/>
        </w:rPr>
      </w:pPr>
      <w:r w:rsidRPr="00880087">
        <w:rPr>
          <w:sz w:val="18"/>
        </w:rPr>
        <w:t>Inovace</w:t>
      </w:r>
    </w:p>
    <w:p w:rsidR="005D4046" w:rsidRPr="00DA5807" w:rsidRDefault="00D2543F" w:rsidP="005D4046">
      <w:pPr>
        <w:jc w:val="both"/>
        <w:rPr>
          <w:rStyle w:val="Hypertextovodkaz"/>
          <w:color w:val="009BB4"/>
        </w:rPr>
      </w:pPr>
      <w:hyperlink r:id="rId37"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D2543F" w:rsidP="00400D6B">
      <w:pPr>
        <w:jc w:val="both"/>
        <w:rPr>
          <w:rStyle w:val="Hypertextovodkaz"/>
          <w:color w:val="009BB4"/>
          <w:sz w:val="18"/>
          <w:szCs w:val="18"/>
        </w:rPr>
      </w:pPr>
      <w:hyperlink r:id="rId38"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D2543F" w:rsidP="005D4046">
      <w:pPr>
        <w:jc w:val="both"/>
        <w:rPr>
          <w:rStyle w:val="Hypertextovodkaz"/>
          <w:color w:val="009BB4"/>
        </w:rPr>
      </w:pPr>
      <w:hyperlink r:id="rId39"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r w:rsidRPr="00645DAB">
        <w:rPr>
          <w:sz w:val="18"/>
        </w:rPr>
        <w:t>High-tech technologie</w:t>
      </w:r>
    </w:p>
    <w:p w:rsidR="005D4046" w:rsidRPr="00B73346" w:rsidRDefault="00D2543F" w:rsidP="005D4046">
      <w:pPr>
        <w:jc w:val="both"/>
        <w:rPr>
          <w:rStyle w:val="Hypertextovodkaz"/>
          <w:color w:val="009BB4"/>
          <w:szCs w:val="18"/>
        </w:rPr>
      </w:pPr>
      <w:hyperlink r:id="rId40"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1" w:history="1">
        <w:r w:rsidRPr="008E6AAE">
          <w:rPr>
            <w:color w:val="4BACC6" w:themeColor="accent5"/>
          </w:rPr>
          <w:t>objednavky@czso.cz</w:t>
        </w:r>
      </w:hyperlink>
      <w:r w:rsidR="008E6AAE" w:rsidRPr="008E6AAE">
        <w:rPr>
          <w:color w:val="4BACC6" w:themeColor="accent5"/>
        </w:rPr>
        <w:t xml:space="preserve"> </w:t>
      </w:r>
      <w:r w:rsidR="008E6AAE">
        <w:t xml:space="preserve"> </w:t>
      </w:r>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4751DB">
        <w:rPr>
          <w:sz w:val="18"/>
        </w:rPr>
        <w:t>kazatele výzkumu a vývoje – 2016; Kód 211002-17</w:t>
      </w:r>
    </w:p>
    <w:p w:rsidR="005D4046" w:rsidRPr="00BF32EE" w:rsidRDefault="00D2543F" w:rsidP="005D4046">
      <w:pPr>
        <w:jc w:val="both"/>
        <w:rPr>
          <w:rStyle w:val="Hypertextovodkaz"/>
          <w:color w:val="009BB4"/>
          <w:sz w:val="18"/>
          <w:szCs w:val="18"/>
        </w:rPr>
      </w:pPr>
      <w:hyperlink r:id="rId42" w:history="1">
        <w:r w:rsidR="004751DB" w:rsidRPr="004751DB">
          <w:rPr>
            <w:rStyle w:val="Hypertextovodkaz"/>
            <w:color w:val="009BB4"/>
            <w:sz w:val="18"/>
            <w:szCs w:val="18"/>
          </w:rPr>
          <w:t>https://www.czso.cz/csu/czso/ukazatele-vyzkumu-a-vyvoje-2016</w:t>
        </w:r>
      </w:hyperlink>
      <w:r w:rsidR="004751DB" w:rsidRPr="004751DB">
        <w:rPr>
          <w:rStyle w:val="Hypertextovodkaz"/>
          <w:color w:val="009BB4"/>
        </w:rPr>
        <w:t xml:space="preserve"> </w:t>
      </w:r>
      <w:r w:rsidR="00BF32EE" w:rsidRPr="00BF32EE">
        <w:rPr>
          <w:rStyle w:val="Hypertextovodkaz"/>
          <w:color w:val="009BB4"/>
          <w:sz w:val="18"/>
          <w:szCs w:val="18"/>
        </w:rPr>
        <w:t xml:space="preserve"> </w:t>
      </w:r>
    </w:p>
    <w:p w:rsidR="005D4046" w:rsidRPr="00D67D14" w:rsidRDefault="005D4046" w:rsidP="005D4046">
      <w:pPr>
        <w:spacing w:before="80"/>
        <w:jc w:val="both"/>
        <w:rPr>
          <w:sz w:val="18"/>
        </w:rPr>
      </w:pPr>
      <w:r w:rsidRPr="00D67D14">
        <w:rPr>
          <w:sz w:val="18"/>
        </w:rPr>
        <w:t>Přímá veřejná podpora výzkumu a</w:t>
      </w:r>
      <w:r w:rsidR="004751DB">
        <w:rPr>
          <w:sz w:val="18"/>
        </w:rPr>
        <w:t xml:space="preserve"> vývoje v České republice – 2016; Kód: 211001-17</w:t>
      </w:r>
    </w:p>
    <w:p w:rsidR="004751DB" w:rsidRPr="004751DB" w:rsidRDefault="00D2543F" w:rsidP="004751DB">
      <w:pPr>
        <w:jc w:val="both"/>
        <w:rPr>
          <w:rStyle w:val="Hypertextovodkaz"/>
          <w:color w:val="009BB4"/>
          <w:sz w:val="18"/>
          <w:szCs w:val="18"/>
        </w:rPr>
      </w:pPr>
      <w:hyperlink r:id="rId43" w:history="1">
        <w:r w:rsidR="004751DB" w:rsidRPr="004751DB">
          <w:rPr>
            <w:rStyle w:val="Hypertextovodkaz"/>
            <w:color w:val="009BB4"/>
            <w:sz w:val="18"/>
            <w:szCs w:val="18"/>
          </w:rPr>
          <w:t>https://www.czso.cz/csu/czso/prima-verejna-podpora-vyzkumu-a-vyvoje-v-ceske-republice</w:t>
        </w:r>
      </w:hyperlink>
    </w:p>
    <w:p w:rsidR="005D4046" w:rsidRPr="00D67D14" w:rsidRDefault="005D4046" w:rsidP="005D4046">
      <w:pPr>
        <w:spacing w:before="80"/>
        <w:jc w:val="both"/>
        <w:rPr>
          <w:sz w:val="18"/>
        </w:rPr>
      </w:pPr>
      <w:r w:rsidRPr="00D67D14">
        <w:rPr>
          <w:sz w:val="18"/>
        </w:rPr>
        <w:t>Nepřímá veřejná podpora výzkumu a</w:t>
      </w:r>
      <w:r w:rsidR="004751DB">
        <w:rPr>
          <w:sz w:val="18"/>
        </w:rPr>
        <w:t xml:space="preserve"> vývoje v České republice – 2015; Kód: 211003-17</w:t>
      </w:r>
    </w:p>
    <w:p w:rsidR="004751DB" w:rsidRPr="004751DB" w:rsidRDefault="00D2543F" w:rsidP="004751DB">
      <w:pPr>
        <w:jc w:val="both"/>
        <w:rPr>
          <w:rStyle w:val="Hypertextovodkaz"/>
          <w:color w:val="009BB4"/>
          <w:sz w:val="18"/>
          <w:szCs w:val="18"/>
        </w:rPr>
      </w:pPr>
      <w:hyperlink r:id="rId44" w:history="1">
        <w:r w:rsidR="004751DB" w:rsidRPr="004751DB">
          <w:rPr>
            <w:rStyle w:val="Hypertextovodkaz"/>
            <w:color w:val="009BB4"/>
            <w:sz w:val="18"/>
            <w:szCs w:val="18"/>
          </w:rPr>
          <w:t>https://www.czso.cz/csu/czso/neprima-verejna-podpora-vyzkumu-a-vyvoje-v-ceske-republice</w:t>
        </w:r>
      </w:hyperlink>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w:t>
      </w:r>
      <w:r w:rsidR="004751DB">
        <w:rPr>
          <w:sz w:val="18"/>
        </w:rPr>
        <w:t>astnictví - 2016; Kód: 213002-17</w:t>
      </w:r>
    </w:p>
    <w:p w:rsidR="004751DB" w:rsidRPr="004751DB" w:rsidRDefault="00D2543F" w:rsidP="004751DB">
      <w:pPr>
        <w:jc w:val="both"/>
        <w:rPr>
          <w:rStyle w:val="Hypertextovodkaz"/>
          <w:color w:val="009BB4"/>
          <w:sz w:val="18"/>
          <w:szCs w:val="18"/>
        </w:rPr>
      </w:pPr>
      <w:hyperlink r:id="rId45" w:history="1">
        <w:r w:rsidR="004751DB" w:rsidRPr="004751DB">
          <w:rPr>
            <w:rStyle w:val="Hypertextovodkaz"/>
            <w:color w:val="009BB4"/>
            <w:sz w:val="18"/>
            <w:szCs w:val="18"/>
          </w:rPr>
          <w:t>https://www.czso.cz/csu/czso/licence-na-predmety-prumysloveho-vlastnictvi-2016</w:t>
        </w:r>
      </w:hyperlink>
    </w:p>
    <w:p w:rsidR="005D4046" w:rsidRPr="00D67D14" w:rsidRDefault="005D4046" w:rsidP="005D4046">
      <w:pPr>
        <w:spacing w:before="80"/>
        <w:jc w:val="both"/>
        <w:rPr>
          <w:sz w:val="18"/>
        </w:rPr>
      </w:pPr>
      <w:r w:rsidRPr="00D67D14">
        <w:rPr>
          <w:sz w:val="18"/>
        </w:rPr>
        <w:t>Statistická ročenka vědy, technologií a inovací, kód 1005-10</w:t>
      </w:r>
    </w:p>
    <w:p w:rsidR="005D4046" w:rsidRPr="00D67D14" w:rsidRDefault="005D4046" w:rsidP="005D4046">
      <w:pPr>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5D4046" w:rsidRPr="00D67D14" w:rsidRDefault="005D4046"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4751DB">
        <w:rPr>
          <w:sz w:val="18"/>
        </w:rPr>
        <w:t>ubliky 2017 - Kapitola 23</w:t>
      </w:r>
      <w:r w:rsidRPr="00D67D14">
        <w:rPr>
          <w:sz w:val="18"/>
        </w:rPr>
        <w:t xml:space="preserve">. Věda, </w:t>
      </w:r>
      <w:r w:rsidR="004751DB">
        <w:rPr>
          <w:sz w:val="18"/>
        </w:rPr>
        <w:t>výzkum a inovace; Kód: 320198-17</w:t>
      </w:r>
    </w:p>
    <w:p w:rsidR="004751DB" w:rsidRPr="004751DB" w:rsidRDefault="00D2543F" w:rsidP="004751DB">
      <w:pPr>
        <w:jc w:val="both"/>
        <w:rPr>
          <w:rStyle w:val="Hypertextovodkaz"/>
          <w:color w:val="009BB4"/>
          <w:sz w:val="18"/>
          <w:szCs w:val="18"/>
        </w:rPr>
      </w:pPr>
      <w:hyperlink r:id="rId46" w:history="1">
        <w:r w:rsidR="004751DB" w:rsidRPr="004751DB">
          <w:rPr>
            <w:rStyle w:val="Hypertextovodkaz"/>
            <w:color w:val="009BB4"/>
            <w:sz w:val="18"/>
            <w:szCs w:val="18"/>
          </w:rPr>
          <w:t>https://www.czso.cz/csu/czso/22-veda-vyzkum-a-inovace-5ppu4cmlv2</w:t>
        </w:r>
      </w:hyperlink>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D2543F" w:rsidP="005D4046">
      <w:pPr>
        <w:jc w:val="both"/>
        <w:rPr>
          <w:rStyle w:val="Hypertextovodkaz"/>
          <w:color w:val="009BB4"/>
          <w:sz w:val="18"/>
          <w:szCs w:val="18"/>
        </w:rPr>
      </w:pPr>
      <w:hyperlink r:id="rId47" w:anchor="10a" w:history="1">
        <w:r w:rsidR="005D4046" w:rsidRPr="00D67D14">
          <w:rPr>
            <w:rStyle w:val="Hypertextovodkaz"/>
            <w:color w:val="009BB4"/>
            <w:sz w:val="18"/>
            <w:szCs w:val="18"/>
          </w:rPr>
          <w:t>https://www.czso.cz/csu/czso/krajske-rocenky#10a</w:t>
        </w:r>
      </w:hyperlink>
    </w:p>
    <w:p w:rsidR="005D4046" w:rsidRPr="00D67D14" w:rsidRDefault="004751DB" w:rsidP="005D4046">
      <w:pPr>
        <w:spacing w:before="80"/>
        <w:jc w:val="both"/>
        <w:rPr>
          <w:sz w:val="18"/>
        </w:rPr>
      </w:pPr>
      <w:r>
        <w:rPr>
          <w:sz w:val="18"/>
        </w:rPr>
        <w:t>Zaostřeno na ženy a muže 2017</w:t>
      </w:r>
      <w:r w:rsidR="005D4046" w:rsidRPr="00D67D14">
        <w:rPr>
          <w:sz w:val="18"/>
        </w:rPr>
        <w:t xml:space="preserve"> - Kapitola 8. Vě</w:t>
      </w:r>
      <w:r>
        <w:rPr>
          <w:sz w:val="18"/>
        </w:rPr>
        <w:t>da a technologie; Kód: 300002-17</w:t>
      </w:r>
    </w:p>
    <w:p w:rsidR="00C92782" w:rsidRPr="004751DB" w:rsidRDefault="00D2543F" w:rsidP="005D4046">
      <w:pPr>
        <w:jc w:val="both"/>
        <w:rPr>
          <w:rStyle w:val="Hypertextovodkaz"/>
          <w:color w:val="009BB4"/>
          <w:sz w:val="18"/>
          <w:szCs w:val="18"/>
        </w:rPr>
      </w:pPr>
      <w:hyperlink r:id="rId48" w:history="1">
        <w:r w:rsidR="004751DB" w:rsidRPr="004751DB">
          <w:rPr>
            <w:rStyle w:val="Hypertextovodkaz"/>
            <w:color w:val="009BB4"/>
            <w:sz w:val="18"/>
            <w:szCs w:val="18"/>
          </w:rPr>
          <w:t>https://www.czso.cz/csu/czso/8-veda-a-technologie-noixgj35he</w:t>
        </w:r>
      </w:hyperlink>
    </w:p>
    <w:p w:rsidR="004751DB" w:rsidRPr="00D67D14" w:rsidRDefault="004751DB"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hyperlink r:id="rId49" w:history="1">
        <w:r w:rsidRPr="00D67D14">
          <w:rPr>
            <w:rStyle w:val="Hypertextovodkaz"/>
            <w:color w:val="009BB4"/>
            <w:sz w:val="18"/>
          </w:rPr>
          <w:t>http://www.statistikaamy.cz/category/analyzy/veda-a-vyzkum/</w:t>
        </w:r>
      </w:hyperlink>
    </w:p>
    <w:p w:rsidR="0032407D" w:rsidRDefault="0032407D" w:rsidP="000A6648">
      <w:pPr>
        <w:spacing w:before="80"/>
        <w:jc w:val="both"/>
        <w:rPr>
          <w:rStyle w:val="Hypertextovodkaz"/>
          <w:color w:val="009BB4"/>
          <w:sz w:val="18"/>
        </w:rPr>
      </w:pPr>
    </w:p>
    <w:p w:rsidR="0032407D" w:rsidRDefault="00FE6B18" w:rsidP="002B1217">
      <w:pPr>
        <w:pStyle w:val="Nadpis1"/>
        <w:spacing w:after="120"/>
      </w:pPr>
      <w:r>
        <w:lastRenderedPageBreak/>
        <w:t>P4</w:t>
      </w:r>
      <w:r w:rsidR="0032407D">
        <w:t>. Přehled daňové podpory VaV v zemích OECD</w:t>
      </w:r>
      <w:r w:rsidR="00EA6499">
        <w:t xml:space="preserve">, EU a </w:t>
      </w:r>
      <w:r w:rsidR="00A64712">
        <w:t>dalších</w:t>
      </w:r>
      <w:r w:rsidR="00EA6499">
        <w:t xml:space="preserve"> zemích, 2017</w:t>
      </w:r>
    </w:p>
    <w:tbl>
      <w:tblPr>
        <w:tblW w:w="9520" w:type="dxa"/>
        <w:tblCellMar>
          <w:left w:w="70" w:type="dxa"/>
          <w:right w:w="70" w:type="dxa"/>
        </w:tblCellMar>
        <w:tblLook w:val="04A0" w:firstRow="1" w:lastRow="0" w:firstColumn="1" w:lastColumn="0" w:noHBand="0" w:noVBand="1"/>
      </w:tblPr>
      <w:tblGrid>
        <w:gridCol w:w="2380"/>
        <w:gridCol w:w="2380"/>
        <w:gridCol w:w="2380"/>
        <w:gridCol w:w="2380"/>
      </w:tblGrid>
      <w:tr w:rsidR="002B1217" w:rsidRPr="002B1217" w:rsidTr="002B1217">
        <w:trPr>
          <w:trHeight w:val="255"/>
        </w:trPr>
        <w:tc>
          <w:tcPr>
            <w:tcW w:w="9520" w:type="dxa"/>
            <w:gridSpan w:val="4"/>
            <w:tcBorders>
              <w:top w:val="nil"/>
              <w:left w:val="nil"/>
              <w:bottom w:val="nil"/>
              <w:right w:val="nil"/>
            </w:tcBorders>
            <w:shd w:val="clear" w:color="000000" w:fill="305496"/>
            <w:noWrap/>
            <w:vAlign w:val="bottom"/>
            <w:hideMark/>
          </w:tcPr>
          <w:p w:rsidR="002B1217" w:rsidRPr="002B1217" w:rsidRDefault="002B1217" w:rsidP="002B1217">
            <w:pPr>
              <w:spacing w:line="240" w:lineRule="auto"/>
              <w:jc w:val="center"/>
              <w:rPr>
                <w:rFonts w:ascii="Calibri" w:hAnsi="Calibri"/>
                <w:b/>
                <w:bCs/>
                <w:color w:val="FFFFFF"/>
                <w:sz w:val="16"/>
                <w:szCs w:val="16"/>
                <w:lang w:val="en-US"/>
              </w:rPr>
            </w:pPr>
            <w:r w:rsidRPr="002B1217">
              <w:rPr>
                <w:rFonts w:ascii="Calibri" w:hAnsi="Calibri"/>
                <w:b/>
                <w:bCs/>
                <w:color w:val="FFFFFF"/>
                <w:sz w:val="16"/>
                <w:szCs w:val="16"/>
                <w:lang w:val="en-US"/>
              </w:rPr>
              <w:t xml:space="preserve">Expenditure-based R&amp;D tax incentives </w:t>
            </w:r>
          </w:p>
        </w:tc>
      </w:tr>
      <w:tr w:rsidR="002B1217" w:rsidRPr="002B1217" w:rsidTr="002B1217">
        <w:trPr>
          <w:trHeight w:val="255"/>
        </w:trPr>
        <w:tc>
          <w:tcPr>
            <w:tcW w:w="7140" w:type="dxa"/>
            <w:gridSpan w:val="3"/>
            <w:tcBorders>
              <w:top w:val="nil"/>
              <w:left w:val="nil"/>
              <w:bottom w:val="nil"/>
              <w:right w:val="nil"/>
            </w:tcBorders>
            <w:shd w:val="clear" w:color="000000" w:fill="8EA9DB"/>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xml:space="preserve">Tax relief redeemable against CIT </w:t>
            </w:r>
          </w:p>
        </w:tc>
        <w:tc>
          <w:tcPr>
            <w:tcW w:w="2380" w:type="dxa"/>
            <w:vMerge w:val="restart"/>
            <w:tcBorders>
              <w:top w:val="nil"/>
              <w:left w:val="nil"/>
              <w:bottom w:val="nil"/>
              <w:right w:val="nil"/>
            </w:tcBorders>
            <w:shd w:val="clear" w:color="000000" w:fill="8EA9DB"/>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Tax relief redeemable against PWHT or SSCs</w:t>
            </w:r>
          </w:p>
        </w:tc>
      </w:tr>
      <w:tr w:rsidR="002B1217" w:rsidRPr="002B1217" w:rsidTr="002B1217">
        <w:trPr>
          <w:trHeight w:val="255"/>
        </w:trPr>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tax credit</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tax allowance</w:t>
            </w: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255"/>
        </w:trPr>
        <w:tc>
          <w:tcPr>
            <w:tcW w:w="2380" w:type="dxa"/>
            <w:tcBorders>
              <w:top w:val="nil"/>
              <w:left w:val="nil"/>
              <w:bottom w:val="nil"/>
              <w:right w:val="nil"/>
            </w:tcBorders>
            <w:shd w:val="clear" w:color="000000" w:fill="D9E1F2"/>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Volume</w:t>
            </w:r>
          </w:p>
        </w:tc>
        <w:tc>
          <w:tcPr>
            <w:tcW w:w="2380" w:type="dxa"/>
            <w:tcBorders>
              <w:top w:val="nil"/>
              <w:left w:val="nil"/>
              <w:bottom w:val="nil"/>
              <w:right w:val="nil"/>
            </w:tcBorders>
            <w:shd w:val="clear" w:color="000000" w:fill="D9E1F2"/>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Incremental/hybrid</w:t>
            </w:r>
          </w:p>
        </w:tc>
        <w:tc>
          <w:tcPr>
            <w:tcW w:w="2380" w:type="dxa"/>
            <w:tcBorders>
              <w:top w:val="nil"/>
              <w:left w:val="nil"/>
              <w:bottom w:val="nil"/>
              <w:right w:val="nil"/>
            </w:tcBorders>
            <w:shd w:val="clear" w:color="000000" w:fill="B4C6E7"/>
            <w:noWrap/>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w:t>
            </w: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960"/>
        </w:trPr>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Australia, Canada, Chile, United Kingdom (large firms)</w:t>
            </w:r>
            <w:r w:rsidRPr="002B1217">
              <w:rPr>
                <w:rFonts w:ascii="Calibri" w:hAnsi="Calibri"/>
                <w:color w:val="000000"/>
                <w:sz w:val="16"/>
                <w:szCs w:val="16"/>
                <w:lang w:val="en-US"/>
              </w:rPr>
              <w:br/>
              <w:t>Non-taxable: Austria, Belgium (incompatible with allowance), Denmark (deficit only), France, Hungary, Iceland, Ireland, Japan (volume and special R&amp;D), Korea (investment), New Zealand (deficit only), Norway</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United States (credit on fixed, indexed base and incremental for simplified credit)</w:t>
            </w:r>
            <w:r w:rsidRPr="002B1217">
              <w:rPr>
                <w:rFonts w:ascii="Calibri" w:hAnsi="Calibri"/>
                <w:color w:val="000000"/>
                <w:sz w:val="16"/>
                <w:szCs w:val="16"/>
                <w:lang w:val="en-US"/>
              </w:rPr>
              <w:br/>
              <w:t>Non-taxable: Italy, Japan (high R&amp;D intensity), Korea, Mexico, Portugal, Spain</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Non-taxable: Belgium, Brazil, China, Czech Republic (hybrid), Greece, Hungary, Latvia, Lithuania, Poland (R&amp;D tax allowance, deduction for R&amp;D Centres), Romania, Russian Federation, Slovak Republic (hybrid and volume-based), Slovenia, South Africa, Turkey (hybrid), United Kingdom (SMEs)</w:t>
            </w:r>
          </w:p>
        </w:tc>
        <w:tc>
          <w:tcPr>
            <w:tcW w:w="2380" w:type="dxa"/>
            <w:vMerge w:val="restart"/>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Taxable: Belgium, France, Hungary, Netherlands , Russian Federation, Spain, Sweden, Turkey</w:t>
            </w:r>
          </w:p>
        </w:tc>
      </w:tr>
      <w:tr w:rsidR="002B1217" w:rsidRPr="002B1217" w:rsidTr="002B1217">
        <w:trPr>
          <w:trHeight w:val="1124"/>
        </w:trPr>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2B1217" w:rsidRPr="002B1217" w:rsidRDefault="002B1217" w:rsidP="002B1217">
            <w:pPr>
              <w:spacing w:line="240" w:lineRule="auto"/>
              <w:rPr>
                <w:rFonts w:ascii="Calibri" w:hAnsi="Calibri"/>
                <w:color w:val="000000"/>
                <w:sz w:val="16"/>
                <w:szCs w:val="16"/>
                <w:lang w:val="en-US"/>
              </w:rPr>
            </w:pPr>
          </w:p>
        </w:tc>
      </w:tr>
      <w:tr w:rsidR="002B1217" w:rsidRPr="002B1217" w:rsidTr="002B1217">
        <w:trPr>
          <w:trHeight w:val="255"/>
        </w:trPr>
        <w:tc>
          <w:tcPr>
            <w:tcW w:w="9520" w:type="dxa"/>
            <w:gridSpan w:val="4"/>
            <w:tcBorders>
              <w:top w:val="nil"/>
              <w:left w:val="nil"/>
              <w:bottom w:val="nil"/>
              <w:right w:val="nil"/>
            </w:tcBorders>
            <w:shd w:val="clear" w:color="000000" w:fill="BDD7EE"/>
            <w:noWrap/>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Treatment of unused claims</w:t>
            </w:r>
          </w:p>
        </w:tc>
      </w:tr>
      <w:tr w:rsidR="002B1217" w:rsidRPr="002B1217" w:rsidTr="002B1217">
        <w:trPr>
          <w:trHeight w:val="255"/>
        </w:trPr>
        <w:tc>
          <w:tcPr>
            <w:tcW w:w="9520" w:type="dxa"/>
            <w:gridSpan w:val="4"/>
            <w:tcBorders>
              <w:top w:val="nil"/>
              <w:left w:val="nil"/>
              <w:bottom w:val="nil"/>
              <w:right w:val="nil"/>
            </w:tcBorders>
            <w:shd w:val="clear" w:color="000000" w:fill="F2F2F2"/>
            <w:noWrap/>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Refund option</w:t>
            </w:r>
          </w:p>
        </w:tc>
      </w:tr>
      <w:tr w:rsidR="002B1217" w:rsidRPr="002B1217" w:rsidTr="002B1217">
        <w:trPr>
          <w:trHeight w:val="1108"/>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(SMEs), Austria, Belgium (after five years), Canada (SMEs), Denmark, France, Iceland, Ireland, New Zealand, Norway, United Kingdom (large companies)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Italy, Spain (reduced, payable credit optional), United States (payroll tax offset for certain start-ups)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United Kingdom (SMEs)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Automatic refund through wage system (limited to PWHT and SSC liability)</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Carry-forward option</w:t>
            </w:r>
          </w:p>
        </w:tc>
      </w:tr>
      <w:tr w:rsidR="002B1217" w:rsidRPr="002B1217" w:rsidTr="00EA6499">
        <w:trPr>
          <w:trHeight w:val="1268"/>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Belgium, Canada, Chile, France, Hungary, Ireland, United Kingdom</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Korea, Portugal, Spain (unreduced, non-payable credit), United States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China, Czech Republic, Greece, Hungary, Latvia, Lithuania, Poland, Romania, Russian Federation, Slovak Republic, Slovenia, South Africa, Turkey, United Kingdom</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Not applicable</w:t>
            </w:r>
          </w:p>
        </w:tc>
      </w:tr>
      <w:tr w:rsidR="002B1217" w:rsidRPr="002B1217" w:rsidTr="002B1217">
        <w:trPr>
          <w:trHeight w:val="255"/>
        </w:trPr>
        <w:tc>
          <w:tcPr>
            <w:tcW w:w="9520" w:type="dxa"/>
            <w:gridSpan w:val="4"/>
            <w:tcBorders>
              <w:top w:val="nil"/>
              <w:left w:val="nil"/>
              <w:bottom w:val="nil"/>
              <w:right w:val="nil"/>
            </w:tcBorders>
            <w:shd w:val="clear" w:color="000000" w:fill="BDD7EE"/>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Preferential tax incentive provisions or more favourable terms</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SMEs</w:t>
            </w:r>
          </w:p>
        </w:tc>
      </w:tr>
      <w:tr w:rsidR="002B1217" w:rsidRPr="002B1217" w:rsidTr="00EA6499">
        <w:trPr>
          <w:trHeight w:val="899"/>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Australia, Canada, France, Japan (volume), Norway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Korea, Portugal (start-ups), United States (qualified small business, certain start-ups)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China, Poland (R&amp;D tax allowance), United Kingdom (SMEs)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(young innovative firms), France (JEI/JEU), Netherlands (start-ups), Spain (innovative SMEs)</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Collaboration</w:t>
            </w:r>
          </w:p>
        </w:tc>
      </w:tr>
      <w:tr w:rsidR="002B1217" w:rsidRPr="002B1217" w:rsidTr="002B1217">
        <w:trPr>
          <w:trHeight w:val="255"/>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France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Iceland, Japan</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Hungary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w:t>
            </w:r>
          </w:p>
        </w:tc>
      </w:tr>
      <w:tr w:rsidR="002B1217" w:rsidRPr="002B1217" w:rsidTr="002B1217">
        <w:trPr>
          <w:trHeight w:val="255"/>
        </w:trPr>
        <w:tc>
          <w:tcPr>
            <w:tcW w:w="9520" w:type="dxa"/>
            <w:gridSpan w:val="4"/>
            <w:tcBorders>
              <w:top w:val="nil"/>
              <w:left w:val="nil"/>
              <w:bottom w:val="nil"/>
              <w:right w:val="nil"/>
            </w:tcBorders>
            <w:shd w:val="clear" w:color="000000" w:fill="BDD7EE"/>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Limitation of R&amp;D tax relief</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Threshold-dependent credit rates</w:t>
            </w:r>
          </w:p>
        </w:tc>
      </w:tr>
      <w:tr w:rsidR="002B1217" w:rsidRPr="002B1217" w:rsidTr="00EA6499">
        <w:trPr>
          <w:trHeight w:val="231"/>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Canada (CCPCs), France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Times New Roman" w:hAnsi="Times New Roman"/>
                <w:szCs w:val="20"/>
                <w:lang w:val="en-US"/>
              </w:rPr>
            </w:pP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Netherlands, Russian Federation</w:t>
            </w:r>
          </w:p>
        </w:tc>
      </w:tr>
      <w:tr w:rsidR="002B1217" w:rsidRPr="002B1217" w:rsidTr="002B1217">
        <w:trPr>
          <w:trHeight w:val="255"/>
        </w:trPr>
        <w:tc>
          <w:tcPr>
            <w:tcW w:w="9520" w:type="dxa"/>
            <w:gridSpan w:val="4"/>
            <w:tcBorders>
              <w:top w:val="nil"/>
              <w:left w:val="nil"/>
              <w:bottom w:val="nil"/>
              <w:right w:val="nil"/>
            </w:tcBorders>
            <w:shd w:val="clear" w:color="000000" w:fill="F2F2F2"/>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Ceilings on amount of eligible R&amp;D expenditure or value of R&amp;D tax relief</w:t>
            </w:r>
          </w:p>
        </w:tc>
      </w:tr>
      <w:tr w:rsidR="002B1217" w:rsidRPr="002B1217" w:rsidTr="002B1217">
        <w:trPr>
          <w:trHeight w:val="1877"/>
        </w:trPr>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expenditure: Australia, Austria (subcontracted R&amp;D), Chile, Denmark, France, (subcontracted R&amp;D), Iceland, Ireland (subcontracted R&amp;D), Norway</w:t>
            </w:r>
            <w:r w:rsidRPr="002B1217">
              <w:rPr>
                <w:rFonts w:ascii="Calibri" w:hAnsi="Calibri"/>
                <w:color w:val="000000"/>
                <w:sz w:val="16"/>
                <w:szCs w:val="16"/>
                <w:lang w:val="en-US"/>
              </w:rPr>
              <w:br/>
              <w:t>R&amp;D tax relief: Hungary, Japan (volume and special R&amp;D), New Zealand (deficit only)</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R&amp;D expenditure: Portugal (incremental tax offset)</w:t>
            </w:r>
            <w:r w:rsidRPr="002B1217">
              <w:rPr>
                <w:rFonts w:ascii="Calibri" w:hAnsi="Calibri"/>
                <w:color w:val="000000"/>
                <w:sz w:val="16"/>
                <w:szCs w:val="16"/>
                <w:lang w:val="en-US"/>
              </w:rPr>
              <w:br/>
              <w:t>R&amp;D tax relief: Italy, Japan (incremental and high R&amp;D intensity), Korea (large firms), Spain, United States</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Subcontracted R&amp;D expenditure: China, Turkey</w:t>
            </w:r>
            <w:r w:rsidRPr="002B1217">
              <w:rPr>
                <w:rFonts w:ascii="Calibri" w:hAnsi="Calibri"/>
                <w:color w:val="000000"/>
                <w:sz w:val="16"/>
                <w:szCs w:val="16"/>
                <w:lang w:val="en-US"/>
              </w:rPr>
              <w:br/>
              <w:t>R&amp;D tax relief: Hungary (R&amp;D collaboration), United Kingdom (SMEs)</w:t>
            </w:r>
            <w:r w:rsidRPr="002B1217">
              <w:rPr>
                <w:rFonts w:ascii="Calibri" w:hAnsi="Calibri"/>
                <w:color w:val="000000"/>
                <w:sz w:val="16"/>
                <w:szCs w:val="16"/>
                <w:lang w:val="en-US"/>
              </w:rPr>
              <w:br/>
              <w:t>R&amp;D expenditure and tax relief: Slovak Republic (volume-based tax allowance)</w:t>
            </w:r>
          </w:p>
        </w:tc>
        <w:tc>
          <w:tcPr>
            <w:tcW w:w="2380" w:type="dxa"/>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France, Netherlands, Hungary, Russian Federation, Spain, Sweden, Turkey</w:t>
            </w:r>
          </w:p>
        </w:tc>
      </w:tr>
      <w:tr w:rsidR="002B1217" w:rsidRPr="002B1217" w:rsidTr="002B1217">
        <w:trPr>
          <w:trHeight w:val="255"/>
        </w:trPr>
        <w:tc>
          <w:tcPr>
            <w:tcW w:w="9520" w:type="dxa"/>
            <w:gridSpan w:val="4"/>
            <w:tcBorders>
              <w:top w:val="nil"/>
              <w:left w:val="nil"/>
              <w:bottom w:val="nil"/>
              <w:right w:val="nil"/>
            </w:tcBorders>
            <w:shd w:val="clear" w:color="000000" w:fill="8EA9DB"/>
            <w:hideMark/>
          </w:tcPr>
          <w:p w:rsidR="002B1217" w:rsidRPr="002B1217" w:rsidRDefault="002B1217" w:rsidP="002B1217">
            <w:pPr>
              <w:spacing w:line="240" w:lineRule="auto"/>
              <w:jc w:val="center"/>
              <w:rPr>
                <w:rFonts w:ascii="Calibri" w:hAnsi="Calibri"/>
                <w:color w:val="000000"/>
                <w:sz w:val="16"/>
                <w:szCs w:val="16"/>
                <w:lang w:val="en-US"/>
              </w:rPr>
            </w:pPr>
            <w:r w:rsidRPr="002B1217">
              <w:rPr>
                <w:rFonts w:ascii="Calibri" w:hAnsi="Calibri"/>
                <w:color w:val="000000"/>
                <w:sz w:val="16"/>
                <w:szCs w:val="16"/>
                <w:lang w:val="en-US"/>
              </w:rPr>
              <w:t>Accelerated depreciation provisions for R&amp;D capital</w:t>
            </w:r>
          </w:p>
        </w:tc>
      </w:tr>
      <w:tr w:rsidR="002B1217" w:rsidRPr="002B1217" w:rsidTr="00EA6499">
        <w:trPr>
          <w:trHeight w:val="479"/>
        </w:trPr>
        <w:tc>
          <w:tcPr>
            <w:tcW w:w="9520" w:type="dxa"/>
            <w:gridSpan w:val="4"/>
            <w:tcBorders>
              <w:top w:val="nil"/>
              <w:left w:val="nil"/>
              <w:bottom w:val="nil"/>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Belgium, Brazil, Chile, China, Denmark, France, Ireland, Israel (non R&amp;D specific), Lithuania, Poland, Romania, Russian Federation, Spain, United Kingdom</w:t>
            </w:r>
          </w:p>
        </w:tc>
      </w:tr>
      <w:tr w:rsidR="002B1217" w:rsidRPr="002B1217" w:rsidTr="002B1217">
        <w:trPr>
          <w:trHeight w:val="255"/>
        </w:trPr>
        <w:tc>
          <w:tcPr>
            <w:tcW w:w="9520" w:type="dxa"/>
            <w:gridSpan w:val="4"/>
            <w:tcBorders>
              <w:top w:val="nil"/>
              <w:left w:val="nil"/>
              <w:bottom w:val="nil"/>
              <w:right w:val="nil"/>
            </w:tcBorders>
            <w:shd w:val="clear" w:color="000000" w:fill="305496"/>
            <w:hideMark/>
          </w:tcPr>
          <w:p w:rsidR="002B1217" w:rsidRPr="002B1217" w:rsidRDefault="002B1217" w:rsidP="002B1217">
            <w:pPr>
              <w:spacing w:line="240" w:lineRule="auto"/>
              <w:jc w:val="center"/>
              <w:rPr>
                <w:rFonts w:ascii="Calibri" w:hAnsi="Calibri"/>
                <w:color w:val="FFFFFF"/>
                <w:sz w:val="16"/>
                <w:szCs w:val="16"/>
                <w:lang w:val="en-US"/>
              </w:rPr>
            </w:pPr>
            <w:r w:rsidRPr="002B1217">
              <w:rPr>
                <w:rFonts w:ascii="Calibri" w:hAnsi="Calibri"/>
                <w:color w:val="FFFFFF"/>
                <w:sz w:val="16"/>
                <w:szCs w:val="16"/>
                <w:lang w:val="en-US"/>
              </w:rPr>
              <w:t>No expenditure-based R&amp;D tax incentives</w:t>
            </w:r>
          </w:p>
        </w:tc>
      </w:tr>
      <w:tr w:rsidR="002B1217" w:rsidRPr="002B1217" w:rsidTr="002B1217">
        <w:trPr>
          <w:trHeight w:val="255"/>
        </w:trPr>
        <w:tc>
          <w:tcPr>
            <w:tcW w:w="9520" w:type="dxa"/>
            <w:gridSpan w:val="4"/>
            <w:tcBorders>
              <w:top w:val="nil"/>
              <w:left w:val="nil"/>
              <w:bottom w:val="single" w:sz="4" w:space="0" w:color="203764"/>
              <w:right w:val="nil"/>
            </w:tcBorders>
            <w:shd w:val="clear" w:color="auto" w:fill="auto"/>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Bulgaria, Croatia, Cyprus, Estonia, Finland, Germany, Luxembourg, Switzerland</w:t>
            </w:r>
          </w:p>
        </w:tc>
      </w:tr>
      <w:tr w:rsidR="002B1217" w:rsidRPr="002B1217" w:rsidTr="002B1217">
        <w:trPr>
          <w:trHeight w:val="255"/>
        </w:trPr>
        <w:tc>
          <w:tcPr>
            <w:tcW w:w="4760" w:type="dxa"/>
            <w:gridSpan w:val="2"/>
            <w:tcBorders>
              <w:top w:val="nil"/>
              <w:left w:val="nil"/>
              <w:bottom w:val="nil"/>
              <w:right w:val="nil"/>
            </w:tcBorders>
            <w:shd w:val="clear" w:color="auto" w:fill="auto"/>
            <w:noWrap/>
            <w:vAlign w:val="bottom"/>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Notes: No details available for Malta.</w:t>
            </w: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Calibri" w:hAnsi="Calibri"/>
                <w:color w:val="000000"/>
                <w:sz w:val="16"/>
                <w:szCs w:val="16"/>
                <w:lang w:val="en-US"/>
              </w:rPr>
            </w:pP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Times New Roman" w:hAnsi="Times New Roman"/>
                <w:szCs w:val="20"/>
                <w:lang w:val="en-US"/>
              </w:rPr>
            </w:pPr>
          </w:p>
        </w:tc>
      </w:tr>
      <w:tr w:rsidR="002B1217" w:rsidRPr="002B1217" w:rsidTr="002B1217">
        <w:trPr>
          <w:trHeight w:val="255"/>
        </w:trPr>
        <w:tc>
          <w:tcPr>
            <w:tcW w:w="7140" w:type="dxa"/>
            <w:gridSpan w:val="3"/>
            <w:tcBorders>
              <w:top w:val="nil"/>
              <w:left w:val="nil"/>
              <w:bottom w:val="nil"/>
              <w:right w:val="nil"/>
            </w:tcBorders>
            <w:shd w:val="clear" w:color="auto" w:fill="auto"/>
            <w:noWrap/>
            <w:vAlign w:val="bottom"/>
            <w:hideMark/>
          </w:tcPr>
          <w:p w:rsidR="002B1217" w:rsidRPr="002B1217" w:rsidRDefault="002B1217" w:rsidP="002B1217">
            <w:pPr>
              <w:spacing w:line="240" w:lineRule="auto"/>
              <w:rPr>
                <w:rFonts w:ascii="Calibri" w:hAnsi="Calibri"/>
                <w:color w:val="000000"/>
                <w:sz w:val="16"/>
                <w:szCs w:val="16"/>
                <w:lang w:val="en-US"/>
              </w:rPr>
            </w:pPr>
            <w:r w:rsidRPr="002B1217">
              <w:rPr>
                <w:rFonts w:ascii="Calibri" w:hAnsi="Calibri"/>
                <w:color w:val="000000"/>
                <w:sz w:val="16"/>
                <w:szCs w:val="16"/>
                <w:lang w:val="en-US"/>
              </w:rPr>
              <w:t xml:space="preserve">Source: OECD, R&amp;D Tax Incentive Indicators, </w:t>
            </w:r>
            <w:hyperlink r:id="rId50" w:history="1">
              <w:r w:rsidR="005422AE" w:rsidRPr="001D7A2E">
                <w:rPr>
                  <w:rStyle w:val="Hypertextovodkaz"/>
                  <w:rFonts w:ascii="Calibri" w:hAnsi="Calibri"/>
                  <w:sz w:val="16"/>
                  <w:szCs w:val="16"/>
                  <w:lang w:val="en-US"/>
                </w:rPr>
                <w:t>http://oe.cd/rdtax</w:t>
              </w:r>
            </w:hyperlink>
            <w:r w:rsidR="005422AE">
              <w:rPr>
                <w:rFonts w:ascii="Calibri" w:hAnsi="Calibri"/>
                <w:color w:val="000000"/>
                <w:sz w:val="16"/>
                <w:szCs w:val="16"/>
                <w:lang w:val="en-US"/>
              </w:rPr>
              <w:t xml:space="preserve"> </w:t>
            </w:r>
            <w:r w:rsidRPr="002B1217">
              <w:rPr>
                <w:rFonts w:ascii="Calibri" w:hAnsi="Calibri"/>
                <w:color w:val="000000"/>
                <w:sz w:val="16"/>
                <w:szCs w:val="16"/>
                <w:lang w:val="en-US"/>
              </w:rPr>
              <w:t>, November 2017.</w:t>
            </w:r>
          </w:p>
        </w:tc>
        <w:tc>
          <w:tcPr>
            <w:tcW w:w="2380" w:type="dxa"/>
            <w:tcBorders>
              <w:top w:val="nil"/>
              <w:left w:val="nil"/>
              <w:bottom w:val="nil"/>
              <w:right w:val="nil"/>
            </w:tcBorders>
            <w:shd w:val="clear" w:color="auto" w:fill="auto"/>
            <w:vAlign w:val="bottom"/>
            <w:hideMark/>
          </w:tcPr>
          <w:p w:rsidR="002B1217" w:rsidRPr="002B1217" w:rsidRDefault="002B1217" w:rsidP="002B1217">
            <w:pPr>
              <w:spacing w:line="240" w:lineRule="auto"/>
              <w:rPr>
                <w:rFonts w:ascii="Calibri" w:hAnsi="Calibri"/>
                <w:color w:val="000000"/>
                <w:sz w:val="16"/>
                <w:szCs w:val="16"/>
                <w:lang w:val="en-US"/>
              </w:rPr>
            </w:pPr>
          </w:p>
        </w:tc>
      </w:tr>
    </w:tbl>
    <w:p w:rsidR="0032407D" w:rsidRPr="00FB1F48" w:rsidRDefault="0032407D" w:rsidP="004944D7">
      <w:pPr>
        <w:rPr>
          <w:lang w:val="en-US"/>
        </w:rPr>
      </w:pPr>
    </w:p>
    <w:sectPr w:rsidR="0032407D" w:rsidRPr="00FB1F48" w:rsidSect="003958AE">
      <w:headerReference w:type="even" r:id="rId51"/>
      <w:headerReference w:type="default" r:id="rId52"/>
      <w:footerReference w:type="even" r:id="rId53"/>
      <w:footerReference w:type="default" r:id="rId54"/>
      <w:pgSz w:w="11906" w:h="16838" w:code="9"/>
      <w:pgMar w:top="1134" w:right="1134" w:bottom="1418" w:left="1134" w:header="680" w:footer="680"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3F" w:rsidRDefault="00D2543F" w:rsidP="00E71A58">
      <w:r>
        <w:separator/>
      </w:r>
    </w:p>
  </w:endnote>
  <w:endnote w:type="continuationSeparator" w:id="0">
    <w:p w:rsidR="00D2543F" w:rsidRDefault="00D2543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5A77FF">
      <w:rPr>
        <w:rFonts w:ascii="Arial" w:hAnsi="Arial" w:cs="Arial"/>
        <w:noProof/>
        <w:sz w:val="16"/>
        <w:szCs w:val="16"/>
      </w:rPr>
      <w:t>70</w:t>
    </w:r>
    <w:r w:rsidR="00BA2A8A" w:rsidRPr="005A21E0">
      <w:rPr>
        <w:rFonts w:ascii="Arial" w:hAnsi="Arial" w:cs="Arial"/>
        <w:sz w:val="16"/>
        <w:szCs w:val="16"/>
      </w:rPr>
      <w:fldChar w:fldCharType="end"/>
    </w:r>
    <w:r w:rsidR="007D331E">
      <w:rPr>
        <w:rFonts w:ascii="Arial" w:hAnsi="Arial" w:cs="Arial"/>
        <w:sz w:val="16"/>
        <w:szCs w:val="16"/>
      </w:rPr>
      <w:tab/>
      <w:t>2016</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7D331E" w:rsidP="001D5481">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5A77FF">
      <w:rPr>
        <w:rFonts w:ascii="Arial" w:hAnsi="Arial" w:cs="Arial"/>
        <w:noProof/>
        <w:sz w:val="16"/>
        <w:szCs w:val="16"/>
      </w:rPr>
      <w:t>69</w:t>
    </w:r>
    <w:r w:rsidR="00BA2A8A"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3F" w:rsidRDefault="00D2543F" w:rsidP="00E71A58">
      <w:r>
        <w:separator/>
      </w:r>
    </w:p>
  </w:footnote>
  <w:footnote w:type="continuationSeparator" w:id="0">
    <w:p w:rsidR="00D2543F" w:rsidRDefault="00D2543F"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následujícím odkazu: </w:t>
      </w:r>
      <w:hyperlink r:id="rId1" w:history="1">
        <w:r w:rsidRPr="00FF7614">
          <w:rPr>
            <w:rStyle w:val="Hypertextovodkaz"/>
            <w:color w:val="009BB4"/>
            <w:sz w:val="18"/>
            <w:szCs w:val="18"/>
          </w:rPr>
          <w:t>http://www.oecd.org/innovation/rd-tax-stats.htm</w:t>
        </w:r>
      </w:hyperlink>
    </w:p>
  </w:footnote>
  <w:footnote w:id="2">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2" w:history="1">
        <w:r w:rsidRPr="001E330C">
          <w:rPr>
            <w:rStyle w:val="Hypertextovodkaz"/>
            <w:rFonts w:eastAsia="MS Gothic" w:cs="Arial"/>
            <w:color w:val="009BB4"/>
            <w:sz w:val="18"/>
            <w:szCs w:val="18"/>
          </w:rPr>
          <w:t>http://www.d288.cz/</w:t>
        </w:r>
      </w:hyperlink>
    </w:p>
  </w:footnote>
  <w:footnote w:id="3">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592/1992 Sb., o pojistném na všeobecné zdravotní pojištění, ve znění pozdějších předpisů</w:t>
      </w:r>
    </w:p>
  </w:footnote>
  <w:footnote w:id="5">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Zákoník práce</w:t>
      </w:r>
    </w:p>
    <w:p w:rsidR="0093436B" w:rsidRPr="001E330C" w:rsidRDefault="0093436B" w:rsidP="00C347F7">
      <w:pPr>
        <w:pStyle w:val="Textpoznpodarou"/>
        <w:rPr>
          <w:rFonts w:cs="Arial"/>
          <w:sz w:val="18"/>
          <w:szCs w:val="18"/>
        </w:rPr>
      </w:pPr>
    </w:p>
  </w:footnote>
  <w:footnote w:id="6">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119/1992 Sb., o cestovních náhradách, ve znění pozdějších předpisů</w:t>
      </w:r>
    </w:p>
  </w:footnote>
  <w:footnote w:id="7">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AD306C" w:rsidRDefault="008616C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NEPŘÍMÁ VEŘEJNÁ PODPORA VÝZKUMU A VÝVOJE V ČESKÉ REPUBLICE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NEPŘÍMÁ VEŘEJNÁ PODPORA VÝZKUMU A VÝVOJE V ČESKÉ REPUBLICE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15:restartNumberingAfterBreak="0">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15:restartNumberingAfterBreak="0">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49B0"/>
    <w:rsid w:val="00004C5A"/>
    <w:rsid w:val="0000767A"/>
    <w:rsid w:val="00010702"/>
    <w:rsid w:val="00014D57"/>
    <w:rsid w:val="000158B9"/>
    <w:rsid w:val="00016CCE"/>
    <w:rsid w:val="00023DB5"/>
    <w:rsid w:val="00027D92"/>
    <w:rsid w:val="0003234B"/>
    <w:rsid w:val="000350E5"/>
    <w:rsid w:val="000368A7"/>
    <w:rsid w:val="00036B77"/>
    <w:rsid w:val="000415AA"/>
    <w:rsid w:val="0004694F"/>
    <w:rsid w:val="00046976"/>
    <w:rsid w:val="00046DAC"/>
    <w:rsid w:val="00051C4D"/>
    <w:rsid w:val="0005739C"/>
    <w:rsid w:val="00057709"/>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21393"/>
    <w:rsid w:val="001215CE"/>
    <w:rsid w:val="0013057B"/>
    <w:rsid w:val="001405FA"/>
    <w:rsid w:val="00140911"/>
    <w:rsid w:val="00140A1B"/>
    <w:rsid w:val="001425C3"/>
    <w:rsid w:val="00142C51"/>
    <w:rsid w:val="001431C5"/>
    <w:rsid w:val="00143453"/>
    <w:rsid w:val="00143B97"/>
    <w:rsid w:val="00146553"/>
    <w:rsid w:val="00146CF7"/>
    <w:rsid w:val="001475F6"/>
    <w:rsid w:val="00152543"/>
    <w:rsid w:val="00154273"/>
    <w:rsid w:val="001544C2"/>
    <w:rsid w:val="00155181"/>
    <w:rsid w:val="00156A62"/>
    <w:rsid w:val="0015700C"/>
    <w:rsid w:val="0015744B"/>
    <w:rsid w:val="00163598"/>
    <w:rsid w:val="00163793"/>
    <w:rsid w:val="00170ABD"/>
    <w:rsid w:val="00171425"/>
    <w:rsid w:val="001714F2"/>
    <w:rsid w:val="0017466E"/>
    <w:rsid w:val="00174C78"/>
    <w:rsid w:val="001758CB"/>
    <w:rsid w:val="00184A37"/>
    <w:rsid w:val="00185010"/>
    <w:rsid w:val="00186DF7"/>
    <w:rsid w:val="00193143"/>
    <w:rsid w:val="00193481"/>
    <w:rsid w:val="001938F0"/>
    <w:rsid w:val="00193BA6"/>
    <w:rsid w:val="00196712"/>
    <w:rsid w:val="001A1435"/>
    <w:rsid w:val="001A51D6"/>
    <w:rsid w:val="001A552F"/>
    <w:rsid w:val="001B0AFE"/>
    <w:rsid w:val="001B3110"/>
    <w:rsid w:val="001B6778"/>
    <w:rsid w:val="001B75ED"/>
    <w:rsid w:val="001B7941"/>
    <w:rsid w:val="001C0D60"/>
    <w:rsid w:val="001D1415"/>
    <w:rsid w:val="001D23C7"/>
    <w:rsid w:val="001D353E"/>
    <w:rsid w:val="001D5481"/>
    <w:rsid w:val="001D6CB9"/>
    <w:rsid w:val="001E2E1C"/>
    <w:rsid w:val="001E5CBD"/>
    <w:rsid w:val="001F06C5"/>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3EA3"/>
    <w:rsid w:val="002941F0"/>
    <w:rsid w:val="00295694"/>
    <w:rsid w:val="0029633E"/>
    <w:rsid w:val="00296571"/>
    <w:rsid w:val="002965A8"/>
    <w:rsid w:val="002A0EC4"/>
    <w:rsid w:val="002A1858"/>
    <w:rsid w:val="002A30A5"/>
    <w:rsid w:val="002A4F13"/>
    <w:rsid w:val="002A6819"/>
    <w:rsid w:val="002B0B7D"/>
    <w:rsid w:val="002B1217"/>
    <w:rsid w:val="002B46F4"/>
    <w:rsid w:val="002C31D3"/>
    <w:rsid w:val="002C3789"/>
    <w:rsid w:val="002C43BD"/>
    <w:rsid w:val="002D1F51"/>
    <w:rsid w:val="002D3DF2"/>
    <w:rsid w:val="002D4653"/>
    <w:rsid w:val="002D47D8"/>
    <w:rsid w:val="002D526C"/>
    <w:rsid w:val="002E0064"/>
    <w:rsid w:val="002E02A1"/>
    <w:rsid w:val="002E1344"/>
    <w:rsid w:val="002E1696"/>
    <w:rsid w:val="002E1DBF"/>
    <w:rsid w:val="002E4175"/>
    <w:rsid w:val="002E60FD"/>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42D7F"/>
    <w:rsid w:val="00345A98"/>
    <w:rsid w:val="00351E54"/>
    <w:rsid w:val="0035559D"/>
    <w:rsid w:val="00356188"/>
    <w:rsid w:val="00356A61"/>
    <w:rsid w:val="00356ABD"/>
    <w:rsid w:val="00357CC8"/>
    <w:rsid w:val="00364AA8"/>
    <w:rsid w:val="003657F3"/>
    <w:rsid w:val="00367752"/>
    <w:rsid w:val="003740E9"/>
    <w:rsid w:val="0037506F"/>
    <w:rsid w:val="00375E4B"/>
    <w:rsid w:val="00385D98"/>
    <w:rsid w:val="00386F3B"/>
    <w:rsid w:val="00392254"/>
    <w:rsid w:val="0039379F"/>
    <w:rsid w:val="00395150"/>
    <w:rsid w:val="003958AE"/>
    <w:rsid w:val="00397E28"/>
    <w:rsid w:val="003A063A"/>
    <w:rsid w:val="003A0712"/>
    <w:rsid w:val="003A0D1B"/>
    <w:rsid w:val="003A2B4D"/>
    <w:rsid w:val="003A478C"/>
    <w:rsid w:val="003A5525"/>
    <w:rsid w:val="003A5692"/>
    <w:rsid w:val="003A6B38"/>
    <w:rsid w:val="003B07C1"/>
    <w:rsid w:val="003B2BAD"/>
    <w:rsid w:val="003B2C71"/>
    <w:rsid w:val="003B5A32"/>
    <w:rsid w:val="003C064D"/>
    <w:rsid w:val="003C0B2C"/>
    <w:rsid w:val="003C1606"/>
    <w:rsid w:val="003C1989"/>
    <w:rsid w:val="003C2F6F"/>
    <w:rsid w:val="003C3F7D"/>
    <w:rsid w:val="003C48BB"/>
    <w:rsid w:val="003D3D33"/>
    <w:rsid w:val="003D3EC5"/>
    <w:rsid w:val="003D5F99"/>
    <w:rsid w:val="003D767C"/>
    <w:rsid w:val="003E126A"/>
    <w:rsid w:val="003E2BEE"/>
    <w:rsid w:val="003E4357"/>
    <w:rsid w:val="003E5177"/>
    <w:rsid w:val="003E5F6B"/>
    <w:rsid w:val="003F05BE"/>
    <w:rsid w:val="003F0699"/>
    <w:rsid w:val="003F313C"/>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6531"/>
    <w:rsid w:val="004479AD"/>
    <w:rsid w:val="00453D53"/>
    <w:rsid w:val="00455781"/>
    <w:rsid w:val="00456EBB"/>
    <w:rsid w:val="00464380"/>
    <w:rsid w:val="0046451A"/>
    <w:rsid w:val="00465311"/>
    <w:rsid w:val="00466D51"/>
    <w:rsid w:val="00470CEE"/>
    <w:rsid w:val="004722F9"/>
    <w:rsid w:val="00472688"/>
    <w:rsid w:val="004741CD"/>
    <w:rsid w:val="004751DB"/>
    <w:rsid w:val="0048139F"/>
    <w:rsid w:val="00481B3C"/>
    <w:rsid w:val="00483CCC"/>
    <w:rsid w:val="004914EE"/>
    <w:rsid w:val="00493A9C"/>
    <w:rsid w:val="004944D7"/>
    <w:rsid w:val="00495130"/>
    <w:rsid w:val="00497328"/>
    <w:rsid w:val="004A77A8"/>
    <w:rsid w:val="004A77DF"/>
    <w:rsid w:val="004B2E8D"/>
    <w:rsid w:val="004B4CE5"/>
    <w:rsid w:val="004B55B7"/>
    <w:rsid w:val="004C1966"/>
    <w:rsid w:val="004C2E6C"/>
    <w:rsid w:val="004C3867"/>
    <w:rsid w:val="004C3A10"/>
    <w:rsid w:val="004C4CD0"/>
    <w:rsid w:val="004C70DC"/>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325E6"/>
    <w:rsid w:val="0053309F"/>
    <w:rsid w:val="00533F4C"/>
    <w:rsid w:val="00535C2C"/>
    <w:rsid w:val="005422AE"/>
    <w:rsid w:val="00543AB1"/>
    <w:rsid w:val="00545AFD"/>
    <w:rsid w:val="00547A35"/>
    <w:rsid w:val="0056078B"/>
    <w:rsid w:val="0056103D"/>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A21E0"/>
    <w:rsid w:val="005A3DC9"/>
    <w:rsid w:val="005A5899"/>
    <w:rsid w:val="005A77FF"/>
    <w:rsid w:val="005B1853"/>
    <w:rsid w:val="005B2EB6"/>
    <w:rsid w:val="005B3B88"/>
    <w:rsid w:val="005B4204"/>
    <w:rsid w:val="005B7A7A"/>
    <w:rsid w:val="005C0F10"/>
    <w:rsid w:val="005C42D5"/>
    <w:rsid w:val="005C665F"/>
    <w:rsid w:val="005D4046"/>
    <w:rsid w:val="005D44A6"/>
    <w:rsid w:val="005D5131"/>
    <w:rsid w:val="005D5802"/>
    <w:rsid w:val="005D5C56"/>
    <w:rsid w:val="005D5E5F"/>
    <w:rsid w:val="005D7ACB"/>
    <w:rsid w:val="005E2A43"/>
    <w:rsid w:val="005E2F1E"/>
    <w:rsid w:val="005E3777"/>
    <w:rsid w:val="005E5841"/>
    <w:rsid w:val="005E763D"/>
    <w:rsid w:val="005F3B4D"/>
    <w:rsid w:val="005F5310"/>
    <w:rsid w:val="00601818"/>
    <w:rsid w:val="00602F57"/>
    <w:rsid w:val="0060342E"/>
    <w:rsid w:val="00603FA0"/>
    <w:rsid w:val="00604307"/>
    <w:rsid w:val="00604666"/>
    <w:rsid w:val="0060487F"/>
    <w:rsid w:val="00607283"/>
    <w:rsid w:val="00610EDF"/>
    <w:rsid w:val="00613019"/>
    <w:rsid w:val="00615C91"/>
    <w:rsid w:val="00616C47"/>
    <w:rsid w:val="006179E9"/>
    <w:rsid w:val="00624093"/>
    <w:rsid w:val="00624807"/>
    <w:rsid w:val="006257D8"/>
    <w:rsid w:val="00633681"/>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650E0"/>
    <w:rsid w:val="00670DB2"/>
    <w:rsid w:val="006710C9"/>
    <w:rsid w:val="0067138D"/>
    <w:rsid w:val="00673310"/>
    <w:rsid w:val="00673CD6"/>
    <w:rsid w:val="00675E37"/>
    <w:rsid w:val="00680F42"/>
    <w:rsid w:val="00681C45"/>
    <w:rsid w:val="00681E2C"/>
    <w:rsid w:val="00681EC9"/>
    <w:rsid w:val="0068260E"/>
    <w:rsid w:val="00687495"/>
    <w:rsid w:val="0069148C"/>
    <w:rsid w:val="00693C50"/>
    <w:rsid w:val="006945E6"/>
    <w:rsid w:val="00695AEB"/>
    <w:rsid w:val="00695BEF"/>
    <w:rsid w:val="0069634D"/>
    <w:rsid w:val="006977F6"/>
    <w:rsid w:val="00697A13"/>
    <w:rsid w:val="006A109C"/>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25E4"/>
    <w:rsid w:val="00733287"/>
    <w:rsid w:val="00733953"/>
    <w:rsid w:val="00737392"/>
    <w:rsid w:val="00741493"/>
    <w:rsid w:val="0075203E"/>
    <w:rsid w:val="00752180"/>
    <w:rsid w:val="00755AFC"/>
    <w:rsid w:val="00755D3A"/>
    <w:rsid w:val="007609C6"/>
    <w:rsid w:val="00761B3D"/>
    <w:rsid w:val="00763253"/>
    <w:rsid w:val="00765317"/>
    <w:rsid w:val="00774DEB"/>
    <w:rsid w:val="00776527"/>
    <w:rsid w:val="00776FE1"/>
    <w:rsid w:val="0077728C"/>
    <w:rsid w:val="00777D0D"/>
    <w:rsid w:val="0078119D"/>
    <w:rsid w:val="00781319"/>
    <w:rsid w:val="00781C04"/>
    <w:rsid w:val="007870B4"/>
    <w:rsid w:val="0079384B"/>
    <w:rsid w:val="00793EC8"/>
    <w:rsid w:val="007945AA"/>
    <w:rsid w:val="007964E7"/>
    <w:rsid w:val="00797F5F"/>
    <w:rsid w:val="007A0505"/>
    <w:rsid w:val="007A1D16"/>
    <w:rsid w:val="007B06EC"/>
    <w:rsid w:val="007B185F"/>
    <w:rsid w:val="007B1E19"/>
    <w:rsid w:val="007C330F"/>
    <w:rsid w:val="007C358A"/>
    <w:rsid w:val="007C3C87"/>
    <w:rsid w:val="007C3F6A"/>
    <w:rsid w:val="007C5875"/>
    <w:rsid w:val="007D1DB1"/>
    <w:rsid w:val="007D1FB5"/>
    <w:rsid w:val="007D28A7"/>
    <w:rsid w:val="007D331E"/>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61CD"/>
    <w:rsid w:val="00847B1D"/>
    <w:rsid w:val="008511B6"/>
    <w:rsid w:val="008565D1"/>
    <w:rsid w:val="00860EAB"/>
    <w:rsid w:val="008616C8"/>
    <w:rsid w:val="008639C0"/>
    <w:rsid w:val="00863D57"/>
    <w:rsid w:val="008669D4"/>
    <w:rsid w:val="0087146F"/>
    <w:rsid w:val="00874492"/>
    <w:rsid w:val="00876086"/>
    <w:rsid w:val="00881296"/>
    <w:rsid w:val="00886218"/>
    <w:rsid w:val="008877F9"/>
    <w:rsid w:val="008937CB"/>
    <w:rsid w:val="0089503D"/>
    <w:rsid w:val="008A25BC"/>
    <w:rsid w:val="008A31DC"/>
    <w:rsid w:val="008A39FD"/>
    <w:rsid w:val="008A4657"/>
    <w:rsid w:val="008A5856"/>
    <w:rsid w:val="008A5A4F"/>
    <w:rsid w:val="008B008C"/>
    <w:rsid w:val="008B0C3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E6AAE"/>
    <w:rsid w:val="008F0FD2"/>
    <w:rsid w:val="008F1339"/>
    <w:rsid w:val="008F381D"/>
    <w:rsid w:val="008F5169"/>
    <w:rsid w:val="008F6FCE"/>
    <w:rsid w:val="009003A8"/>
    <w:rsid w:val="00902EFF"/>
    <w:rsid w:val="00906960"/>
    <w:rsid w:val="009076A9"/>
    <w:rsid w:val="00910BD4"/>
    <w:rsid w:val="00910F93"/>
    <w:rsid w:val="00921F14"/>
    <w:rsid w:val="00930123"/>
    <w:rsid w:val="00930829"/>
    <w:rsid w:val="00930A66"/>
    <w:rsid w:val="009338E5"/>
    <w:rsid w:val="0093436B"/>
    <w:rsid w:val="00936618"/>
    <w:rsid w:val="0093753B"/>
    <w:rsid w:val="00942F08"/>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C4D"/>
    <w:rsid w:val="00A16CA5"/>
    <w:rsid w:val="00A21A2E"/>
    <w:rsid w:val="00A221CE"/>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4712"/>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7318"/>
    <w:rsid w:val="00AC3FD1"/>
    <w:rsid w:val="00AC62CF"/>
    <w:rsid w:val="00AC7F36"/>
    <w:rsid w:val="00AD306C"/>
    <w:rsid w:val="00AD3CE8"/>
    <w:rsid w:val="00AD52A8"/>
    <w:rsid w:val="00AE0F4A"/>
    <w:rsid w:val="00AE3A2E"/>
    <w:rsid w:val="00AF1B27"/>
    <w:rsid w:val="00AF4542"/>
    <w:rsid w:val="00B00E2A"/>
    <w:rsid w:val="00B021DC"/>
    <w:rsid w:val="00B0293A"/>
    <w:rsid w:val="00B031D4"/>
    <w:rsid w:val="00B033C3"/>
    <w:rsid w:val="00B04C40"/>
    <w:rsid w:val="00B12489"/>
    <w:rsid w:val="00B132A5"/>
    <w:rsid w:val="00B17E71"/>
    <w:rsid w:val="00B17FDE"/>
    <w:rsid w:val="00B25F29"/>
    <w:rsid w:val="00B27B8D"/>
    <w:rsid w:val="00B32B8B"/>
    <w:rsid w:val="00B32DDB"/>
    <w:rsid w:val="00B33853"/>
    <w:rsid w:val="00B33C76"/>
    <w:rsid w:val="00B343D6"/>
    <w:rsid w:val="00B34DAB"/>
    <w:rsid w:val="00B35B2F"/>
    <w:rsid w:val="00B360DE"/>
    <w:rsid w:val="00B36297"/>
    <w:rsid w:val="00B4079B"/>
    <w:rsid w:val="00B41A0A"/>
    <w:rsid w:val="00B43764"/>
    <w:rsid w:val="00B449C1"/>
    <w:rsid w:val="00B45197"/>
    <w:rsid w:val="00B508DA"/>
    <w:rsid w:val="00B50C8B"/>
    <w:rsid w:val="00B52135"/>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520D"/>
    <w:rsid w:val="00BA5329"/>
    <w:rsid w:val="00BA7341"/>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E00F3"/>
    <w:rsid w:val="00CE06FE"/>
    <w:rsid w:val="00CE1019"/>
    <w:rsid w:val="00CE14E0"/>
    <w:rsid w:val="00CE276E"/>
    <w:rsid w:val="00CE35FE"/>
    <w:rsid w:val="00CF47FD"/>
    <w:rsid w:val="00CF51EC"/>
    <w:rsid w:val="00CF6E52"/>
    <w:rsid w:val="00D02A33"/>
    <w:rsid w:val="00D040DD"/>
    <w:rsid w:val="00D045D0"/>
    <w:rsid w:val="00D04839"/>
    <w:rsid w:val="00D04A5D"/>
    <w:rsid w:val="00D13328"/>
    <w:rsid w:val="00D13906"/>
    <w:rsid w:val="00D15A54"/>
    <w:rsid w:val="00D16834"/>
    <w:rsid w:val="00D23446"/>
    <w:rsid w:val="00D2543F"/>
    <w:rsid w:val="00D267E2"/>
    <w:rsid w:val="00D27BAA"/>
    <w:rsid w:val="00D31B66"/>
    <w:rsid w:val="00D36EFC"/>
    <w:rsid w:val="00D4082D"/>
    <w:rsid w:val="00D40EB6"/>
    <w:rsid w:val="00D41AF1"/>
    <w:rsid w:val="00D441FD"/>
    <w:rsid w:val="00D46277"/>
    <w:rsid w:val="00D50475"/>
    <w:rsid w:val="00D519AC"/>
    <w:rsid w:val="00D52F5C"/>
    <w:rsid w:val="00D57D9C"/>
    <w:rsid w:val="00D60C38"/>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C0ADC"/>
    <w:rsid w:val="00DC1B7E"/>
    <w:rsid w:val="00DC5B3B"/>
    <w:rsid w:val="00DC7F5F"/>
    <w:rsid w:val="00DD1BD7"/>
    <w:rsid w:val="00DD3BD4"/>
    <w:rsid w:val="00DD7047"/>
    <w:rsid w:val="00DD741F"/>
    <w:rsid w:val="00DD7498"/>
    <w:rsid w:val="00DD787B"/>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754"/>
    <w:rsid w:val="00E158E3"/>
    <w:rsid w:val="00E15CC0"/>
    <w:rsid w:val="00E16BA7"/>
    <w:rsid w:val="00E30C67"/>
    <w:rsid w:val="00E30F7E"/>
    <w:rsid w:val="00E32A90"/>
    <w:rsid w:val="00E33D7D"/>
    <w:rsid w:val="00E33EAE"/>
    <w:rsid w:val="00E340F9"/>
    <w:rsid w:val="00E3735A"/>
    <w:rsid w:val="00E45F0C"/>
    <w:rsid w:val="00E47AD1"/>
    <w:rsid w:val="00E504C3"/>
    <w:rsid w:val="00E56D60"/>
    <w:rsid w:val="00E57564"/>
    <w:rsid w:val="00E60E7C"/>
    <w:rsid w:val="00E6176C"/>
    <w:rsid w:val="00E651DE"/>
    <w:rsid w:val="00E67DC3"/>
    <w:rsid w:val="00E71A58"/>
    <w:rsid w:val="00E81E1F"/>
    <w:rsid w:val="00E82D69"/>
    <w:rsid w:val="00E8544D"/>
    <w:rsid w:val="00EA0C68"/>
    <w:rsid w:val="00EA2A21"/>
    <w:rsid w:val="00EA436A"/>
    <w:rsid w:val="00EA6499"/>
    <w:rsid w:val="00EA67EC"/>
    <w:rsid w:val="00EA6A95"/>
    <w:rsid w:val="00EB0F76"/>
    <w:rsid w:val="00EB2376"/>
    <w:rsid w:val="00EB4E0B"/>
    <w:rsid w:val="00EB7F5D"/>
    <w:rsid w:val="00ED0B8B"/>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4811"/>
    <w:rsid w:val="00F0488C"/>
    <w:rsid w:val="00F1001C"/>
    <w:rsid w:val="00F11D09"/>
    <w:rsid w:val="00F12D74"/>
    <w:rsid w:val="00F13B13"/>
    <w:rsid w:val="00F15BEF"/>
    <w:rsid w:val="00F2193C"/>
    <w:rsid w:val="00F22E88"/>
    <w:rsid w:val="00F22E95"/>
    <w:rsid w:val="00F24FAA"/>
    <w:rsid w:val="00F25828"/>
    <w:rsid w:val="00F26446"/>
    <w:rsid w:val="00F30D8A"/>
    <w:rsid w:val="00F3364D"/>
    <w:rsid w:val="00F35998"/>
    <w:rsid w:val="00F40D9B"/>
    <w:rsid w:val="00F42DEA"/>
    <w:rsid w:val="00F47D51"/>
    <w:rsid w:val="00F54C1F"/>
    <w:rsid w:val="00F56A6B"/>
    <w:rsid w:val="00F5744D"/>
    <w:rsid w:val="00F63DDE"/>
    <w:rsid w:val="00F63FB7"/>
    <w:rsid w:val="00F72A84"/>
    <w:rsid w:val="00F73A0C"/>
    <w:rsid w:val="00F7540E"/>
    <w:rsid w:val="00F8413A"/>
    <w:rsid w:val="00F92CD2"/>
    <w:rsid w:val="00F95893"/>
    <w:rsid w:val="00F9678A"/>
    <w:rsid w:val="00FA62C4"/>
    <w:rsid w:val="00FB0DB3"/>
    <w:rsid w:val="00FB1007"/>
    <w:rsid w:val="00FB1F48"/>
    <w:rsid w:val="00FB259D"/>
    <w:rsid w:val="00FB5360"/>
    <w:rsid w:val="00FB57C8"/>
    <w:rsid w:val="00FC075C"/>
    <w:rsid w:val="00FC0E5F"/>
    <w:rsid w:val="00FC56DE"/>
    <w:rsid w:val="00FC58DB"/>
    <w:rsid w:val="00FD20B0"/>
    <w:rsid w:val="00FD293E"/>
    <w:rsid w:val="00FD29E1"/>
    <w:rsid w:val="00FD32DD"/>
    <w:rsid w:val="00FD63DE"/>
    <w:rsid w:val="00FE2F78"/>
    <w:rsid w:val="00FE6B18"/>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68368B62-0291-437A-BE73-FEF5118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74013036">
      <w:bodyDiv w:val="1"/>
      <w:marLeft w:val="0"/>
      <w:marRight w:val="0"/>
      <w:marTop w:val="0"/>
      <w:marBottom w:val="0"/>
      <w:divBdr>
        <w:top w:val="none" w:sz="0" w:space="0" w:color="auto"/>
        <w:left w:val="none" w:sz="0" w:space="0" w:color="auto"/>
        <w:bottom w:val="none" w:sz="0" w:space="0" w:color="auto"/>
        <w:right w:val="none" w:sz="0" w:space="0" w:color="auto"/>
      </w:divBdr>
      <w:divsChild>
        <w:div w:id="713698346">
          <w:marLeft w:val="0"/>
          <w:marRight w:val="0"/>
          <w:marTop w:val="0"/>
          <w:marBottom w:val="0"/>
          <w:divBdr>
            <w:top w:val="none" w:sz="0" w:space="0" w:color="auto"/>
            <w:left w:val="none" w:sz="0" w:space="0" w:color="auto"/>
            <w:bottom w:val="none" w:sz="0" w:space="0" w:color="auto"/>
            <w:right w:val="none" w:sz="0" w:space="0" w:color="auto"/>
          </w:divBdr>
        </w:div>
        <w:div w:id="1858733400">
          <w:marLeft w:val="0"/>
          <w:marRight w:val="0"/>
          <w:marTop w:val="0"/>
          <w:marBottom w:val="0"/>
          <w:divBdr>
            <w:top w:val="none" w:sz="0" w:space="0" w:color="auto"/>
            <w:left w:val="none" w:sz="0" w:space="0" w:color="auto"/>
            <w:bottom w:val="none" w:sz="0" w:space="0" w:color="auto"/>
            <w:right w:val="none" w:sz="0" w:space="0" w:color="auto"/>
          </w:divBdr>
        </w:div>
        <w:div w:id="33970716">
          <w:marLeft w:val="0"/>
          <w:marRight w:val="0"/>
          <w:marTop w:val="0"/>
          <w:marBottom w:val="0"/>
          <w:divBdr>
            <w:top w:val="none" w:sz="0" w:space="0" w:color="auto"/>
            <w:left w:val="none" w:sz="0" w:space="0" w:color="auto"/>
            <w:bottom w:val="none" w:sz="0" w:space="0" w:color="auto"/>
            <w:right w:val="none" w:sz="0" w:space="0" w:color="auto"/>
          </w:divBdr>
        </w:div>
      </w:divsChild>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projekt-vyzkumu-a-vyvoje/" TargetMode="External"/><Relationship Id="rId18" Type="http://schemas.openxmlformats.org/officeDocument/2006/relationships/hyperlink" Target="http://www.smartech.cz/vyda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licence" TargetMode="External"/><Relationship Id="rId21" Type="http://schemas.openxmlformats.org/officeDocument/2006/relationships/hyperlink" Target="http://www.smartech.cz/danova-evidence/" TargetMode="External"/><Relationship Id="rId34" Type="http://schemas.openxmlformats.org/officeDocument/2006/relationships/hyperlink" Target="https://www.czso.cz/csu/czso/neprima-verejna-podpora-vyzkumu-a-vyvoje" TargetMode="External"/><Relationship Id="rId42" Type="http://schemas.openxmlformats.org/officeDocument/2006/relationships/hyperlink" Target="https://www.czso.cz/csu/czso/ukazatele-vyzkumu-a-vyvoje-2016" TargetMode="External"/><Relationship Id="rId47" Type="http://schemas.openxmlformats.org/officeDocument/2006/relationships/hyperlink" Target="https://www.czso.cz/csu/czso/krajske-rocenky" TargetMode="External"/><Relationship Id="rId50" Type="http://schemas.openxmlformats.org/officeDocument/2006/relationships/hyperlink" Target="http://oe.cd/rdta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ech.cz/projekt-vyzkumu-a-vyvoje/" TargetMode="External"/><Relationship Id="rId29" Type="http://schemas.openxmlformats.org/officeDocument/2006/relationships/hyperlink" Target="http://www.smartech.cz/odpocet-na-vyzkum-a-vyvoj/" TargetMode="External"/><Relationship Id="rId11" Type="http://schemas.openxmlformats.org/officeDocument/2006/relationships/hyperlink" Target="http://www.smartech.cz/vyzkum/" TargetMode="External"/><Relationship Id="rId24" Type="http://schemas.openxmlformats.org/officeDocument/2006/relationships/hyperlink" Target="http://www.smartech.cz/projekt-vyzkumu-a-vyvoje/" TargetMode="External"/><Relationship Id="rId32" Type="http://schemas.openxmlformats.org/officeDocument/2006/relationships/hyperlink" Target="https://www.czso.cz/csu/czso/statistika_vyzkumu_a_vyvoje" TargetMode="External"/><Relationship Id="rId37" Type="http://schemas.openxmlformats.org/officeDocument/2006/relationships/hyperlink" Target="https://www.czso.cz/csu/czso/statistika_inovaci" TargetMode="External"/><Relationship Id="rId40" Type="http://schemas.openxmlformats.org/officeDocument/2006/relationships/hyperlink" Target="https://www.czso.cz/csu/czso/vyspele_technologie" TargetMode="External"/><Relationship Id="rId45" Type="http://schemas.openxmlformats.org/officeDocument/2006/relationships/hyperlink" Target="https://www.czso.cz/csu/czso/licence-na-predmety-prumysloveho-vlastnictvi-2016"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ech.cz/vydaje/" TargetMode="External"/><Relationship Id="rId19" Type="http://schemas.openxmlformats.org/officeDocument/2006/relationships/hyperlink" Target="http://www.smartech.cz/odpocet-na-vyzkum-a-vyvoj/" TargetMode="External"/><Relationship Id="rId31" Type="http://schemas.openxmlformats.org/officeDocument/2006/relationships/hyperlink" Target="http://www.smartech.cz/odpocet-na-vyzkum-a-vyvoj/" TargetMode="External"/><Relationship Id="rId44" Type="http://schemas.openxmlformats.org/officeDocument/2006/relationships/hyperlink" Target="https://www.czso.cz/csu/czso/neprima-verejna-podpora-vyzkumu-a-vyvoje-v-ceske-republic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martech.cz/odpocet-na-vyzkum-a-vyvoj/" TargetMode="External"/><Relationship Id="rId14" Type="http://schemas.openxmlformats.org/officeDocument/2006/relationships/hyperlink" Target="http://www.smartech.cz/vyzkum/" TargetMode="External"/><Relationship Id="rId22" Type="http://schemas.openxmlformats.org/officeDocument/2006/relationships/hyperlink" Target="http://www.smartech.cz/naklady/" TargetMode="External"/><Relationship Id="rId27" Type="http://schemas.openxmlformats.org/officeDocument/2006/relationships/hyperlink" Target="http://www.smartech.cz/jak-uplatnit-odpocet/" TargetMode="External"/><Relationship Id="rId30" Type="http://schemas.openxmlformats.org/officeDocument/2006/relationships/hyperlink" Target="http://www.smartech.cz/jak-uplatnit-odpocet/" TargetMode="External"/><Relationship Id="rId35" Type="http://schemas.openxmlformats.org/officeDocument/2006/relationships/hyperlink" Target="https://www.czso.cz/csu/czso/specialiste-v-oblasti-vedy-a-techniky-a-jejich-mzdy" TargetMode="External"/><Relationship Id="rId43" Type="http://schemas.openxmlformats.org/officeDocument/2006/relationships/hyperlink" Target="https://www.czso.cz/csu/czso/prima-verejna-podpora-vyzkumu-a-vyvoje-v-ceske-republice" TargetMode="External"/><Relationship Id="rId48" Type="http://schemas.openxmlformats.org/officeDocument/2006/relationships/hyperlink" Target="https://www.czso.cz/csu/czso/8-veda-a-technologie-noixgj35he" TargetMode="External"/><Relationship Id="rId56" Type="http://schemas.openxmlformats.org/officeDocument/2006/relationships/theme" Target="theme/theme1.xml"/><Relationship Id="rId8" Type="http://schemas.openxmlformats.org/officeDocument/2006/relationships/hyperlink" Target="http://www.smartech.cz/projekt-vyzkumu-a-vyvoj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martech.cz/vyvoj/"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naklady/" TargetMode="External"/><Relationship Id="rId33" Type="http://schemas.openxmlformats.org/officeDocument/2006/relationships/hyperlink" Target="https://www.czso.cz/csu/czso/statni-rozpoctove-vydaje-na-vyzkum-a-vyvoj" TargetMode="External"/><Relationship Id="rId38" Type="http://schemas.openxmlformats.org/officeDocument/2006/relationships/hyperlink" Target="https://www.czso.cz/csu/czso/patentova_statistika" TargetMode="External"/><Relationship Id="rId46" Type="http://schemas.openxmlformats.org/officeDocument/2006/relationships/hyperlink" Target="https://www.czso.cz/csu/czso/22-veda-vyzkum-a-inovace-5ppu4cmlv2" TargetMode="External"/><Relationship Id="rId20" Type="http://schemas.openxmlformats.org/officeDocument/2006/relationships/hyperlink" Target="http://www.smartech.cz/danove-priznani/" TargetMode="External"/><Relationship Id="rId41" Type="http://schemas.openxmlformats.org/officeDocument/2006/relationships/hyperlink" Target="mailto:objednavky@czso.cz"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artech.cz/vyvoj/" TargetMode="External"/><Relationship Id="rId23" Type="http://schemas.openxmlformats.org/officeDocument/2006/relationships/hyperlink" Target="http://www.smartech.cz/odpocet-na-vyzkum-a-vyvoj/" TargetMode="External"/><Relationship Id="rId28" Type="http://schemas.openxmlformats.org/officeDocument/2006/relationships/hyperlink" Target="http://www.smartech.cz/odcitatelne-polozky-od-zakladu-dane/" TargetMode="External"/><Relationship Id="rId36" Type="http://schemas.openxmlformats.org/officeDocument/2006/relationships/hyperlink" Target="https://www.czso.cz/csu/czso/terciarni-vzdelavani-studenti-a-absolventi-vysokoskolskeho-a-vyssiho-odborneho-vzdelavani-dle-urovne-a-oboru-vzdelani" TargetMode="External"/><Relationship Id="rId49" Type="http://schemas.openxmlformats.org/officeDocument/2006/relationships/hyperlink" Target="http://www.statistikaamy.cz/category/analyzy/veda-a-vyzk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288.cz/" TargetMode="External"/><Relationship Id="rId1" Type="http://schemas.openxmlformats.org/officeDocument/2006/relationships/hyperlink" Target="http://www.oecd.org/innovation/rd-tax-sta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3D84-5037-4F43-A186-61ED8271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0</TotalTime>
  <Pages>13</Pages>
  <Words>6617</Words>
  <Characters>39044</Characters>
  <Application>Microsoft Office Word</Application>
  <DocSecurity>0</DocSecurity>
  <Lines>325</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2</cp:revision>
  <cp:lastPrinted>2017-03-08T08:26:00Z</cp:lastPrinted>
  <dcterms:created xsi:type="dcterms:W3CDTF">2018-03-21T13:49:00Z</dcterms:created>
  <dcterms:modified xsi:type="dcterms:W3CDTF">2018-03-21T13:49:00Z</dcterms:modified>
</cp:coreProperties>
</file>