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75E40" w:rsidRPr="000A3A2C" w:rsidRDefault="00016992" w:rsidP="00E67696">
      <w:pPr>
        <w:rPr>
          <w:lang w:eastAsia="ar-SA"/>
        </w:rPr>
        <w:sectPr w:rsidR="00A75E40" w:rsidRPr="000A3A2C" w:rsidSect="00677C8F">
          <w:pgSz w:w="11906" w:h="16838" w:code="9"/>
          <w:pgMar w:top="1134" w:right="1134" w:bottom="1418" w:left="1134" w:header="709" w:footer="709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page">
                  <wp:posOffset>571500</wp:posOffset>
                </wp:positionH>
                <wp:positionV relativeFrom="page">
                  <wp:posOffset>466725</wp:posOffset>
                </wp:positionV>
                <wp:extent cx="2249805" cy="554355"/>
                <wp:effectExtent l="0" t="0" r="0" b="0"/>
                <wp:wrapSquare wrapText="bothSides"/>
                <wp:docPr id="5" name="Group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249805" cy="554355"/>
                          <a:chOff x="567" y="851"/>
                          <a:chExt cx="2714" cy="667"/>
                        </a:xfrm>
                      </wpg:grpSpPr>
                      <wps:wsp>
                        <wps:cNvPr id="6" name="Rectangle 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15" y="901"/>
                            <a:ext cx="676" cy="154"/>
                          </a:xfrm>
                          <a:prstGeom prst="rect">
                            <a:avLst/>
                          </a:prstGeom>
                          <a:solidFill>
                            <a:srgbClr val="007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67" y="1131"/>
                            <a:ext cx="1324" cy="154"/>
                          </a:xfrm>
                          <a:prstGeom prst="rect">
                            <a:avLst/>
                          </a:prstGeom>
                          <a:solidFill>
                            <a:srgbClr val="007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88" y="1361"/>
                            <a:ext cx="603" cy="153"/>
                          </a:xfrm>
                          <a:prstGeom prst="rect">
                            <a:avLst/>
                          </a:prstGeom>
                          <a:solidFill>
                            <a:srgbClr val="007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2"/>
                        <wps:cNvSpPr>
                          <a:spLocks noChangeAspect="1" noEditPoints="1"/>
                        </wps:cNvSpPr>
                        <wps:spPr bwMode="auto">
                          <a:xfrm>
                            <a:off x="1969" y="1311"/>
                            <a:ext cx="600" cy="207"/>
                          </a:xfrm>
                          <a:custGeom>
                            <a:avLst/>
                            <a:gdLst>
                              <a:gd name="T0" fmla="*/ 520 w 1200"/>
                              <a:gd name="T1" fmla="*/ 84 h 415"/>
                              <a:gd name="T2" fmla="*/ 537 w 1200"/>
                              <a:gd name="T3" fmla="*/ 88 h 415"/>
                              <a:gd name="T4" fmla="*/ 550 w 1200"/>
                              <a:gd name="T5" fmla="*/ 100 h 415"/>
                              <a:gd name="T6" fmla="*/ 557 w 1200"/>
                              <a:gd name="T7" fmla="*/ 114 h 415"/>
                              <a:gd name="T8" fmla="*/ 559 w 1200"/>
                              <a:gd name="T9" fmla="*/ 131 h 415"/>
                              <a:gd name="T10" fmla="*/ 554 w 1200"/>
                              <a:gd name="T11" fmla="*/ 147 h 415"/>
                              <a:gd name="T12" fmla="*/ 544 w 1200"/>
                              <a:gd name="T13" fmla="*/ 160 h 415"/>
                              <a:gd name="T14" fmla="*/ 530 w 1200"/>
                              <a:gd name="T15" fmla="*/ 168 h 415"/>
                              <a:gd name="T16" fmla="*/ 506 w 1200"/>
                              <a:gd name="T17" fmla="*/ 170 h 415"/>
                              <a:gd name="T18" fmla="*/ 540 w 1200"/>
                              <a:gd name="T19" fmla="*/ 202 h 415"/>
                              <a:gd name="T20" fmla="*/ 567 w 1200"/>
                              <a:gd name="T21" fmla="*/ 190 h 415"/>
                              <a:gd name="T22" fmla="*/ 587 w 1200"/>
                              <a:gd name="T23" fmla="*/ 169 h 415"/>
                              <a:gd name="T24" fmla="*/ 599 w 1200"/>
                              <a:gd name="T25" fmla="*/ 142 h 415"/>
                              <a:gd name="T26" fmla="*/ 599 w 1200"/>
                              <a:gd name="T27" fmla="*/ 111 h 415"/>
                              <a:gd name="T28" fmla="*/ 587 w 1200"/>
                              <a:gd name="T29" fmla="*/ 84 h 415"/>
                              <a:gd name="T30" fmla="*/ 567 w 1200"/>
                              <a:gd name="T31" fmla="*/ 63 h 415"/>
                              <a:gd name="T32" fmla="*/ 540 w 1200"/>
                              <a:gd name="T33" fmla="*/ 51 h 415"/>
                              <a:gd name="T34" fmla="*/ 466 w 1200"/>
                              <a:gd name="T35" fmla="*/ 204 h 415"/>
                              <a:gd name="T36" fmla="*/ 388 w 1200"/>
                              <a:gd name="T37" fmla="*/ 146 h 415"/>
                              <a:gd name="T38" fmla="*/ 393 w 1200"/>
                              <a:gd name="T39" fmla="*/ 50 h 415"/>
                              <a:gd name="T40" fmla="*/ 343 w 1200"/>
                              <a:gd name="T41" fmla="*/ 177 h 415"/>
                              <a:gd name="T42" fmla="*/ 257 w 1200"/>
                              <a:gd name="T43" fmla="*/ 18 h 415"/>
                              <a:gd name="T44" fmla="*/ 174 w 1200"/>
                              <a:gd name="T45" fmla="*/ 18 h 415"/>
                              <a:gd name="T46" fmla="*/ 216 w 1200"/>
                              <a:gd name="T47" fmla="*/ 81 h 415"/>
                              <a:gd name="T48" fmla="*/ 231 w 1200"/>
                              <a:gd name="T49" fmla="*/ 88 h 415"/>
                              <a:gd name="T50" fmla="*/ 235 w 1200"/>
                              <a:gd name="T51" fmla="*/ 104 h 415"/>
                              <a:gd name="T52" fmla="*/ 225 w 1200"/>
                              <a:gd name="T53" fmla="*/ 116 h 415"/>
                              <a:gd name="T54" fmla="*/ 204 w 1200"/>
                              <a:gd name="T55" fmla="*/ 119 h 415"/>
                              <a:gd name="T56" fmla="*/ 258 w 1200"/>
                              <a:gd name="T57" fmla="*/ 135 h 415"/>
                              <a:gd name="T58" fmla="*/ 271 w 1200"/>
                              <a:gd name="T59" fmla="*/ 121 h 415"/>
                              <a:gd name="T60" fmla="*/ 276 w 1200"/>
                              <a:gd name="T61" fmla="*/ 102 h 415"/>
                              <a:gd name="T62" fmla="*/ 275 w 1200"/>
                              <a:gd name="T63" fmla="*/ 83 h 415"/>
                              <a:gd name="T64" fmla="*/ 266 w 1200"/>
                              <a:gd name="T65" fmla="*/ 67 h 415"/>
                              <a:gd name="T66" fmla="*/ 252 w 1200"/>
                              <a:gd name="T67" fmla="*/ 55 h 415"/>
                              <a:gd name="T68" fmla="*/ 232 w 1200"/>
                              <a:gd name="T69" fmla="*/ 50 h 415"/>
                              <a:gd name="T70" fmla="*/ 204 w 1200"/>
                              <a:gd name="T71" fmla="*/ 204 h 415"/>
                              <a:gd name="T72" fmla="*/ 243 w 1200"/>
                              <a:gd name="T73" fmla="*/ 141 h 415"/>
                              <a:gd name="T74" fmla="*/ 67 w 1200"/>
                              <a:gd name="T75" fmla="*/ 42 h 415"/>
                              <a:gd name="T76" fmla="*/ 0 w 1200"/>
                              <a:gd name="T77" fmla="*/ 139 h 415"/>
                              <a:gd name="T78" fmla="*/ 3 w 1200"/>
                              <a:gd name="T79" fmla="*/ 166 h 415"/>
                              <a:gd name="T80" fmla="*/ 12 w 1200"/>
                              <a:gd name="T81" fmla="*/ 184 h 415"/>
                              <a:gd name="T82" fmla="*/ 34 w 1200"/>
                              <a:gd name="T83" fmla="*/ 201 h 415"/>
                              <a:gd name="T84" fmla="*/ 67 w 1200"/>
                              <a:gd name="T85" fmla="*/ 207 h 415"/>
                              <a:gd name="T86" fmla="*/ 96 w 1200"/>
                              <a:gd name="T87" fmla="*/ 202 h 415"/>
                              <a:gd name="T88" fmla="*/ 119 w 1200"/>
                              <a:gd name="T89" fmla="*/ 186 h 415"/>
                              <a:gd name="T90" fmla="*/ 131 w 1200"/>
                              <a:gd name="T91" fmla="*/ 166 h 415"/>
                              <a:gd name="T92" fmla="*/ 134 w 1200"/>
                              <a:gd name="T93" fmla="*/ 139 h 415"/>
                              <a:gd name="T94" fmla="*/ 95 w 1200"/>
                              <a:gd name="T95" fmla="*/ 143 h 415"/>
                              <a:gd name="T96" fmla="*/ 89 w 1200"/>
                              <a:gd name="T97" fmla="*/ 163 h 415"/>
                              <a:gd name="T98" fmla="*/ 78 w 1200"/>
                              <a:gd name="T99" fmla="*/ 170 h 415"/>
                              <a:gd name="T100" fmla="*/ 63 w 1200"/>
                              <a:gd name="T101" fmla="*/ 172 h 415"/>
                              <a:gd name="T102" fmla="*/ 52 w 1200"/>
                              <a:gd name="T103" fmla="*/ 168 h 415"/>
                              <a:gd name="T104" fmla="*/ 42 w 1200"/>
                              <a:gd name="T105" fmla="*/ 156 h 415"/>
                              <a:gd name="T106" fmla="*/ 40 w 1200"/>
                              <a:gd name="T107" fmla="*/ 50 h 415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00" h="415">
                                <a:moveTo>
                                  <a:pt x="1011" y="341"/>
                                </a:moveTo>
                                <a:lnTo>
                                  <a:pt x="1011" y="167"/>
                                </a:lnTo>
                                <a:lnTo>
                                  <a:pt x="1030" y="167"/>
                                </a:lnTo>
                                <a:lnTo>
                                  <a:pt x="1040" y="169"/>
                                </a:lnTo>
                                <a:lnTo>
                                  <a:pt x="1049" y="170"/>
                                </a:lnTo>
                                <a:lnTo>
                                  <a:pt x="1059" y="171"/>
                                </a:lnTo>
                                <a:lnTo>
                                  <a:pt x="1067" y="174"/>
                                </a:lnTo>
                                <a:lnTo>
                                  <a:pt x="1074" y="177"/>
                                </a:lnTo>
                                <a:lnTo>
                                  <a:pt x="1082" y="182"/>
                                </a:lnTo>
                                <a:lnTo>
                                  <a:pt x="1088" y="187"/>
                                </a:lnTo>
                                <a:lnTo>
                                  <a:pt x="1094" y="194"/>
                                </a:lnTo>
                                <a:lnTo>
                                  <a:pt x="1099" y="200"/>
                                </a:lnTo>
                                <a:lnTo>
                                  <a:pt x="1104" y="206"/>
                                </a:lnTo>
                                <a:lnTo>
                                  <a:pt x="1108" y="213"/>
                                </a:lnTo>
                                <a:lnTo>
                                  <a:pt x="1112" y="221"/>
                                </a:lnTo>
                                <a:lnTo>
                                  <a:pt x="1114" y="228"/>
                                </a:lnTo>
                                <a:lnTo>
                                  <a:pt x="1116" y="237"/>
                                </a:lnTo>
                                <a:lnTo>
                                  <a:pt x="1117" y="245"/>
                                </a:lnTo>
                                <a:lnTo>
                                  <a:pt x="1117" y="253"/>
                                </a:lnTo>
                                <a:lnTo>
                                  <a:pt x="1117" y="262"/>
                                </a:lnTo>
                                <a:lnTo>
                                  <a:pt x="1116" y="271"/>
                                </a:lnTo>
                                <a:lnTo>
                                  <a:pt x="1114" y="278"/>
                                </a:lnTo>
                                <a:lnTo>
                                  <a:pt x="1112" y="287"/>
                                </a:lnTo>
                                <a:lnTo>
                                  <a:pt x="1108" y="294"/>
                                </a:lnTo>
                                <a:lnTo>
                                  <a:pt x="1104" y="301"/>
                                </a:lnTo>
                                <a:lnTo>
                                  <a:pt x="1099" y="308"/>
                                </a:lnTo>
                                <a:lnTo>
                                  <a:pt x="1094" y="314"/>
                                </a:lnTo>
                                <a:lnTo>
                                  <a:pt x="1088" y="321"/>
                                </a:lnTo>
                                <a:lnTo>
                                  <a:pt x="1082" y="326"/>
                                </a:lnTo>
                                <a:lnTo>
                                  <a:pt x="1074" y="331"/>
                                </a:lnTo>
                                <a:lnTo>
                                  <a:pt x="1067" y="334"/>
                                </a:lnTo>
                                <a:lnTo>
                                  <a:pt x="1059" y="337"/>
                                </a:lnTo>
                                <a:lnTo>
                                  <a:pt x="1049" y="338"/>
                                </a:lnTo>
                                <a:lnTo>
                                  <a:pt x="1040" y="339"/>
                                </a:lnTo>
                                <a:lnTo>
                                  <a:pt x="1030" y="341"/>
                                </a:lnTo>
                                <a:lnTo>
                                  <a:pt x="1011" y="341"/>
                                </a:lnTo>
                                <a:close/>
                                <a:moveTo>
                                  <a:pt x="931" y="408"/>
                                </a:moveTo>
                                <a:lnTo>
                                  <a:pt x="1049" y="408"/>
                                </a:lnTo>
                                <a:lnTo>
                                  <a:pt x="1064" y="407"/>
                                </a:lnTo>
                                <a:lnTo>
                                  <a:pt x="1079" y="404"/>
                                </a:lnTo>
                                <a:lnTo>
                                  <a:pt x="1093" y="400"/>
                                </a:lnTo>
                                <a:lnTo>
                                  <a:pt x="1107" y="395"/>
                                </a:lnTo>
                                <a:lnTo>
                                  <a:pt x="1121" y="389"/>
                                </a:lnTo>
                                <a:lnTo>
                                  <a:pt x="1133" y="380"/>
                                </a:lnTo>
                                <a:lnTo>
                                  <a:pt x="1144" y="372"/>
                                </a:lnTo>
                                <a:lnTo>
                                  <a:pt x="1155" y="362"/>
                                </a:lnTo>
                                <a:lnTo>
                                  <a:pt x="1165" y="351"/>
                                </a:lnTo>
                                <a:lnTo>
                                  <a:pt x="1174" y="339"/>
                                </a:lnTo>
                                <a:lnTo>
                                  <a:pt x="1182" y="326"/>
                                </a:lnTo>
                                <a:lnTo>
                                  <a:pt x="1188" y="313"/>
                                </a:lnTo>
                                <a:lnTo>
                                  <a:pt x="1194" y="298"/>
                                </a:lnTo>
                                <a:lnTo>
                                  <a:pt x="1198" y="284"/>
                                </a:lnTo>
                                <a:lnTo>
                                  <a:pt x="1200" y="270"/>
                                </a:lnTo>
                                <a:lnTo>
                                  <a:pt x="1200" y="253"/>
                                </a:lnTo>
                                <a:lnTo>
                                  <a:pt x="1200" y="238"/>
                                </a:lnTo>
                                <a:lnTo>
                                  <a:pt x="1198" y="223"/>
                                </a:lnTo>
                                <a:lnTo>
                                  <a:pt x="1194" y="208"/>
                                </a:lnTo>
                                <a:lnTo>
                                  <a:pt x="1188" y="195"/>
                                </a:lnTo>
                                <a:lnTo>
                                  <a:pt x="1182" y="181"/>
                                </a:lnTo>
                                <a:lnTo>
                                  <a:pt x="1174" y="169"/>
                                </a:lnTo>
                                <a:lnTo>
                                  <a:pt x="1165" y="157"/>
                                </a:lnTo>
                                <a:lnTo>
                                  <a:pt x="1155" y="146"/>
                                </a:lnTo>
                                <a:lnTo>
                                  <a:pt x="1144" y="136"/>
                                </a:lnTo>
                                <a:lnTo>
                                  <a:pt x="1133" y="126"/>
                                </a:lnTo>
                                <a:lnTo>
                                  <a:pt x="1121" y="119"/>
                                </a:lnTo>
                                <a:lnTo>
                                  <a:pt x="1107" y="113"/>
                                </a:lnTo>
                                <a:lnTo>
                                  <a:pt x="1093" y="108"/>
                                </a:lnTo>
                                <a:lnTo>
                                  <a:pt x="1079" y="103"/>
                                </a:lnTo>
                                <a:lnTo>
                                  <a:pt x="1064" y="101"/>
                                </a:lnTo>
                                <a:lnTo>
                                  <a:pt x="1049" y="100"/>
                                </a:lnTo>
                                <a:lnTo>
                                  <a:pt x="931" y="100"/>
                                </a:lnTo>
                                <a:lnTo>
                                  <a:pt x="931" y="408"/>
                                </a:lnTo>
                                <a:close/>
                                <a:moveTo>
                                  <a:pt x="775" y="293"/>
                                </a:moveTo>
                                <a:lnTo>
                                  <a:pt x="708" y="293"/>
                                </a:lnTo>
                                <a:lnTo>
                                  <a:pt x="742" y="195"/>
                                </a:lnTo>
                                <a:lnTo>
                                  <a:pt x="775" y="293"/>
                                </a:lnTo>
                                <a:close/>
                                <a:moveTo>
                                  <a:pt x="797" y="354"/>
                                </a:moveTo>
                                <a:lnTo>
                                  <a:pt x="817" y="408"/>
                                </a:lnTo>
                                <a:lnTo>
                                  <a:pt x="901" y="408"/>
                                </a:lnTo>
                                <a:lnTo>
                                  <a:pt x="785" y="100"/>
                                </a:lnTo>
                                <a:lnTo>
                                  <a:pt x="698" y="100"/>
                                </a:lnTo>
                                <a:lnTo>
                                  <a:pt x="581" y="408"/>
                                </a:lnTo>
                                <a:lnTo>
                                  <a:pt x="665" y="408"/>
                                </a:lnTo>
                                <a:lnTo>
                                  <a:pt x="686" y="354"/>
                                </a:lnTo>
                                <a:lnTo>
                                  <a:pt x="797" y="354"/>
                                </a:lnTo>
                                <a:close/>
                                <a:moveTo>
                                  <a:pt x="347" y="37"/>
                                </a:moveTo>
                                <a:lnTo>
                                  <a:pt x="430" y="83"/>
                                </a:lnTo>
                                <a:lnTo>
                                  <a:pt x="513" y="37"/>
                                </a:lnTo>
                                <a:lnTo>
                                  <a:pt x="491" y="3"/>
                                </a:lnTo>
                                <a:lnTo>
                                  <a:pt x="430" y="34"/>
                                </a:lnTo>
                                <a:lnTo>
                                  <a:pt x="369" y="3"/>
                                </a:lnTo>
                                <a:lnTo>
                                  <a:pt x="347" y="37"/>
                                </a:lnTo>
                                <a:close/>
                                <a:moveTo>
                                  <a:pt x="407" y="238"/>
                                </a:moveTo>
                                <a:lnTo>
                                  <a:pt x="407" y="161"/>
                                </a:lnTo>
                                <a:lnTo>
                                  <a:pt x="422" y="161"/>
                                </a:lnTo>
                                <a:lnTo>
                                  <a:pt x="432" y="162"/>
                                </a:lnTo>
                                <a:lnTo>
                                  <a:pt x="442" y="164"/>
                                </a:lnTo>
                                <a:lnTo>
                                  <a:pt x="449" y="166"/>
                                </a:lnTo>
                                <a:lnTo>
                                  <a:pt x="455" y="170"/>
                                </a:lnTo>
                                <a:lnTo>
                                  <a:pt x="461" y="176"/>
                                </a:lnTo>
                                <a:lnTo>
                                  <a:pt x="466" y="182"/>
                                </a:lnTo>
                                <a:lnTo>
                                  <a:pt x="469" y="191"/>
                                </a:lnTo>
                                <a:lnTo>
                                  <a:pt x="470" y="200"/>
                                </a:lnTo>
                                <a:lnTo>
                                  <a:pt x="469" y="208"/>
                                </a:lnTo>
                                <a:lnTo>
                                  <a:pt x="466" y="216"/>
                                </a:lnTo>
                                <a:lnTo>
                                  <a:pt x="461" y="223"/>
                                </a:lnTo>
                                <a:lnTo>
                                  <a:pt x="455" y="230"/>
                                </a:lnTo>
                                <a:lnTo>
                                  <a:pt x="449" y="233"/>
                                </a:lnTo>
                                <a:lnTo>
                                  <a:pt x="442" y="236"/>
                                </a:lnTo>
                                <a:lnTo>
                                  <a:pt x="432" y="237"/>
                                </a:lnTo>
                                <a:lnTo>
                                  <a:pt x="422" y="238"/>
                                </a:lnTo>
                                <a:lnTo>
                                  <a:pt x="407" y="238"/>
                                </a:lnTo>
                                <a:close/>
                                <a:moveTo>
                                  <a:pt x="485" y="282"/>
                                </a:moveTo>
                                <a:lnTo>
                                  <a:pt x="498" y="278"/>
                                </a:lnTo>
                                <a:lnTo>
                                  <a:pt x="508" y="275"/>
                                </a:lnTo>
                                <a:lnTo>
                                  <a:pt x="516" y="270"/>
                                </a:lnTo>
                                <a:lnTo>
                                  <a:pt x="525" y="263"/>
                                </a:lnTo>
                                <a:lnTo>
                                  <a:pt x="531" y="257"/>
                                </a:lnTo>
                                <a:lnTo>
                                  <a:pt x="536" y="250"/>
                                </a:lnTo>
                                <a:lnTo>
                                  <a:pt x="541" y="242"/>
                                </a:lnTo>
                                <a:lnTo>
                                  <a:pt x="545" y="233"/>
                                </a:lnTo>
                                <a:lnTo>
                                  <a:pt x="549" y="225"/>
                                </a:lnTo>
                                <a:lnTo>
                                  <a:pt x="551" y="215"/>
                                </a:lnTo>
                                <a:lnTo>
                                  <a:pt x="552" y="205"/>
                                </a:lnTo>
                                <a:lnTo>
                                  <a:pt x="552" y="195"/>
                                </a:lnTo>
                                <a:lnTo>
                                  <a:pt x="552" y="186"/>
                                </a:lnTo>
                                <a:lnTo>
                                  <a:pt x="551" y="176"/>
                                </a:lnTo>
                                <a:lnTo>
                                  <a:pt x="549" y="167"/>
                                </a:lnTo>
                                <a:lnTo>
                                  <a:pt x="546" y="159"/>
                                </a:lnTo>
                                <a:lnTo>
                                  <a:pt x="542" y="150"/>
                                </a:lnTo>
                                <a:lnTo>
                                  <a:pt x="537" y="141"/>
                                </a:lnTo>
                                <a:lnTo>
                                  <a:pt x="532" y="134"/>
                                </a:lnTo>
                                <a:lnTo>
                                  <a:pt x="526" y="128"/>
                                </a:lnTo>
                                <a:lnTo>
                                  <a:pt x="519" y="120"/>
                                </a:lnTo>
                                <a:lnTo>
                                  <a:pt x="511" y="115"/>
                                </a:lnTo>
                                <a:lnTo>
                                  <a:pt x="504" y="110"/>
                                </a:lnTo>
                                <a:lnTo>
                                  <a:pt x="495" y="106"/>
                                </a:lnTo>
                                <a:lnTo>
                                  <a:pt x="485" y="104"/>
                                </a:lnTo>
                                <a:lnTo>
                                  <a:pt x="475" y="101"/>
                                </a:lnTo>
                                <a:lnTo>
                                  <a:pt x="463" y="100"/>
                                </a:lnTo>
                                <a:lnTo>
                                  <a:pt x="450" y="100"/>
                                </a:lnTo>
                                <a:lnTo>
                                  <a:pt x="327" y="100"/>
                                </a:lnTo>
                                <a:lnTo>
                                  <a:pt x="327" y="408"/>
                                </a:lnTo>
                                <a:lnTo>
                                  <a:pt x="407" y="408"/>
                                </a:lnTo>
                                <a:lnTo>
                                  <a:pt x="407" y="289"/>
                                </a:lnTo>
                                <a:lnTo>
                                  <a:pt x="483" y="408"/>
                                </a:lnTo>
                                <a:lnTo>
                                  <a:pt x="582" y="408"/>
                                </a:lnTo>
                                <a:lnTo>
                                  <a:pt x="485" y="282"/>
                                </a:lnTo>
                                <a:close/>
                                <a:moveTo>
                                  <a:pt x="210" y="35"/>
                                </a:moveTo>
                                <a:lnTo>
                                  <a:pt x="171" y="0"/>
                                </a:lnTo>
                                <a:lnTo>
                                  <a:pt x="105" y="56"/>
                                </a:lnTo>
                                <a:lnTo>
                                  <a:pt x="133" y="85"/>
                                </a:lnTo>
                                <a:lnTo>
                                  <a:pt x="210" y="35"/>
                                </a:lnTo>
                                <a:close/>
                                <a:moveTo>
                                  <a:pt x="80" y="100"/>
                                </a:moveTo>
                                <a:lnTo>
                                  <a:pt x="0" y="100"/>
                                </a:lnTo>
                                <a:lnTo>
                                  <a:pt x="0" y="278"/>
                                </a:lnTo>
                                <a:lnTo>
                                  <a:pt x="0" y="293"/>
                                </a:lnTo>
                                <a:lnTo>
                                  <a:pt x="2" y="308"/>
                                </a:lnTo>
                                <a:lnTo>
                                  <a:pt x="3" y="321"/>
                                </a:lnTo>
                                <a:lnTo>
                                  <a:pt x="5" y="333"/>
                                </a:lnTo>
                                <a:lnTo>
                                  <a:pt x="9" y="343"/>
                                </a:lnTo>
                                <a:lnTo>
                                  <a:pt x="13" y="353"/>
                                </a:lnTo>
                                <a:lnTo>
                                  <a:pt x="17" y="362"/>
                                </a:lnTo>
                                <a:lnTo>
                                  <a:pt x="23" y="369"/>
                                </a:lnTo>
                                <a:lnTo>
                                  <a:pt x="32" y="379"/>
                                </a:lnTo>
                                <a:lnTo>
                                  <a:pt x="43" y="389"/>
                                </a:lnTo>
                                <a:lnTo>
                                  <a:pt x="54" y="397"/>
                                </a:lnTo>
                                <a:lnTo>
                                  <a:pt x="68" y="403"/>
                                </a:lnTo>
                                <a:lnTo>
                                  <a:pt x="83" y="409"/>
                                </a:lnTo>
                                <a:lnTo>
                                  <a:pt x="99" y="413"/>
                                </a:lnTo>
                                <a:lnTo>
                                  <a:pt x="115" y="415"/>
                                </a:lnTo>
                                <a:lnTo>
                                  <a:pt x="133" y="415"/>
                                </a:lnTo>
                                <a:lnTo>
                                  <a:pt x="149" y="415"/>
                                </a:lnTo>
                                <a:lnTo>
                                  <a:pt x="165" y="413"/>
                                </a:lnTo>
                                <a:lnTo>
                                  <a:pt x="179" y="409"/>
                                </a:lnTo>
                                <a:lnTo>
                                  <a:pt x="192" y="404"/>
                                </a:lnTo>
                                <a:lnTo>
                                  <a:pt x="206" y="399"/>
                                </a:lnTo>
                                <a:lnTo>
                                  <a:pt x="217" y="392"/>
                                </a:lnTo>
                                <a:lnTo>
                                  <a:pt x="228" y="383"/>
                                </a:lnTo>
                                <a:lnTo>
                                  <a:pt x="238" y="372"/>
                                </a:lnTo>
                                <a:lnTo>
                                  <a:pt x="246" y="363"/>
                                </a:lnTo>
                                <a:lnTo>
                                  <a:pt x="253" y="353"/>
                                </a:lnTo>
                                <a:lnTo>
                                  <a:pt x="258" y="343"/>
                                </a:lnTo>
                                <a:lnTo>
                                  <a:pt x="262" y="333"/>
                                </a:lnTo>
                                <a:lnTo>
                                  <a:pt x="265" y="321"/>
                                </a:lnTo>
                                <a:lnTo>
                                  <a:pt x="267" y="308"/>
                                </a:lnTo>
                                <a:lnTo>
                                  <a:pt x="268" y="293"/>
                                </a:lnTo>
                                <a:lnTo>
                                  <a:pt x="268" y="278"/>
                                </a:lnTo>
                                <a:lnTo>
                                  <a:pt x="268" y="100"/>
                                </a:lnTo>
                                <a:lnTo>
                                  <a:pt x="189" y="100"/>
                                </a:lnTo>
                                <a:lnTo>
                                  <a:pt x="189" y="267"/>
                                </a:lnTo>
                                <a:lnTo>
                                  <a:pt x="189" y="287"/>
                                </a:lnTo>
                                <a:lnTo>
                                  <a:pt x="187" y="301"/>
                                </a:lnTo>
                                <a:lnTo>
                                  <a:pt x="185" y="311"/>
                                </a:lnTo>
                                <a:lnTo>
                                  <a:pt x="181" y="321"/>
                                </a:lnTo>
                                <a:lnTo>
                                  <a:pt x="177" y="326"/>
                                </a:lnTo>
                                <a:lnTo>
                                  <a:pt x="172" y="331"/>
                                </a:lnTo>
                                <a:lnTo>
                                  <a:pt x="167" y="334"/>
                                </a:lnTo>
                                <a:lnTo>
                                  <a:pt x="161" y="338"/>
                                </a:lnTo>
                                <a:lnTo>
                                  <a:pt x="155" y="341"/>
                                </a:lnTo>
                                <a:lnTo>
                                  <a:pt x="149" y="343"/>
                                </a:lnTo>
                                <a:lnTo>
                                  <a:pt x="141" y="344"/>
                                </a:lnTo>
                                <a:lnTo>
                                  <a:pt x="134" y="346"/>
                                </a:lnTo>
                                <a:lnTo>
                                  <a:pt x="126" y="344"/>
                                </a:lnTo>
                                <a:lnTo>
                                  <a:pt x="120" y="343"/>
                                </a:lnTo>
                                <a:lnTo>
                                  <a:pt x="114" y="342"/>
                                </a:lnTo>
                                <a:lnTo>
                                  <a:pt x="108" y="339"/>
                                </a:lnTo>
                                <a:lnTo>
                                  <a:pt x="103" y="336"/>
                                </a:lnTo>
                                <a:lnTo>
                                  <a:pt x="98" y="332"/>
                                </a:lnTo>
                                <a:lnTo>
                                  <a:pt x="93" y="327"/>
                                </a:lnTo>
                                <a:lnTo>
                                  <a:pt x="89" y="322"/>
                                </a:lnTo>
                                <a:lnTo>
                                  <a:pt x="84" y="312"/>
                                </a:lnTo>
                                <a:lnTo>
                                  <a:pt x="81" y="302"/>
                                </a:lnTo>
                                <a:lnTo>
                                  <a:pt x="80" y="288"/>
                                </a:lnTo>
                                <a:lnTo>
                                  <a:pt x="80" y="267"/>
                                </a:lnTo>
                                <a:lnTo>
                                  <a:pt x="8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1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3"/>
                        <wps:cNvSpPr>
                          <a:spLocks noChangeAspect="1" noEditPoints="1"/>
                        </wps:cNvSpPr>
                        <wps:spPr bwMode="auto">
                          <a:xfrm>
                            <a:off x="1962" y="1081"/>
                            <a:ext cx="1319" cy="208"/>
                          </a:xfrm>
                          <a:custGeom>
                            <a:avLst/>
                            <a:gdLst>
                              <a:gd name="T0" fmla="*/ 1221 w 2637"/>
                              <a:gd name="T1" fmla="*/ 204 h 416"/>
                              <a:gd name="T2" fmla="*/ 1166 w 2637"/>
                              <a:gd name="T3" fmla="*/ 50 h 416"/>
                              <a:gd name="T4" fmla="*/ 1072 w 2637"/>
                              <a:gd name="T5" fmla="*/ 137 h 416"/>
                              <a:gd name="T6" fmla="*/ 1004 w 2637"/>
                              <a:gd name="T7" fmla="*/ 54 h 416"/>
                              <a:gd name="T8" fmla="*/ 943 w 2637"/>
                              <a:gd name="T9" fmla="*/ 51 h 416"/>
                              <a:gd name="T10" fmla="*/ 900 w 2637"/>
                              <a:gd name="T11" fmla="*/ 82 h 416"/>
                              <a:gd name="T12" fmla="*/ 887 w 2637"/>
                              <a:gd name="T13" fmla="*/ 136 h 416"/>
                              <a:gd name="T14" fmla="*/ 907 w 2637"/>
                              <a:gd name="T15" fmla="*/ 181 h 416"/>
                              <a:gd name="T16" fmla="*/ 959 w 2637"/>
                              <a:gd name="T17" fmla="*/ 208 h 416"/>
                              <a:gd name="T18" fmla="*/ 1000 w 2637"/>
                              <a:gd name="T19" fmla="*/ 157 h 416"/>
                              <a:gd name="T20" fmla="*/ 969 w 2637"/>
                              <a:gd name="T21" fmla="*/ 169 h 416"/>
                              <a:gd name="T22" fmla="*/ 945 w 2637"/>
                              <a:gd name="T23" fmla="*/ 161 h 416"/>
                              <a:gd name="T24" fmla="*/ 929 w 2637"/>
                              <a:gd name="T25" fmla="*/ 137 h 416"/>
                              <a:gd name="T26" fmla="*/ 933 w 2637"/>
                              <a:gd name="T27" fmla="*/ 107 h 416"/>
                              <a:gd name="T28" fmla="*/ 953 w 2637"/>
                              <a:gd name="T29" fmla="*/ 89 h 416"/>
                              <a:gd name="T30" fmla="*/ 984 w 2637"/>
                              <a:gd name="T31" fmla="*/ 88 h 416"/>
                              <a:gd name="T32" fmla="*/ 864 w 2637"/>
                              <a:gd name="T33" fmla="*/ 50 h 416"/>
                              <a:gd name="T34" fmla="*/ 802 w 2637"/>
                              <a:gd name="T35" fmla="*/ 50 h 416"/>
                              <a:gd name="T36" fmla="*/ 680 w 2637"/>
                              <a:gd name="T37" fmla="*/ 59 h 416"/>
                              <a:gd name="T38" fmla="*/ 638 w 2637"/>
                              <a:gd name="T39" fmla="*/ 46 h 416"/>
                              <a:gd name="T40" fmla="*/ 602 w 2637"/>
                              <a:gd name="T41" fmla="*/ 54 h 416"/>
                              <a:gd name="T42" fmla="*/ 581 w 2637"/>
                              <a:gd name="T43" fmla="*/ 82 h 416"/>
                              <a:gd name="T44" fmla="*/ 583 w 2637"/>
                              <a:gd name="T45" fmla="*/ 116 h 416"/>
                              <a:gd name="T46" fmla="*/ 610 w 2637"/>
                              <a:gd name="T47" fmla="*/ 138 h 416"/>
                              <a:gd name="T48" fmla="*/ 644 w 2637"/>
                              <a:gd name="T49" fmla="*/ 153 h 416"/>
                              <a:gd name="T50" fmla="*/ 637 w 2637"/>
                              <a:gd name="T51" fmla="*/ 171 h 416"/>
                              <a:gd name="T52" fmla="*/ 608 w 2637"/>
                              <a:gd name="T53" fmla="*/ 170 h 416"/>
                              <a:gd name="T54" fmla="*/ 586 w 2637"/>
                              <a:gd name="T55" fmla="*/ 198 h 416"/>
                              <a:gd name="T56" fmla="*/ 633 w 2637"/>
                              <a:gd name="T57" fmla="*/ 208 h 416"/>
                              <a:gd name="T58" fmla="*/ 671 w 2637"/>
                              <a:gd name="T59" fmla="*/ 193 h 416"/>
                              <a:gd name="T60" fmla="*/ 687 w 2637"/>
                              <a:gd name="T61" fmla="*/ 160 h 416"/>
                              <a:gd name="T62" fmla="*/ 678 w 2637"/>
                              <a:gd name="T63" fmla="*/ 126 h 416"/>
                              <a:gd name="T64" fmla="*/ 638 w 2637"/>
                              <a:gd name="T65" fmla="*/ 107 h 416"/>
                              <a:gd name="T66" fmla="*/ 621 w 2637"/>
                              <a:gd name="T67" fmla="*/ 93 h 416"/>
                              <a:gd name="T68" fmla="*/ 635 w 2637"/>
                              <a:gd name="T69" fmla="*/ 80 h 416"/>
                              <a:gd name="T70" fmla="*/ 665 w 2637"/>
                              <a:gd name="T71" fmla="*/ 90 h 416"/>
                              <a:gd name="T72" fmla="*/ 452 w 2637"/>
                              <a:gd name="T73" fmla="*/ 84 h 416"/>
                              <a:gd name="T74" fmla="*/ 452 w 2637"/>
                              <a:gd name="T75" fmla="*/ 204 h 416"/>
                              <a:gd name="T76" fmla="*/ 343 w 2637"/>
                              <a:gd name="T77" fmla="*/ 204 h 416"/>
                              <a:gd name="T78" fmla="*/ 333 w 2637"/>
                              <a:gd name="T79" fmla="*/ 177 h 416"/>
                              <a:gd name="T80" fmla="*/ 158 w 2637"/>
                              <a:gd name="T81" fmla="*/ 204 h 416"/>
                              <a:gd name="T82" fmla="*/ 84 w 2637"/>
                              <a:gd name="T83" fmla="*/ 49 h 416"/>
                              <a:gd name="T84" fmla="*/ 42 w 2637"/>
                              <a:gd name="T85" fmla="*/ 48 h 416"/>
                              <a:gd name="T86" fmla="*/ 14 w 2637"/>
                              <a:gd name="T87" fmla="*/ 68 h 416"/>
                              <a:gd name="T88" fmla="*/ 6 w 2637"/>
                              <a:gd name="T89" fmla="*/ 103 h 416"/>
                              <a:gd name="T90" fmla="*/ 19 w 2637"/>
                              <a:gd name="T91" fmla="*/ 128 h 416"/>
                              <a:gd name="T92" fmla="*/ 64 w 2637"/>
                              <a:gd name="T93" fmla="*/ 147 h 416"/>
                              <a:gd name="T94" fmla="*/ 71 w 2637"/>
                              <a:gd name="T95" fmla="*/ 165 h 416"/>
                              <a:gd name="T96" fmla="*/ 48 w 2637"/>
                              <a:gd name="T97" fmla="*/ 174 h 416"/>
                              <a:gd name="T98" fmla="*/ 17 w 2637"/>
                              <a:gd name="T99" fmla="*/ 158 h 416"/>
                              <a:gd name="T100" fmla="*/ 40 w 2637"/>
                              <a:gd name="T101" fmla="*/ 207 h 416"/>
                              <a:gd name="T102" fmla="*/ 84 w 2637"/>
                              <a:gd name="T103" fmla="*/ 202 h 416"/>
                              <a:gd name="T104" fmla="*/ 110 w 2637"/>
                              <a:gd name="T105" fmla="*/ 176 h 416"/>
                              <a:gd name="T106" fmla="*/ 110 w 2637"/>
                              <a:gd name="T107" fmla="*/ 135 h 416"/>
                              <a:gd name="T108" fmla="*/ 93 w 2637"/>
                              <a:gd name="T109" fmla="*/ 117 h 416"/>
                              <a:gd name="T110" fmla="*/ 50 w 2637"/>
                              <a:gd name="T111" fmla="*/ 99 h 416"/>
                              <a:gd name="T112" fmla="*/ 53 w 2637"/>
                              <a:gd name="T113" fmla="*/ 84 h 416"/>
                              <a:gd name="T114" fmla="*/ 76 w 2637"/>
                              <a:gd name="T115" fmla="*/ 81 h 41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637" h="416">
                                <a:moveTo>
                                  <a:pt x="2561" y="35"/>
                                </a:moveTo>
                                <a:lnTo>
                                  <a:pt x="2524" y="0"/>
                                </a:lnTo>
                                <a:lnTo>
                                  <a:pt x="2458" y="56"/>
                                </a:lnTo>
                                <a:lnTo>
                                  <a:pt x="2485" y="84"/>
                                </a:lnTo>
                                <a:lnTo>
                                  <a:pt x="2561" y="35"/>
                                </a:lnTo>
                                <a:close/>
                                <a:moveTo>
                                  <a:pt x="2442" y="260"/>
                                </a:moveTo>
                                <a:lnTo>
                                  <a:pt x="2442" y="407"/>
                                </a:lnTo>
                                <a:lnTo>
                                  <a:pt x="2521" y="407"/>
                                </a:lnTo>
                                <a:lnTo>
                                  <a:pt x="2521" y="260"/>
                                </a:lnTo>
                                <a:lnTo>
                                  <a:pt x="2637" y="99"/>
                                </a:lnTo>
                                <a:lnTo>
                                  <a:pt x="2540" y="99"/>
                                </a:lnTo>
                                <a:lnTo>
                                  <a:pt x="2484" y="183"/>
                                </a:lnTo>
                                <a:lnTo>
                                  <a:pt x="2427" y="99"/>
                                </a:lnTo>
                                <a:lnTo>
                                  <a:pt x="2331" y="99"/>
                                </a:lnTo>
                                <a:lnTo>
                                  <a:pt x="2442" y="260"/>
                                </a:lnTo>
                                <a:close/>
                                <a:moveTo>
                                  <a:pt x="2143" y="226"/>
                                </a:moveTo>
                                <a:lnTo>
                                  <a:pt x="2143" y="99"/>
                                </a:lnTo>
                                <a:lnTo>
                                  <a:pt x="2063" y="99"/>
                                </a:lnTo>
                                <a:lnTo>
                                  <a:pt x="2063" y="407"/>
                                </a:lnTo>
                                <a:lnTo>
                                  <a:pt x="2143" y="407"/>
                                </a:lnTo>
                                <a:lnTo>
                                  <a:pt x="2143" y="274"/>
                                </a:lnTo>
                                <a:lnTo>
                                  <a:pt x="2247" y="407"/>
                                </a:lnTo>
                                <a:lnTo>
                                  <a:pt x="2351" y="407"/>
                                </a:lnTo>
                                <a:lnTo>
                                  <a:pt x="2217" y="245"/>
                                </a:lnTo>
                                <a:lnTo>
                                  <a:pt x="2340" y="99"/>
                                </a:lnTo>
                                <a:lnTo>
                                  <a:pt x="2240" y="99"/>
                                </a:lnTo>
                                <a:lnTo>
                                  <a:pt x="2143" y="226"/>
                                </a:lnTo>
                                <a:close/>
                                <a:moveTo>
                                  <a:pt x="2008" y="108"/>
                                </a:moveTo>
                                <a:lnTo>
                                  <a:pt x="1987" y="102"/>
                                </a:lnTo>
                                <a:lnTo>
                                  <a:pt x="1969" y="97"/>
                                </a:lnTo>
                                <a:lnTo>
                                  <a:pt x="1952" y="93"/>
                                </a:lnTo>
                                <a:lnTo>
                                  <a:pt x="1936" y="93"/>
                                </a:lnTo>
                                <a:lnTo>
                                  <a:pt x="1918" y="93"/>
                                </a:lnTo>
                                <a:lnTo>
                                  <a:pt x="1902" y="96"/>
                                </a:lnTo>
                                <a:lnTo>
                                  <a:pt x="1886" y="101"/>
                                </a:lnTo>
                                <a:lnTo>
                                  <a:pt x="1871" y="106"/>
                                </a:lnTo>
                                <a:lnTo>
                                  <a:pt x="1857" y="112"/>
                                </a:lnTo>
                                <a:lnTo>
                                  <a:pt x="1844" y="121"/>
                                </a:lnTo>
                                <a:lnTo>
                                  <a:pt x="1831" y="129"/>
                                </a:lnTo>
                                <a:lnTo>
                                  <a:pt x="1820" y="140"/>
                                </a:lnTo>
                                <a:lnTo>
                                  <a:pt x="1809" y="152"/>
                                </a:lnTo>
                                <a:lnTo>
                                  <a:pt x="1800" y="164"/>
                                </a:lnTo>
                                <a:lnTo>
                                  <a:pt x="1791" y="178"/>
                                </a:lnTo>
                                <a:lnTo>
                                  <a:pt x="1785" y="192"/>
                                </a:lnTo>
                                <a:lnTo>
                                  <a:pt x="1780" y="207"/>
                                </a:lnTo>
                                <a:lnTo>
                                  <a:pt x="1775" y="223"/>
                                </a:lnTo>
                                <a:lnTo>
                                  <a:pt x="1773" y="239"/>
                                </a:lnTo>
                                <a:lnTo>
                                  <a:pt x="1773" y="256"/>
                                </a:lnTo>
                                <a:lnTo>
                                  <a:pt x="1773" y="271"/>
                                </a:lnTo>
                                <a:lnTo>
                                  <a:pt x="1775" y="286"/>
                                </a:lnTo>
                                <a:lnTo>
                                  <a:pt x="1778" y="300"/>
                                </a:lnTo>
                                <a:lnTo>
                                  <a:pt x="1783" y="314"/>
                                </a:lnTo>
                                <a:lnTo>
                                  <a:pt x="1789" y="327"/>
                                </a:lnTo>
                                <a:lnTo>
                                  <a:pt x="1795" y="340"/>
                                </a:lnTo>
                                <a:lnTo>
                                  <a:pt x="1804" y="351"/>
                                </a:lnTo>
                                <a:lnTo>
                                  <a:pt x="1813" y="362"/>
                                </a:lnTo>
                                <a:lnTo>
                                  <a:pt x="1825" y="373"/>
                                </a:lnTo>
                                <a:lnTo>
                                  <a:pt x="1839" y="385"/>
                                </a:lnTo>
                                <a:lnTo>
                                  <a:pt x="1854" y="393"/>
                                </a:lnTo>
                                <a:lnTo>
                                  <a:pt x="1869" y="401"/>
                                </a:lnTo>
                                <a:lnTo>
                                  <a:pt x="1885" y="407"/>
                                </a:lnTo>
                                <a:lnTo>
                                  <a:pt x="1902" y="412"/>
                                </a:lnTo>
                                <a:lnTo>
                                  <a:pt x="1918" y="415"/>
                                </a:lnTo>
                                <a:lnTo>
                                  <a:pt x="1936" y="416"/>
                                </a:lnTo>
                                <a:lnTo>
                                  <a:pt x="1951" y="415"/>
                                </a:lnTo>
                                <a:lnTo>
                                  <a:pt x="1966" y="413"/>
                                </a:lnTo>
                                <a:lnTo>
                                  <a:pt x="1983" y="408"/>
                                </a:lnTo>
                                <a:lnTo>
                                  <a:pt x="2008" y="401"/>
                                </a:lnTo>
                                <a:lnTo>
                                  <a:pt x="2008" y="306"/>
                                </a:lnTo>
                                <a:lnTo>
                                  <a:pt x="1999" y="314"/>
                                </a:lnTo>
                                <a:lnTo>
                                  <a:pt x="1992" y="320"/>
                                </a:lnTo>
                                <a:lnTo>
                                  <a:pt x="1983" y="326"/>
                                </a:lnTo>
                                <a:lnTo>
                                  <a:pt x="1976" y="330"/>
                                </a:lnTo>
                                <a:lnTo>
                                  <a:pt x="1967" y="334"/>
                                </a:lnTo>
                                <a:lnTo>
                                  <a:pt x="1957" y="336"/>
                                </a:lnTo>
                                <a:lnTo>
                                  <a:pt x="1948" y="337"/>
                                </a:lnTo>
                                <a:lnTo>
                                  <a:pt x="1938" y="337"/>
                                </a:lnTo>
                                <a:lnTo>
                                  <a:pt x="1931" y="337"/>
                                </a:lnTo>
                                <a:lnTo>
                                  <a:pt x="1923" y="336"/>
                                </a:lnTo>
                                <a:lnTo>
                                  <a:pt x="1916" y="335"/>
                                </a:lnTo>
                                <a:lnTo>
                                  <a:pt x="1908" y="332"/>
                                </a:lnTo>
                                <a:lnTo>
                                  <a:pt x="1902" y="330"/>
                                </a:lnTo>
                                <a:lnTo>
                                  <a:pt x="1896" y="326"/>
                                </a:lnTo>
                                <a:lnTo>
                                  <a:pt x="1889" y="322"/>
                                </a:lnTo>
                                <a:lnTo>
                                  <a:pt x="1884" y="317"/>
                                </a:lnTo>
                                <a:lnTo>
                                  <a:pt x="1876" y="311"/>
                                </a:lnTo>
                                <a:lnTo>
                                  <a:pt x="1871" y="305"/>
                                </a:lnTo>
                                <a:lnTo>
                                  <a:pt x="1866" y="299"/>
                                </a:lnTo>
                                <a:lnTo>
                                  <a:pt x="1862" y="291"/>
                                </a:lnTo>
                                <a:lnTo>
                                  <a:pt x="1860" y="283"/>
                                </a:lnTo>
                                <a:lnTo>
                                  <a:pt x="1857" y="274"/>
                                </a:lnTo>
                                <a:lnTo>
                                  <a:pt x="1856" y="265"/>
                                </a:lnTo>
                                <a:lnTo>
                                  <a:pt x="1856" y="255"/>
                                </a:lnTo>
                                <a:lnTo>
                                  <a:pt x="1856" y="246"/>
                                </a:lnTo>
                                <a:lnTo>
                                  <a:pt x="1857" y="238"/>
                                </a:lnTo>
                                <a:lnTo>
                                  <a:pt x="1860" y="229"/>
                                </a:lnTo>
                                <a:lnTo>
                                  <a:pt x="1862" y="221"/>
                                </a:lnTo>
                                <a:lnTo>
                                  <a:pt x="1865" y="214"/>
                                </a:lnTo>
                                <a:lnTo>
                                  <a:pt x="1870" y="207"/>
                                </a:lnTo>
                                <a:lnTo>
                                  <a:pt x="1874" y="200"/>
                                </a:lnTo>
                                <a:lnTo>
                                  <a:pt x="1879" y="194"/>
                                </a:lnTo>
                                <a:lnTo>
                                  <a:pt x="1885" y="189"/>
                                </a:lnTo>
                                <a:lnTo>
                                  <a:pt x="1891" y="184"/>
                                </a:lnTo>
                                <a:lnTo>
                                  <a:pt x="1898" y="180"/>
                                </a:lnTo>
                                <a:lnTo>
                                  <a:pt x="1905" y="177"/>
                                </a:lnTo>
                                <a:lnTo>
                                  <a:pt x="1913" y="174"/>
                                </a:lnTo>
                                <a:lnTo>
                                  <a:pt x="1921" y="172"/>
                                </a:lnTo>
                                <a:lnTo>
                                  <a:pt x="1930" y="170"/>
                                </a:lnTo>
                                <a:lnTo>
                                  <a:pt x="1938" y="170"/>
                                </a:lnTo>
                                <a:lnTo>
                                  <a:pt x="1948" y="170"/>
                                </a:lnTo>
                                <a:lnTo>
                                  <a:pt x="1958" y="173"/>
                                </a:lnTo>
                                <a:lnTo>
                                  <a:pt x="1967" y="175"/>
                                </a:lnTo>
                                <a:lnTo>
                                  <a:pt x="1977" y="179"/>
                                </a:lnTo>
                                <a:lnTo>
                                  <a:pt x="1984" y="184"/>
                                </a:lnTo>
                                <a:lnTo>
                                  <a:pt x="1993" y="189"/>
                                </a:lnTo>
                                <a:lnTo>
                                  <a:pt x="2001" y="197"/>
                                </a:lnTo>
                                <a:lnTo>
                                  <a:pt x="2008" y="204"/>
                                </a:lnTo>
                                <a:lnTo>
                                  <a:pt x="2008" y="108"/>
                                </a:lnTo>
                                <a:close/>
                                <a:moveTo>
                                  <a:pt x="1727" y="99"/>
                                </a:moveTo>
                                <a:lnTo>
                                  <a:pt x="1647" y="99"/>
                                </a:lnTo>
                                <a:lnTo>
                                  <a:pt x="1647" y="407"/>
                                </a:lnTo>
                                <a:lnTo>
                                  <a:pt x="1727" y="407"/>
                                </a:lnTo>
                                <a:lnTo>
                                  <a:pt x="1727" y="99"/>
                                </a:lnTo>
                                <a:close/>
                                <a:moveTo>
                                  <a:pt x="1538" y="167"/>
                                </a:moveTo>
                                <a:lnTo>
                                  <a:pt x="1604" y="167"/>
                                </a:lnTo>
                                <a:lnTo>
                                  <a:pt x="1604" y="99"/>
                                </a:lnTo>
                                <a:lnTo>
                                  <a:pt x="1394" y="99"/>
                                </a:lnTo>
                                <a:lnTo>
                                  <a:pt x="1394" y="167"/>
                                </a:lnTo>
                                <a:lnTo>
                                  <a:pt x="1459" y="167"/>
                                </a:lnTo>
                                <a:lnTo>
                                  <a:pt x="1459" y="407"/>
                                </a:lnTo>
                                <a:lnTo>
                                  <a:pt x="1538" y="407"/>
                                </a:lnTo>
                                <a:lnTo>
                                  <a:pt x="1538" y="167"/>
                                </a:lnTo>
                                <a:close/>
                                <a:moveTo>
                                  <a:pt x="1360" y="117"/>
                                </a:moveTo>
                                <a:lnTo>
                                  <a:pt x="1349" y="111"/>
                                </a:lnTo>
                                <a:lnTo>
                                  <a:pt x="1337" y="106"/>
                                </a:lnTo>
                                <a:lnTo>
                                  <a:pt x="1324" y="102"/>
                                </a:lnTo>
                                <a:lnTo>
                                  <a:pt x="1313" y="98"/>
                                </a:lnTo>
                                <a:lnTo>
                                  <a:pt x="1300" y="96"/>
                                </a:lnTo>
                                <a:lnTo>
                                  <a:pt x="1288" y="93"/>
                                </a:lnTo>
                                <a:lnTo>
                                  <a:pt x="1276" y="92"/>
                                </a:lnTo>
                                <a:lnTo>
                                  <a:pt x="1263" y="92"/>
                                </a:lnTo>
                                <a:lnTo>
                                  <a:pt x="1252" y="92"/>
                                </a:lnTo>
                                <a:lnTo>
                                  <a:pt x="1241" y="94"/>
                                </a:lnTo>
                                <a:lnTo>
                                  <a:pt x="1231" y="96"/>
                                </a:lnTo>
                                <a:lnTo>
                                  <a:pt x="1221" y="99"/>
                                </a:lnTo>
                                <a:lnTo>
                                  <a:pt x="1211" y="103"/>
                                </a:lnTo>
                                <a:lnTo>
                                  <a:pt x="1203" y="108"/>
                                </a:lnTo>
                                <a:lnTo>
                                  <a:pt x="1195" y="114"/>
                                </a:lnTo>
                                <a:lnTo>
                                  <a:pt x="1187" y="121"/>
                                </a:lnTo>
                                <a:lnTo>
                                  <a:pt x="1181" y="128"/>
                                </a:lnTo>
                                <a:lnTo>
                                  <a:pt x="1175" y="136"/>
                                </a:lnTo>
                                <a:lnTo>
                                  <a:pt x="1170" y="144"/>
                                </a:lnTo>
                                <a:lnTo>
                                  <a:pt x="1166" y="153"/>
                                </a:lnTo>
                                <a:lnTo>
                                  <a:pt x="1162" y="163"/>
                                </a:lnTo>
                                <a:lnTo>
                                  <a:pt x="1161" y="174"/>
                                </a:lnTo>
                                <a:lnTo>
                                  <a:pt x="1158" y="184"/>
                                </a:lnTo>
                                <a:lnTo>
                                  <a:pt x="1158" y="195"/>
                                </a:lnTo>
                                <a:lnTo>
                                  <a:pt x="1158" y="205"/>
                                </a:lnTo>
                                <a:lnTo>
                                  <a:pt x="1160" y="215"/>
                                </a:lnTo>
                                <a:lnTo>
                                  <a:pt x="1162" y="224"/>
                                </a:lnTo>
                                <a:lnTo>
                                  <a:pt x="1165" y="231"/>
                                </a:lnTo>
                                <a:lnTo>
                                  <a:pt x="1168" y="239"/>
                                </a:lnTo>
                                <a:lnTo>
                                  <a:pt x="1172" y="245"/>
                                </a:lnTo>
                                <a:lnTo>
                                  <a:pt x="1177" y="251"/>
                                </a:lnTo>
                                <a:lnTo>
                                  <a:pt x="1183" y="256"/>
                                </a:lnTo>
                                <a:lnTo>
                                  <a:pt x="1192" y="263"/>
                                </a:lnTo>
                                <a:lnTo>
                                  <a:pt x="1203" y="269"/>
                                </a:lnTo>
                                <a:lnTo>
                                  <a:pt x="1219" y="275"/>
                                </a:lnTo>
                                <a:lnTo>
                                  <a:pt x="1242" y="281"/>
                                </a:lnTo>
                                <a:lnTo>
                                  <a:pt x="1254" y="286"/>
                                </a:lnTo>
                                <a:lnTo>
                                  <a:pt x="1264" y="290"/>
                                </a:lnTo>
                                <a:lnTo>
                                  <a:pt x="1273" y="294"/>
                                </a:lnTo>
                                <a:lnTo>
                                  <a:pt x="1279" y="297"/>
                                </a:lnTo>
                                <a:lnTo>
                                  <a:pt x="1284" y="301"/>
                                </a:lnTo>
                                <a:lnTo>
                                  <a:pt x="1287" y="306"/>
                                </a:lnTo>
                                <a:lnTo>
                                  <a:pt x="1289" y="311"/>
                                </a:lnTo>
                                <a:lnTo>
                                  <a:pt x="1289" y="317"/>
                                </a:lnTo>
                                <a:lnTo>
                                  <a:pt x="1289" y="324"/>
                                </a:lnTo>
                                <a:lnTo>
                                  <a:pt x="1287" y="330"/>
                                </a:lnTo>
                                <a:lnTo>
                                  <a:pt x="1283" y="335"/>
                                </a:lnTo>
                                <a:lnTo>
                                  <a:pt x="1279" y="339"/>
                                </a:lnTo>
                                <a:lnTo>
                                  <a:pt x="1273" y="342"/>
                                </a:lnTo>
                                <a:lnTo>
                                  <a:pt x="1267" y="345"/>
                                </a:lnTo>
                                <a:lnTo>
                                  <a:pt x="1259" y="346"/>
                                </a:lnTo>
                                <a:lnTo>
                                  <a:pt x="1251" y="347"/>
                                </a:lnTo>
                                <a:lnTo>
                                  <a:pt x="1242" y="347"/>
                                </a:lnTo>
                                <a:lnTo>
                                  <a:pt x="1233" y="345"/>
                                </a:lnTo>
                                <a:lnTo>
                                  <a:pt x="1224" y="344"/>
                                </a:lnTo>
                                <a:lnTo>
                                  <a:pt x="1216" y="340"/>
                                </a:lnTo>
                                <a:lnTo>
                                  <a:pt x="1207" y="335"/>
                                </a:lnTo>
                                <a:lnTo>
                                  <a:pt x="1198" y="330"/>
                                </a:lnTo>
                                <a:lnTo>
                                  <a:pt x="1190" y="324"/>
                                </a:lnTo>
                                <a:lnTo>
                                  <a:pt x="1180" y="316"/>
                                </a:lnTo>
                                <a:lnTo>
                                  <a:pt x="1146" y="381"/>
                                </a:lnTo>
                                <a:lnTo>
                                  <a:pt x="1158" y="388"/>
                                </a:lnTo>
                                <a:lnTo>
                                  <a:pt x="1171" y="396"/>
                                </a:lnTo>
                                <a:lnTo>
                                  <a:pt x="1185" y="401"/>
                                </a:lnTo>
                                <a:lnTo>
                                  <a:pt x="1198" y="406"/>
                                </a:lnTo>
                                <a:lnTo>
                                  <a:pt x="1212" y="410"/>
                                </a:lnTo>
                                <a:lnTo>
                                  <a:pt x="1226" y="413"/>
                                </a:lnTo>
                                <a:lnTo>
                                  <a:pt x="1239" y="415"/>
                                </a:lnTo>
                                <a:lnTo>
                                  <a:pt x="1253" y="415"/>
                                </a:lnTo>
                                <a:lnTo>
                                  <a:pt x="1266" y="415"/>
                                </a:lnTo>
                                <a:lnTo>
                                  <a:pt x="1278" y="413"/>
                                </a:lnTo>
                                <a:lnTo>
                                  <a:pt x="1290" y="411"/>
                                </a:lnTo>
                                <a:lnTo>
                                  <a:pt x="1302" y="407"/>
                                </a:lnTo>
                                <a:lnTo>
                                  <a:pt x="1313" y="403"/>
                                </a:lnTo>
                                <a:lnTo>
                                  <a:pt x="1323" y="398"/>
                                </a:lnTo>
                                <a:lnTo>
                                  <a:pt x="1333" y="392"/>
                                </a:lnTo>
                                <a:lnTo>
                                  <a:pt x="1342" y="386"/>
                                </a:lnTo>
                                <a:lnTo>
                                  <a:pt x="1349" y="378"/>
                                </a:lnTo>
                                <a:lnTo>
                                  <a:pt x="1355" y="371"/>
                                </a:lnTo>
                                <a:lnTo>
                                  <a:pt x="1360" y="362"/>
                                </a:lnTo>
                                <a:lnTo>
                                  <a:pt x="1365" y="352"/>
                                </a:lnTo>
                                <a:lnTo>
                                  <a:pt x="1369" y="342"/>
                                </a:lnTo>
                                <a:lnTo>
                                  <a:pt x="1371" y="331"/>
                                </a:lnTo>
                                <a:lnTo>
                                  <a:pt x="1373" y="319"/>
                                </a:lnTo>
                                <a:lnTo>
                                  <a:pt x="1373" y="306"/>
                                </a:lnTo>
                                <a:lnTo>
                                  <a:pt x="1371" y="290"/>
                                </a:lnTo>
                                <a:lnTo>
                                  <a:pt x="1369" y="275"/>
                                </a:lnTo>
                                <a:lnTo>
                                  <a:pt x="1366" y="269"/>
                                </a:lnTo>
                                <a:lnTo>
                                  <a:pt x="1363" y="263"/>
                                </a:lnTo>
                                <a:lnTo>
                                  <a:pt x="1359" y="258"/>
                                </a:lnTo>
                                <a:lnTo>
                                  <a:pt x="1355" y="251"/>
                                </a:lnTo>
                                <a:lnTo>
                                  <a:pt x="1350" y="246"/>
                                </a:lnTo>
                                <a:lnTo>
                                  <a:pt x="1345" y="241"/>
                                </a:lnTo>
                                <a:lnTo>
                                  <a:pt x="1339" y="238"/>
                                </a:lnTo>
                                <a:lnTo>
                                  <a:pt x="1332" y="234"/>
                                </a:lnTo>
                                <a:lnTo>
                                  <a:pt x="1315" y="226"/>
                                </a:lnTo>
                                <a:lnTo>
                                  <a:pt x="1298" y="220"/>
                                </a:lnTo>
                                <a:lnTo>
                                  <a:pt x="1276" y="213"/>
                                </a:lnTo>
                                <a:lnTo>
                                  <a:pt x="1263" y="209"/>
                                </a:lnTo>
                                <a:lnTo>
                                  <a:pt x="1256" y="205"/>
                                </a:lnTo>
                                <a:lnTo>
                                  <a:pt x="1249" y="200"/>
                                </a:lnTo>
                                <a:lnTo>
                                  <a:pt x="1247" y="198"/>
                                </a:lnTo>
                                <a:lnTo>
                                  <a:pt x="1244" y="194"/>
                                </a:lnTo>
                                <a:lnTo>
                                  <a:pt x="1242" y="189"/>
                                </a:lnTo>
                                <a:lnTo>
                                  <a:pt x="1242" y="185"/>
                                </a:lnTo>
                                <a:lnTo>
                                  <a:pt x="1243" y="179"/>
                                </a:lnTo>
                                <a:lnTo>
                                  <a:pt x="1244" y="174"/>
                                </a:lnTo>
                                <a:lnTo>
                                  <a:pt x="1248" y="170"/>
                                </a:lnTo>
                                <a:lnTo>
                                  <a:pt x="1252" y="167"/>
                                </a:lnTo>
                                <a:lnTo>
                                  <a:pt x="1257" y="163"/>
                                </a:lnTo>
                                <a:lnTo>
                                  <a:pt x="1263" y="160"/>
                                </a:lnTo>
                                <a:lnTo>
                                  <a:pt x="1269" y="159"/>
                                </a:lnTo>
                                <a:lnTo>
                                  <a:pt x="1277" y="158"/>
                                </a:lnTo>
                                <a:lnTo>
                                  <a:pt x="1283" y="159"/>
                                </a:lnTo>
                                <a:lnTo>
                                  <a:pt x="1289" y="159"/>
                                </a:lnTo>
                                <a:lnTo>
                                  <a:pt x="1297" y="162"/>
                                </a:lnTo>
                                <a:lnTo>
                                  <a:pt x="1303" y="163"/>
                                </a:lnTo>
                                <a:lnTo>
                                  <a:pt x="1315" y="170"/>
                                </a:lnTo>
                                <a:lnTo>
                                  <a:pt x="1329" y="179"/>
                                </a:lnTo>
                                <a:lnTo>
                                  <a:pt x="1360" y="117"/>
                                </a:lnTo>
                                <a:close/>
                                <a:moveTo>
                                  <a:pt x="1091" y="99"/>
                                </a:moveTo>
                                <a:lnTo>
                                  <a:pt x="1011" y="99"/>
                                </a:lnTo>
                                <a:lnTo>
                                  <a:pt x="1011" y="407"/>
                                </a:lnTo>
                                <a:lnTo>
                                  <a:pt x="1091" y="407"/>
                                </a:lnTo>
                                <a:lnTo>
                                  <a:pt x="1091" y="99"/>
                                </a:lnTo>
                                <a:close/>
                                <a:moveTo>
                                  <a:pt x="904" y="167"/>
                                </a:moveTo>
                                <a:lnTo>
                                  <a:pt x="970" y="167"/>
                                </a:lnTo>
                                <a:lnTo>
                                  <a:pt x="970" y="99"/>
                                </a:lnTo>
                                <a:lnTo>
                                  <a:pt x="758" y="99"/>
                                </a:lnTo>
                                <a:lnTo>
                                  <a:pt x="758" y="167"/>
                                </a:lnTo>
                                <a:lnTo>
                                  <a:pt x="825" y="167"/>
                                </a:lnTo>
                                <a:lnTo>
                                  <a:pt x="825" y="407"/>
                                </a:lnTo>
                                <a:lnTo>
                                  <a:pt x="904" y="407"/>
                                </a:lnTo>
                                <a:lnTo>
                                  <a:pt x="904" y="167"/>
                                </a:lnTo>
                                <a:close/>
                                <a:moveTo>
                                  <a:pt x="644" y="292"/>
                                </a:moveTo>
                                <a:lnTo>
                                  <a:pt x="578" y="292"/>
                                </a:lnTo>
                                <a:lnTo>
                                  <a:pt x="611" y="194"/>
                                </a:lnTo>
                                <a:lnTo>
                                  <a:pt x="644" y="292"/>
                                </a:lnTo>
                                <a:close/>
                                <a:moveTo>
                                  <a:pt x="666" y="354"/>
                                </a:moveTo>
                                <a:lnTo>
                                  <a:pt x="686" y="407"/>
                                </a:lnTo>
                                <a:lnTo>
                                  <a:pt x="771" y="407"/>
                                </a:lnTo>
                                <a:lnTo>
                                  <a:pt x="655" y="99"/>
                                </a:lnTo>
                                <a:lnTo>
                                  <a:pt x="568" y="99"/>
                                </a:lnTo>
                                <a:lnTo>
                                  <a:pt x="450" y="407"/>
                                </a:lnTo>
                                <a:lnTo>
                                  <a:pt x="534" y="407"/>
                                </a:lnTo>
                                <a:lnTo>
                                  <a:pt x="555" y="354"/>
                                </a:lnTo>
                                <a:lnTo>
                                  <a:pt x="666" y="354"/>
                                </a:lnTo>
                                <a:close/>
                                <a:moveTo>
                                  <a:pt x="395" y="167"/>
                                </a:moveTo>
                                <a:lnTo>
                                  <a:pt x="461" y="167"/>
                                </a:lnTo>
                                <a:lnTo>
                                  <a:pt x="461" y="99"/>
                                </a:lnTo>
                                <a:lnTo>
                                  <a:pt x="249" y="99"/>
                                </a:lnTo>
                                <a:lnTo>
                                  <a:pt x="249" y="167"/>
                                </a:lnTo>
                                <a:lnTo>
                                  <a:pt x="315" y="167"/>
                                </a:lnTo>
                                <a:lnTo>
                                  <a:pt x="315" y="407"/>
                                </a:lnTo>
                                <a:lnTo>
                                  <a:pt x="395" y="407"/>
                                </a:lnTo>
                                <a:lnTo>
                                  <a:pt x="395" y="167"/>
                                </a:lnTo>
                                <a:close/>
                                <a:moveTo>
                                  <a:pt x="214" y="117"/>
                                </a:moveTo>
                                <a:lnTo>
                                  <a:pt x="203" y="111"/>
                                </a:lnTo>
                                <a:lnTo>
                                  <a:pt x="190" y="106"/>
                                </a:lnTo>
                                <a:lnTo>
                                  <a:pt x="178" y="102"/>
                                </a:lnTo>
                                <a:lnTo>
                                  <a:pt x="167" y="98"/>
                                </a:lnTo>
                                <a:lnTo>
                                  <a:pt x="154" y="96"/>
                                </a:lnTo>
                                <a:lnTo>
                                  <a:pt x="142" y="93"/>
                                </a:lnTo>
                                <a:lnTo>
                                  <a:pt x="129" y="92"/>
                                </a:lnTo>
                                <a:lnTo>
                                  <a:pt x="117" y="92"/>
                                </a:lnTo>
                                <a:lnTo>
                                  <a:pt x="106" y="92"/>
                                </a:lnTo>
                                <a:lnTo>
                                  <a:pt x="94" y="94"/>
                                </a:lnTo>
                                <a:lnTo>
                                  <a:pt x="84" y="96"/>
                                </a:lnTo>
                                <a:lnTo>
                                  <a:pt x="75" y="99"/>
                                </a:lnTo>
                                <a:lnTo>
                                  <a:pt x="65" y="103"/>
                                </a:lnTo>
                                <a:lnTo>
                                  <a:pt x="56" y="108"/>
                                </a:lnTo>
                                <a:lnTo>
                                  <a:pt x="48" y="114"/>
                                </a:lnTo>
                                <a:lnTo>
                                  <a:pt x="41" y="121"/>
                                </a:lnTo>
                                <a:lnTo>
                                  <a:pt x="35" y="128"/>
                                </a:lnTo>
                                <a:lnTo>
                                  <a:pt x="28" y="136"/>
                                </a:lnTo>
                                <a:lnTo>
                                  <a:pt x="23" y="144"/>
                                </a:lnTo>
                                <a:lnTo>
                                  <a:pt x="20" y="153"/>
                                </a:lnTo>
                                <a:lnTo>
                                  <a:pt x="16" y="163"/>
                                </a:lnTo>
                                <a:lnTo>
                                  <a:pt x="15" y="174"/>
                                </a:lnTo>
                                <a:lnTo>
                                  <a:pt x="12" y="184"/>
                                </a:lnTo>
                                <a:lnTo>
                                  <a:pt x="12" y="195"/>
                                </a:lnTo>
                                <a:lnTo>
                                  <a:pt x="12" y="205"/>
                                </a:lnTo>
                                <a:lnTo>
                                  <a:pt x="13" y="215"/>
                                </a:lnTo>
                                <a:lnTo>
                                  <a:pt x="16" y="224"/>
                                </a:lnTo>
                                <a:lnTo>
                                  <a:pt x="18" y="231"/>
                                </a:lnTo>
                                <a:lnTo>
                                  <a:pt x="22" y="239"/>
                                </a:lnTo>
                                <a:lnTo>
                                  <a:pt x="26" y="245"/>
                                </a:lnTo>
                                <a:lnTo>
                                  <a:pt x="31" y="251"/>
                                </a:lnTo>
                                <a:lnTo>
                                  <a:pt x="37" y="256"/>
                                </a:lnTo>
                                <a:lnTo>
                                  <a:pt x="46" y="263"/>
                                </a:lnTo>
                                <a:lnTo>
                                  <a:pt x="57" y="269"/>
                                </a:lnTo>
                                <a:lnTo>
                                  <a:pt x="73" y="275"/>
                                </a:lnTo>
                                <a:lnTo>
                                  <a:pt x="96" y="281"/>
                                </a:lnTo>
                                <a:lnTo>
                                  <a:pt x="108" y="286"/>
                                </a:lnTo>
                                <a:lnTo>
                                  <a:pt x="118" y="290"/>
                                </a:lnTo>
                                <a:lnTo>
                                  <a:pt x="127" y="294"/>
                                </a:lnTo>
                                <a:lnTo>
                                  <a:pt x="133" y="297"/>
                                </a:lnTo>
                                <a:lnTo>
                                  <a:pt x="138" y="301"/>
                                </a:lnTo>
                                <a:lnTo>
                                  <a:pt x="141" y="306"/>
                                </a:lnTo>
                                <a:lnTo>
                                  <a:pt x="143" y="311"/>
                                </a:lnTo>
                                <a:lnTo>
                                  <a:pt x="143" y="317"/>
                                </a:lnTo>
                                <a:lnTo>
                                  <a:pt x="143" y="324"/>
                                </a:lnTo>
                                <a:lnTo>
                                  <a:pt x="141" y="330"/>
                                </a:lnTo>
                                <a:lnTo>
                                  <a:pt x="137" y="335"/>
                                </a:lnTo>
                                <a:lnTo>
                                  <a:pt x="133" y="339"/>
                                </a:lnTo>
                                <a:lnTo>
                                  <a:pt x="127" y="342"/>
                                </a:lnTo>
                                <a:lnTo>
                                  <a:pt x="121" y="345"/>
                                </a:lnTo>
                                <a:lnTo>
                                  <a:pt x="113" y="346"/>
                                </a:lnTo>
                                <a:lnTo>
                                  <a:pt x="104" y="347"/>
                                </a:lnTo>
                                <a:lnTo>
                                  <a:pt x="96" y="347"/>
                                </a:lnTo>
                                <a:lnTo>
                                  <a:pt x="87" y="345"/>
                                </a:lnTo>
                                <a:lnTo>
                                  <a:pt x="78" y="344"/>
                                </a:lnTo>
                                <a:lnTo>
                                  <a:pt x="70" y="340"/>
                                </a:lnTo>
                                <a:lnTo>
                                  <a:pt x="61" y="335"/>
                                </a:lnTo>
                                <a:lnTo>
                                  <a:pt x="52" y="330"/>
                                </a:lnTo>
                                <a:lnTo>
                                  <a:pt x="43" y="324"/>
                                </a:lnTo>
                                <a:lnTo>
                                  <a:pt x="33" y="316"/>
                                </a:lnTo>
                                <a:lnTo>
                                  <a:pt x="0" y="381"/>
                                </a:lnTo>
                                <a:lnTo>
                                  <a:pt x="12" y="388"/>
                                </a:lnTo>
                                <a:lnTo>
                                  <a:pt x="25" y="396"/>
                                </a:lnTo>
                                <a:lnTo>
                                  <a:pt x="38" y="401"/>
                                </a:lnTo>
                                <a:lnTo>
                                  <a:pt x="52" y="406"/>
                                </a:lnTo>
                                <a:lnTo>
                                  <a:pt x="66" y="410"/>
                                </a:lnTo>
                                <a:lnTo>
                                  <a:pt x="79" y="413"/>
                                </a:lnTo>
                                <a:lnTo>
                                  <a:pt x="93" y="415"/>
                                </a:lnTo>
                                <a:lnTo>
                                  <a:pt x="107" y="415"/>
                                </a:lnTo>
                                <a:lnTo>
                                  <a:pt x="119" y="415"/>
                                </a:lnTo>
                                <a:lnTo>
                                  <a:pt x="132" y="413"/>
                                </a:lnTo>
                                <a:lnTo>
                                  <a:pt x="144" y="411"/>
                                </a:lnTo>
                                <a:lnTo>
                                  <a:pt x="155" y="407"/>
                                </a:lnTo>
                                <a:lnTo>
                                  <a:pt x="167" y="403"/>
                                </a:lnTo>
                                <a:lnTo>
                                  <a:pt x="177" y="398"/>
                                </a:lnTo>
                                <a:lnTo>
                                  <a:pt x="187" y="392"/>
                                </a:lnTo>
                                <a:lnTo>
                                  <a:pt x="195" y="386"/>
                                </a:lnTo>
                                <a:lnTo>
                                  <a:pt x="203" y="378"/>
                                </a:lnTo>
                                <a:lnTo>
                                  <a:pt x="209" y="371"/>
                                </a:lnTo>
                                <a:lnTo>
                                  <a:pt x="214" y="362"/>
                                </a:lnTo>
                                <a:lnTo>
                                  <a:pt x="219" y="352"/>
                                </a:lnTo>
                                <a:lnTo>
                                  <a:pt x="223" y="342"/>
                                </a:lnTo>
                                <a:lnTo>
                                  <a:pt x="225" y="331"/>
                                </a:lnTo>
                                <a:lnTo>
                                  <a:pt x="227" y="319"/>
                                </a:lnTo>
                                <a:lnTo>
                                  <a:pt x="227" y="306"/>
                                </a:lnTo>
                                <a:lnTo>
                                  <a:pt x="225" y="290"/>
                                </a:lnTo>
                                <a:lnTo>
                                  <a:pt x="223" y="275"/>
                                </a:lnTo>
                                <a:lnTo>
                                  <a:pt x="220" y="269"/>
                                </a:lnTo>
                                <a:lnTo>
                                  <a:pt x="217" y="263"/>
                                </a:lnTo>
                                <a:lnTo>
                                  <a:pt x="213" y="258"/>
                                </a:lnTo>
                                <a:lnTo>
                                  <a:pt x="209" y="251"/>
                                </a:lnTo>
                                <a:lnTo>
                                  <a:pt x="204" y="246"/>
                                </a:lnTo>
                                <a:lnTo>
                                  <a:pt x="199" y="241"/>
                                </a:lnTo>
                                <a:lnTo>
                                  <a:pt x="193" y="238"/>
                                </a:lnTo>
                                <a:lnTo>
                                  <a:pt x="185" y="234"/>
                                </a:lnTo>
                                <a:lnTo>
                                  <a:pt x="169" y="226"/>
                                </a:lnTo>
                                <a:lnTo>
                                  <a:pt x="151" y="220"/>
                                </a:lnTo>
                                <a:lnTo>
                                  <a:pt x="129" y="213"/>
                                </a:lnTo>
                                <a:lnTo>
                                  <a:pt x="117" y="209"/>
                                </a:lnTo>
                                <a:lnTo>
                                  <a:pt x="109" y="205"/>
                                </a:lnTo>
                                <a:lnTo>
                                  <a:pt x="103" y="200"/>
                                </a:lnTo>
                                <a:lnTo>
                                  <a:pt x="99" y="198"/>
                                </a:lnTo>
                                <a:lnTo>
                                  <a:pt x="98" y="194"/>
                                </a:lnTo>
                                <a:lnTo>
                                  <a:pt x="96" y="189"/>
                                </a:lnTo>
                                <a:lnTo>
                                  <a:pt x="96" y="185"/>
                                </a:lnTo>
                                <a:lnTo>
                                  <a:pt x="97" y="179"/>
                                </a:lnTo>
                                <a:lnTo>
                                  <a:pt x="98" y="174"/>
                                </a:lnTo>
                                <a:lnTo>
                                  <a:pt x="102" y="170"/>
                                </a:lnTo>
                                <a:lnTo>
                                  <a:pt x="106" y="167"/>
                                </a:lnTo>
                                <a:lnTo>
                                  <a:pt x="111" y="163"/>
                                </a:lnTo>
                                <a:lnTo>
                                  <a:pt x="117" y="160"/>
                                </a:lnTo>
                                <a:lnTo>
                                  <a:pt x="123" y="159"/>
                                </a:lnTo>
                                <a:lnTo>
                                  <a:pt x="129" y="158"/>
                                </a:lnTo>
                                <a:lnTo>
                                  <a:pt x="137" y="159"/>
                                </a:lnTo>
                                <a:lnTo>
                                  <a:pt x="143" y="159"/>
                                </a:lnTo>
                                <a:lnTo>
                                  <a:pt x="151" y="162"/>
                                </a:lnTo>
                                <a:lnTo>
                                  <a:pt x="157" y="163"/>
                                </a:lnTo>
                                <a:lnTo>
                                  <a:pt x="169" y="170"/>
                                </a:lnTo>
                                <a:lnTo>
                                  <a:pt x="183" y="179"/>
                                </a:lnTo>
                                <a:lnTo>
                                  <a:pt x="214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1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4"/>
                        <wps:cNvSpPr>
                          <a:spLocks noChangeAspect="1" noEditPoints="1"/>
                        </wps:cNvSpPr>
                        <wps:spPr bwMode="auto">
                          <a:xfrm>
                            <a:off x="1962" y="851"/>
                            <a:ext cx="679" cy="208"/>
                          </a:xfrm>
                          <a:custGeom>
                            <a:avLst/>
                            <a:gdLst>
                              <a:gd name="T0" fmla="*/ 641 w 1358"/>
                              <a:gd name="T1" fmla="*/ 18 h 416"/>
                              <a:gd name="T2" fmla="*/ 679 w 1358"/>
                              <a:gd name="T3" fmla="*/ 50 h 416"/>
                              <a:gd name="T4" fmla="*/ 581 w 1358"/>
                              <a:gd name="T5" fmla="*/ 130 h 416"/>
                              <a:gd name="T6" fmla="*/ 432 w 1358"/>
                              <a:gd name="T7" fmla="*/ 204 h 416"/>
                              <a:gd name="T8" fmla="*/ 530 w 1358"/>
                              <a:gd name="T9" fmla="*/ 50 h 416"/>
                              <a:gd name="T10" fmla="*/ 349 w 1358"/>
                              <a:gd name="T11" fmla="*/ 54 h 416"/>
                              <a:gd name="T12" fmla="*/ 318 w 1358"/>
                              <a:gd name="T13" fmla="*/ 46 h 416"/>
                              <a:gd name="T14" fmla="*/ 290 w 1358"/>
                              <a:gd name="T15" fmla="*/ 50 h 416"/>
                              <a:gd name="T16" fmla="*/ 271 w 1358"/>
                              <a:gd name="T17" fmla="*/ 64 h 416"/>
                              <a:gd name="T18" fmla="*/ 261 w 1358"/>
                              <a:gd name="T19" fmla="*/ 87 h 416"/>
                              <a:gd name="T20" fmla="*/ 261 w 1358"/>
                              <a:gd name="T21" fmla="*/ 112 h 416"/>
                              <a:gd name="T22" fmla="*/ 272 w 1358"/>
                              <a:gd name="T23" fmla="*/ 129 h 416"/>
                              <a:gd name="T24" fmla="*/ 307 w 1358"/>
                              <a:gd name="T25" fmla="*/ 144 h 416"/>
                              <a:gd name="T26" fmla="*/ 324 w 1358"/>
                              <a:gd name="T27" fmla="*/ 153 h 416"/>
                              <a:gd name="T28" fmla="*/ 322 w 1358"/>
                              <a:gd name="T29" fmla="*/ 168 h 416"/>
                              <a:gd name="T30" fmla="*/ 306 w 1358"/>
                              <a:gd name="T31" fmla="*/ 174 h 416"/>
                              <a:gd name="T32" fmla="*/ 284 w 1358"/>
                              <a:gd name="T33" fmla="*/ 168 h 416"/>
                              <a:gd name="T34" fmla="*/ 260 w 1358"/>
                              <a:gd name="T35" fmla="*/ 195 h 416"/>
                              <a:gd name="T36" fmla="*/ 293 w 1358"/>
                              <a:gd name="T37" fmla="*/ 207 h 416"/>
                              <a:gd name="T38" fmla="*/ 326 w 1358"/>
                              <a:gd name="T39" fmla="*/ 206 h 416"/>
                              <a:gd name="T40" fmla="*/ 351 w 1358"/>
                              <a:gd name="T41" fmla="*/ 193 h 416"/>
                              <a:gd name="T42" fmla="*/ 365 w 1358"/>
                              <a:gd name="T43" fmla="*/ 172 h 416"/>
                              <a:gd name="T44" fmla="*/ 365 w 1358"/>
                              <a:gd name="T45" fmla="*/ 138 h 416"/>
                              <a:gd name="T46" fmla="*/ 356 w 1358"/>
                              <a:gd name="T47" fmla="*/ 124 h 416"/>
                              <a:gd name="T48" fmla="*/ 329 w 1358"/>
                              <a:gd name="T49" fmla="*/ 111 h 416"/>
                              <a:gd name="T50" fmla="*/ 304 w 1358"/>
                              <a:gd name="T51" fmla="*/ 99 h 416"/>
                              <a:gd name="T52" fmla="*/ 303 w 1358"/>
                              <a:gd name="T53" fmla="*/ 87 h 416"/>
                              <a:gd name="T54" fmla="*/ 315 w 1358"/>
                              <a:gd name="T55" fmla="*/ 80 h 416"/>
                              <a:gd name="T56" fmla="*/ 332 w 1358"/>
                              <a:gd name="T57" fmla="*/ 82 h 416"/>
                              <a:gd name="T58" fmla="*/ 232 w 1358"/>
                              <a:gd name="T59" fmla="*/ 50 h 416"/>
                              <a:gd name="T60" fmla="*/ 185 w 1358"/>
                              <a:gd name="T61" fmla="*/ 170 h 416"/>
                              <a:gd name="T62" fmla="*/ 185 w 1358"/>
                              <a:gd name="T63" fmla="*/ 84 h 416"/>
                              <a:gd name="T64" fmla="*/ 105 w 1358"/>
                              <a:gd name="T65" fmla="*/ 1 h 416"/>
                              <a:gd name="T66" fmla="*/ 108 w 1358"/>
                              <a:gd name="T67" fmla="*/ 51 h 416"/>
                              <a:gd name="T68" fmla="*/ 65 w 1358"/>
                              <a:gd name="T69" fmla="*/ 48 h 416"/>
                              <a:gd name="T70" fmla="*/ 29 w 1358"/>
                              <a:gd name="T71" fmla="*/ 65 h 416"/>
                              <a:gd name="T72" fmla="*/ 6 w 1358"/>
                              <a:gd name="T73" fmla="*/ 96 h 416"/>
                              <a:gd name="T74" fmla="*/ 0 w 1358"/>
                              <a:gd name="T75" fmla="*/ 136 h 416"/>
                              <a:gd name="T76" fmla="*/ 11 w 1358"/>
                              <a:gd name="T77" fmla="*/ 170 h 416"/>
                              <a:gd name="T78" fmla="*/ 41 w 1358"/>
                              <a:gd name="T79" fmla="*/ 197 h 416"/>
                              <a:gd name="T80" fmla="*/ 82 w 1358"/>
                              <a:gd name="T81" fmla="*/ 208 h 416"/>
                              <a:gd name="T82" fmla="*/ 118 w 1358"/>
                              <a:gd name="T83" fmla="*/ 153 h 416"/>
                              <a:gd name="T84" fmla="*/ 97 w 1358"/>
                              <a:gd name="T85" fmla="*/ 167 h 416"/>
                              <a:gd name="T86" fmla="*/ 76 w 1358"/>
                              <a:gd name="T87" fmla="*/ 168 h 416"/>
                              <a:gd name="T88" fmla="*/ 59 w 1358"/>
                              <a:gd name="T89" fmla="*/ 162 h 416"/>
                              <a:gd name="T90" fmla="*/ 45 w 1358"/>
                              <a:gd name="T91" fmla="*/ 146 h 416"/>
                              <a:gd name="T92" fmla="*/ 42 w 1358"/>
                              <a:gd name="T93" fmla="*/ 124 h 416"/>
                              <a:gd name="T94" fmla="*/ 49 w 1358"/>
                              <a:gd name="T95" fmla="*/ 104 h 416"/>
                              <a:gd name="T96" fmla="*/ 63 w 1358"/>
                              <a:gd name="T97" fmla="*/ 91 h 416"/>
                              <a:gd name="T98" fmla="*/ 83 w 1358"/>
                              <a:gd name="T99" fmla="*/ 86 h 416"/>
                              <a:gd name="T100" fmla="*/ 107 w 1358"/>
                              <a:gd name="T101" fmla="*/ 92 h 41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58" h="416">
                                <a:moveTo>
                                  <a:pt x="1282" y="36"/>
                                </a:moveTo>
                                <a:lnTo>
                                  <a:pt x="1243" y="0"/>
                                </a:lnTo>
                                <a:lnTo>
                                  <a:pt x="1178" y="56"/>
                                </a:lnTo>
                                <a:lnTo>
                                  <a:pt x="1205" y="85"/>
                                </a:lnTo>
                                <a:lnTo>
                                  <a:pt x="1282" y="36"/>
                                </a:lnTo>
                                <a:close/>
                                <a:moveTo>
                                  <a:pt x="1162" y="260"/>
                                </a:moveTo>
                                <a:lnTo>
                                  <a:pt x="1162" y="407"/>
                                </a:lnTo>
                                <a:lnTo>
                                  <a:pt x="1242" y="407"/>
                                </a:lnTo>
                                <a:lnTo>
                                  <a:pt x="1242" y="260"/>
                                </a:lnTo>
                                <a:lnTo>
                                  <a:pt x="1358" y="100"/>
                                </a:lnTo>
                                <a:lnTo>
                                  <a:pt x="1261" y="100"/>
                                </a:lnTo>
                                <a:lnTo>
                                  <a:pt x="1205" y="183"/>
                                </a:lnTo>
                                <a:lnTo>
                                  <a:pt x="1146" y="100"/>
                                </a:lnTo>
                                <a:lnTo>
                                  <a:pt x="1051" y="100"/>
                                </a:lnTo>
                                <a:lnTo>
                                  <a:pt x="1162" y="260"/>
                                </a:lnTo>
                                <a:close/>
                                <a:moveTo>
                                  <a:pt x="863" y="227"/>
                                </a:moveTo>
                                <a:lnTo>
                                  <a:pt x="863" y="100"/>
                                </a:lnTo>
                                <a:lnTo>
                                  <a:pt x="783" y="100"/>
                                </a:lnTo>
                                <a:lnTo>
                                  <a:pt x="783" y="407"/>
                                </a:lnTo>
                                <a:lnTo>
                                  <a:pt x="863" y="407"/>
                                </a:lnTo>
                                <a:lnTo>
                                  <a:pt x="863" y="274"/>
                                </a:lnTo>
                                <a:lnTo>
                                  <a:pt x="967" y="407"/>
                                </a:lnTo>
                                <a:lnTo>
                                  <a:pt x="1071" y="407"/>
                                </a:lnTo>
                                <a:lnTo>
                                  <a:pt x="938" y="245"/>
                                </a:lnTo>
                                <a:lnTo>
                                  <a:pt x="1059" y="100"/>
                                </a:lnTo>
                                <a:lnTo>
                                  <a:pt x="960" y="100"/>
                                </a:lnTo>
                                <a:lnTo>
                                  <a:pt x="863" y="227"/>
                                </a:lnTo>
                                <a:close/>
                                <a:moveTo>
                                  <a:pt x="721" y="117"/>
                                </a:moveTo>
                                <a:lnTo>
                                  <a:pt x="709" y="112"/>
                                </a:lnTo>
                                <a:lnTo>
                                  <a:pt x="697" y="107"/>
                                </a:lnTo>
                                <a:lnTo>
                                  <a:pt x="685" y="102"/>
                                </a:lnTo>
                                <a:lnTo>
                                  <a:pt x="673" y="98"/>
                                </a:lnTo>
                                <a:lnTo>
                                  <a:pt x="660" y="96"/>
                                </a:lnTo>
                                <a:lnTo>
                                  <a:pt x="648" y="93"/>
                                </a:lnTo>
                                <a:lnTo>
                                  <a:pt x="635" y="92"/>
                                </a:lnTo>
                                <a:lnTo>
                                  <a:pt x="624" y="92"/>
                                </a:lnTo>
                                <a:lnTo>
                                  <a:pt x="611" y="92"/>
                                </a:lnTo>
                                <a:lnTo>
                                  <a:pt x="602" y="95"/>
                                </a:lnTo>
                                <a:lnTo>
                                  <a:pt x="590" y="97"/>
                                </a:lnTo>
                                <a:lnTo>
                                  <a:pt x="580" y="100"/>
                                </a:lnTo>
                                <a:lnTo>
                                  <a:pt x="572" y="103"/>
                                </a:lnTo>
                                <a:lnTo>
                                  <a:pt x="563" y="108"/>
                                </a:lnTo>
                                <a:lnTo>
                                  <a:pt x="555" y="115"/>
                                </a:lnTo>
                                <a:lnTo>
                                  <a:pt x="548" y="121"/>
                                </a:lnTo>
                                <a:lnTo>
                                  <a:pt x="542" y="128"/>
                                </a:lnTo>
                                <a:lnTo>
                                  <a:pt x="535" y="136"/>
                                </a:lnTo>
                                <a:lnTo>
                                  <a:pt x="531" y="145"/>
                                </a:lnTo>
                                <a:lnTo>
                                  <a:pt x="527" y="153"/>
                                </a:lnTo>
                                <a:lnTo>
                                  <a:pt x="523" y="163"/>
                                </a:lnTo>
                                <a:lnTo>
                                  <a:pt x="521" y="174"/>
                                </a:lnTo>
                                <a:lnTo>
                                  <a:pt x="519" y="184"/>
                                </a:lnTo>
                                <a:lnTo>
                                  <a:pt x="519" y="196"/>
                                </a:lnTo>
                                <a:lnTo>
                                  <a:pt x="519" y="206"/>
                                </a:lnTo>
                                <a:lnTo>
                                  <a:pt x="521" y="216"/>
                                </a:lnTo>
                                <a:lnTo>
                                  <a:pt x="522" y="224"/>
                                </a:lnTo>
                                <a:lnTo>
                                  <a:pt x="524" y="232"/>
                                </a:lnTo>
                                <a:lnTo>
                                  <a:pt x="528" y="239"/>
                                </a:lnTo>
                                <a:lnTo>
                                  <a:pt x="533" y="245"/>
                                </a:lnTo>
                                <a:lnTo>
                                  <a:pt x="538" y="252"/>
                                </a:lnTo>
                                <a:lnTo>
                                  <a:pt x="543" y="257"/>
                                </a:lnTo>
                                <a:lnTo>
                                  <a:pt x="552" y="263"/>
                                </a:lnTo>
                                <a:lnTo>
                                  <a:pt x="564" y="269"/>
                                </a:lnTo>
                                <a:lnTo>
                                  <a:pt x="580" y="275"/>
                                </a:lnTo>
                                <a:lnTo>
                                  <a:pt x="602" y="282"/>
                                </a:lnTo>
                                <a:lnTo>
                                  <a:pt x="614" y="287"/>
                                </a:lnTo>
                                <a:lnTo>
                                  <a:pt x="625" y="290"/>
                                </a:lnTo>
                                <a:lnTo>
                                  <a:pt x="634" y="294"/>
                                </a:lnTo>
                                <a:lnTo>
                                  <a:pt x="640" y="298"/>
                                </a:lnTo>
                                <a:lnTo>
                                  <a:pt x="644" y="301"/>
                                </a:lnTo>
                                <a:lnTo>
                                  <a:pt x="648" y="306"/>
                                </a:lnTo>
                                <a:lnTo>
                                  <a:pt x="649" y="311"/>
                                </a:lnTo>
                                <a:lnTo>
                                  <a:pt x="650" y="318"/>
                                </a:lnTo>
                                <a:lnTo>
                                  <a:pt x="649" y="324"/>
                                </a:lnTo>
                                <a:lnTo>
                                  <a:pt x="648" y="330"/>
                                </a:lnTo>
                                <a:lnTo>
                                  <a:pt x="644" y="335"/>
                                </a:lnTo>
                                <a:lnTo>
                                  <a:pt x="639" y="339"/>
                                </a:lnTo>
                                <a:lnTo>
                                  <a:pt x="634" y="343"/>
                                </a:lnTo>
                                <a:lnTo>
                                  <a:pt x="626" y="345"/>
                                </a:lnTo>
                                <a:lnTo>
                                  <a:pt x="619" y="348"/>
                                </a:lnTo>
                                <a:lnTo>
                                  <a:pt x="611" y="348"/>
                                </a:lnTo>
                                <a:lnTo>
                                  <a:pt x="603" y="348"/>
                                </a:lnTo>
                                <a:lnTo>
                                  <a:pt x="594" y="345"/>
                                </a:lnTo>
                                <a:lnTo>
                                  <a:pt x="585" y="344"/>
                                </a:lnTo>
                                <a:lnTo>
                                  <a:pt x="577" y="340"/>
                                </a:lnTo>
                                <a:lnTo>
                                  <a:pt x="568" y="335"/>
                                </a:lnTo>
                                <a:lnTo>
                                  <a:pt x="559" y="330"/>
                                </a:lnTo>
                                <a:lnTo>
                                  <a:pt x="549" y="324"/>
                                </a:lnTo>
                                <a:lnTo>
                                  <a:pt x="540" y="316"/>
                                </a:lnTo>
                                <a:lnTo>
                                  <a:pt x="507" y="381"/>
                                </a:lnTo>
                                <a:lnTo>
                                  <a:pt x="519" y="389"/>
                                </a:lnTo>
                                <a:lnTo>
                                  <a:pt x="532" y="396"/>
                                </a:lnTo>
                                <a:lnTo>
                                  <a:pt x="544" y="401"/>
                                </a:lnTo>
                                <a:lnTo>
                                  <a:pt x="558" y="406"/>
                                </a:lnTo>
                                <a:lnTo>
                                  <a:pt x="572" y="410"/>
                                </a:lnTo>
                                <a:lnTo>
                                  <a:pt x="585" y="414"/>
                                </a:lnTo>
                                <a:lnTo>
                                  <a:pt x="599" y="415"/>
                                </a:lnTo>
                                <a:lnTo>
                                  <a:pt x="613" y="415"/>
                                </a:lnTo>
                                <a:lnTo>
                                  <a:pt x="626" y="415"/>
                                </a:lnTo>
                                <a:lnTo>
                                  <a:pt x="639" y="414"/>
                                </a:lnTo>
                                <a:lnTo>
                                  <a:pt x="651" y="411"/>
                                </a:lnTo>
                                <a:lnTo>
                                  <a:pt x="663" y="407"/>
                                </a:lnTo>
                                <a:lnTo>
                                  <a:pt x="674" y="404"/>
                                </a:lnTo>
                                <a:lnTo>
                                  <a:pt x="684" y="399"/>
                                </a:lnTo>
                                <a:lnTo>
                                  <a:pt x="694" y="392"/>
                                </a:lnTo>
                                <a:lnTo>
                                  <a:pt x="702" y="386"/>
                                </a:lnTo>
                                <a:lnTo>
                                  <a:pt x="709" y="379"/>
                                </a:lnTo>
                                <a:lnTo>
                                  <a:pt x="716" y="371"/>
                                </a:lnTo>
                                <a:lnTo>
                                  <a:pt x="721" y="363"/>
                                </a:lnTo>
                                <a:lnTo>
                                  <a:pt x="725" y="353"/>
                                </a:lnTo>
                                <a:lnTo>
                                  <a:pt x="729" y="343"/>
                                </a:lnTo>
                                <a:lnTo>
                                  <a:pt x="731" y="331"/>
                                </a:lnTo>
                                <a:lnTo>
                                  <a:pt x="732" y="319"/>
                                </a:lnTo>
                                <a:lnTo>
                                  <a:pt x="734" y="306"/>
                                </a:lnTo>
                                <a:lnTo>
                                  <a:pt x="732" y="290"/>
                                </a:lnTo>
                                <a:lnTo>
                                  <a:pt x="729" y="275"/>
                                </a:lnTo>
                                <a:lnTo>
                                  <a:pt x="726" y="269"/>
                                </a:lnTo>
                                <a:lnTo>
                                  <a:pt x="724" y="263"/>
                                </a:lnTo>
                                <a:lnTo>
                                  <a:pt x="720" y="258"/>
                                </a:lnTo>
                                <a:lnTo>
                                  <a:pt x="716" y="252"/>
                                </a:lnTo>
                                <a:lnTo>
                                  <a:pt x="711" y="247"/>
                                </a:lnTo>
                                <a:lnTo>
                                  <a:pt x="705" y="243"/>
                                </a:lnTo>
                                <a:lnTo>
                                  <a:pt x="699" y="238"/>
                                </a:lnTo>
                                <a:lnTo>
                                  <a:pt x="692" y="234"/>
                                </a:lnTo>
                                <a:lnTo>
                                  <a:pt x="676" y="227"/>
                                </a:lnTo>
                                <a:lnTo>
                                  <a:pt x="658" y="221"/>
                                </a:lnTo>
                                <a:lnTo>
                                  <a:pt x="636" y="214"/>
                                </a:lnTo>
                                <a:lnTo>
                                  <a:pt x="624" y="209"/>
                                </a:lnTo>
                                <a:lnTo>
                                  <a:pt x="615" y="206"/>
                                </a:lnTo>
                                <a:lnTo>
                                  <a:pt x="610" y="201"/>
                                </a:lnTo>
                                <a:lnTo>
                                  <a:pt x="607" y="198"/>
                                </a:lnTo>
                                <a:lnTo>
                                  <a:pt x="604" y="194"/>
                                </a:lnTo>
                                <a:lnTo>
                                  <a:pt x="603" y="189"/>
                                </a:lnTo>
                                <a:lnTo>
                                  <a:pt x="603" y="186"/>
                                </a:lnTo>
                                <a:lnTo>
                                  <a:pt x="603" y="181"/>
                                </a:lnTo>
                                <a:lnTo>
                                  <a:pt x="605" y="174"/>
                                </a:lnTo>
                                <a:lnTo>
                                  <a:pt x="608" y="171"/>
                                </a:lnTo>
                                <a:lnTo>
                                  <a:pt x="611" y="167"/>
                                </a:lnTo>
                                <a:lnTo>
                                  <a:pt x="618" y="163"/>
                                </a:lnTo>
                                <a:lnTo>
                                  <a:pt x="623" y="161"/>
                                </a:lnTo>
                                <a:lnTo>
                                  <a:pt x="629" y="159"/>
                                </a:lnTo>
                                <a:lnTo>
                                  <a:pt x="636" y="158"/>
                                </a:lnTo>
                                <a:lnTo>
                                  <a:pt x="643" y="159"/>
                                </a:lnTo>
                                <a:lnTo>
                                  <a:pt x="650" y="159"/>
                                </a:lnTo>
                                <a:lnTo>
                                  <a:pt x="656" y="162"/>
                                </a:lnTo>
                                <a:lnTo>
                                  <a:pt x="663" y="163"/>
                                </a:lnTo>
                                <a:lnTo>
                                  <a:pt x="676" y="171"/>
                                </a:lnTo>
                                <a:lnTo>
                                  <a:pt x="689" y="179"/>
                                </a:lnTo>
                                <a:lnTo>
                                  <a:pt x="721" y="117"/>
                                </a:lnTo>
                                <a:close/>
                                <a:moveTo>
                                  <a:pt x="463" y="167"/>
                                </a:moveTo>
                                <a:lnTo>
                                  <a:pt x="463" y="100"/>
                                </a:lnTo>
                                <a:lnTo>
                                  <a:pt x="289" y="100"/>
                                </a:lnTo>
                                <a:lnTo>
                                  <a:pt x="289" y="407"/>
                                </a:lnTo>
                                <a:lnTo>
                                  <a:pt x="463" y="407"/>
                                </a:lnTo>
                                <a:lnTo>
                                  <a:pt x="463" y="340"/>
                                </a:lnTo>
                                <a:lnTo>
                                  <a:pt x="369" y="340"/>
                                </a:lnTo>
                                <a:lnTo>
                                  <a:pt x="369" y="287"/>
                                </a:lnTo>
                                <a:lnTo>
                                  <a:pt x="458" y="287"/>
                                </a:lnTo>
                                <a:lnTo>
                                  <a:pt x="458" y="219"/>
                                </a:lnTo>
                                <a:lnTo>
                                  <a:pt x="369" y="219"/>
                                </a:lnTo>
                                <a:lnTo>
                                  <a:pt x="369" y="167"/>
                                </a:lnTo>
                                <a:lnTo>
                                  <a:pt x="463" y="167"/>
                                </a:lnTo>
                                <a:close/>
                                <a:moveTo>
                                  <a:pt x="66" y="36"/>
                                </a:moveTo>
                                <a:lnTo>
                                  <a:pt x="148" y="82"/>
                                </a:lnTo>
                                <a:lnTo>
                                  <a:pt x="231" y="36"/>
                                </a:lnTo>
                                <a:lnTo>
                                  <a:pt x="210" y="2"/>
                                </a:lnTo>
                                <a:lnTo>
                                  <a:pt x="148" y="34"/>
                                </a:lnTo>
                                <a:lnTo>
                                  <a:pt x="87" y="2"/>
                                </a:lnTo>
                                <a:lnTo>
                                  <a:pt x="66" y="36"/>
                                </a:lnTo>
                                <a:close/>
                                <a:moveTo>
                                  <a:pt x="235" y="108"/>
                                </a:moveTo>
                                <a:lnTo>
                                  <a:pt x="215" y="102"/>
                                </a:lnTo>
                                <a:lnTo>
                                  <a:pt x="197" y="97"/>
                                </a:lnTo>
                                <a:lnTo>
                                  <a:pt x="180" y="95"/>
                                </a:lnTo>
                                <a:lnTo>
                                  <a:pt x="163" y="93"/>
                                </a:lnTo>
                                <a:lnTo>
                                  <a:pt x="146" y="95"/>
                                </a:lnTo>
                                <a:lnTo>
                                  <a:pt x="129" y="96"/>
                                </a:lnTo>
                                <a:lnTo>
                                  <a:pt x="114" y="101"/>
                                </a:lnTo>
                                <a:lnTo>
                                  <a:pt x="99" y="106"/>
                                </a:lnTo>
                                <a:lnTo>
                                  <a:pt x="84" y="112"/>
                                </a:lnTo>
                                <a:lnTo>
                                  <a:pt x="71" y="121"/>
                                </a:lnTo>
                                <a:lnTo>
                                  <a:pt x="58" y="130"/>
                                </a:lnTo>
                                <a:lnTo>
                                  <a:pt x="47" y="141"/>
                                </a:lnTo>
                                <a:lnTo>
                                  <a:pt x="37" y="152"/>
                                </a:lnTo>
                                <a:lnTo>
                                  <a:pt x="27" y="164"/>
                                </a:lnTo>
                                <a:lnTo>
                                  <a:pt x="20" y="178"/>
                                </a:lnTo>
                                <a:lnTo>
                                  <a:pt x="12" y="192"/>
                                </a:lnTo>
                                <a:lnTo>
                                  <a:pt x="7" y="207"/>
                                </a:lnTo>
                                <a:lnTo>
                                  <a:pt x="3" y="223"/>
                                </a:lnTo>
                                <a:lnTo>
                                  <a:pt x="1" y="239"/>
                                </a:lnTo>
                                <a:lnTo>
                                  <a:pt x="0" y="257"/>
                                </a:lnTo>
                                <a:lnTo>
                                  <a:pt x="0" y="272"/>
                                </a:lnTo>
                                <a:lnTo>
                                  <a:pt x="2" y="287"/>
                                </a:lnTo>
                                <a:lnTo>
                                  <a:pt x="6" y="300"/>
                                </a:lnTo>
                                <a:lnTo>
                                  <a:pt x="10" y="314"/>
                                </a:lnTo>
                                <a:lnTo>
                                  <a:pt x="16" y="328"/>
                                </a:lnTo>
                                <a:lnTo>
                                  <a:pt x="22" y="340"/>
                                </a:lnTo>
                                <a:lnTo>
                                  <a:pt x="31" y="351"/>
                                </a:lnTo>
                                <a:lnTo>
                                  <a:pt x="41" y="363"/>
                                </a:lnTo>
                                <a:lnTo>
                                  <a:pt x="53" y="374"/>
                                </a:lnTo>
                                <a:lnTo>
                                  <a:pt x="66" y="385"/>
                                </a:lnTo>
                                <a:lnTo>
                                  <a:pt x="81" y="394"/>
                                </a:lnTo>
                                <a:lnTo>
                                  <a:pt x="97" y="401"/>
                                </a:lnTo>
                                <a:lnTo>
                                  <a:pt x="113" y="407"/>
                                </a:lnTo>
                                <a:lnTo>
                                  <a:pt x="129" y="412"/>
                                </a:lnTo>
                                <a:lnTo>
                                  <a:pt x="147" y="415"/>
                                </a:lnTo>
                                <a:lnTo>
                                  <a:pt x="163" y="416"/>
                                </a:lnTo>
                                <a:lnTo>
                                  <a:pt x="179" y="415"/>
                                </a:lnTo>
                                <a:lnTo>
                                  <a:pt x="193" y="414"/>
                                </a:lnTo>
                                <a:lnTo>
                                  <a:pt x="212" y="409"/>
                                </a:lnTo>
                                <a:lnTo>
                                  <a:pt x="235" y="401"/>
                                </a:lnTo>
                                <a:lnTo>
                                  <a:pt x="235" y="306"/>
                                </a:lnTo>
                                <a:lnTo>
                                  <a:pt x="228" y="314"/>
                                </a:lnTo>
                                <a:lnTo>
                                  <a:pt x="219" y="320"/>
                                </a:lnTo>
                                <a:lnTo>
                                  <a:pt x="212" y="326"/>
                                </a:lnTo>
                                <a:lnTo>
                                  <a:pt x="203" y="330"/>
                                </a:lnTo>
                                <a:lnTo>
                                  <a:pt x="194" y="334"/>
                                </a:lnTo>
                                <a:lnTo>
                                  <a:pt x="185" y="336"/>
                                </a:lnTo>
                                <a:lnTo>
                                  <a:pt x="175" y="338"/>
                                </a:lnTo>
                                <a:lnTo>
                                  <a:pt x="165" y="339"/>
                                </a:lnTo>
                                <a:lnTo>
                                  <a:pt x="158" y="338"/>
                                </a:lnTo>
                                <a:lnTo>
                                  <a:pt x="151" y="336"/>
                                </a:lnTo>
                                <a:lnTo>
                                  <a:pt x="143" y="335"/>
                                </a:lnTo>
                                <a:lnTo>
                                  <a:pt x="137" y="333"/>
                                </a:lnTo>
                                <a:lnTo>
                                  <a:pt x="129" y="330"/>
                                </a:lnTo>
                                <a:lnTo>
                                  <a:pt x="123" y="326"/>
                                </a:lnTo>
                                <a:lnTo>
                                  <a:pt x="117" y="323"/>
                                </a:lnTo>
                                <a:lnTo>
                                  <a:pt x="111" y="318"/>
                                </a:lnTo>
                                <a:lnTo>
                                  <a:pt x="104" y="311"/>
                                </a:lnTo>
                                <a:lnTo>
                                  <a:pt x="98" y="305"/>
                                </a:lnTo>
                                <a:lnTo>
                                  <a:pt x="93" y="299"/>
                                </a:lnTo>
                                <a:lnTo>
                                  <a:pt x="89" y="292"/>
                                </a:lnTo>
                                <a:lnTo>
                                  <a:pt x="87" y="283"/>
                                </a:lnTo>
                                <a:lnTo>
                                  <a:pt x="84" y="274"/>
                                </a:lnTo>
                                <a:lnTo>
                                  <a:pt x="83" y="265"/>
                                </a:lnTo>
                                <a:lnTo>
                                  <a:pt x="83" y="255"/>
                                </a:lnTo>
                                <a:lnTo>
                                  <a:pt x="83" y="247"/>
                                </a:lnTo>
                                <a:lnTo>
                                  <a:pt x="84" y="238"/>
                                </a:lnTo>
                                <a:lnTo>
                                  <a:pt x="87" y="229"/>
                                </a:lnTo>
                                <a:lnTo>
                                  <a:pt x="89" y="222"/>
                                </a:lnTo>
                                <a:lnTo>
                                  <a:pt x="93" y="214"/>
                                </a:lnTo>
                                <a:lnTo>
                                  <a:pt x="97" y="207"/>
                                </a:lnTo>
                                <a:lnTo>
                                  <a:pt x="102" y="201"/>
                                </a:lnTo>
                                <a:lnTo>
                                  <a:pt x="107" y="194"/>
                                </a:lnTo>
                                <a:lnTo>
                                  <a:pt x="112" y="189"/>
                                </a:lnTo>
                                <a:lnTo>
                                  <a:pt x="118" y="184"/>
                                </a:lnTo>
                                <a:lnTo>
                                  <a:pt x="126" y="181"/>
                                </a:lnTo>
                                <a:lnTo>
                                  <a:pt x="133" y="177"/>
                                </a:lnTo>
                                <a:lnTo>
                                  <a:pt x="141" y="174"/>
                                </a:lnTo>
                                <a:lnTo>
                                  <a:pt x="148" y="172"/>
                                </a:lnTo>
                                <a:lnTo>
                                  <a:pt x="157" y="171"/>
                                </a:lnTo>
                                <a:lnTo>
                                  <a:pt x="165" y="171"/>
                                </a:lnTo>
                                <a:lnTo>
                                  <a:pt x="175" y="171"/>
                                </a:lnTo>
                                <a:lnTo>
                                  <a:pt x="185" y="173"/>
                                </a:lnTo>
                                <a:lnTo>
                                  <a:pt x="195" y="176"/>
                                </a:lnTo>
                                <a:lnTo>
                                  <a:pt x="204" y="179"/>
                                </a:lnTo>
                                <a:lnTo>
                                  <a:pt x="213" y="184"/>
                                </a:lnTo>
                                <a:lnTo>
                                  <a:pt x="220" y="189"/>
                                </a:lnTo>
                                <a:lnTo>
                                  <a:pt x="228" y="197"/>
                                </a:lnTo>
                                <a:lnTo>
                                  <a:pt x="235" y="204"/>
                                </a:lnTo>
                                <a:lnTo>
                                  <a:pt x="235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1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45pt;margin-top:36.75pt;width:177.15pt;height:43.65pt;z-index:251657728;mso-position-horizontal-relative:page;mso-position-vertical-relative:page" coordorigin="567,851" coordsize="2714,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">
                <o:lock v:ext="edit" aspectratio="t"/>
                <v:rect id="Rectangle 9" o:spid="_x0000_s1027" style="position:absolute;left:1215;top:901;width:676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IslMIA&#10;AADaAAAADwAAAGRycy9kb3ducmV2LnhtbESPQWvCQBSE74L/YXmF3symPUSJriJKodB6aBRyfWaf&#10;yWL2bciuSfrvu4VCj8PMfMNsdpNtxUC9N44VvCQpCOLKacO1gsv5bbEC4QOyxtYxKfgmD7vtfLbB&#10;XLuRv2goQi0ihH2OCpoQulxKXzVk0SeuI47ezfUWQ5R9LXWPY4TbVr6maSYtGo4LDXZ0aKi6Fw+r&#10;wMjP0Ran8ujSR3c25fK68uFDqeenab8GEWgK/+G/9rtWkMHvlXgD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EiyUwgAAANoAAAAPAAAAAAAAAAAAAAAAAJgCAABkcnMvZG93&#10;bnJldi54bWxQSwUGAAAAAAQABAD1AAAAhwMAAAAA&#10;" fillcolor="#0071bc" stroked="f">
                  <o:lock v:ext="edit" aspectratio="t"/>
                </v:rect>
                <v:rect id="Rectangle 10" o:spid="_x0000_s1028" style="position:absolute;left:567;top:1131;width:1324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6JD8EA&#10;AADaAAAADwAAAGRycy9kb3ducmV2LnhtbESPQYvCMBSE74L/ITzBm6Z6UKlGWVaEhV0PtoLXZ/O2&#10;Ddu8lCba7r83guBxmJlvmM2ut7W4U+uNYwWzaQKCuHDacKngnB8mKxA+IGusHZOCf/Kw2w4HG0y1&#10;6/hE9yyUIkLYp6igCqFJpfRFRRb91DXE0ft1rcUQZVtK3WIX4baW8yRZSIuG40KFDX1WVPxlN6vA&#10;yJ/OZsfL3iW3JjeX5XXlw7dS41H/sQYRqA/v8Kv9pRUs4Xkl3gC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eiQ/BAAAA2gAAAA8AAAAAAAAAAAAAAAAAmAIAAGRycy9kb3du&#10;cmV2LnhtbFBLBQYAAAAABAAEAPUAAACGAwAAAAA=&#10;" fillcolor="#0071bc" stroked="f">
                  <o:lock v:ext="edit" aspectratio="t"/>
                </v:rect>
                <v:rect id="Rectangle 11" o:spid="_x0000_s1029" style="position:absolute;left:1288;top:1361;width:603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Edfb4A&#10;AADaAAAADwAAAGRycy9kb3ducmV2LnhtbERPTYvCMBC9L/gfwgje1lQPrlTTIooguB62Cl7HZmyD&#10;zaQ00Xb/vTks7PHxvtf5YBvxos4bxwpm0wQEcem04UrB5bz/XILwAVlj45gU/JKHPBt9rDHVrucf&#10;ehWhEjGEfYoK6hDaVEpf1mTRT11LHLm76yyGCLtK6g77GG4bOU+ShbRoODbU2NK2pvJRPK0CI797&#10;W5yuO5c827O5ft2WPhyVmoyHzQpEoCH8i//cB60gbo1X4g2Q2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vBHX2+AAAA2gAAAA8AAAAAAAAAAAAAAAAAmAIAAGRycy9kb3ducmV2&#10;LnhtbFBLBQYAAAAABAAEAPUAAACDAwAAAAA=&#10;" fillcolor="#0071bc" stroked="f">
                  <o:lock v:ext="edit" aspectratio="t"/>
                </v:rect>
                <v:shape id="Freeform 12" o:spid="_x0000_s1030" style="position:absolute;left:1969;top:1311;width:600;height:207;visibility:visible;mso-wrap-style:square;v-text-anchor:top" coordsize="1200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Be98EA&#10;AADaAAAADwAAAGRycy9kb3ducmV2LnhtbESPQWvCQBSE7wX/w/KE3upGD6VG1xCCpQ2ejHp/ZJ/Z&#10;YPZtyG5N/PduodDjMDPfMNtssp240+BbxwqWiwQEce10y42C8+nz7QOED8gaO8ek4EEest3sZYup&#10;diMf6V6FRkQI+xQVmBD6VEpfG7LoF64njt7VDRZDlEMj9YBjhNtOrpLkXVpsOS4Y7KkwVN+qH6tg&#10;n5Oh/NwXFZfd5etyO6za8qDU63zKNyACTeE//Nf+1grW8Hsl3gC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QXvfBAAAA2gAAAA8AAAAAAAAAAAAAAAAAmAIAAGRycy9kb3du&#10;cmV2LnhtbFBLBQYAAAAABAAEAPUAAACGAwAAAAA=&#10;" path="m1011,341r,-174l1030,167r10,2l1049,170r10,1l1067,174r7,3l1082,182r6,5l1094,194r5,6l1104,206r4,7l1112,221r2,7l1116,237r1,8l1117,253r,9l1116,271r-2,7l1112,287r-4,7l1104,301r-5,7l1094,314r-6,7l1082,326r-8,5l1067,334r-8,3l1049,338r-9,1l1030,341r-19,xm931,408r118,l1064,407r15,-3l1093,400r14,-5l1121,389r12,-9l1144,372r11,-10l1165,351r9,-12l1182,326r6,-13l1194,298r4,-14l1200,270r,-17l1200,238r-2,-15l1194,208r-6,-13l1182,181r-8,-12l1165,157r-10,-11l1144,136r-11,-10l1121,119r-14,-6l1093,108r-14,-5l1064,101r-15,-1l931,100r,308xm775,293r-67,l742,195r33,98xm797,354r20,54l901,408,785,100r-87,l581,408r84,l686,354r111,xm347,37r83,46l513,37,491,3,430,34,369,3,347,37xm407,238r,-77l422,161r10,1l442,164r7,2l455,170r6,6l466,182r3,9l470,200r-1,8l466,216r-5,7l455,230r-6,3l442,236r-10,1l422,238r-15,xm485,282r13,-4l508,275r8,-5l525,263r6,-6l536,250r5,-8l545,233r4,-8l551,215r1,-10l552,195r,-9l551,176r-2,-9l546,159r-4,-9l537,141r-5,-7l526,128r-7,-8l511,115r-7,-5l495,106r-10,-2l475,101r-12,-1l450,100r-123,l327,408r80,l407,289r76,119l582,408,485,282xm210,35l171,,105,56r28,29l210,35xm80,100l,100,,278r,15l2,308r1,13l5,333r4,10l13,353r4,9l23,369r9,10l43,389r11,8l68,403r15,6l99,413r16,2l133,415r16,l165,413r14,-4l192,404r14,-5l217,392r11,-9l238,372r8,-9l253,353r5,-10l262,333r3,-12l267,308r1,-15l268,278r,-178l189,100r,167l189,287r-2,14l185,311r-4,10l177,326r-5,5l167,334r-6,4l155,341r-6,2l141,344r-7,2l126,344r-6,-1l114,342r-6,-3l103,336r-5,-4l93,327r-4,-5l84,312,81,302,80,288r,-21l80,100xe" fillcolor="#bd1b21" stroked="f">
                  <v:path arrowok="t" o:connecttype="custom" o:connectlocs="260,42;269,44;275,50;279,57;280,65;277,73;272,80;265,84;253,85;270,101;284,95;294,84;300,71;300,55;294,42;284,31;270,25;233,102;194,73;197,25;172,88;129,9;87,9;108,40;116,44;118,52;113,58;102,59;129,67;136,60;138,51;138,41;133,33;126,27;116,25;102,102;122,70;34,21;0,69;2,83;6,92;17,100;34,103;48,101;60,93;66,83;67,69;48,71;45,81;39,85;32,86;26,84;21,78;20,25" o:connectangles="0,0,0,0,0,0,0,0,0,0,0,0,0,0,0,0,0,0,0,0,0,0,0,0,0,0,0,0,0,0,0,0,0,0,0,0,0,0,0,0,0,0,0,0,0,0,0,0,0,0,0,0,0,0"/>
                  <o:lock v:ext="edit" aspectratio="t" verticies="t"/>
                </v:shape>
                <v:shape id="Freeform 13" o:spid="_x0000_s1031" style="position:absolute;left:1962;top:1081;width:1319;height:208;visibility:visible;mso-wrap-style:square;v-text-anchor:top" coordsize="2637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+WvsQA&#10;AADbAAAADwAAAGRycy9kb3ducmV2LnhtbERPTWvCQBC9F/oflin0InVTBSnRTSiWgmgFNXrwNmSn&#10;SWh2NuxuTfz3XUHobR7vcxb5YFpxIecbywpexwkI4tLqhisFx+Lz5Q2ED8gaW8uk4Eoe8uzxYYGp&#10;tj3v6XIIlYgh7FNUUIfQpVL6siaDfmw74sh9W2cwROgqqR32Mdy0cpIkM2mw4dhQY0fLmsqfw69R&#10;sCzak5t+9Zu9G32s1udtJYvtTqnnp+F9DiLQEP7Fd/dKx/kTuP0SD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vlr7EAAAA2wAAAA8AAAAAAAAAAAAAAAAAmAIAAGRycy9k&#10;b3ducmV2LnhtbFBLBQYAAAAABAAEAPUAAACJAwAAAAA=&#10;" path="m2561,35l2524,r-66,56l2485,84r76,-49xm2442,260r,147l2521,407r,-147l2637,99r-97,l2484,183,2427,99r-96,l2442,260xm2143,226r,-127l2063,99r,308l2143,407r,-133l2247,407r104,l2217,245,2340,99r-100,l2143,226xm2008,108r-21,-6l1969,97r-17,-4l1936,93r-18,l1902,96r-16,5l1871,106r-14,6l1844,121r-13,8l1820,140r-11,12l1800,164r-9,14l1785,192r-5,15l1775,223r-2,16l1773,256r,15l1775,286r3,14l1783,314r6,13l1795,340r9,11l1813,362r12,11l1839,385r15,8l1869,401r16,6l1902,412r16,3l1936,416r15,-1l1966,413r17,-5l2008,401r,-95l1999,314r-7,6l1983,326r-7,4l1967,334r-10,2l1948,337r-10,l1931,337r-8,-1l1916,335r-8,-3l1902,330r-6,-4l1889,322r-5,-5l1876,311r-5,-6l1866,299r-4,-8l1860,283r-3,-9l1856,265r,-10l1856,246r1,-8l1860,229r2,-8l1865,214r5,-7l1874,200r5,-6l1885,189r6,-5l1898,180r7,-3l1913,174r8,-2l1930,170r8,l1948,170r10,3l1967,175r10,4l1984,184r9,5l2001,197r7,7l2008,108xm1727,99r-80,l1647,407r80,l1727,99xm1538,167r66,l1604,99r-210,l1394,167r65,l1459,407r79,l1538,167xm1360,117r-11,-6l1337,106r-13,-4l1313,98r-13,-2l1288,93r-12,-1l1263,92r-11,l1241,94r-10,2l1221,99r-10,4l1203,108r-8,6l1187,121r-6,7l1175,136r-5,8l1166,153r-4,10l1161,174r-3,10l1158,195r,10l1160,215r2,9l1165,231r3,8l1172,245r5,6l1183,256r9,7l1203,269r16,6l1242,281r12,5l1264,290r9,4l1279,297r5,4l1287,306r2,5l1289,317r,7l1287,330r-4,5l1279,339r-6,3l1267,345r-8,1l1251,347r-9,l1233,345r-9,-1l1216,340r-9,-5l1198,330r-8,-6l1180,316r-34,65l1158,388r13,8l1185,401r13,5l1212,410r14,3l1239,415r14,l1266,415r12,-2l1290,411r12,-4l1313,403r10,-5l1333,392r9,-6l1349,378r6,-7l1360,362r5,-10l1369,342r2,-11l1373,319r,-13l1371,290r-2,-15l1366,269r-3,-6l1359,258r-4,-7l1350,246r-5,-5l1339,238r-7,-4l1315,226r-17,-6l1276,213r-13,-4l1256,205r-7,-5l1247,198r-3,-4l1242,189r,-4l1243,179r1,-5l1248,170r4,-3l1257,163r6,-3l1269,159r8,-1l1283,159r6,l1297,162r6,1l1315,170r14,9l1360,117xm1091,99r-80,l1011,407r80,l1091,99xm904,167r66,l970,99r-212,l758,167r67,l825,407r79,l904,167xm644,292r-66,l611,194r33,98xm666,354r20,53l771,407,655,99r-87,l450,407r84,l555,354r111,xm395,167r66,l461,99r-212,l249,167r66,l315,407r80,l395,167xm214,117r-11,-6l190,106r-12,-4l167,98,154,96,142,93,129,92r-12,l106,92,94,94,84,96r-9,3l65,103r-9,5l48,114r-7,7l35,128r-7,8l23,144r-3,9l16,163r-1,11l12,184r,11l12,205r1,10l16,224r2,7l22,239r4,6l31,251r6,5l46,263r11,6l73,275r23,6l108,286r10,4l127,294r6,3l138,301r3,5l143,311r,6l143,324r-2,6l137,335r-4,4l127,342r-6,3l113,346r-9,1l96,347r-9,-2l78,344r-8,-4l61,335r-9,-5l43,324,33,316,,381r12,7l25,396r13,5l52,406r14,4l79,413r14,2l107,415r12,l132,413r12,-2l155,407r12,-4l177,398r10,-6l195,386r8,-8l209,371r5,-9l219,352r4,-10l225,331r2,-12l227,306r-2,-16l223,275r-3,-6l217,263r-4,-5l209,251r-5,-5l199,241r-6,-3l185,234r-16,-8l151,220r-22,-7l117,209r-8,-4l103,200r-4,-2l98,194r-2,-5l96,185r1,-6l98,174r4,-4l106,167r5,-4l117,160r6,-1l129,158r8,1l143,159r8,3l157,163r12,7l183,179r31,-62xe" fillcolor="#bd1b21" stroked="f">
                  <v:path arrowok="t" o:connecttype="custom" o:connectlocs="611,102;583,25;536,69;502,27;472,26;450,41;444,68;454,91;480,104;500,79;485,85;473,81;465,69;467,54;477,45;492,44;432,25;401,25;340,30;319,23;301,27;291,41;292,58;305,69;322,77;319,86;304,85;293,99;317,104;336,97;344,80;339,63;319,54;311,47;318,40;333,45;226,42;226,102;172,102;167,89;79,102;42,25;21,24;7,34;3,52;10,64;32,74;36,83;24,87;9,79;20,104;42,101;55,88;55,68;47,59;25,50;27,42;38,41" o:connectangles="0,0,0,0,0,0,0,0,0,0,0,0,0,0,0,0,0,0,0,0,0,0,0,0,0,0,0,0,0,0,0,0,0,0,0,0,0,0,0,0,0,0,0,0,0,0,0,0,0,0,0,0,0,0,0,0,0,0"/>
                  <o:lock v:ext="edit" aspectratio="t" verticies="t"/>
                </v:shape>
                <v:shape id="Freeform 14" o:spid="_x0000_s1032" style="position:absolute;left:1962;top:851;width:679;height:208;visibility:visible;mso-wrap-style:square;v-text-anchor:top" coordsize="1358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//pMIA&#10;AADbAAAADwAAAGRycy9kb3ducmV2LnhtbERPTWvCQBC9F/wPywheRDdakBJdpSpRb6UqnsfsmIRm&#10;Z+PuatJ/3y0UepvH+5zFqjO1eJLzlWUFk3ECgji3uuJCwfmUjd5A+ICssbZMCr7Jw2rZe1lgqm3L&#10;n/Q8hkLEEPYpKihDaFIpfV6SQT+2DXHkbtYZDBG6QmqHbQw3tZwmyUwarDg2lNjQpqT86/gwCqaz&#10;y3WfHYr1R727D52+bbNhu1Vq0O/e5yACdeFf/Oc+6Dj/FX5/iQfI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H/+kwgAAANsAAAAPAAAAAAAAAAAAAAAAAJgCAABkcnMvZG93&#10;bnJldi54bWxQSwUGAAAAAAQABAD1AAAAhwMAAAAA&#10;" path="m1282,36l1243,r-65,56l1205,85r77,-49xm1162,260r,147l1242,407r,-147l1358,100r-97,l1205,183r-59,-83l1051,100r111,160xm863,227r,-127l783,100r,307l863,407r,-133l967,407r104,l938,245,1059,100r-99,l863,227xm721,117r-12,-5l697,107r-12,-5l673,98,660,96,648,93,635,92r-11,l611,92r-9,3l590,97r-10,3l572,103r-9,5l555,115r-7,6l542,128r-7,8l531,145r-4,8l523,163r-2,11l519,184r,12l519,206r2,10l522,224r2,8l528,239r5,6l538,252r5,5l552,263r12,6l580,275r22,7l614,287r11,3l634,294r6,4l644,301r4,5l649,311r1,7l649,324r-1,6l644,335r-5,4l634,343r-8,2l619,348r-8,l603,348r-9,-3l585,344r-8,-4l568,335r-9,-5l549,324r-9,-8l507,381r12,8l532,396r12,5l558,406r14,4l585,414r14,1l613,415r13,l639,414r12,-3l663,407r11,-3l684,399r10,-7l702,386r7,-7l716,371r5,-8l725,353r4,-10l731,331r1,-12l734,306r-2,-16l729,275r-3,-6l724,263r-4,-5l716,252r-5,-5l705,243r-6,-5l692,234r-16,-7l658,221r-22,-7l624,209r-9,-3l610,201r-3,-3l604,194r-1,-5l603,186r,-5l605,174r3,-3l611,167r7,-4l623,161r6,-2l636,158r7,1l650,159r6,3l663,163r13,8l689,179r32,-62xm463,167r,-67l289,100r,307l463,407r,-67l369,340r,-53l458,287r,-68l369,219r,-52l463,167xm66,36r82,46l231,36,210,2,148,34,87,2,66,36xm235,108r-20,-6l197,97,180,95,163,93r-17,2l129,96r-15,5l99,106r-15,6l71,121r-13,9l47,141,37,152,27,164r-7,14l12,192,7,207,3,223,1,239,,257r,15l2,287r4,13l10,314r6,14l22,340r9,11l41,363r12,11l66,385r15,9l97,401r16,6l129,412r18,3l163,416r16,-1l193,414r19,-5l235,401r,-95l228,314r-9,6l212,326r-9,4l194,334r-9,2l175,338r-10,1l158,338r-7,-2l143,335r-6,-2l129,330r-6,-4l117,323r-6,-5l104,311r-6,-6l93,299r-4,-7l87,283r-3,-9l83,265r,-10l83,247r1,-9l87,229r2,-7l93,214r4,-7l102,201r5,-7l112,189r6,-5l126,181r7,-4l141,174r7,-2l157,171r8,l175,171r10,2l195,176r9,3l213,184r7,5l228,197r7,7l235,108xe" fillcolor="#bd1b21" stroked="f">
                  <v:path arrowok="t" o:connecttype="custom" o:connectlocs="321,9;340,25;291,65;216,102;265,25;175,27;159,23;145,25;136,32;131,44;131,56;136,65;154,72;162,77;161,84;153,87;142,84;130,98;147,104;163,103;176,97;183,86;183,69;178,62;165,56;152,50;152,44;158,40;166,41;116,25;93,85;93,42;53,1;54,26;33,24;15,33;3,48;0,68;6,85;21,99;41,104;59,77;49,84;38,84;30,81;23,73;21,62;25,52;32,46;42,43;54,46" o:connectangles="0,0,0,0,0,0,0,0,0,0,0,0,0,0,0,0,0,0,0,0,0,0,0,0,0,0,0,0,0,0,0,0,0,0,0,0,0,0,0,0,0,0,0,0,0,0,0,0,0,0,0"/>
                  <o:lock v:ext="edit" aspectratio="t" verticies="t"/>
                </v:shape>
                <w10:wrap type="square" anchorx="page" anchory="page"/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8173085</wp:posOffset>
                </wp:positionV>
                <wp:extent cx="5130165" cy="925195"/>
                <wp:effectExtent l="3810" t="0" r="0" b="0"/>
                <wp:wrapNone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0165" cy="925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307D" w:rsidRPr="006C5577" w:rsidRDefault="00F8307D" w:rsidP="004924DC">
                            <w:r>
                              <w:t>Z</w:t>
                            </w:r>
                            <w:r w:rsidRPr="006C5577">
                              <w:t xml:space="preserve">pracoval: Odbor </w:t>
                            </w:r>
                            <w:r>
                              <w:t>statistiky obyvatelstva</w:t>
                            </w:r>
                          </w:p>
                          <w:p w:rsidR="00F8307D" w:rsidRPr="006C5577" w:rsidRDefault="00F8307D" w:rsidP="004924DC">
                            <w:r w:rsidRPr="006C5577">
                              <w:t xml:space="preserve">Ředitel odboru: </w:t>
                            </w:r>
                            <w:r>
                              <w:t>Robert Šanda</w:t>
                            </w:r>
                          </w:p>
                          <w:p w:rsidR="00F8307D" w:rsidRPr="006C5577" w:rsidRDefault="00F8307D" w:rsidP="004924DC">
                            <w:r w:rsidRPr="006C5577">
                              <w:t xml:space="preserve">Kontaktní osoba: </w:t>
                            </w:r>
                            <w:r>
                              <w:t>Roman Kurkin</w:t>
                            </w:r>
                            <w:r w:rsidRPr="006C5577">
                              <w:t>,</w:t>
                            </w:r>
                            <w:r>
                              <w:t xml:space="preserve"> e-mail: roman.kurkin@czso.cz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34.3pt;margin-top:643.55pt;width:403.95pt;height:72.8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" filled="f" stroked="f">
                <v:textbox inset="0,0,0,0">
                  <w:txbxContent>
                    <w:p w:rsidR="00F8307D" w:rsidRPr="006C5577" w:rsidRDefault="00F8307D" w:rsidP="004924DC">
                      <w:r>
                        <w:t>Z</w:t>
                      </w:r>
                      <w:r w:rsidRPr="006C5577">
                        <w:t xml:space="preserve">pracoval: Odbor </w:t>
                      </w:r>
                      <w:r>
                        <w:t>statistiky obyvatelstva</w:t>
                      </w:r>
                    </w:p>
                    <w:p w:rsidR="00F8307D" w:rsidRPr="006C5577" w:rsidRDefault="00F8307D" w:rsidP="004924DC">
                      <w:r w:rsidRPr="006C5577">
                        <w:t xml:space="preserve">Ředitel odboru: </w:t>
                      </w:r>
                      <w:r>
                        <w:t>Robert Šanda</w:t>
                      </w:r>
                    </w:p>
                    <w:p w:rsidR="00F8307D" w:rsidRPr="006C5577" w:rsidRDefault="00F8307D" w:rsidP="004924DC">
                      <w:r w:rsidRPr="006C5577">
                        <w:t xml:space="preserve">Kontaktní osoba: </w:t>
                      </w:r>
                      <w:r>
                        <w:t>Roman Kurkin</w:t>
                      </w:r>
                      <w:r w:rsidRPr="006C5577">
                        <w:t>,</w:t>
                      </w:r>
                      <w:r>
                        <w:t xml:space="preserve"> e-mail: roman.kurkin@czso.cz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page">
                  <wp:posOffset>1710055</wp:posOffset>
                </wp:positionH>
                <wp:positionV relativeFrom="page">
                  <wp:posOffset>4680585</wp:posOffset>
                </wp:positionV>
                <wp:extent cx="5129530" cy="1686560"/>
                <wp:effectExtent l="0" t="0" r="1270" b="15240"/>
                <wp:wrapNone/>
                <wp:docPr id="3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9530" cy="168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307D" w:rsidRPr="004924DC" w:rsidRDefault="00F8307D" w:rsidP="004924DC">
                            <w:pPr>
                              <w:pStyle w:val="TLIdentifikace-sted"/>
                            </w:pPr>
                            <w:r>
                              <w:t>Obyvatelstvo</w:t>
                            </w:r>
                          </w:p>
                          <w:p w:rsidR="00F8307D" w:rsidRPr="004924DC" w:rsidRDefault="00F8307D" w:rsidP="00554CEE">
                            <w:pPr>
                              <w:pStyle w:val="TLIdentifikace-sted"/>
                            </w:pPr>
                            <w:r>
                              <w:t>Praha</w:t>
                            </w:r>
                            <w:r w:rsidRPr="004924DC">
                              <w:t xml:space="preserve">, </w:t>
                            </w:r>
                            <w:r>
                              <w:t>11. prosince 2018</w:t>
                            </w:r>
                          </w:p>
                          <w:p w:rsidR="00F8307D" w:rsidRPr="004924DC" w:rsidRDefault="00F8307D" w:rsidP="004924DC">
                            <w:pPr>
                              <w:pStyle w:val="TLIdentifikace-sted"/>
                            </w:pPr>
                            <w:r>
                              <w:t>Kód publikace: 130138-18</w:t>
                            </w:r>
                          </w:p>
                          <w:p w:rsidR="00F8307D" w:rsidRPr="004924DC" w:rsidRDefault="00F8307D" w:rsidP="004924DC">
                            <w:pPr>
                              <w:pStyle w:val="TLIdentifikace-sted"/>
                            </w:pPr>
                            <w:r w:rsidRPr="004924DC">
                              <w:t xml:space="preserve">Č. j.: </w:t>
                            </w:r>
                            <w:r w:rsidRPr="00C77051">
                              <w:t>03535</w:t>
                            </w:r>
                            <w:r>
                              <w:t xml:space="preserve"> / 2018 – 61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34.65pt;margin-top:368.55pt;width:403.9pt;height:132.8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" filled="f" stroked="f">
                <v:textbox style="mso-fit-shape-to-text:t" inset="0,0,0,0">
                  <w:txbxContent>
                    <w:p w:rsidR="00F8307D" w:rsidRPr="004924DC" w:rsidRDefault="00F8307D" w:rsidP="004924DC">
                      <w:pPr>
                        <w:pStyle w:val="TLIdentifikace-sted"/>
                      </w:pPr>
                      <w:r>
                        <w:t>Obyvatelstvo</w:t>
                      </w:r>
                    </w:p>
                    <w:p w:rsidR="00F8307D" w:rsidRPr="004924DC" w:rsidRDefault="00F8307D" w:rsidP="00554CEE">
                      <w:pPr>
                        <w:pStyle w:val="TLIdentifikace-sted"/>
                      </w:pPr>
                      <w:r>
                        <w:t>Praha</w:t>
                      </w:r>
                      <w:r w:rsidRPr="004924DC">
                        <w:t xml:space="preserve">, </w:t>
                      </w:r>
                      <w:r>
                        <w:t>11. prosince 2018</w:t>
                      </w:r>
                    </w:p>
                    <w:p w:rsidR="00F8307D" w:rsidRPr="004924DC" w:rsidRDefault="00F8307D" w:rsidP="004924DC">
                      <w:pPr>
                        <w:pStyle w:val="TLIdentifikace-sted"/>
                      </w:pPr>
                      <w:r>
                        <w:t>Kód publikace: 130138-18</w:t>
                      </w:r>
                    </w:p>
                    <w:p w:rsidR="00F8307D" w:rsidRPr="004924DC" w:rsidRDefault="00F8307D" w:rsidP="004924DC">
                      <w:pPr>
                        <w:pStyle w:val="TLIdentifikace-sted"/>
                      </w:pPr>
                      <w:r w:rsidRPr="004924DC">
                        <w:t xml:space="preserve">Č. j.: </w:t>
                      </w:r>
                      <w:r w:rsidRPr="00C77051">
                        <w:t>03535</w:t>
                      </w:r>
                      <w:r>
                        <w:t xml:space="preserve"> / 2018 – 61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page">
                  <wp:posOffset>1710055</wp:posOffset>
                </wp:positionH>
                <wp:positionV relativeFrom="page">
                  <wp:posOffset>1476375</wp:posOffset>
                </wp:positionV>
                <wp:extent cx="5129530" cy="2207895"/>
                <wp:effectExtent l="0" t="0" r="1270" b="1905"/>
                <wp:wrapNone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9530" cy="2207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307D" w:rsidRDefault="00F8307D" w:rsidP="000E6FBD">
                            <w:pPr>
                              <w:pStyle w:val="Nzev"/>
                            </w:pPr>
                            <w:r>
                              <w:t>VNITŘNÍ STĚHOVÁNÍ</w:t>
                            </w:r>
                          </w:p>
                          <w:p w:rsidR="00F8307D" w:rsidRPr="000E6FBD" w:rsidRDefault="00F8307D" w:rsidP="000E6FBD">
                            <w:pPr>
                              <w:pStyle w:val="Nzev"/>
                            </w:pPr>
                            <w:r>
                              <w:t>v české republice</w:t>
                            </w:r>
                          </w:p>
                          <w:p w:rsidR="00F8307D" w:rsidRPr="0012192F" w:rsidRDefault="00F8307D" w:rsidP="0012192F">
                            <w:pPr>
                              <w:pStyle w:val="Podtitul"/>
                            </w:pPr>
                          </w:p>
                          <w:p w:rsidR="00F8307D" w:rsidRPr="0012192F" w:rsidRDefault="00F8307D" w:rsidP="0012192F">
                            <w:pPr>
                              <w:pStyle w:val="Podtitul"/>
                            </w:pPr>
                            <w:r>
                              <w:t>za období</w:t>
                            </w:r>
                          </w:p>
                          <w:p w:rsidR="00F8307D" w:rsidRPr="0012192F" w:rsidRDefault="00F8307D" w:rsidP="0012192F">
                            <w:pPr>
                              <w:pStyle w:val="Podtitul"/>
                            </w:pPr>
                            <w:r>
                              <w:t>2005 – 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34.65pt;margin-top:116.25pt;width:403.9pt;height:173.8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" filled="f" stroked="f">
                <v:textbox style="mso-fit-shape-to-text:t" inset="0,0,0,0">
                  <w:txbxContent>
                    <w:p w:rsidR="00F8307D" w:rsidRDefault="00F8307D" w:rsidP="000E6FBD">
                      <w:pPr>
                        <w:pStyle w:val="Nzev"/>
                      </w:pPr>
                      <w:r>
                        <w:t>VNITŘNÍ STĚHOVÁNÍ</w:t>
                      </w:r>
                    </w:p>
                    <w:p w:rsidR="00F8307D" w:rsidRPr="000E6FBD" w:rsidRDefault="00F8307D" w:rsidP="000E6FBD">
                      <w:pPr>
                        <w:pStyle w:val="Nzev"/>
                      </w:pPr>
                      <w:r>
                        <w:t>v české republice</w:t>
                      </w:r>
                    </w:p>
                    <w:p w:rsidR="00F8307D" w:rsidRPr="0012192F" w:rsidRDefault="00F8307D" w:rsidP="0012192F">
                      <w:pPr>
                        <w:pStyle w:val="Podtitul"/>
                      </w:pPr>
                    </w:p>
                    <w:p w:rsidR="00F8307D" w:rsidRPr="0012192F" w:rsidRDefault="00F8307D" w:rsidP="0012192F">
                      <w:pPr>
                        <w:pStyle w:val="Podtitul"/>
                      </w:pPr>
                      <w:r>
                        <w:t>za období</w:t>
                      </w:r>
                    </w:p>
                    <w:p w:rsidR="00F8307D" w:rsidRPr="0012192F" w:rsidRDefault="00F8307D" w:rsidP="0012192F">
                      <w:pPr>
                        <w:pStyle w:val="Podtitul"/>
                      </w:pPr>
                      <w:r>
                        <w:t>2005 – 2017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page">
                  <wp:posOffset>1710055</wp:posOffset>
                </wp:positionH>
                <wp:positionV relativeFrom="page">
                  <wp:posOffset>9649460</wp:posOffset>
                </wp:positionV>
                <wp:extent cx="5130165" cy="179705"/>
                <wp:effectExtent l="0" t="0" r="5080" b="635"/>
                <wp:wrapNone/>
                <wp:docPr id="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016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307D" w:rsidRPr="004924DC" w:rsidRDefault="00F8307D" w:rsidP="004924DC">
                            <w:r w:rsidRPr="004924DC">
                              <w:t xml:space="preserve">© Český statistický úřad, </w:t>
                            </w:r>
                            <w:r>
                              <w:t>Praha</w:t>
                            </w:r>
                            <w:r w:rsidRPr="004924DC">
                              <w:t xml:space="preserve">, </w:t>
                            </w:r>
                            <w:r>
                              <w:t>2018</w:t>
                            </w:r>
                          </w:p>
                          <w:p w:rsidR="00F8307D" w:rsidRPr="005251DD" w:rsidRDefault="00F8307D" w:rsidP="00665BA4"/>
                          <w:p w:rsidR="00F8307D" w:rsidRPr="005251DD" w:rsidRDefault="00F8307D" w:rsidP="00FC684B"/>
                          <w:p w:rsidR="00F8307D" w:rsidRDefault="00F8307D"/>
                          <w:p w:rsidR="00F8307D" w:rsidRPr="00097407" w:rsidRDefault="00F8307D" w:rsidP="00665BA4">
                            <w:r w:rsidRPr="00097407">
                              <w:t xml:space="preserve">© </w:t>
                            </w:r>
                            <w:r w:rsidRPr="005251DD">
                              <w:t>Český statistický úřad</w:t>
                            </w:r>
                            <w:r>
                              <w:t xml:space="preserve"> / </w:t>
                            </w:r>
                            <w:r w:rsidRPr="009A1902">
                              <w:rPr>
                                <w:i/>
                              </w:rPr>
                              <w:t xml:space="preserve">Czech </w:t>
                            </w:r>
                            <w:r w:rsidRPr="009A1902">
                              <w:rPr>
                                <w:rFonts w:cs="Arial"/>
                                <w:i/>
                                <w:szCs w:val="20"/>
                              </w:rPr>
                              <w:t>Statistical Office</w:t>
                            </w:r>
                            <w:r w:rsidRPr="00097407">
                              <w:t>, místo, rok vydání</w:t>
                            </w:r>
                          </w:p>
                          <w:p w:rsidR="00F8307D" w:rsidRPr="005251DD" w:rsidRDefault="00F8307D" w:rsidP="00665BA4"/>
                          <w:p w:rsidR="00F8307D" w:rsidRPr="005251DD" w:rsidRDefault="00F8307D" w:rsidP="00FC684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34.65pt;margin-top:759.8pt;width:403.95pt;height:14.1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" filled="f" stroked="f">
                <v:textbox inset="0,0,0,0">
                  <w:txbxContent>
                    <w:p w:rsidR="00F8307D" w:rsidRPr="004924DC" w:rsidRDefault="00F8307D" w:rsidP="004924DC">
                      <w:r w:rsidRPr="004924DC">
                        <w:t xml:space="preserve">© Český statistický úřad, </w:t>
                      </w:r>
                      <w:r>
                        <w:t>Praha</w:t>
                      </w:r>
                      <w:r w:rsidRPr="004924DC">
                        <w:t xml:space="preserve">, </w:t>
                      </w:r>
                      <w:r>
                        <w:t>2018</w:t>
                      </w:r>
                    </w:p>
                    <w:p w:rsidR="00F8307D" w:rsidRPr="005251DD" w:rsidRDefault="00F8307D" w:rsidP="00665BA4"/>
                    <w:p w:rsidR="00F8307D" w:rsidRPr="005251DD" w:rsidRDefault="00F8307D" w:rsidP="00FC684B"/>
                    <w:p w:rsidR="00F8307D" w:rsidRDefault="00F8307D"/>
                    <w:p w:rsidR="00F8307D" w:rsidRPr="00097407" w:rsidRDefault="00F8307D" w:rsidP="00665BA4">
                      <w:r w:rsidRPr="00097407">
                        <w:t xml:space="preserve">© </w:t>
                      </w:r>
                      <w:r w:rsidRPr="005251DD">
                        <w:t>Český statistický úřad</w:t>
                      </w:r>
                      <w:r>
                        <w:t xml:space="preserve"> / </w:t>
                      </w:r>
                      <w:r w:rsidRPr="009A1902">
                        <w:rPr>
                          <w:i/>
                        </w:rPr>
                        <w:t xml:space="preserve">Czech </w:t>
                      </w:r>
                      <w:r w:rsidRPr="009A1902">
                        <w:rPr>
                          <w:rFonts w:cs="Arial"/>
                          <w:i/>
                          <w:szCs w:val="20"/>
                        </w:rPr>
                        <w:t>Statistical Office</w:t>
                      </w:r>
                      <w:r w:rsidRPr="00097407">
                        <w:t>, místo, rok vydání</w:t>
                      </w:r>
                    </w:p>
                    <w:p w:rsidR="00F8307D" w:rsidRPr="005251DD" w:rsidRDefault="00F8307D" w:rsidP="00665BA4"/>
                    <w:p w:rsidR="00F8307D" w:rsidRPr="005251DD" w:rsidRDefault="00F8307D" w:rsidP="00FC684B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3632" behindDoc="0" locked="1" layoutInCell="0" allowOverlap="1">
                <wp:simplePos x="0" y="0"/>
                <wp:positionH relativeFrom="page">
                  <wp:posOffset>1710055</wp:posOffset>
                </wp:positionH>
                <wp:positionV relativeFrom="page">
                  <wp:posOffset>9361169</wp:posOffset>
                </wp:positionV>
                <wp:extent cx="5130165" cy="0"/>
                <wp:effectExtent l="0" t="0" r="26035" b="25400"/>
                <wp:wrapNone/>
                <wp:docPr id="33" name="Přímá spojnic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3016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33" o:spid="_x0000_s1026" style="position:absolute;z-index:251653632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margin;mso-height-relative:margin" from="134.65pt,737.1pt" to="538.6pt,7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" o:allowincell="f" strokecolor="windowText" strokeweight="1pt">
                <o:lock v:ext="edit" shapetype="f"/>
                <w10:wrap anchorx="page" anchory="page"/>
                <w10:anchorlock/>
              </v:line>
            </w:pict>
          </mc:Fallback>
        </mc:AlternateContent>
      </w:r>
      <w:r w:rsidR="00F63FB7">
        <w:br w:type="page"/>
      </w:r>
      <w:r>
        <w:lastRenderedPageBreak/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page">
                  <wp:posOffset>723900</wp:posOffset>
                </wp:positionH>
                <wp:positionV relativeFrom="page">
                  <wp:posOffset>1440180</wp:posOffset>
                </wp:positionV>
                <wp:extent cx="6119495" cy="7690485"/>
                <wp:effectExtent l="0" t="5080" r="1905" b="635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769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307D" w:rsidRPr="006F5416" w:rsidRDefault="00F8307D" w:rsidP="000B30FA">
                            <w:pPr>
                              <w:pStyle w:val="TLKontaktyerven"/>
                            </w:pPr>
                            <w:r w:rsidRPr="006F5416">
                              <w:t>KONTAKTY V ÚSTŘEDÍ</w:t>
                            </w:r>
                          </w:p>
                          <w:p w:rsidR="00F8307D" w:rsidRPr="007D40DF" w:rsidRDefault="00F8307D" w:rsidP="000B30FA">
                            <w:pPr>
                              <w:pStyle w:val="TLKontakty"/>
                              <w:spacing w:after="80" w:line="240" w:lineRule="auto"/>
                              <w:contextualSpacing w:val="0"/>
                              <w:rPr>
                                <w:b w:val="0"/>
                                <w:color w:val="auto"/>
                              </w:rPr>
                            </w:pPr>
                            <w:r w:rsidRPr="00D66223">
                              <w:t>Český statistický úřad</w:t>
                            </w:r>
                            <w:r w:rsidRPr="007D40DF">
                              <w:rPr>
                                <w:b w:val="0"/>
                                <w:color w:val="auto"/>
                              </w:rPr>
                              <w:t xml:space="preserve"> | Na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 padesátém 81, 100 82 Praha</w:t>
                            </w:r>
                            <w:r w:rsidRPr="007D40DF">
                              <w:rPr>
                                <w:b w:val="0"/>
                                <w:color w:val="auto"/>
                              </w:rPr>
                              <w:t> 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10, </w:t>
                            </w:r>
                            <w:r w:rsidRPr="007D40DF">
                              <w:rPr>
                                <w:b w:val="0"/>
                                <w:color w:val="auto"/>
                              </w:rPr>
                              <w:t xml:space="preserve">tel.: 274 051 111 | </w:t>
                            </w:r>
                            <w:r w:rsidRPr="007D40DF">
                              <w:rPr>
                                <w:color w:val="auto"/>
                              </w:rPr>
                              <w:t>www.czso.cz</w:t>
                            </w:r>
                          </w:p>
                          <w:p w:rsidR="00F8307D" w:rsidRPr="00D235B7" w:rsidRDefault="00F8307D" w:rsidP="000B30FA">
                            <w:pPr>
                              <w:pStyle w:val="TLKontakty"/>
                              <w:spacing w:after="80" w:line="240" w:lineRule="auto"/>
                              <w:contextualSpacing w:val="0"/>
                              <w:rPr>
                                <w:b w:val="0"/>
                                <w:color w:val="auto"/>
                              </w:rPr>
                            </w:pPr>
                            <w:r w:rsidRPr="00D235B7">
                              <w:rPr>
                                <w:color w:val="auto"/>
                              </w:rPr>
                              <w:t>Oddělení informačních služeb</w:t>
                            </w:r>
                            <w:r w:rsidRPr="00D235B7">
                              <w:rPr>
                                <w:b w:val="0"/>
                                <w:color w:val="auto"/>
                              </w:rPr>
                              <w:t xml:space="preserve"> | tel.: 274 052 304, 274 052 451 | e-mail: infoservis@czso.cz</w:t>
                            </w:r>
                          </w:p>
                          <w:p w:rsidR="00F8307D" w:rsidRPr="00D235B7" w:rsidRDefault="00F8307D" w:rsidP="000B30FA">
                            <w:pPr>
                              <w:pStyle w:val="TLKontakty"/>
                              <w:spacing w:after="80" w:line="240" w:lineRule="auto"/>
                              <w:contextualSpacing w:val="0"/>
                              <w:rPr>
                                <w:b w:val="0"/>
                                <w:color w:val="auto"/>
                              </w:rPr>
                            </w:pPr>
                            <w:r w:rsidRPr="00D235B7">
                              <w:rPr>
                                <w:color w:val="auto"/>
                              </w:rPr>
                              <w:t>Prodejna publikací ČSÚ</w:t>
                            </w:r>
                            <w:r w:rsidRPr="00D235B7">
                              <w:rPr>
                                <w:b w:val="0"/>
                                <w:color w:val="auto"/>
                              </w:rPr>
                              <w:t xml:space="preserve"> | tel.: 274 052 361 | e-mail: prodejna@czso.cz</w:t>
                            </w:r>
                          </w:p>
                          <w:p w:rsidR="00F8307D" w:rsidRPr="00D235B7" w:rsidRDefault="00F8307D" w:rsidP="000B30FA">
                            <w:pPr>
                              <w:pStyle w:val="TLKontakty"/>
                              <w:spacing w:after="80" w:line="240" w:lineRule="auto"/>
                              <w:contextualSpacing w:val="0"/>
                              <w:rPr>
                                <w:b w:val="0"/>
                                <w:color w:val="auto"/>
                              </w:rPr>
                            </w:pPr>
                            <w:r w:rsidRPr="00D235B7">
                              <w:rPr>
                                <w:color w:val="auto"/>
                              </w:rPr>
                              <w:t>Evropská data (ESDS), mezinárodní srovnání</w:t>
                            </w:r>
                            <w:r w:rsidRPr="00D235B7">
                              <w:rPr>
                                <w:b w:val="0"/>
                                <w:color w:val="auto"/>
                              </w:rPr>
                              <w:t xml:space="preserve"> | tel.: 274 052 347, 274 052 757 | e-mail: esds@czso.cz</w:t>
                            </w:r>
                          </w:p>
                          <w:p w:rsidR="00F8307D" w:rsidRPr="00D235B7" w:rsidRDefault="00F8307D" w:rsidP="000B30FA">
                            <w:pPr>
                              <w:pStyle w:val="TLKontakty"/>
                              <w:spacing w:after="80" w:line="240" w:lineRule="auto"/>
                              <w:contextualSpacing w:val="0"/>
                              <w:rPr>
                                <w:b w:val="0"/>
                                <w:color w:val="auto"/>
                              </w:rPr>
                            </w:pPr>
                            <w:r w:rsidRPr="00D235B7">
                              <w:rPr>
                                <w:color w:val="auto"/>
                              </w:rPr>
                              <w:t>Ústřední statistická knihovna</w:t>
                            </w:r>
                            <w:r w:rsidRPr="00D235B7">
                              <w:rPr>
                                <w:b w:val="0"/>
                                <w:color w:val="auto"/>
                              </w:rPr>
                              <w:t xml:space="preserve"> | tel.: 274 052 361 | e-mail: knihovna@czso.cz</w:t>
                            </w:r>
                          </w:p>
                          <w:p w:rsidR="00F8307D" w:rsidRPr="004A61C5" w:rsidRDefault="00F8307D" w:rsidP="000B30FA">
                            <w:pPr>
                              <w:pStyle w:val="TLKontakty"/>
                              <w:spacing w:after="80" w:line="240" w:lineRule="auto"/>
                              <w:contextualSpacing w:val="0"/>
                              <w:rPr>
                                <w:color w:val="auto"/>
                              </w:rPr>
                            </w:pPr>
                          </w:p>
                          <w:p w:rsidR="00F8307D" w:rsidRPr="00D66223" w:rsidRDefault="00F8307D" w:rsidP="000B30FA">
                            <w:pPr>
                              <w:pStyle w:val="TLKontaktyerven"/>
                            </w:pPr>
                            <w:r w:rsidRPr="00D66223">
                              <w:t>INFORMAČNÍ SLUŽBY V REGIONECH</w:t>
                            </w:r>
                          </w:p>
                          <w:p w:rsidR="00F8307D" w:rsidRPr="00992CF3" w:rsidRDefault="00F8307D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D66223">
                              <w:t>Hl. m. Praha</w:t>
                            </w:r>
                            <w:r w:rsidRPr="00992CF3">
                              <w:rPr>
                                <w:b w:val="0"/>
                                <w:color w:val="auto"/>
                              </w:rPr>
                              <w:t xml:space="preserve"> | Na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 padesátém 81, 100 82 Praha 10, </w:t>
                            </w:r>
                            <w:r w:rsidRPr="00992CF3">
                              <w:rPr>
                                <w:b w:val="0"/>
                                <w:color w:val="auto"/>
                              </w:rPr>
                              <w:t>tel.</w:t>
                            </w:r>
                            <w:r w:rsidRPr="007D40DF">
                              <w:rPr>
                                <w:b w:val="0"/>
                                <w:color w:val="auto"/>
                              </w:rPr>
                              <w:t>: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 274 052 673, </w:t>
                            </w:r>
                            <w:r w:rsidRPr="00992CF3">
                              <w:rPr>
                                <w:b w:val="0"/>
                                <w:color w:val="auto"/>
                              </w:rPr>
                              <w:t>274 054 223</w:t>
                            </w:r>
                          </w:p>
                          <w:p w:rsidR="00F8307D" w:rsidRPr="00992CF3" w:rsidRDefault="00F8307D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992CF3">
                              <w:rPr>
                                <w:b w:val="0"/>
                                <w:color w:val="auto"/>
                              </w:rPr>
                              <w:t xml:space="preserve">e-mail: infoservispraha@czso.cz | </w:t>
                            </w:r>
                            <w:r w:rsidRPr="00992CF3">
                              <w:rPr>
                                <w:color w:val="auto"/>
                              </w:rPr>
                              <w:t>www.praha.czso.cz</w:t>
                            </w:r>
                          </w:p>
                          <w:p w:rsidR="00F8307D" w:rsidRPr="004A61C5" w:rsidRDefault="00F8307D" w:rsidP="000B30FA">
                            <w:pPr>
                              <w:pStyle w:val="TLKontakty"/>
                              <w:spacing w:after="80" w:line="240" w:lineRule="auto"/>
                              <w:rPr>
                                <w:color w:val="auto"/>
                              </w:rPr>
                            </w:pPr>
                          </w:p>
                          <w:p w:rsidR="00F8307D" w:rsidRPr="00992CF3" w:rsidRDefault="00F8307D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D66223">
                              <w:t>Středočeský kraj</w:t>
                            </w:r>
                            <w:r w:rsidRPr="00992CF3">
                              <w:rPr>
                                <w:b w:val="0"/>
                                <w:color w:val="auto"/>
                              </w:rPr>
                              <w:t xml:space="preserve"> | Na padesátém 81, 100 82 Praha 10, tel.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: </w:t>
                            </w:r>
                            <w:r w:rsidRPr="00992CF3">
                              <w:rPr>
                                <w:b w:val="0"/>
                                <w:color w:val="auto"/>
                              </w:rPr>
                              <w:t>274 054 175</w:t>
                            </w:r>
                          </w:p>
                          <w:p w:rsidR="00F8307D" w:rsidRPr="00992CF3" w:rsidRDefault="00F8307D" w:rsidP="000B30FA">
                            <w:pPr>
                              <w:pStyle w:val="TLKontakty"/>
                              <w:spacing w:after="80" w:line="240" w:lineRule="auto"/>
                              <w:rPr>
                                <w:color w:val="auto"/>
                              </w:rPr>
                            </w:pPr>
                            <w:r w:rsidRPr="00992CF3">
                              <w:rPr>
                                <w:b w:val="0"/>
                                <w:color w:val="auto"/>
                              </w:rPr>
                              <w:t xml:space="preserve">e-mail: infoservisstc@czso.cz | </w:t>
                            </w:r>
                            <w:r w:rsidRPr="00992CF3">
                              <w:rPr>
                                <w:color w:val="auto"/>
                              </w:rPr>
                              <w:t>www.stredocesky.czso.cz</w:t>
                            </w:r>
                          </w:p>
                          <w:p w:rsidR="00F8307D" w:rsidRPr="004A61C5" w:rsidRDefault="00F8307D" w:rsidP="000B30FA">
                            <w:pPr>
                              <w:pStyle w:val="TLKontakty"/>
                              <w:spacing w:after="80" w:line="240" w:lineRule="auto"/>
                              <w:rPr>
                                <w:color w:val="auto"/>
                              </w:rPr>
                            </w:pPr>
                          </w:p>
                          <w:p w:rsidR="00F8307D" w:rsidRPr="00992CF3" w:rsidRDefault="00F8307D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D66223">
                              <w:t>České Budějovice</w:t>
                            </w:r>
                            <w:r w:rsidRPr="00992CF3">
                              <w:rPr>
                                <w:b w:val="0"/>
                                <w:color w:val="auto"/>
                              </w:rPr>
                              <w:t xml:space="preserve"> | Žižkova 1, 370 77 České Budějovice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, </w:t>
                            </w:r>
                            <w:r w:rsidRPr="00992CF3">
                              <w:rPr>
                                <w:b w:val="0"/>
                                <w:color w:val="auto"/>
                              </w:rPr>
                              <w:t>tel.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: </w:t>
                            </w:r>
                            <w:r w:rsidRPr="00992CF3">
                              <w:rPr>
                                <w:b w:val="0"/>
                                <w:color w:val="auto"/>
                              </w:rPr>
                              <w:t>386 718 440</w:t>
                            </w:r>
                          </w:p>
                          <w:p w:rsidR="00F8307D" w:rsidRPr="00992CF3" w:rsidRDefault="00F8307D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992CF3">
                              <w:rPr>
                                <w:b w:val="0"/>
                                <w:color w:val="auto"/>
                              </w:rPr>
                              <w:t xml:space="preserve">e-mail: infoserviscb@czso.cz | </w:t>
                            </w:r>
                            <w:r w:rsidRPr="00992CF3">
                              <w:rPr>
                                <w:color w:val="auto"/>
                              </w:rPr>
                              <w:t>www.cbudejovice.czso.cz</w:t>
                            </w:r>
                          </w:p>
                          <w:p w:rsidR="00F8307D" w:rsidRPr="004A61C5" w:rsidRDefault="00F8307D" w:rsidP="000B30FA">
                            <w:pPr>
                              <w:pStyle w:val="TLKontakty"/>
                              <w:spacing w:after="80" w:line="240" w:lineRule="auto"/>
                              <w:rPr>
                                <w:color w:val="auto"/>
                              </w:rPr>
                            </w:pPr>
                          </w:p>
                          <w:p w:rsidR="00F8307D" w:rsidRPr="00BC731E" w:rsidRDefault="00F8307D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D66223">
                              <w:t>Plzeň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 | Slovanská alej 36, 326 64 Plzeň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, 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>tel.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: 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>377 612 108</w:t>
                            </w:r>
                            <w:r w:rsidRPr="00BC731E">
                              <w:rPr>
                                <w:b w:val="0"/>
                                <w:color w:val="auto"/>
                              </w:rPr>
                              <w:t>, 377 612 145</w:t>
                            </w:r>
                          </w:p>
                          <w:p w:rsidR="00F8307D" w:rsidRPr="004A61C5" w:rsidRDefault="00F8307D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e-mail: infoservisplzen@czso.cz | </w:t>
                            </w:r>
                            <w:r w:rsidRPr="004A61C5">
                              <w:rPr>
                                <w:color w:val="auto"/>
                              </w:rPr>
                              <w:t>www.plzen.czso.cz</w:t>
                            </w:r>
                          </w:p>
                          <w:p w:rsidR="00F8307D" w:rsidRPr="004A61C5" w:rsidRDefault="00F8307D" w:rsidP="000B30FA">
                            <w:pPr>
                              <w:pStyle w:val="TLKontakty"/>
                              <w:spacing w:after="80" w:line="240" w:lineRule="auto"/>
                              <w:rPr>
                                <w:color w:val="auto"/>
                              </w:rPr>
                            </w:pPr>
                          </w:p>
                          <w:p w:rsidR="00F8307D" w:rsidRPr="004A61C5" w:rsidRDefault="00F8307D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D66223">
                              <w:t>Karlovy Vary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 | </w:t>
                            </w:r>
                            <w:r w:rsidRPr="00095135">
                              <w:rPr>
                                <w:b w:val="0"/>
                                <w:color w:val="auto"/>
                              </w:rPr>
                              <w:t>Závodní 360/94, 360 06 Karlovy Vary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>, tel.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: 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>353 114 529, 353 114 525</w:t>
                            </w:r>
                          </w:p>
                          <w:p w:rsidR="00F8307D" w:rsidRPr="004A61C5" w:rsidRDefault="00F8307D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e-mail: infoserviskv@czso.cz | </w:t>
                            </w:r>
                            <w:r w:rsidRPr="004A61C5">
                              <w:rPr>
                                <w:color w:val="auto"/>
                              </w:rPr>
                              <w:t>www.kvary.czso.cz</w:t>
                            </w:r>
                          </w:p>
                          <w:p w:rsidR="00F8307D" w:rsidRPr="004A61C5" w:rsidRDefault="00F8307D" w:rsidP="000B30FA">
                            <w:pPr>
                              <w:pStyle w:val="TLKontakty"/>
                              <w:spacing w:after="80" w:line="240" w:lineRule="auto"/>
                              <w:rPr>
                                <w:color w:val="auto"/>
                              </w:rPr>
                            </w:pPr>
                          </w:p>
                          <w:p w:rsidR="00F8307D" w:rsidRPr="004A61C5" w:rsidRDefault="00F8307D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D66223">
                              <w:t>Ústí nad Labem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 | Špálova 2684, 400 11 Ústí nad Labem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, 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>tel.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: 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>472 706 176,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 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>472 706 121</w:t>
                            </w:r>
                          </w:p>
                          <w:p w:rsidR="00F8307D" w:rsidRPr="004A61C5" w:rsidRDefault="00F8307D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e-mail: infoservisul@czso.cz | </w:t>
                            </w:r>
                            <w:r w:rsidRPr="004A61C5">
                              <w:rPr>
                                <w:color w:val="auto"/>
                              </w:rPr>
                              <w:t>www.ustinadlabem.czso.cz</w:t>
                            </w:r>
                          </w:p>
                          <w:p w:rsidR="00F8307D" w:rsidRPr="004A61C5" w:rsidRDefault="00F8307D" w:rsidP="000B30FA">
                            <w:pPr>
                              <w:pStyle w:val="TLKontakty"/>
                              <w:spacing w:after="80" w:line="240" w:lineRule="auto"/>
                              <w:rPr>
                                <w:color w:val="auto"/>
                              </w:rPr>
                            </w:pPr>
                          </w:p>
                          <w:p w:rsidR="00F8307D" w:rsidRPr="004A61C5" w:rsidRDefault="00F8307D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D66223">
                              <w:t>Liberec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 | Nám. Dr. Edvarda Beneše 585/26, 460 01 Liberec 1, tel.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: 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>485 238 811</w:t>
                            </w:r>
                          </w:p>
                          <w:p w:rsidR="00F8307D" w:rsidRPr="004A61C5" w:rsidRDefault="00F8307D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e-mail: infoservislbc@czso.cz | </w:t>
                            </w:r>
                            <w:r w:rsidRPr="004A61C5">
                              <w:rPr>
                                <w:color w:val="auto"/>
                              </w:rPr>
                              <w:t>www.liberec.czso.cz</w:t>
                            </w:r>
                          </w:p>
                          <w:p w:rsidR="00F8307D" w:rsidRPr="004A61C5" w:rsidRDefault="00F8307D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</w:p>
                          <w:p w:rsidR="00F8307D" w:rsidRPr="004A61C5" w:rsidRDefault="00F8307D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D66223">
                              <w:t>Hradec Králové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 | Myslivečkova 914, 500 03 Hradec Králové 3, 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>tel.</w:t>
                            </w:r>
                            <w:r w:rsidRPr="007D40DF">
                              <w:rPr>
                                <w:b w:val="0"/>
                                <w:color w:val="auto"/>
                              </w:rPr>
                              <w:t>: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 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>495 762 322,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 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>495 762 317</w:t>
                            </w:r>
                          </w:p>
                          <w:p w:rsidR="00F8307D" w:rsidRPr="004A61C5" w:rsidRDefault="00F8307D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e-mail: infoservishk@czso.cz | </w:t>
                            </w:r>
                            <w:r w:rsidRPr="004A61C5">
                              <w:rPr>
                                <w:color w:val="auto"/>
                              </w:rPr>
                              <w:t>www.hradeckralove.czso.cz</w:t>
                            </w:r>
                          </w:p>
                          <w:p w:rsidR="00F8307D" w:rsidRPr="004A61C5" w:rsidRDefault="00F8307D" w:rsidP="000B30FA">
                            <w:pPr>
                              <w:pStyle w:val="TLKontakty"/>
                              <w:spacing w:after="80" w:line="240" w:lineRule="auto"/>
                              <w:rPr>
                                <w:color w:val="auto"/>
                              </w:rPr>
                            </w:pPr>
                          </w:p>
                          <w:p w:rsidR="00F8307D" w:rsidRPr="004A61C5" w:rsidRDefault="00F8307D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D66223">
                              <w:t>Pardubice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 | V Ráji 872, 531 53 Pardubice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, 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>tel.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>: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 466 743 480, 466 743 418</w:t>
                            </w:r>
                          </w:p>
                          <w:p w:rsidR="00F8307D" w:rsidRPr="004A61C5" w:rsidRDefault="00F8307D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e-mail: infoservispa@czso.cz | </w:t>
                            </w:r>
                            <w:r w:rsidRPr="004A61C5">
                              <w:rPr>
                                <w:color w:val="auto"/>
                              </w:rPr>
                              <w:t>www.pardubice.czso.cz</w:t>
                            </w:r>
                          </w:p>
                          <w:p w:rsidR="00F8307D" w:rsidRPr="004A61C5" w:rsidRDefault="00F8307D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</w:p>
                          <w:p w:rsidR="00F8307D" w:rsidRPr="004A61C5" w:rsidRDefault="00F8307D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D66223">
                              <w:t>Jihlava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 | Ke Skalce 30,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 586 01 Jihlava, tel.: 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567 109 </w:t>
                            </w:r>
                            <w:r w:rsidRPr="00BC731E">
                              <w:rPr>
                                <w:b w:val="0"/>
                                <w:color w:val="auto"/>
                              </w:rPr>
                              <w:t>062, 567 109 073</w:t>
                            </w:r>
                          </w:p>
                          <w:p w:rsidR="00F8307D" w:rsidRPr="004A61C5" w:rsidRDefault="00F8307D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e-mail: infoservisvys@czso.cz | </w:t>
                            </w:r>
                            <w:r w:rsidRPr="004A61C5">
                              <w:rPr>
                                <w:color w:val="auto"/>
                              </w:rPr>
                              <w:t>www.jihlava.czso.cz</w:t>
                            </w:r>
                          </w:p>
                          <w:p w:rsidR="00F8307D" w:rsidRDefault="00F8307D" w:rsidP="000B30FA">
                            <w:pPr>
                              <w:pStyle w:val="TLKontakty"/>
                              <w:spacing w:after="80" w:line="240" w:lineRule="auto"/>
                            </w:pPr>
                          </w:p>
                          <w:p w:rsidR="00F8307D" w:rsidRPr="00BC731E" w:rsidRDefault="00F8307D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D66223">
                              <w:t>Brno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 | Jezuitská 2, 601 59 Brno, 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tel: </w:t>
                            </w: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542 528 </w:t>
                            </w:r>
                            <w:r w:rsidRPr="00BC731E">
                              <w:rPr>
                                <w:b w:val="0"/>
                                <w:color w:val="auto"/>
                              </w:rPr>
                              <w:t>115, 542 528 200</w:t>
                            </w:r>
                          </w:p>
                          <w:p w:rsidR="00F8307D" w:rsidRPr="004A61C5" w:rsidRDefault="00F8307D" w:rsidP="000B30FA">
                            <w:pPr>
                              <w:pStyle w:val="TLKontakty"/>
                              <w:spacing w:after="80" w:line="240" w:lineRule="auto"/>
                              <w:rPr>
                                <w:color w:val="auto"/>
                              </w:rPr>
                            </w:pPr>
                            <w:r w:rsidRPr="004A61C5">
                              <w:rPr>
                                <w:b w:val="0"/>
                                <w:color w:val="auto"/>
                              </w:rPr>
                              <w:t xml:space="preserve">e-mail: infoservisbrno@czso.cz | </w:t>
                            </w:r>
                            <w:r w:rsidRPr="004A61C5">
                              <w:rPr>
                                <w:color w:val="auto"/>
                              </w:rPr>
                              <w:t>www.brno.czso.cz</w:t>
                            </w:r>
                          </w:p>
                          <w:p w:rsidR="00F8307D" w:rsidRPr="004A61C5" w:rsidRDefault="00F8307D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</w:p>
                          <w:p w:rsidR="00F8307D" w:rsidRPr="005E7C78" w:rsidRDefault="00F8307D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D66223">
                              <w:t>Olomouc</w:t>
                            </w:r>
                            <w:r w:rsidRPr="005E7C78">
                              <w:rPr>
                                <w:b w:val="0"/>
                                <w:color w:val="auto"/>
                              </w:rPr>
                              <w:t xml:space="preserve"> | Jeremenkova 1142/42, 772 11 Olomouc, 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tel.: </w:t>
                            </w:r>
                            <w:r w:rsidRPr="005E7C78">
                              <w:rPr>
                                <w:b w:val="0"/>
                                <w:color w:val="auto"/>
                              </w:rPr>
                              <w:t xml:space="preserve">585 731 </w:t>
                            </w:r>
                            <w:r w:rsidRPr="00BC731E">
                              <w:rPr>
                                <w:b w:val="0"/>
                                <w:color w:val="auto"/>
                              </w:rPr>
                              <w:t>516, 585 731 511</w:t>
                            </w:r>
                          </w:p>
                          <w:p w:rsidR="00F8307D" w:rsidRPr="005E7C78" w:rsidRDefault="00F8307D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5E7C78">
                              <w:rPr>
                                <w:b w:val="0"/>
                                <w:color w:val="auto"/>
                              </w:rPr>
                              <w:t xml:space="preserve">e-mail: infoservisolom@czso.cz | </w:t>
                            </w:r>
                            <w:r w:rsidRPr="005E7C78">
                              <w:rPr>
                                <w:color w:val="auto"/>
                              </w:rPr>
                              <w:t>www.olomouc.czso.cz</w:t>
                            </w:r>
                          </w:p>
                          <w:p w:rsidR="00F8307D" w:rsidRPr="005E7C78" w:rsidRDefault="00F8307D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</w:p>
                          <w:p w:rsidR="00F8307D" w:rsidRPr="005E7C78" w:rsidRDefault="00F8307D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D66223">
                              <w:t>Zlín</w:t>
                            </w:r>
                            <w:r w:rsidRPr="005E7C78">
                              <w:rPr>
                                <w:b w:val="0"/>
                                <w:color w:val="auto"/>
                              </w:rPr>
                              <w:t xml:space="preserve"> | tř. Tomáše Bati 1565, 761 76 Zlín, </w:t>
                            </w:r>
                            <w:r w:rsidRPr="00BC731E">
                              <w:rPr>
                                <w:b w:val="0"/>
                                <w:color w:val="auto"/>
                              </w:rPr>
                              <w:t>tel.: 577 004 932, 5</w:t>
                            </w:r>
                            <w:r w:rsidRPr="005E7C78">
                              <w:rPr>
                                <w:b w:val="0"/>
                                <w:color w:val="auto"/>
                              </w:rPr>
                              <w:t>77 004 935</w:t>
                            </w:r>
                          </w:p>
                          <w:p w:rsidR="00F8307D" w:rsidRDefault="00F8307D" w:rsidP="000B30FA">
                            <w:pPr>
                              <w:pStyle w:val="TLKontakty"/>
                              <w:spacing w:after="80" w:line="240" w:lineRule="auto"/>
                              <w:rPr>
                                <w:color w:val="auto"/>
                              </w:rPr>
                            </w:pPr>
                            <w:r w:rsidRPr="005E7C78">
                              <w:rPr>
                                <w:b w:val="0"/>
                                <w:color w:val="auto"/>
                              </w:rPr>
                              <w:t xml:space="preserve">e-mail: infoservis-zl@czso.cz | </w:t>
                            </w:r>
                            <w:r w:rsidRPr="00227A53">
                              <w:rPr>
                                <w:color w:val="auto"/>
                              </w:rPr>
                              <w:t>www.zlin.czso.cz</w:t>
                            </w:r>
                          </w:p>
                          <w:p w:rsidR="00F8307D" w:rsidRPr="005E7C78" w:rsidRDefault="00F8307D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</w:p>
                          <w:p w:rsidR="00F8307D" w:rsidRPr="005E7C78" w:rsidRDefault="00F8307D" w:rsidP="000B30FA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D66223">
                              <w:t>Ostrava</w:t>
                            </w:r>
                            <w:r w:rsidRPr="005E7C78">
                              <w:rPr>
                                <w:b w:val="0"/>
                                <w:color w:val="auto"/>
                              </w:rPr>
                              <w:t xml:space="preserve"> | Repinova 17, 702 03 Ostrava,</w:t>
                            </w:r>
                            <w:r>
                              <w:rPr>
                                <w:b w:val="0"/>
                                <w:color w:val="auto"/>
                              </w:rPr>
                              <w:t xml:space="preserve"> tel: </w:t>
                            </w:r>
                            <w:r w:rsidRPr="005E7C78">
                              <w:rPr>
                                <w:b w:val="0"/>
                                <w:color w:val="auto"/>
                              </w:rPr>
                              <w:t>595 131 230, 595 131 232</w:t>
                            </w:r>
                          </w:p>
                          <w:p w:rsidR="00F8307D" w:rsidRPr="0010437D" w:rsidRDefault="00F8307D" w:rsidP="00825C4D">
                            <w:pPr>
                              <w:pStyle w:val="TLKontakty"/>
                              <w:spacing w:after="80" w:line="240" w:lineRule="auto"/>
                              <w:rPr>
                                <w:b w:val="0"/>
                                <w:color w:val="auto"/>
                              </w:rPr>
                            </w:pPr>
                            <w:r w:rsidRPr="005E7C78">
                              <w:rPr>
                                <w:b w:val="0"/>
                                <w:color w:val="auto"/>
                              </w:rPr>
                              <w:t xml:space="preserve">e-mail: infoservis_ov@czso.cz | </w:t>
                            </w:r>
                            <w:r w:rsidRPr="005E7C78">
                              <w:rPr>
                                <w:color w:val="auto"/>
                              </w:rPr>
                              <w:t>www.ostrava.czso.cz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57pt;margin-top:113.4pt;width:481.85pt;height:605.5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" filled="f" stroked="f">
                <v:textbox style="mso-fit-shape-to-text:t" inset="0,0,0,0">
                  <w:txbxContent>
                    <w:p w:rsidR="00F8307D" w:rsidRPr="006F5416" w:rsidRDefault="00F8307D" w:rsidP="000B30FA">
                      <w:pPr>
                        <w:pStyle w:val="TLKontaktyerven"/>
                      </w:pPr>
                      <w:r w:rsidRPr="006F5416">
                        <w:t>KONTAKTY V ÚSTŘEDÍ</w:t>
                      </w:r>
                    </w:p>
                    <w:p w:rsidR="00F8307D" w:rsidRPr="007D40DF" w:rsidRDefault="00F8307D" w:rsidP="000B30FA">
                      <w:pPr>
                        <w:pStyle w:val="TLKontakty"/>
                        <w:spacing w:after="80" w:line="240" w:lineRule="auto"/>
                        <w:contextualSpacing w:val="0"/>
                        <w:rPr>
                          <w:b w:val="0"/>
                          <w:color w:val="auto"/>
                        </w:rPr>
                      </w:pPr>
                      <w:r w:rsidRPr="00D66223">
                        <w:t>Český statistický úřad</w:t>
                      </w:r>
                      <w:r w:rsidRPr="007D40DF">
                        <w:rPr>
                          <w:b w:val="0"/>
                          <w:color w:val="auto"/>
                        </w:rPr>
                        <w:t xml:space="preserve"> | Na</w:t>
                      </w:r>
                      <w:r>
                        <w:rPr>
                          <w:b w:val="0"/>
                          <w:color w:val="auto"/>
                        </w:rPr>
                        <w:t xml:space="preserve"> padesátém 81, 100 82 Praha</w:t>
                      </w:r>
                      <w:r w:rsidRPr="007D40DF">
                        <w:rPr>
                          <w:b w:val="0"/>
                          <w:color w:val="auto"/>
                        </w:rPr>
                        <w:t> </w:t>
                      </w:r>
                      <w:r>
                        <w:rPr>
                          <w:b w:val="0"/>
                          <w:color w:val="auto"/>
                        </w:rPr>
                        <w:t xml:space="preserve">10, </w:t>
                      </w:r>
                      <w:r w:rsidRPr="007D40DF">
                        <w:rPr>
                          <w:b w:val="0"/>
                          <w:color w:val="auto"/>
                        </w:rPr>
                        <w:t xml:space="preserve">tel.: 274 051 111 | </w:t>
                      </w:r>
                      <w:r w:rsidRPr="007D40DF">
                        <w:rPr>
                          <w:color w:val="auto"/>
                        </w:rPr>
                        <w:t>www.czso.cz</w:t>
                      </w:r>
                    </w:p>
                    <w:p w:rsidR="00F8307D" w:rsidRPr="00D235B7" w:rsidRDefault="00F8307D" w:rsidP="000B30FA">
                      <w:pPr>
                        <w:pStyle w:val="TLKontakty"/>
                        <w:spacing w:after="80" w:line="240" w:lineRule="auto"/>
                        <w:contextualSpacing w:val="0"/>
                        <w:rPr>
                          <w:b w:val="0"/>
                          <w:color w:val="auto"/>
                        </w:rPr>
                      </w:pPr>
                      <w:r w:rsidRPr="00D235B7">
                        <w:rPr>
                          <w:color w:val="auto"/>
                        </w:rPr>
                        <w:t>Oddělení informačních služeb</w:t>
                      </w:r>
                      <w:r w:rsidRPr="00D235B7">
                        <w:rPr>
                          <w:b w:val="0"/>
                          <w:color w:val="auto"/>
                        </w:rPr>
                        <w:t xml:space="preserve"> | tel.: 274 052 304, 274 052 451 | e-mail: infoservis@czso.cz</w:t>
                      </w:r>
                    </w:p>
                    <w:p w:rsidR="00F8307D" w:rsidRPr="00D235B7" w:rsidRDefault="00F8307D" w:rsidP="000B30FA">
                      <w:pPr>
                        <w:pStyle w:val="TLKontakty"/>
                        <w:spacing w:after="80" w:line="240" w:lineRule="auto"/>
                        <w:contextualSpacing w:val="0"/>
                        <w:rPr>
                          <w:b w:val="0"/>
                          <w:color w:val="auto"/>
                        </w:rPr>
                      </w:pPr>
                      <w:r w:rsidRPr="00D235B7">
                        <w:rPr>
                          <w:color w:val="auto"/>
                        </w:rPr>
                        <w:t>Prodejna publikací ČSÚ</w:t>
                      </w:r>
                      <w:r w:rsidRPr="00D235B7">
                        <w:rPr>
                          <w:b w:val="0"/>
                          <w:color w:val="auto"/>
                        </w:rPr>
                        <w:t xml:space="preserve"> | tel.: 274 052 361 | e-mail: prodejna@czso.cz</w:t>
                      </w:r>
                    </w:p>
                    <w:p w:rsidR="00F8307D" w:rsidRPr="00D235B7" w:rsidRDefault="00F8307D" w:rsidP="000B30FA">
                      <w:pPr>
                        <w:pStyle w:val="TLKontakty"/>
                        <w:spacing w:after="80" w:line="240" w:lineRule="auto"/>
                        <w:contextualSpacing w:val="0"/>
                        <w:rPr>
                          <w:b w:val="0"/>
                          <w:color w:val="auto"/>
                        </w:rPr>
                      </w:pPr>
                      <w:r w:rsidRPr="00D235B7">
                        <w:rPr>
                          <w:color w:val="auto"/>
                        </w:rPr>
                        <w:t>Evropská data (ESDS), mezinárodní srovnání</w:t>
                      </w:r>
                      <w:r w:rsidRPr="00D235B7">
                        <w:rPr>
                          <w:b w:val="0"/>
                          <w:color w:val="auto"/>
                        </w:rPr>
                        <w:t xml:space="preserve"> | tel.: 274 052 347, 274 052 757 | e-mail: esds@czso.cz</w:t>
                      </w:r>
                    </w:p>
                    <w:p w:rsidR="00F8307D" w:rsidRPr="00D235B7" w:rsidRDefault="00F8307D" w:rsidP="000B30FA">
                      <w:pPr>
                        <w:pStyle w:val="TLKontakty"/>
                        <w:spacing w:after="80" w:line="240" w:lineRule="auto"/>
                        <w:contextualSpacing w:val="0"/>
                        <w:rPr>
                          <w:b w:val="0"/>
                          <w:color w:val="auto"/>
                        </w:rPr>
                      </w:pPr>
                      <w:r w:rsidRPr="00D235B7">
                        <w:rPr>
                          <w:color w:val="auto"/>
                        </w:rPr>
                        <w:t>Ústřední statistická knihovna</w:t>
                      </w:r>
                      <w:r w:rsidRPr="00D235B7">
                        <w:rPr>
                          <w:b w:val="0"/>
                          <w:color w:val="auto"/>
                        </w:rPr>
                        <w:t xml:space="preserve"> | tel.: 274 052 361 | e-mail: knihovna@czso.cz</w:t>
                      </w:r>
                    </w:p>
                    <w:p w:rsidR="00F8307D" w:rsidRPr="004A61C5" w:rsidRDefault="00F8307D" w:rsidP="000B30FA">
                      <w:pPr>
                        <w:pStyle w:val="TLKontakty"/>
                        <w:spacing w:after="80" w:line="240" w:lineRule="auto"/>
                        <w:contextualSpacing w:val="0"/>
                        <w:rPr>
                          <w:color w:val="auto"/>
                        </w:rPr>
                      </w:pPr>
                    </w:p>
                    <w:p w:rsidR="00F8307D" w:rsidRPr="00D66223" w:rsidRDefault="00F8307D" w:rsidP="000B30FA">
                      <w:pPr>
                        <w:pStyle w:val="TLKontaktyerven"/>
                      </w:pPr>
                      <w:r w:rsidRPr="00D66223">
                        <w:t>INFORMAČNÍ SLUŽBY V REGIONECH</w:t>
                      </w:r>
                    </w:p>
                    <w:p w:rsidR="00F8307D" w:rsidRPr="00992CF3" w:rsidRDefault="00F8307D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D66223">
                        <w:t>Hl. m. Praha</w:t>
                      </w:r>
                      <w:r w:rsidRPr="00992CF3">
                        <w:rPr>
                          <w:b w:val="0"/>
                          <w:color w:val="auto"/>
                        </w:rPr>
                        <w:t xml:space="preserve"> | Na</w:t>
                      </w:r>
                      <w:r>
                        <w:rPr>
                          <w:b w:val="0"/>
                          <w:color w:val="auto"/>
                        </w:rPr>
                        <w:t xml:space="preserve"> padesátém 81, 100 82 Praha 10, </w:t>
                      </w:r>
                      <w:r w:rsidRPr="00992CF3">
                        <w:rPr>
                          <w:b w:val="0"/>
                          <w:color w:val="auto"/>
                        </w:rPr>
                        <w:t>tel.</w:t>
                      </w:r>
                      <w:r w:rsidRPr="007D40DF">
                        <w:rPr>
                          <w:b w:val="0"/>
                          <w:color w:val="auto"/>
                        </w:rPr>
                        <w:t>:</w:t>
                      </w:r>
                      <w:r>
                        <w:rPr>
                          <w:b w:val="0"/>
                          <w:color w:val="auto"/>
                        </w:rPr>
                        <w:t xml:space="preserve"> 274 052 673, </w:t>
                      </w:r>
                      <w:r w:rsidRPr="00992CF3">
                        <w:rPr>
                          <w:b w:val="0"/>
                          <w:color w:val="auto"/>
                        </w:rPr>
                        <w:t>274 054 223</w:t>
                      </w:r>
                    </w:p>
                    <w:p w:rsidR="00F8307D" w:rsidRPr="00992CF3" w:rsidRDefault="00F8307D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992CF3">
                        <w:rPr>
                          <w:b w:val="0"/>
                          <w:color w:val="auto"/>
                        </w:rPr>
                        <w:t xml:space="preserve">e-mail: infoservispraha@czso.cz | </w:t>
                      </w:r>
                      <w:r w:rsidRPr="00992CF3">
                        <w:rPr>
                          <w:color w:val="auto"/>
                        </w:rPr>
                        <w:t>www.praha.czso.cz</w:t>
                      </w:r>
                    </w:p>
                    <w:p w:rsidR="00F8307D" w:rsidRPr="004A61C5" w:rsidRDefault="00F8307D" w:rsidP="000B30FA">
                      <w:pPr>
                        <w:pStyle w:val="TLKontakty"/>
                        <w:spacing w:after="80" w:line="240" w:lineRule="auto"/>
                        <w:rPr>
                          <w:color w:val="auto"/>
                        </w:rPr>
                      </w:pPr>
                    </w:p>
                    <w:p w:rsidR="00F8307D" w:rsidRPr="00992CF3" w:rsidRDefault="00F8307D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D66223">
                        <w:t>Středočeský kraj</w:t>
                      </w:r>
                      <w:r w:rsidRPr="00992CF3">
                        <w:rPr>
                          <w:b w:val="0"/>
                          <w:color w:val="auto"/>
                        </w:rPr>
                        <w:t xml:space="preserve"> | Na padesátém 81, 100 82 Praha 10, tel.</w:t>
                      </w:r>
                      <w:r>
                        <w:rPr>
                          <w:b w:val="0"/>
                          <w:color w:val="auto"/>
                        </w:rPr>
                        <w:t xml:space="preserve">: </w:t>
                      </w:r>
                      <w:r w:rsidRPr="00992CF3">
                        <w:rPr>
                          <w:b w:val="0"/>
                          <w:color w:val="auto"/>
                        </w:rPr>
                        <w:t>274 054 175</w:t>
                      </w:r>
                    </w:p>
                    <w:p w:rsidR="00F8307D" w:rsidRPr="00992CF3" w:rsidRDefault="00F8307D" w:rsidP="000B30FA">
                      <w:pPr>
                        <w:pStyle w:val="TLKontakty"/>
                        <w:spacing w:after="80" w:line="240" w:lineRule="auto"/>
                        <w:rPr>
                          <w:color w:val="auto"/>
                        </w:rPr>
                      </w:pPr>
                      <w:r w:rsidRPr="00992CF3">
                        <w:rPr>
                          <w:b w:val="0"/>
                          <w:color w:val="auto"/>
                        </w:rPr>
                        <w:t xml:space="preserve">e-mail: infoservisstc@czso.cz | </w:t>
                      </w:r>
                      <w:r w:rsidRPr="00992CF3">
                        <w:rPr>
                          <w:color w:val="auto"/>
                        </w:rPr>
                        <w:t>www.stredocesky.czso.cz</w:t>
                      </w:r>
                    </w:p>
                    <w:p w:rsidR="00F8307D" w:rsidRPr="004A61C5" w:rsidRDefault="00F8307D" w:rsidP="000B30FA">
                      <w:pPr>
                        <w:pStyle w:val="TLKontakty"/>
                        <w:spacing w:after="80" w:line="240" w:lineRule="auto"/>
                        <w:rPr>
                          <w:color w:val="auto"/>
                        </w:rPr>
                      </w:pPr>
                    </w:p>
                    <w:p w:rsidR="00F8307D" w:rsidRPr="00992CF3" w:rsidRDefault="00F8307D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D66223">
                        <w:t>České Budějovice</w:t>
                      </w:r>
                      <w:r w:rsidRPr="00992CF3">
                        <w:rPr>
                          <w:b w:val="0"/>
                          <w:color w:val="auto"/>
                        </w:rPr>
                        <w:t xml:space="preserve"> | Žižkova 1, 370 77 České Budějovice</w:t>
                      </w:r>
                      <w:r>
                        <w:rPr>
                          <w:b w:val="0"/>
                          <w:color w:val="auto"/>
                        </w:rPr>
                        <w:t xml:space="preserve">, </w:t>
                      </w:r>
                      <w:r w:rsidRPr="00992CF3">
                        <w:rPr>
                          <w:b w:val="0"/>
                          <w:color w:val="auto"/>
                        </w:rPr>
                        <w:t>tel.</w:t>
                      </w:r>
                      <w:r>
                        <w:rPr>
                          <w:b w:val="0"/>
                          <w:color w:val="auto"/>
                        </w:rPr>
                        <w:t xml:space="preserve">: </w:t>
                      </w:r>
                      <w:r w:rsidRPr="00992CF3">
                        <w:rPr>
                          <w:b w:val="0"/>
                          <w:color w:val="auto"/>
                        </w:rPr>
                        <w:t>386 718 440</w:t>
                      </w:r>
                    </w:p>
                    <w:p w:rsidR="00F8307D" w:rsidRPr="00992CF3" w:rsidRDefault="00F8307D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992CF3">
                        <w:rPr>
                          <w:b w:val="0"/>
                          <w:color w:val="auto"/>
                        </w:rPr>
                        <w:t xml:space="preserve">e-mail: infoserviscb@czso.cz | </w:t>
                      </w:r>
                      <w:r w:rsidRPr="00992CF3">
                        <w:rPr>
                          <w:color w:val="auto"/>
                        </w:rPr>
                        <w:t>www.cbudejovice.czso.cz</w:t>
                      </w:r>
                    </w:p>
                    <w:p w:rsidR="00F8307D" w:rsidRPr="004A61C5" w:rsidRDefault="00F8307D" w:rsidP="000B30FA">
                      <w:pPr>
                        <w:pStyle w:val="TLKontakty"/>
                        <w:spacing w:after="80" w:line="240" w:lineRule="auto"/>
                        <w:rPr>
                          <w:color w:val="auto"/>
                        </w:rPr>
                      </w:pPr>
                    </w:p>
                    <w:p w:rsidR="00F8307D" w:rsidRPr="00BC731E" w:rsidRDefault="00F8307D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D66223">
                        <w:t>Plzeň</w:t>
                      </w:r>
                      <w:r w:rsidRPr="004A61C5">
                        <w:rPr>
                          <w:b w:val="0"/>
                          <w:color w:val="auto"/>
                        </w:rPr>
                        <w:t xml:space="preserve"> | Slovanská alej 36, 326 64 Plzeň</w:t>
                      </w:r>
                      <w:r>
                        <w:rPr>
                          <w:b w:val="0"/>
                          <w:color w:val="auto"/>
                        </w:rPr>
                        <w:t xml:space="preserve">, </w:t>
                      </w:r>
                      <w:r w:rsidRPr="004A61C5">
                        <w:rPr>
                          <w:b w:val="0"/>
                          <w:color w:val="auto"/>
                        </w:rPr>
                        <w:t>tel.</w:t>
                      </w:r>
                      <w:r>
                        <w:rPr>
                          <w:b w:val="0"/>
                          <w:color w:val="auto"/>
                        </w:rPr>
                        <w:t xml:space="preserve">: </w:t>
                      </w:r>
                      <w:r w:rsidRPr="004A61C5">
                        <w:rPr>
                          <w:b w:val="0"/>
                          <w:color w:val="auto"/>
                        </w:rPr>
                        <w:t>377 612 108</w:t>
                      </w:r>
                      <w:r w:rsidRPr="00BC731E">
                        <w:rPr>
                          <w:b w:val="0"/>
                          <w:color w:val="auto"/>
                        </w:rPr>
                        <w:t>, 377 612 145</w:t>
                      </w:r>
                    </w:p>
                    <w:p w:rsidR="00F8307D" w:rsidRPr="004A61C5" w:rsidRDefault="00F8307D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4A61C5">
                        <w:rPr>
                          <w:b w:val="0"/>
                          <w:color w:val="auto"/>
                        </w:rPr>
                        <w:t xml:space="preserve">e-mail: infoservisplzen@czso.cz | </w:t>
                      </w:r>
                      <w:r w:rsidRPr="004A61C5">
                        <w:rPr>
                          <w:color w:val="auto"/>
                        </w:rPr>
                        <w:t>www.plzen.czso.cz</w:t>
                      </w:r>
                    </w:p>
                    <w:p w:rsidR="00F8307D" w:rsidRPr="004A61C5" w:rsidRDefault="00F8307D" w:rsidP="000B30FA">
                      <w:pPr>
                        <w:pStyle w:val="TLKontakty"/>
                        <w:spacing w:after="80" w:line="240" w:lineRule="auto"/>
                        <w:rPr>
                          <w:color w:val="auto"/>
                        </w:rPr>
                      </w:pPr>
                    </w:p>
                    <w:p w:rsidR="00F8307D" w:rsidRPr="004A61C5" w:rsidRDefault="00F8307D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D66223">
                        <w:t>Karlovy Vary</w:t>
                      </w:r>
                      <w:r w:rsidRPr="004A61C5">
                        <w:rPr>
                          <w:b w:val="0"/>
                          <w:color w:val="auto"/>
                        </w:rPr>
                        <w:t xml:space="preserve"> | </w:t>
                      </w:r>
                      <w:r w:rsidRPr="00095135">
                        <w:rPr>
                          <w:b w:val="0"/>
                          <w:color w:val="auto"/>
                        </w:rPr>
                        <w:t>Závodní 360/94, 360 06 Karlovy Vary</w:t>
                      </w:r>
                      <w:r w:rsidRPr="004A61C5">
                        <w:rPr>
                          <w:b w:val="0"/>
                          <w:color w:val="auto"/>
                        </w:rPr>
                        <w:t>, tel.</w:t>
                      </w:r>
                      <w:r>
                        <w:rPr>
                          <w:b w:val="0"/>
                          <w:color w:val="auto"/>
                        </w:rPr>
                        <w:t xml:space="preserve">: </w:t>
                      </w:r>
                      <w:r w:rsidRPr="004A61C5">
                        <w:rPr>
                          <w:b w:val="0"/>
                          <w:color w:val="auto"/>
                        </w:rPr>
                        <w:t>353 114 529, 353 114 525</w:t>
                      </w:r>
                    </w:p>
                    <w:p w:rsidR="00F8307D" w:rsidRPr="004A61C5" w:rsidRDefault="00F8307D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4A61C5">
                        <w:rPr>
                          <w:b w:val="0"/>
                          <w:color w:val="auto"/>
                        </w:rPr>
                        <w:t xml:space="preserve">e-mail: infoserviskv@czso.cz | </w:t>
                      </w:r>
                      <w:r w:rsidRPr="004A61C5">
                        <w:rPr>
                          <w:color w:val="auto"/>
                        </w:rPr>
                        <w:t>www.kvary.czso.cz</w:t>
                      </w:r>
                    </w:p>
                    <w:p w:rsidR="00F8307D" w:rsidRPr="004A61C5" w:rsidRDefault="00F8307D" w:rsidP="000B30FA">
                      <w:pPr>
                        <w:pStyle w:val="TLKontakty"/>
                        <w:spacing w:after="80" w:line="240" w:lineRule="auto"/>
                        <w:rPr>
                          <w:color w:val="auto"/>
                        </w:rPr>
                      </w:pPr>
                    </w:p>
                    <w:p w:rsidR="00F8307D" w:rsidRPr="004A61C5" w:rsidRDefault="00F8307D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D66223">
                        <w:t>Ústí nad Labem</w:t>
                      </w:r>
                      <w:r w:rsidRPr="004A61C5">
                        <w:rPr>
                          <w:b w:val="0"/>
                          <w:color w:val="auto"/>
                        </w:rPr>
                        <w:t xml:space="preserve"> | Špálova 2684, 400 11 Ústí nad Labem</w:t>
                      </w:r>
                      <w:r>
                        <w:rPr>
                          <w:b w:val="0"/>
                          <w:color w:val="auto"/>
                        </w:rPr>
                        <w:t xml:space="preserve">, </w:t>
                      </w:r>
                      <w:r w:rsidRPr="004A61C5">
                        <w:rPr>
                          <w:b w:val="0"/>
                          <w:color w:val="auto"/>
                        </w:rPr>
                        <w:t>tel.</w:t>
                      </w:r>
                      <w:r>
                        <w:rPr>
                          <w:b w:val="0"/>
                          <w:color w:val="auto"/>
                        </w:rPr>
                        <w:t xml:space="preserve">: </w:t>
                      </w:r>
                      <w:r w:rsidRPr="004A61C5">
                        <w:rPr>
                          <w:b w:val="0"/>
                          <w:color w:val="auto"/>
                        </w:rPr>
                        <w:t>472 706 176,</w:t>
                      </w:r>
                      <w:r>
                        <w:rPr>
                          <w:b w:val="0"/>
                          <w:color w:val="auto"/>
                        </w:rPr>
                        <w:t xml:space="preserve"> </w:t>
                      </w:r>
                      <w:r w:rsidRPr="004A61C5">
                        <w:rPr>
                          <w:b w:val="0"/>
                          <w:color w:val="auto"/>
                        </w:rPr>
                        <w:t>472 706 121</w:t>
                      </w:r>
                    </w:p>
                    <w:p w:rsidR="00F8307D" w:rsidRPr="004A61C5" w:rsidRDefault="00F8307D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4A61C5">
                        <w:rPr>
                          <w:b w:val="0"/>
                          <w:color w:val="auto"/>
                        </w:rPr>
                        <w:t xml:space="preserve">e-mail: infoservisul@czso.cz | </w:t>
                      </w:r>
                      <w:r w:rsidRPr="004A61C5">
                        <w:rPr>
                          <w:color w:val="auto"/>
                        </w:rPr>
                        <w:t>www.ustinadlabem.czso.cz</w:t>
                      </w:r>
                    </w:p>
                    <w:p w:rsidR="00F8307D" w:rsidRPr="004A61C5" w:rsidRDefault="00F8307D" w:rsidP="000B30FA">
                      <w:pPr>
                        <w:pStyle w:val="TLKontakty"/>
                        <w:spacing w:after="80" w:line="240" w:lineRule="auto"/>
                        <w:rPr>
                          <w:color w:val="auto"/>
                        </w:rPr>
                      </w:pPr>
                    </w:p>
                    <w:p w:rsidR="00F8307D" w:rsidRPr="004A61C5" w:rsidRDefault="00F8307D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D66223">
                        <w:t>Liberec</w:t>
                      </w:r>
                      <w:r w:rsidRPr="004A61C5">
                        <w:rPr>
                          <w:b w:val="0"/>
                          <w:color w:val="auto"/>
                        </w:rPr>
                        <w:t xml:space="preserve"> | Nám. Dr. Edvarda Beneše 585/26, 460 01 Liberec 1, tel.</w:t>
                      </w:r>
                      <w:r>
                        <w:rPr>
                          <w:b w:val="0"/>
                          <w:color w:val="auto"/>
                        </w:rPr>
                        <w:t xml:space="preserve">: </w:t>
                      </w:r>
                      <w:r w:rsidRPr="004A61C5">
                        <w:rPr>
                          <w:b w:val="0"/>
                          <w:color w:val="auto"/>
                        </w:rPr>
                        <w:t>485 238 811</w:t>
                      </w:r>
                    </w:p>
                    <w:p w:rsidR="00F8307D" w:rsidRPr="004A61C5" w:rsidRDefault="00F8307D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4A61C5">
                        <w:rPr>
                          <w:b w:val="0"/>
                          <w:color w:val="auto"/>
                        </w:rPr>
                        <w:t xml:space="preserve">e-mail: infoservislbc@czso.cz | </w:t>
                      </w:r>
                      <w:r w:rsidRPr="004A61C5">
                        <w:rPr>
                          <w:color w:val="auto"/>
                        </w:rPr>
                        <w:t>www.liberec.czso.cz</w:t>
                      </w:r>
                    </w:p>
                    <w:p w:rsidR="00F8307D" w:rsidRPr="004A61C5" w:rsidRDefault="00F8307D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</w:p>
                    <w:p w:rsidR="00F8307D" w:rsidRPr="004A61C5" w:rsidRDefault="00F8307D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D66223">
                        <w:t>Hradec Králové</w:t>
                      </w:r>
                      <w:r w:rsidRPr="004A61C5">
                        <w:rPr>
                          <w:b w:val="0"/>
                          <w:color w:val="auto"/>
                        </w:rPr>
                        <w:t xml:space="preserve"> | Myslivečkova 914, 500 03 Hradec Králové 3, </w:t>
                      </w:r>
                      <w:r>
                        <w:rPr>
                          <w:b w:val="0"/>
                          <w:color w:val="auto"/>
                        </w:rPr>
                        <w:t>tel.</w:t>
                      </w:r>
                      <w:r w:rsidRPr="007D40DF">
                        <w:rPr>
                          <w:b w:val="0"/>
                          <w:color w:val="auto"/>
                        </w:rPr>
                        <w:t>:</w:t>
                      </w:r>
                      <w:r>
                        <w:rPr>
                          <w:b w:val="0"/>
                          <w:color w:val="auto"/>
                        </w:rPr>
                        <w:t xml:space="preserve"> </w:t>
                      </w:r>
                      <w:r w:rsidRPr="004A61C5">
                        <w:rPr>
                          <w:b w:val="0"/>
                          <w:color w:val="auto"/>
                        </w:rPr>
                        <w:t>495 762 322,</w:t>
                      </w:r>
                      <w:r>
                        <w:rPr>
                          <w:b w:val="0"/>
                          <w:color w:val="auto"/>
                        </w:rPr>
                        <w:t xml:space="preserve"> </w:t>
                      </w:r>
                      <w:r w:rsidRPr="004A61C5">
                        <w:rPr>
                          <w:b w:val="0"/>
                          <w:color w:val="auto"/>
                        </w:rPr>
                        <w:t>495 762 317</w:t>
                      </w:r>
                    </w:p>
                    <w:p w:rsidR="00F8307D" w:rsidRPr="004A61C5" w:rsidRDefault="00F8307D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4A61C5">
                        <w:rPr>
                          <w:b w:val="0"/>
                          <w:color w:val="auto"/>
                        </w:rPr>
                        <w:t xml:space="preserve">e-mail: infoservishk@czso.cz | </w:t>
                      </w:r>
                      <w:r w:rsidRPr="004A61C5">
                        <w:rPr>
                          <w:color w:val="auto"/>
                        </w:rPr>
                        <w:t>www.hradeckralove.czso.cz</w:t>
                      </w:r>
                    </w:p>
                    <w:p w:rsidR="00F8307D" w:rsidRPr="004A61C5" w:rsidRDefault="00F8307D" w:rsidP="000B30FA">
                      <w:pPr>
                        <w:pStyle w:val="TLKontakty"/>
                        <w:spacing w:after="80" w:line="240" w:lineRule="auto"/>
                        <w:rPr>
                          <w:color w:val="auto"/>
                        </w:rPr>
                      </w:pPr>
                    </w:p>
                    <w:p w:rsidR="00F8307D" w:rsidRPr="004A61C5" w:rsidRDefault="00F8307D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D66223">
                        <w:t>Pardubice</w:t>
                      </w:r>
                      <w:r w:rsidRPr="004A61C5">
                        <w:rPr>
                          <w:b w:val="0"/>
                          <w:color w:val="auto"/>
                        </w:rPr>
                        <w:t xml:space="preserve"> | V Ráji 872, 531 53 Pardubice</w:t>
                      </w:r>
                      <w:r>
                        <w:rPr>
                          <w:b w:val="0"/>
                          <w:color w:val="auto"/>
                        </w:rPr>
                        <w:t xml:space="preserve">, </w:t>
                      </w:r>
                      <w:r w:rsidRPr="004A61C5">
                        <w:rPr>
                          <w:b w:val="0"/>
                          <w:color w:val="auto"/>
                        </w:rPr>
                        <w:t>tel.</w:t>
                      </w:r>
                      <w:r>
                        <w:rPr>
                          <w:b w:val="0"/>
                          <w:color w:val="auto"/>
                        </w:rPr>
                        <w:t>:</w:t>
                      </w:r>
                      <w:r w:rsidRPr="004A61C5">
                        <w:rPr>
                          <w:b w:val="0"/>
                          <w:color w:val="auto"/>
                        </w:rPr>
                        <w:t xml:space="preserve"> 466 743 480, 466 743 418</w:t>
                      </w:r>
                    </w:p>
                    <w:p w:rsidR="00F8307D" w:rsidRPr="004A61C5" w:rsidRDefault="00F8307D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4A61C5">
                        <w:rPr>
                          <w:b w:val="0"/>
                          <w:color w:val="auto"/>
                        </w:rPr>
                        <w:t xml:space="preserve">e-mail: infoservispa@czso.cz | </w:t>
                      </w:r>
                      <w:r w:rsidRPr="004A61C5">
                        <w:rPr>
                          <w:color w:val="auto"/>
                        </w:rPr>
                        <w:t>www.pardubice.czso.cz</w:t>
                      </w:r>
                    </w:p>
                    <w:p w:rsidR="00F8307D" w:rsidRPr="004A61C5" w:rsidRDefault="00F8307D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</w:p>
                    <w:p w:rsidR="00F8307D" w:rsidRPr="004A61C5" w:rsidRDefault="00F8307D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D66223">
                        <w:t>Jihlava</w:t>
                      </w:r>
                      <w:r w:rsidRPr="004A61C5">
                        <w:rPr>
                          <w:b w:val="0"/>
                          <w:color w:val="auto"/>
                        </w:rPr>
                        <w:t xml:space="preserve"> | Ke Skalce 30,</w:t>
                      </w:r>
                      <w:r>
                        <w:rPr>
                          <w:b w:val="0"/>
                          <w:color w:val="auto"/>
                        </w:rPr>
                        <w:t xml:space="preserve"> 586 01 Jihlava, tel.: </w:t>
                      </w:r>
                      <w:r w:rsidRPr="004A61C5">
                        <w:rPr>
                          <w:b w:val="0"/>
                          <w:color w:val="auto"/>
                        </w:rPr>
                        <w:t xml:space="preserve">567 109 </w:t>
                      </w:r>
                      <w:r w:rsidRPr="00BC731E">
                        <w:rPr>
                          <w:b w:val="0"/>
                          <w:color w:val="auto"/>
                        </w:rPr>
                        <w:t>062, 567 109 073</w:t>
                      </w:r>
                    </w:p>
                    <w:p w:rsidR="00F8307D" w:rsidRPr="004A61C5" w:rsidRDefault="00F8307D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4A61C5">
                        <w:rPr>
                          <w:b w:val="0"/>
                          <w:color w:val="auto"/>
                        </w:rPr>
                        <w:t xml:space="preserve">e-mail: infoservisvys@czso.cz | </w:t>
                      </w:r>
                      <w:r w:rsidRPr="004A61C5">
                        <w:rPr>
                          <w:color w:val="auto"/>
                        </w:rPr>
                        <w:t>www.jihlava.czso.cz</w:t>
                      </w:r>
                    </w:p>
                    <w:p w:rsidR="00F8307D" w:rsidRDefault="00F8307D" w:rsidP="000B30FA">
                      <w:pPr>
                        <w:pStyle w:val="TLKontakty"/>
                        <w:spacing w:after="80" w:line="240" w:lineRule="auto"/>
                      </w:pPr>
                    </w:p>
                    <w:p w:rsidR="00F8307D" w:rsidRPr="00BC731E" w:rsidRDefault="00F8307D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D66223">
                        <w:t>Brno</w:t>
                      </w:r>
                      <w:r w:rsidRPr="004A61C5">
                        <w:rPr>
                          <w:b w:val="0"/>
                          <w:color w:val="auto"/>
                        </w:rPr>
                        <w:t xml:space="preserve"> | Jezuitská 2, 601 59 Brno, </w:t>
                      </w:r>
                      <w:r>
                        <w:rPr>
                          <w:b w:val="0"/>
                          <w:color w:val="auto"/>
                        </w:rPr>
                        <w:t xml:space="preserve">tel: </w:t>
                      </w:r>
                      <w:r w:rsidRPr="004A61C5">
                        <w:rPr>
                          <w:b w:val="0"/>
                          <w:color w:val="auto"/>
                        </w:rPr>
                        <w:t xml:space="preserve">542 528 </w:t>
                      </w:r>
                      <w:r w:rsidRPr="00BC731E">
                        <w:rPr>
                          <w:b w:val="0"/>
                          <w:color w:val="auto"/>
                        </w:rPr>
                        <w:t>115, 542 528 200</w:t>
                      </w:r>
                    </w:p>
                    <w:p w:rsidR="00F8307D" w:rsidRPr="004A61C5" w:rsidRDefault="00F8307D" w:rsidP="000B30FA">
                      <w:pPr>
                        <w:pStyle w:val="TLKontakty"/>
                        <w:spacing w:after="80" w:line="240" w:lineRule="auto"/>
                        <w:rPr>
                          <w:color w:val="auto"/>
                        </w:rPr>
                      </w:pPr>
                      <w:r w:rsidRPr="004A61C5">
                        <w:rPr>
                          <w:b w:val="0"/>
                          <w:color w:val="auto"/>
                        </w:rPr>
                        <w:t xml:space="preserve">e-mail: infoservisbrno@czso.cz | </w:t>
                      </w:r>
                      <w:r w:rsidRPr="004A61C5">
                        <w:rPr>
                          <w:color w:val="auto"/>
                        </w:rPr>
                        <w:t>www.brno.czso.cz</w:t>
                      </w:r>
                    </w:p>
                    <w:p w:rsidR="00F8307D" w:rsidRPr="004A61C5" w:rsidRDefault="00F8307D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</w:p>
                    <w:p w:rsidR="00F8307D" w:rsidRPr="005E7C78" w:rsidRDefault="00F8307D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D66223">
                        <w:t>Olomouc</w:t>
                      </w:r>
                      <w:r w:rsidRPr="005E7C78">
                        <w:rPr>
                          <w:b w:val="0"/>
                          <w:color w:val="auto"/>
                        </w:rPr>
                        <w:t xml:space="preserve"> | Jeremenkova 1142/42, 772 11 Olomouc, </w:t>
                      </w:r>
                      <w:r>
                        <w:rPr>
                          <w:b w:val="0"/>
                          <w:color w:val="auto"/>
                        </w:rPr>
                        <w:t xml:space="preserve">tel.: </w:t>
                      </w:r>
                      <w:r w:rsidRPr="005E7C78">
                        <w:rPr>
                          <w:b w:val="0"/>
                          <w:color w:val="auto"/>
                        </w:rPr>
                        <w:t xml:space="preserve">585 731 </w:t>
                      </w:r>
                      <w:r w:rsidRPr="00BC731E">
                        <w:rPr>
                          <w:b w:val="0"/>
                          <w:color w:val="auto"/>
                        </w:rPr>
                        <w:t>516, 585 731 511</w:t>
                      </w:r>
                    </w:p>
                    <w:p w:rsidR="00F8307D" w:rsidRPr="005E7C78" w:rsidRDefault="00F8307D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5E7C78">
                        <w:rPr>
                          <w:b w:val="0"/>
                          <w:color w:val="auto"/>
                        </w:rPr>
                        <w:t xml:space="preserve">e-mail: infoservisolom@czso.cz | </w:t>
                      </w:r>
                      <w:r w:rsidRPr="005E7C78">
                        <w:rPr>
                          <w:color w:val="auto"/>
                        </w:rPr>
                        <w:t>www.olomouc.czso.cz</w:t>
                      </w:r>
                    </w:p>
                    <w:p w:rsidR="00F8307D" w:rsidRPr="005E7C78" w:rsidRDefault="00F8307D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</w:p>
                    <w:p w:rsidR="00F8307D" w:rsidRPr="005E7C78" w:rsidRDefault="00F8307D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D66223">
                        <w:t>Zlín</w:t>
                      </w:r>
                      <w:r w:rsidRPr="005E7C78">
                        <w:rPr>
                          <w:b w:val="0"/>
                          <w:color w:val="auto"/>
                        </w:rPr>
                        <w:t xml:space="preserve"> | tř. Tomáše Bati 1565, 761 76 Zlín, </w:t>
                      </w:r>
                      <w:r w:rsidRPr="00BC731E">
                        <w:rPr>
                          <w:b w:val="0"/>
                          <w:color w:val="auto"/>
                        </w:rPr>
                        <w:t>tel.: 577 004 932, 5</w:t>
                      </w:r>
                      <w:r w:rsidRPr="005E7C78">
                        <w:rPr>
                          <w:b w:val="0"/>
                          <w:color w:val="auto"/>
                        </w:rPr>
                        <w:t>77 004 935</w:t>
                      </w:r>
                    </w:p>
                    <w:p w:rsidR="00F8307D" w:rsidRDefault="00F8307D" w:rsidP="000B30FA">
                      <w:pPr>
                        <w:pStyle w:val="TLKontakty"/>
                        <w:spacing w:after="80" w:line="240" w:lineRule="auto"/>
                        <w:rPr>
                          <w:color w:val="auto"/>
                        </w:rPr>
                      </w:pPr>
                      <w:r w:rsidRPr="005E7C78">
                        <w:rPr>
                          <w:b w:val="0"/>
                          <w:color w:val="auto"/>
                        </w:rPr>
                        <w:t xml:space="preserve">e-mail: infoservis-zl@czso.cz | </w:t>
                      </w:r>
                      <w:r w:rsidRPr="00227A53">
                        <w:rPr>
                          <w:color w:val="auto"/>
                        </w:rPr>
                        <w:t>www.zlin.czso.cz</w:t>
                      </w:r>
                    </w:p>
                    <w:p w:rsidR="00F8307D" w:rsidRPr="005E7C78" w:rsidRDefault="00F8307D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</w:p>
                    <w:p w:rsidR="00F8307D" w:rsidRPr="005E7C78" w:rsidRDefault="00F8307D" w:rsidP="000B30FA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D66223">
                        <w:t>Ostrava</w:t>
                      </w:r>
                      <w:r w:rsidRPr="005E7C78">
                        <w:rPr>
                          <w:b w:val="0"/>
                          <w:color w:val="auto"/>
                        </w:rPr>
                        <w:t xml:space="preserve"> | Repinova 17, 702 03 Ostrava,</w:t>
                      </w:r>
                      <w:r>
                        <w:rPr>
                          <w:b w:val="0"/>
                          <w:color w:val="auto"/>
                        </w:rPr>
                        <w:t xml:space="preserve"> tel: </w:t>
                      </w:r>
                      <w:r w:rsidRPr="005E7C78">
                        <w:rPr>
                          <w:b w:val="0"/>
                          <w:color w:val="auto"/>
                        </w:rPr>
                        <w:t>595 131 230, 595 131 232</w:t>
                      </w:r>
                    </w:p>
                    <w:p w:rsidR="00F8307D" w:rsidRPr="0010437D" w:rsidRDefault="00F8307D" w:rsidP="00825C4D">
                      <w:pPr>
                        <w:pStyle w:val="TLKontakty"/>
                        <w:spacing w:after="80" w:line="240" w:lineRule="auto"/>
                        <w:rPr>
                          <w:b w:val="0"/>
                          <w:color w:val="auto"/>
                        </w:rPr>
                      </w:pPr>
                      <w:r w:rsidRPr="005E7C78">
                        <w:rPr>
                          <w:b w:val="0"/>
                          <w:color w:val="auto"/>
                        </w:rPr>
                        <w:t xml:space="preserve">e-mail: infoservis_ov@czso.cz | </w:t>
                      </w:r>
                      <w:r w:rsidRPr="005E7C78">
                        <w:rPr>
                          <w:color w:val="auto"/>
                        </w:rPr>
                        <w:t>www.ostrava.czso.cz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9486900</wp:posOffset>
                </wp:positionV>
                <wp:extent cx="6120130" cy="360045"/>
                <wp:effectExtent l="0" t="0" r="1270" b="20955"/>
                <wp:wrapNone/>
                <wp:docPr id="2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307D" w:rsidRPr="00321924" w:rsidRDefault="00F8307D" w:rsidP="008F029B">
                            <w:r w:rsidRPr="00321924">
                              <w:br/>
                              <w:t xml:space="preserve">© Český statistický úřad, </w:t>
                            </w:r>
                            <w:r>
                              <w:t>Praha</w:t>
                            </w:r>
                            <w:r w:rsidRPr="00321924">
                              <w:t xml:space="preserve">, </w:t>
                            </w:r>
                            <w:r>
                              <w:t>2018</w:t>
                            </w:r>
                          </w:p>
                          <w:p w:rsidR="00F8307D" w:rsidRDefault="00F8307D"/>
                          <w:p w:rsidR="00F8307D" w:rsidRPr="00841D9F" w:rsidRDefault="00F8307D" w:rsidP="000A3A2C">
                            <w:r w:rsidRPr="00841D9F">
                              <w:rPr>
                                <w:szCs w:val="26"/>
                              </w:rPr>
                              <w:t xml:space="preserve">ISBN XX-XXXX-XXX-X  </w:t>
                            </w:r>
                            <w:r w:rsidRPr="00841D9F">
                              <w:t>(pouze u nepravidelných a ročních publikací)</w:t>
                            </w:r>
                          </w:p>
                          <w:p w:rsidR="00F8307D" w:rsidRPr="00AF2852" w:rsidRDefault="00F8307D" w:rsidP="000A3A2C">
                            <w:r w:rsidRPr="00841D9F">
                              <w:t>© Český sta</w:t>
                            </w:r>
                            <w:r>
                              <w:t xml:space="preserve">tistický úřad / </w:t>
                            </w:r>
                            <w:r w:rsidRPr="009A1902">
                              <w:rPr>
                                <w:i/>
                              </w:rPr>
                              <w:t xml:space="preserve">Czech </w:t>
                            </w:r>
                            <w:r w:rsidRPr="009A1902">
                              <w:rPr>
                                <w:rFonts w:cs="Arial"/>
                                <w:i/>
                                <w:szCs w:val="20"/>
                              </w:rPr>
                              <w:t>Statistical Office</w:t>
                            </w:r>
                            <w:r>
                              <w:t>, místo, rok vydání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56.7pt;margin-top:747pt;width:481.9pt;height:28.3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" filled="f" stroked="f">
                <v:textbox inset="0,0,0,0">
                  <w:txbxContent>
                    <w:p w:rsidR="00F8307D" w:rsidRPr="00321924" w:rsidRDefault="00F8307D" w:rsidP="008F029B">
                      <w:r w:rsidRPr="00321924">
                        <w:br/>
                        <w:t xml:space="preserve">© Český statistický úřad, </w:t>
                      </w:r>
                      <w:r>
                        <w:t>Praha</w:t>
                      </w:r>
                      <w:r w:rsidRPr="00321924">
                        <w:t xml:space="preserve">, </w:t>
                      </w:r>
                      <w:r>
                        <w:t>2018</w:t>
                      </w:r>
                    </w:p>
                    <w:p w:rsidR="00F8307D" w:rsidRDefault="00F8307D"/>
                    <w:p w:rsidR="00F8307D" w:rsidRPr="00841D9F" w:rsidRDefault="00F8307D" w:rsidP="000A3A2C">
                      <w:r w:rsidRPr="00841D9F">
                        <w:rPr>
                          <w:szCs w:val="26"/>
                        </w:rPr>
                        <w:t xml:space="preserve">ISBN XX-XXXX-XXX-X  </w:t>
                      </w:r>
                      <w:r w:rsidRPr="00841D9F">
                        <w:t>(pouze u nepravidelných a ročních publikací)</w:t>
                      </w:r>
                    </w:p>
                    <w:p w:rsidR="00F8307D" w:rsidRPr="00AF2852" w:rsidRDefault="00F8307D" w:rsidP="000A3A2C">
                      <w:r w:rsidRPr="00841D9F">
                        <w:t>© Český sta</w:t>
                      </w:r>
                      <w:r>
                        <w:t xml:space="preserve">tistický úřad / </w:t>
                      </w:r>
                      <w:r w:rsidRPr="009A1902">
                        <w:rPr>
                          <w:i/>
                        </w:rPr>
                        <w:t xml:space="preserve">Czech </w:t>
                      </w:r>
                      <w:r w:rsidRPr="009A1902">
                        <w:rPr>
                          <w:rFonts w:cs="Arial"/>
                          <w:i/>
                          <w:szCs w:val="20"/>
                        </w:rPr>
                        <w:t>Statistical Office</w:t>
                      </w:r>
                      <w:r>
                        <w:t>, místo, rok vydání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page">
                  <wp:posOffset>723265</wp:posOffset>
                </wp:positionH>
                <wp:positionV relativeFrom="page">
                  <wp:posOffset>723265</wp:posOffset>
                </wp:positionV>
                <wp:extent cx="6119495" cy="572770"/>
                <wp:effectExtent l="0" t="0" r="2540" b="0"/>
                <wp:wrapNone/>
                <wp:docPr id="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307D" w:rsidRPr="009A1902" w:rsidRDefault="00F8307D" w:rsidP="000A3A2C">
                            <w:pPr>
                              <w:rPr>
                                <w:b/>
                                <w:bCs/>
                                <w:i/>
                                <w:sz w:val="24"/>
                              </w:rPr>
                            </w:pPr>
                            <w:r w:rsidRPr="00B95F50">
                              <w:rPr>
                                <w:b/>
                                <w:color w:val="0071BC"/>
                                <w:sz w:val="24"/>
                              </w:rPr>
                              <w:t xml:space="preserve">Zajímají Vás nejnovější údaje o inflaci, HDP, obyvatelstvu, průměrných mzdách </w:t>
                            </w:r>
                            <w:r>
                              <w:rPr>
                                <w:b/>
                                <w:color w:val="0071BC"/>
                                <w:sz w:val="24"/>
                              </w:rPr>
                              <w:br/>
                            </w:r>
                            <w:r w:rsidRPr="00B95F50">
                              <w:rPr>
                                <w:b/>
                                <w:color w:val="0071BC"/>
                                <w:sz w:val="24"/>
                              </w:rPr>
                              <w:t xml:space="preserve">a mnohé další? Najdete je na stránkách ČSÚ na internetu: </w:t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www.czso.cz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56.95pt;margin-top:56.95pt;width:481.85pt;height:45.1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" filled="f" stroked="f">
                <v:textbox style="mso-fit-shape-to-text:t" inset="0,0,0,0">
                  <w:txbxContent>
                    <w:p w:rsidR="00F8307D" w:rsidRPr="009A1902" w:rsidRDefault="00F8307D" w:rsidP="000A3A2C">
                      <w:pPr>
                        <w:rPr>
                          <w:b/>
                          <w:bCs/>
                          <w:i/>
                          <w:sz w:val="24"/>
                        </w:rPr>
                      </w:pPr>
                      <w:r w:rsidRPr="00B95F50">
                        <w:rPr>
                          <w:b/>
                          <w:color w:val="0071BC"/>
                          <w:sz w:val="24"/>
                        </w:rPr>
                        <w:t xml:space="preserve">Zajímají Vás nejnovější údaje o inflaci, HDP, obyvatelstvu, průměrných mzdách </w:t>
                      </w:r>
                      <w:r>
                        <w:rPr>
                          <w:b/>
                          <w:color w:val="0071BC"/>
                          <w:sz w:val="24"/>
                        </w:rPr>
                        <w:br/>
                      </w:r>
                      <w:r w:rsidRPr="00B95F50">
                        <w:rPr>
                          <w:b/>
                          <w:color w:val="0071BC"/>
                          <w:sz w:val="24"/>
                        </w:rPr>
                        <w:t xml:space="preserve">a mnohé další? Najdete je na stránkách ČSÚ na internetu: </w:t>
                      </w:r>
                      <w:r>
                        <w:rPr>
                          <w:b/>
                          <w:bCs/>
                          <w:sz w:val="24"/>
                        </w:rPr>
                        <w:t>www.czso.cz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:rsidR="00FA2558" w:rsidRPr="00B62887" w:rsidRDefault="00FA2558" w:rsidP="00FA2558">
      <w:pPr>
        <w:pStyle w:val="Nadpisobsahu"/>
        <w:rPr>
          <w:rFonts w:ascii="Arial" w:hAnsi="Arial" w:cs="Arial"/>
          <w:color w:val="C00000"/>
          <w:sz w:val="32"/>
          <w:szCs w:val="32"/>
        </w:rPr>
      </w:pPr>
      <w:r w:rsidRPr="00B62887">
        <w:rPr>
          <w:rFonts w:ascii="Arial" w:hAnsi="Arial" w:cs="Arial"/>
          <w:color w:val="C00000"/>
          <w:sz w:val="32"/>
          <w:szCs w:val="32"/>
        </w:rPr>
        <w:lastRenderedPageBreak/>
        <w:t>Obsah</w:t>
      </w:r>
    </w:p>
    <w:p w:rsidR="00F8307D" w:rsidRDefault="00FA2558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893B21">
        <w:rPr>
          <w:sz w:val="22"/>
          <w:szCs w:val="22"/>
        </w:rPr>
        <w:fldChar w:fldCharType="begin"/>
      </w:r>
      <w:r w:rsidRPr="00893B21">
        <w:rPr>
          <w:sz w:val="22"/>
          <w:szCs w:val="22"/>
        </w:rPr>
        <w:instrText xml:space="preserve"> TOC \o "1-3" \h \z \u </w:instrText>
      </w:r>
      <w:r w:rsidRPr="00893B21">
        <w:rPr>
          <w:sz w:val="22"/>
          <w:szCs w:val="22"/>
        </w:rPr>
        <w:fldChar w:fldCharType="separate"/>
      </w:r>
      <w:hyperlink w:anchor="_Toc531859772" w:history="1">
        <w:r w:rsidR="00F8307D" w:rsidRPr="0080609B">
          <w:rPr>
            <w:rStyle w:val="Hypertextovodkaz"/>
            <w:noProof/>
          </w:rPr>
          <w:t>1. Úvod a metodologie</w:t>
        </w:r>
        <w:r w:rsidR="00F8307D">
          <w:rPr>
            <w:noProof/>
            <w:webHidden/>
          </w:rPr>
          <w:tab/>
        </w:r>
        <w:r w:rsidR="00F8307D">
          <w:rPr>
            <w:noProof/>
            <w:webHidden/>
          </w:rPr>
          <w:fldChar w:fldCharType="begin"/>
        </w:r>
        <w:r w:rsidR="00F8307D">
          <w:rPr>
            <w:noProof/>
            <w:webHidden/>
          </w:rPr>
          <w:instrText xml:space="preserve"> PAGEREF _Toc531859772 \h </w:instrText>
        </w:r>
        <w:r w:rsidR="00F8307D">
          <w:rPr>
            <w:noProof/>
            <w:webHidden/>
          </w:rPr>
        </w:r>
        <w:r w:rsidR="00F8307D">
          <w:rPr>
            <w:noProof/>
            <w:webHidden/>
          </w:rPr>
          <w:fldChar w:fldCharType="separate"/>
        </w:r>
        <w:r w:rsidR="00F8307D">
          <w:rPr>
            <w:noProof/>
            <w:webHidden/>
          </w:rPr>
          <w:t>4</w:t>
        </w:r>
        <w:r w:rsidR="00F8307D">
          <w:rPr>
            <w:noProof/>
            <w:webHidden/>
          </w:rPr>
          <w:fldChar w:fldCharType="end"/>
        </w:r>
      </w:hyperlink>
    </w:p>
    <w:p w:rsidR="00F8307D" w:rsidRDefault="00F8307D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859773" w:history="1">
        <w:r w:rsidRPr="0080609B">
          <w:rPr>
            <w:rStyle w:val="Hypertextovodkaz"/>
            <w:noProof/>
          </w:rPr>
          <w:t>2. Vnitřní stěhování v České republice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_Toc531859773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8307D" w:rsidRDefault="00F8307D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859774" w:history="1">
        <w:r w:rsidRPr="0080609B">
          <w:rPr>
            <w:rStyle w:val="Hypertextovodkaz"/>
            <w:noProof/>
          </w:rPr>
          <w:t>3. Mezikrajské stěhová</w:t>
        </w:r>
        <w:r w:rsidRPr="0080609B">
          <w:rPr>
            <w:rStyle w:val="Hypertextovodkaz"/>
            <w:noProof/>
          </w:rPr>
          <w:t>n</w:t>
        </w:r>
        <w:r w:rsidRPr="0080609B">
          <w:rPr>
            <w:rStyle w:val="Hypertextovodkaz"/>
            <w:noProof/>
          </w:rPr>
          <w:t>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_Toc531859774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F8307D" w:rsidRDefault="00F8307D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859775" w:history="1">
        <w:r w:rsidRPr="0080609B">
          <w:rPr>
            <w:rStyle w:val="Hypertextovodkaz"/>
            <w:noProof/>
          </w:rPr>
          <w:t>4. Vnitrokrajské stěhován</w:t>
        </w:r>
        <w:r w:rsidRPr="0080609B">
          <w:rPr>
            <w:rStyle w:val="Hypertextovodkaz"/>
            <w:noProof/>
          </w:rPr>
          <w:t>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_Toc531859775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F8307D" w:rsidRDefault="00F8307D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859776" w:history="1">
        <w:r w:rsidRPr="0080609B">
          <w:rPr>
            <w:rStyle w:val="Hypertextovodkaz"/>
            <w:noProof/>
          </w:rPr>
          <w:t>4.1 Meziokresní stěhování v rámci kraje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_Toc531859776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F8307D" w:rsidRDefault="00F8307D">
      <w:pPr>
        <w:pStyle w:val="Obsa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859777" w:history="1">
        <w:r w:rsidRPr="0080609B">
          <w:rPr>
            <w:rStyle w:val="Hypertextovodkaz"/>
            <w:noProof/>
          </w:rPr>
          <w:t>4.2 Meziobecní stěhování v rámci okresu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_Toc531859777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F8307D" w:rsidRDefault="00F8307D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859778" w:history="1">
        <w:r w:rsidRPr="0080609B">
          <w:rPr>
            <w:rStyle w:val="Hypertextovodkaz"/>
            <w:noProof/>
          </w:rPr>
          <w:t>5. Meziokresní stěhov</w:t>
        </w:r>
        <w:r w:rsidRPr="0080609B">
          <w:rPr>
            <w:rStyle w:val="Hypertextovodkaz"/>
            <w:noProof/>
          </w:rPr>
          <w:t>á</w:t>
        </w:r>
        <w:r w:rsidRPr="0080609B">
          <w:rPr>
            <w:rStyle w:val="Hypertextovodkaz"/>
            <w:noProof/>
          </w:rPr>
          <w:t>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_Toc531859778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F8307D" w:rsidRDefault="00F8307D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859779" w:history="1">
        <w:r w:rsidRPr="0080609B">
          <w:rPr>
            <w:rStyle w:val="Hypertextovodkaz"/>
            <w:noProof/>
          </w:rPr>
          <w:t>6. Stěhování mezi správními obvody obcí s rozšířenou působností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_Toc531859779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F8307D" w:rsidRDefault="00F8307D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859780" w:history="1">
        <w:r w:rsidRPr="0080609B">
          <w:rPr>
            <w:rStyle w:val="Hypertextovodkaz"/>
            <w:noProof/>
          </w:rPr>
          <w:t>7. Meziobecní stěhování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_Toc531859780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F8307D" w:rsidRDefault="00F8307D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859781" w:history="1">
        <w:r w:rsidRPr="0080609B">
          <w:rPr>
            <w:rStyle w:val="Hypertextovodkaz"/>
            <w:noProof/>
          </w:rPr>
          <w:t>8. Stěhování mezi velikostními skupinami obcí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_Toc531859781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F8307D" w:rsidRDefault="00F8307D">
      <w:pPr>
        <w:pStyle w:val="Obsa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859782" w:history="1">
        <w:r w:rsidRPr="0080609B">
          <w:rPr>
            <w:rStyle w:val="Hypertextovodkaz"/>
            <w:noProof/>
          </w:rPr>
          <w:t>9. Závěr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_Toc531859782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8E2C57" w:rsidRPr="006F5416" w:rsidRDefault="00FA2558" w:rsidP="00FA2558">
      <w:pPr>
        <w:pStyle w:val="Obsahpoloky"/>
      </w:pPr>
      <w:r w:rsidRPr="00893B21">
        <w:rPr>
          <w:b/>
          <w:bCs/>
          <w:sz w:val="22"/>
          <w:szCs w:val="22"/>
        </w:rPr>
        <w:fldChar w:fldCharType="end"/>
      </w:r>
      <w:r w:rsidR="00087F2B" w:rsidRPr="006F5416">
        <w:br w:type="page"/>
      </w:r>
    </w:p>
    <w:p w:rsidR="00351207" w:rsidRDefault="00FA2558" w:rsidP="00E817C3">
      <w:pPr>
        <w:pStyle w:val="Nadpis1"/>
      </w:pPr>
      <w:bookmarkStart w:id="1" w:name="_Toc444112494"/>
      <w:bookmarkStart w:id="2" w:name="_Toc531859772"/>
      <w:r>
        <w:lastRenderedPageBreak/>
        <w:t>1. Úvod a metodologie</w:t>
      </w:r>
      <w:bookmarkEnd w:id="2"/>
    </w:p>
    <w:p w:rsidR="00697B57" w:rsidRDefault="00697B57" w:rsidP="00214045">
      <w:pPr>
        <w:spacing w:after="0"/>
      </w:pPr>
      <w:r>
        <w:t xml:space="preserve">Publikace se zabývá vnitřním stěhováním v České republice mezi roky 2005 a 2017 ve vazbě na demografické charakteristiky jako jsou pohlaví, věk a státní občanství. Dále hodnotí vývoj vnitřního stěhování na různých územních úrovních (krajské, okresní, správních obvodů obcí s rozšířenou působností nebo obecní) a podle velikostních skupin obcí. Obsahuje také informace o migračních proudech a populačních ziscích nebo ztrátách územních celků díky vnitřnímu stěhování. </w:t>
      </w:r>
    </w:p>
    <w:p w:rsidR="00697B57" w:rsidRDefault="00697B57" w:rsidP="00214045">
      <w:pPr>
        <w:spacing w:after="0"/>
      </w:pPr>
    </w:p>
    <w:p w:rsidR="00697B57" w:rsidRDefault="00351207" w:rsidP="00214045">
      <w:pPr>
        <w:spacing w:after="0"/>
      </w:pPr>
      <w:r>
        <w:t>Tato publikace analyzuje výhradně vnitřní stěhování a nezabývá se zahraniční migrací.</w:t>
      </w:r>
      <w:r w:rsidR="00E817C3">
        <w:t xml:space="preserve"> Za vnitřní stěhování se v demografické statistice České republiky považuje změna bydliště mimo hranice obce současného registrovaného pobytu.</w:t>
      </w:r>
      <w:r w:rsidR="00FD2457">
        <w:t xml:space="preserve"> Jde tedy o prostorové přemístění osob z jedné obce do jiné.</w:t>
      </w:r>
      <w:r w:rsidR="00E05CAF">
        <w:t xml:space="preserve"> Sleduje se i vnitřní stěhování uvnitř Prahy mezi urbanistickými obvody, což ale není předmětem této publikace.</w:t>
      </w:r>
      <w:r w:rsidR="00A54058">
        <w:t xml:space="preserve"> Obyvatelé </w:t>
      </w:r>
      <w:r w:rsidR="00C57FFE">
        <w:t xml:space="preserve">České republiky </w:t>
      </w:r>
      <w:r w:rsidR="00A54058">
        <w:t>s českým občanstvím ovšem nemají</w:t>
      </w:r>
      <w:r w:rsidR="00C57FFE">
        <w:t xml:space="preserve"> povinnost změnu svého pobytu hlásit, takže množství případů vnitřního stěhování je pravděpodobně </w:t>
      </w:r>
      <w:r w:rsidR="00A54058">
        <w:t>vyšší</w:t>
      </w:r>
      <w:r w:rsidR="00C57FFE">
        <w:t>, než udávají oficiální čísla vycházející ze změny registrovaného pobytu.</w:t>
      </w:r>
      <w:r w:rsidR="00A54058">
        <w:t xml:space="preserve"> Cizinci </w:t>
      </w:r>
      <w:r w:rsidR="004E5BDF">
        <w:t xml:space="preserve">ze třetích zemí (mimo EU a EFTA) </w:t>
      </w:r>
      <w:r w:rsidR="00A54058">
        <w:t>tuto povinnost mají</w:t>
      </w:r>
      <w:r w:rsidR="00A54058">
        <w:rPr>
          <w:rStyle w:val="Znakapoznpodarou"/>
        </w:rPr>
        <w:footnoteReference w:id="1"/>
      </w:r>
      <w:r w:rsidR="00A54058">
        <w:t xml:space="preserve"> a jejich registrované vnitřní stěhování tudíž více odpovídá realitě.</w:t>
      </w:r>
      <w:r w:rsidR="004E5BDF">
        <w:t xml:space="preserve"> Občané EU a EFTA se registrovat k pobytu nemusí.</w:t>
      </w:r>
      <w:r w:rsidR="00A54058">
        <w:t xml:space="preserve"> </w:t>
      </w:r>
      <w:r w:rsidR="00E05CAF">
        <w:t xml:space="preserve"> </w:t>
      </w:r>
      <w:r w:rsidR="00FD2457">
        <w:t xml:space="preserve"> </w:t>
      </w:r>
      <w:r w:rsidR="00E817C3">
        <w:t xml:space="preserve">   </w:t>
      </w:r>
    </w:p>
    <w:p w:rsidR="00697B57" w:rsidRDefault="00697B57" w:rsidP="00214045">
      <w:pPr>
        <w:spacing w:after="0"/>
      </w:pPr>
    </w:p>
    <w:p w:rsidR="00954BA2" w:rsidRDefault="00BD13E9" w:rsidP="00214045">
      <w:pPr>
        <w:spacing w:after="0"/>
      </w:pPr>
      <w:r>
        <w:t>Zdrojem dat pro</w:t>
      </w:r>
      <w:r w:rsidR="00C86793">
        <w:t xml:space="preserve"> údaje o vnitřním stěhování byla</w:t>
      </w:r>
      <w:r>
        <w:t xml:space="preserve"> před rokem 2005 </w:t>
      </w:r>
      <w:r w:rsidR="00094E75">
        <w:t>statistická</w:t>
      </w:r>
      <w:r>
        <w:t xml:space="preserve"> hlášení o stěhování. Od roku 2005 se data o vnitřní migraci českých občanů přebírají z informačního systému evidence obyvatelstva (ISEO) ministerstva vnitra. V případě cizinců se mezi roky 2005 až 2007 a</w:t>
      </w:r>
      <w:r w:rsidR="00954BA2">
        <w:t xml:space="preserve"> opět od července 2012 používají</w:t>
      </w:r>
      <w:r>
        <w:t xml:space="preserve"> data z</w:t>
      </w:r>
      <w:r w:rsidRPr="00BD13E9">
        <w:t xml:space="preserve"> </w:t>
      </w:r>
      <w:r>
        <w:t>cizineckého informačního systému (CIS) ředitelství služby cizinecké policie, v mezidobí šlo o údaje z </w:t>
      </w:r>
      <w:proofErr w:type="gramStart"/>
      <w:r>
        <w:t>ISEO</w:t>
      </w:r>
      <w:proofErr w:type="gramEnd"/>
      <w:r>
        <w:t>.</w:t>
      </w:r>
      <w:r w:rsidR="00954BA2">
        <w:t xml:space="preserve"> Vzhledem k přechodu z hlášení o stěhování na administrativní zdroje dat vypadly charakteristiky důvod stěhování a vzdělání. </w:t>
      </w:r>
      <w:r>
        <w:t xml:space="preserve"> </w:t>
      </w:r>
    </w:p>
    <w:p w:rsidR="00954BA2" w:rsidRDefault="00954BA2" w:rsidP="00214045">
      <w:pPr>
        <w:spacing w:after="0"/>
      </w:pPr>
    </w:p>
    <w:p w:rsidR="00537378" w:rsidRDefault="00EE7A4A" w:rsidP="00214045">
      <w:pPr>
        <w:spacing w:after="0"/>
      </w:pPr>
      <w:r>
        <w:t>Data použitá v publikaci vycházejí z územní struktury daného roku, nicméně vzhledem ke snaze přiblížit se aktuálnímu územnímu členění</w:t>
      </w:r>
      <w:r w:rsidR="00537378">
        <w:t xml:space="preserve"> i pro starší období</w:t>
      </w:r>
      <w:r>
        <w:t xml:space="preserve"> jsou teritoriální změny, které mohou podstatně ovlivnit výsledky zohledněny. Jedná se o převedení 119 obcí do jiného okresu od 1. 1. 2007</w:t>
      </w:r>
      <w:r>
        <w:rPr>
          <w:rStyle w:val="Znakapoznpodarou"/>
        </w:rPr>
        <w:footnoteReference w:id="2"/>
      </w:r>
      <w:r>
        <w:t xml:space="preserve">. </w:t>
      </w:r>
      <w:r w:rsidR="00537378">
        <w:t xml:space="preserve">Dále o převod obce Dolní Lutyně ze správního obvodu obcí s rozšířenou působností (SO ORP) Orlová do SO ORP Bohumín </w:t>
      </w:r>
      <w:r w:rsidR="00537378">
        <w:br/>
        <w:t>k 1. 1. 2012</w:t>
      </w:r>
      <w:r w:rsidR="00537378">
        <w:rPr>
          <w:rStyle w:val="Znakapoznpodarou"/>
        </w:rPr>
        <w:footnoteReference w:id="3"/>
      </w:r>
      <w:r w:rsidR="00537378">
        <w:t>.</w:t>
      </w:r>
    </w:p>
    <w:p w:rsidR="00537378" w:rsidRDefault="00537378" w:rsidP="00214045">
      <w:pPr>
        <w:spacing w:after="0"/>
      </w:pPr>
    </w:p>
    <w:p w:rsidR="00837D7F" w:rsidRDefault="00B34C2E" w:rsidP="00214045">
      <w:pPr>
        <w:spacing w:after="0"/>
      </w:pPr>
      <w:r>
        <w:t>Do roku 2007 pub</w:t>
      </w:r>
      <w:r w:rsidR="004E5BDF">
        <w:t>likovala demografická statistika</w:t>
      </w:r>
      <w:r>
        <w:t xml:space="preserve"> počty případů stěhování, </w:t>
      </w:r>
      <w:proofErr w:type="gramStart"/>
      <w:r>
        <w:t>tzn.</w:t>
      </w:r>
      <w:proofErr w:type="gramEnd"/>
      <w:r>
        <w:t xml:space="preserve"> jedna osoba se </w:t>
      </w:r>
      <w:proofErr w:type="gramStart"/>
      <w:r>
        <w:t>mohla</w:t>
      </w:r>
      <w:proofErr w:type="gramEnd"/>
      <w:r>
        <w:t xml:space="preserve"> stěhovat vícekrát</w:t>
      </w:r>
      <w:r w:rsidR="00C86793">
        <w:t xml:space="preserve"> během jednoho roku</w:t>
      </w:r>
      <w:r>
        <w:t xml:space="preserve"> a v datech byla všechna vícečetná stěhování zahrnuta. Od roku 2008 se ovšem údaj</w:t>
      </w:r>
      <w:r w:rsidR="00837D7F">
        <w:t>e o </w:t>
      </w:r>
      <w:r>
        <w:t>tyto případy očišťují</w:t>
      </w:r>
      <w:r w:rsidR="00837D7F">
        <w:t xml:space="preserve"> a na jednu osobu tak připadá pouze jeden případ stěhování</w:t>
      </w:r>
      <w:r w:rsidR="00C86793">
        <w:t xml:space="preserve"> v rámci kalendářního roku</w:t>
      </w:r>
      <w:r w:rsidR="00837D7F">
        <w:rPr>
          <w:rStyle w:val="Znakapoznpodarou"/>
        </w:rPr>
        <w:footnoteReference w:id="4"/>
      </w:r>
      <w:r w:rsidR="00837D7F">
        <w:t>. Vzhledem k tomu, že současná praxe pokrývá většinu</w:t>
      </w:r>
      <w:r w:rsidR="004E5BDF">
        <w:t xml:space="preserve"> z analyzovaného</w:t>
      </w:r>
      <w:r w:rsidR="00837D7F">
        <w:t xml:space="preserve"> období, tak jsou v publikaci synonymně používány termíny počet případů stěhování a počet stěhujících se osob.</w:t>
      </w:r>
    </w:p>
    <w:p w:rsidR="00837D7F" w:rsidRDefault="00837D7F" w:rsidP="00214045">
      <w:pPr>
        <w:spacing w:after="0"/>
      </w:pPr>
    </w:p>
    <w:p w:rsidR="00F23EEC" w:rsidRDefault="00F23EEC" w:rsidP="00214045">
      <w:pPr>
        <w:spacing w:after="0"/>
      </w:pPr>
      <w:r>
        <w:t>Definice často používaných ukazatelů:</w:t>
      </w:r>
    </w:p>
    <w:p w:rsidR="00F23EEC" w:rsidRDefault="00F23EEC" w:rsidP="00214045">
      <w:pPr>
        <w:spacing w:after="0"/>
      </w:pPr>
      <w:r>
        <w:t>Objem stěhování – počet případů stěhování uvnitř určité územní jednotky</w:t>
      </w:r>
    </w:p>
    <w:p w:rsidR="00F23EEC" w:rsidRDefault="00F23EEC" w:rsidP="00214045">
      <w:pPr>
        <w:spacing w:after="0"/>
      </w:pPr>
      <w:r>
        <w:t>Obrat stěhování – součet počtu vystěhovalých z a přistěhovalých do dané územní jednotky</w:t>
      </w:r>
    </w:p>
    <w:p w:rsidR="00F23EEC" w:rsidRDefault="00F23EEC" w:rsidP="00214045">
      <w:pPr>
        <w:spacing w:after="0"/>
      </w:pPr>
      <w:r>
        <w:t xml:space="preserve">Saldo stěhování – rozdíl mezi počtem přistěhovalých a vystěhovalých </w:t>
      </w:r>
    </w:p>
    <w:p w:rsidR="004E5BDF" w:rsidRDefault="004E5BDF" w:rsidP="00214045">
      <w:pPr>
        <w:spacing w:after="0"/>
      </w:pPr>
      <w:r>
        <w:t xml:space="preserve">Všechny tyto ukazatele je možné relativizovat, tedy vztáhnout na počet obyvatel (obvykle středního stavu), případně ještě podle pohlaví a věku, a výsledný ukazatel pak není závislý na počtu obyvatel nebo pohlavně-věkové struktuře populace. Pokud je takový ukazatel vypočítán za celé období, tak vždy vychází ze sumy počty případů stěhování a ze sumy stavů za celé období.  </w:t>
      </w:r>
    </w:p>
    <w:p w:rsidR="004E5BDF" w:rsidRDefault="004E5BDF" w:rsidP="00214045">
      <w:pPr>
        <w:spacing w:after="0"/>
      </w:pPr>
    </w:p>
    <w:p w:rsidR="00FA2558" w:rsidRPr="006F5416" w:rsidRDefault="00FA2558" w:rsidP="00FA2558">
      <w:pPr>
        <w:pStyle w:val="Nadpis1"/>
      </w:pPr>
      <w:bookmarkStart w:id="3" w:name="_Toc531859773"/>
      <w:r>
        <w:lastRenderedPageBreak/>
        <w:t xml:space="preserve">2. </w:t>
      </w:r>
      <w:r w:rsidR="00FA2ED9" w:rsidRPr="00FA2ED9">
        <w:t>Vnitřní stěhování v České republice</w:t>
      </w:r>
      <w:bookmarkEnd w:id="3"/>
    </w:p>
    <w:p w:rsidR="00F54B0E" w:rsidRDefault="00537904" w:rsidP="008963FC">
      <w:pPr>
        <w:spacing w:after="0"/>
      </w:pPr>
      <w:r>
        <w:t>Počet případů vnitřního stěhování v České republice, respektive objem vnitřní migrace (Graf 1), neměl mezi roky 2005 a 2017 jednoznačný trend. V letech 2005 až 2007 bylo možné sledovat nárůst z 213 688 na 255</w:t>
      </w:r>
      <w:r w:rsidR="00A435EE">
        <w:t> </w:t>
      </w:r>
      <w:r>
        <w:t>689</w:t>
      </w:r>
      <w:r w:rsidR="00A435EE">
        <w:t xml:space="preserve"> (zřejmě v souvislosti s ekonomickým růstem), poté došlo k poklesu až na hodnoty mírně nad 230 tisíc </w:t>
      </w:r>
      <w:r w:rsidR="00D12FE0">
        <w:t>v letech 2009–2012</w:t>
      </w:r>
      <w:r w:rsidR="00F54B0E">
        <w:t xml:space="preserve"> (období ekonomické krize</w:t>
      </w:r>
      <w:r w:rsidR="00D12FE0">
        <w:t>; s výjimkou v roce 2010 – nárůst na 240 695</w:t>
      </w:r>
      <w:r w:rsidR="00F54B0E">
        <w:t>)</w:t>
      </w:r>
      <w:r w:rsidR="00A435EE">
        <w:t xml:space="preserve"> a vzápětí objem vnitřní migrace opět narostl na 250 722 v roce 2016. V posledním sledovaném roce byl zaznamenán mírný pokles na hodnotu 246</w:t>
      </w:r>
      <w:r w:rsidR="008963FC">
        <w:t> </w:t>
      </w:r>
      <w:r w:rsidR="00A435EE">
        <w:t>070.</w:t>
      </w:r>
    </w:p>
    <w:p w:rsidR="008963FC" w:rsidRDefault="008963FC" w:rsidP="008963FC">
      <w:pPr>
        <w:spacing w:after="0"/>
      </w:pPr>
    </w:p>
    <w:p w:rsidR="008963FC" w:rsidRDefault="00834CD6" w:rsidP="00170831">
      <w:r>
        <w:t xml:space="preserve">V analyzovaném období lze sledovat mírnou feminizaci vnitřní migrace. Podíl mužů na objemu vnitřního stěhování (Graf 1) se ve sledovaném období pohyboval v rozmezí 46,2 % až 49,4 %, přičemž vyšší zastoupení mužů bylo typické spíše pro první polovinu období, v letech 2012 až 2017 podíl klesl pod 47,0 %. </w:t>
      </w:r>
    </w:p>
    <w:p w:rsidR="00170831" w:rsidRDefault="00170831" w:rsidP="00170831">
      <w:pPr>
        <w:spacing w:after="60"/>
        <w:rPr>
          <w:rFonts w:cs="Arial"/>
          <w:b/>
          <w:szCs w:val="20"/>
        </w:rPr>
      </w:pPr>
      <w:r>
        <w:rPr>
          <w:rFonts w:cs="Arial"/>
          <w:b/>
          <w:szCs w:val="20"/>
        </w:rPr>
        <w:t>Graf 1</w:t>
      </w:r>
      <w:r w:rsidRPr="00091A5B">
        <w:rPr>
          <w:rFonts w:cs="Arial"/>
          <w:b/>
          <w:szCs w:val="20"/>
        </w:rPr>
        <w:t xml:space="preserve"> </w:t>
      </w:r>
      <w:r w:rsidR="00400443" w:rsidRPr="00400443">
        <w:rPr>
          <w:rFonts w:cs="Arial"/>
          <w:b/>
          <w:szCs w:val="20"/>
        </w:rPr>
        <w:t>Objem vnitřního stěhování a podíl mužů</w:t>
      </w:r>
      <w:r w:rsidR="00400443">
        <w:rPr>
          <w:rFonts w:cs="Arial"/>
          <w:b/>
          <w:szCs w:val="20"/>
        </w:rPr>
        <w:t xml:space="preserve"> (v %)</w:t>
      </w:r>
      <w:r w:rsidR="00400443" w:rsidRPr="00400443">
        <w:rPr>
          <w:rFonts w:cs="Arial"/>
          <w:b/>
          <w:szCs w:val="20"/>
        </w:rPr>
        <w:t xml:space="preserve"> v letech 2005–2017</w:t>
      </w:r>
    </w:p>
    <w:p w:rsidR="00170831" w:rsidRDefault="00090433" w:rsidP="00170831">
      <w:r w:rsidRPr="00090433"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1270</wp:posOffset>
            </wp:positionV>
            <wp:extent cx="5400675" cy="2886075"/>
            <wp:effectExtent l="0" t="0" r="9525" b="9525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831" w:rsidRDefault="00170831" w:rsidP="00170831"/>
    <w:p w:rsidR="00170831" w:rsidRDefault="00170831" w:rsidP="00170831"/>
    <w:p w:rsidR="00170831" w:rsidRDefault="00170831" w:rsidP="00170831"/>
    <w:p w:rsidR="00170831" w:rsidRDefault="00170831" w:rsidP="00170831"/>
    <w:p w:rsidR="00170831" w:rsidRDefault="00170831" w:rsidP="00170831"/>
    <w:p w:rsidR="00170831" w:rsidRDefault="00170831" w:rsidP="00170831"/>
    <w:p w:rsidR="00170831" w:rsidRDefault="00170831" w:rsidP="00170831"/>
    <w:p w:rsidR="00170831" w:rsidRDefault="00170831" w:rsidP="00B44A02"/>
    <w:p w:rsidR="00170831" w:rsidRDefault="00170831" w:rsidP="00170831">
      <w:pPr>
        <w:spacing w:after="0"/>
      </w:pPr>
    </w:p>
    <w:p w:rsidR="002B5D25" w:rsidRDefault="00AD2D2E" w:rsidP="00170831">
      <w:pPr>
        <w:spacing w:after="0"/>
        <w:rPr>
          <w:rFonts w:cs="Arial"/>
        </w:rPr>
      </w:pPr>
      <w:r>
        <w:t>Intenzita vnitřního stěhování vyjádřená hrubou mírou vnitřního stěhování (objem vnitřního stěhování na 1 000 obyvatel středního stavu) se vyvíjela obdobně jak</w:t>
      </w:r>
      <w:r w:rsidR="007C0AA1">
        <w:t>o objem vnitřní migrace (Graf 2</w:t>
      </w:r>
      <w:r>
        <w:t xml:space="preserve">). Mezi roky 2005 a 2007 vzrostla z 20,9 </w:t>
      </w:r>
      <w:r>
        <w:rPr>
          <w:rFonts w:cs="Arial"/>
        </w:rPr>
        <w:t>‰</w:t>
      </w:r>
      <w:r>
        <w:t xml:space="preserve"> na 24,8 </w:t>
      </w:r>
      <w:r>
        <w:rPr>
          <w:rFonts w:cs="Arial"/>
        </w:rPr>
        <w:t>‰, následoval pokles na hodnoty mír</w:t>
      </w:r>
      <w:r w:rsidR="003658E1">
        <w:rPr>
          <w:rFonts w:cs="Arial"/>
        </w:rPr>
        <w:t>ně nad 22,0 ‰ okolo roku 2011 a </w:t>
      </w:r>
      <w:r>
        <w:rPr>
          <w:rFonts w:cs="Arial"/>
        </w:rPr>
        <w:t>opětovný růst na hodnotu 23,7 ‰ v roce 2016 a 23,2 ‰ v roce 2017.</w:t>
      </w:r>
      <w:r w:rsidR="00587DCF">
        <w:rPr>
          <w:rFonts w:cs="Arial"/>
        </w:rPr>
        <w:t xml:space="preserve"> Intenzita stěhování podle pohlaví se v letech 2005 až 2010 vyvíjela velmi podobně jako ta celková</w:t>
      </w:r>
      <w:r w:rsidR="007C0AA1">
        <w:rPr>
          <w:rFonts w:cs="Arial"/>
        </w:rPr>
        <w:t xml:space="preserve"> (Graf 2</w:t>
      </w:r>
      <w:r w:rsidR="00304343">
        <w:rPr>
          <w:rFonts w:cs="Arial"/>
        </w:rPr>
        <w:t>)</w:t>
      </w:r>
      <w:r w:rsidR="00587DCF">
        <w:rPr>
          <w:rFonts w:cs="Arial"/>
        </w:rPr>
        <w:t>, od roku 2011 byla vyšší u žen, ale tre</w:t>
      </w:r>
      <w:r w:rsidR="00C86793">
        <w:rPr>
          <w:rFonts w:cs="Arial"/>
        </w:rPr>
        <w:t>ndy byly pro obě pohlaví podobné</w:t>
      </w:r>
      <w:r w:rsidR="00D47C99">
        <w:rPr>
          <w:rStyle w:val="Znakapoznpodarou"/>
          <w:rFonts w:cs="Arial"/>
        </w:rPr>
        <w:footnoteReference w:id="5"/>
      </w:r>
      <w:r w:rsidR="00304343">
        <w:rPr>
          <w:rFonts w:cs="Arial"/>
        </w:rPr>
        <w:t xml:space="preserve">. V roce 2017 dosahovala hrubá míra vnitřního stěhování pro muže hodnoty 22,0 ‰, zatímco u žen byla 24,5 ‰. </w:t>
      </w:r>
      <w:r>
        <w:rPr>
          <w:rFonts w:cs="Arial"/>
        </w:rPr>
        <w:t xml:space="preserve">   </w:t>
      </w:r>
    </w:p>
    <w:p w:rsidR="00C71935" w:rsidRDefault="00C71935" w:rsidP="00170831">
      <w:pPr>
        <w:spacing w:after="0"/>
        <w:rPr>
          <w:rFonts w:cs="Arial"/>
        </w:rPr>
      </w:pPr>
    </w:p>
    <w:p w:rsidR="00C71935" w:rsidRDefault="0025143C" w:rsidP="006C4CE3">
      <w:r>
        <w:t xml:space="preserve">Na celkovém objemu vnitřního stěhování se nejvíce podílela věková skupina 18–34, jejíž zastoupení mělo ale mezi roky 2005 a 2017 sestupnou </w:t>
      </w:r>
      <w:proofErr w:type="gramStart"/>
      <w:r>
        <w:t>ten</w:t>
      </w:r>
      <w:r w:rsidR="007C0AA1">
        <w:t>denci z 44,5</w:t>
      </w:r>
      <w:proofErr w:type="gramEnd"/>
      <w:r w:rsidR="007C0AA1">
        <w:t xml:space="preserve"> % na 35,5 % (Graf 3</w:t>
      </w:r>
      <w:r>
        <w:t>). Naopak spíše rostl podíl věkových skupin 0–17 (z 21,9 % na 26,5 %) a 35–49 (z 17,7 % na 22,1 %). Starší věkové skupiny spíše stagnovaly – 50–64letí mezi 9,2 % až 9,8 % a 65letí a starší mezi 4,6 % až 6,5 %</w:t>
      </w:r>
      <w:r w:rsidR="008B21CB">
        <w:rPr>
          <w:rStyle w:val="Znakapoznpodarou"/>
        </w:rPr>
        <w:footnoteReference w:id="6"/>
      </w:r>
      <w:r>
        <w:t>.</w:t>
      </w:r>
      <w:r w:rsidR="00032D27">
        <w:t xml:space="preserve"> Muži měli na začátku sledovaného období vyšší zastoupení zejména u věkové skupiny 35–49 let (nad 55,0 % v letech 2006 až 2008), ale v čase jejich podíl klesal až na zhruba polovinu v letech 2013–2017</w:t>
      </w:r>
      <w:r w:rsidR="006C4CE3">
        <w:t xml:space="preserve"> (Přílohová tabulka 2)</w:t>
      </w:r>
      <w:r w:rsidR="00032D27">
        <w:t>. Mírně nadpoloviční zastoupení měli muži i u věkových skupin 0–17 a 50–64 po celé zkoumané období.</w:t>
      </w:r>
      <w:r w:rsidR="00F47258">
        <w:t xml:space="preserve"> V případě </w:t>
      </w:r>
      <w:r w:rsidR="00F47258">
        <w:lastRenderedPageBreak/>
        <w:t>18–34 letých a 65letých</w:t>
      </w:r>
      <w:r w:rsidR="00A12E2A">
        <w:t xml:space="preserve"> a starších</w:t>
      </w:r>
      <w:r w:rsidR="00F47258">
        <w:t xml:space="preserve"> převažovaly ženy. U první věkové skupiny podíl mužů spíše klesal z hodnot nad 45,0 % v letech 2005–2010 na 41,5 % v roce 2017, zatímco u nejstarších migrantů podíl mužů vzrostl z 31,</w:t>
      </w:r>
      <w:r w:rsidR="006C4CE3">
        <w:t>2 </w:t>
      </w:r>
      <w:r w:rsidR="00F47258">
        <w:t xml:space="preserve">% v roce 2005 na 37,4 % v roce 2017. </w:t>
      </w:r>
      <w:r w:rsidR="00097168">
        <w:t xml:space="preserve">  </w:t>
      </w:r>
      <w:r w:rsidR="00032D27">
        <w:t xml:space="preserve">    </w:t>
      </w:r>
      <w:r w:rsidR="008B21CB">
        <w:t xml:space="preserve"> </w:t>
      </w:r>
      <w:r>
        <w:t xml:space="preserve">     </w:t>
      </w:r>
    </w:p>
    <w:p w:rsidR="005C36B0" w:rsidRDefault="00013A18" w:rsidP="005C36B0">
      <w:pPr>
        <w:spacing w:after="60"/>
        <w:rPr>
          <w:rFonts w:cs="Arial"/>
          <w:b/>
          <w:szCs w:val="20"/>
        </w:rPr>
      </w:pPr>
      <w:r>
        <w:rPr>
          <w:rFonts w:cs="Arial"/>
          <w:b/>
          <w:szCs w:val="20"/>
        </w:rPr>
        <w:t>Graf 2</w:t>
      </w:r>
      <w:r w:rsidR="005C36B0" w:rsidRPr="00091A5B">
        <w:rPr>
          <w:rFonts w:cs="Arial"/>
          <w:b/>
          <w:szCs w:val="20"/>
        </w:rPr>
        <w:t xml:space="preserve"> </w:t>
      </w:r>
      <w:r w:rsidR="005C36B0" w:rsidRPr="005C36B0">
        <w:rPr>
          <w:rFonts w:cs="Arial"/>
          <w:b/>
          <w:szCs w:val="20"/>
        </w:rPr>
        <w:t>Hrubá míra vnitřního stěhování podle pohlaví v letech 2005–2017</w:t>
      </w:r>
      <w:r w:rsidR="005C36B0">
        <w:rPr>
          <w:rFonts w:cs="Arial"/>
          <w:b/>
          <w:szCs w:val="20"/>
        </w:rPr>
        <w:t xml:space="preserve"> </w:t>
      </w:r>
      <w:r w:rsidR="005C36B0" w:rsidRPr="00A14E31">
        <w:rPr>
          <w:rFonts w:cs="Arial"/>
          <w:b/>
          <w:szCs w:val="20"/>
        </w:rPr>
        <w:t>(</w:t>
      </w:r>
      <w:r w:rsidR="005C36B0" w:rsidRPr="009B07FE">
        <w:rPr>
          <w:rFonts w:cs="Arial"/>
          <w:b/>
          <w:szCs w:val="20"/>
        </w:rPr>
        <w:t>v ‰</w:t>
      </w:r>
      <w:r w:rsidR="005C36B0">
        <w:rPr>
          <w:rFonts w:cs="Arial"/>
          <w:b/>
          <w:szCs w:val="20"/>
        </w:rPr>
        <w:t>)</w:t>
      </w:r>
    </w:p>
    <w:p w:rsidR="005C36B0" w:rsidRDefault="004A0CA5" w:rsidP="005C36B0">
      <w:pPr>
        <w:spacing w:after="60"/>
        <w:rPr>
          <w:rFonts w:cs="Arial"/>
          <w:b/>
          <w:szCs w:val="20"/>
        </w:rPr>
      </w:pPr>
      <w:r w:rsidRPr="004A0CA5">
        <w:rPr>
          <w:noProof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-2540</wp:posOffset>
            </wp:positionV>
            <wp:extent cx="5400675" cy="2886075"/>
            <wp:effectExtent l="0" t="0" r="9525" b="9525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6B0" w:rsidRDefault="005C36B0" w:rsidP="00127A36">
      <w:pPr>
        <w:spacing w:after="60"/>
        <w:rPr>
          <w:rFonts w:cs="Arial"/>
          <w:b/>
          <w:szCs w:val="20"/>
        </w:rPr>
      </w:pPr>
    </w:p>
    <w:p w:rsidR="005C36B0" w:rsidRDefault="005C36B0" w:rsidP="00127A36">
      <w:pPr>
        <w:spacing w:after="60"/>
        <w:rPr>
          <w:rFonts w:cs="Arial"/>
          <w:b/>
          <w:szCs w:val="20"/>
        </w:rPr>
      </w:pPr>
    </w:p>
    <w:p w:rsidR="005C36B0" w:rsidRDefault="005C36B0" w:rsidP="00127A36">
      <w:pPr>
        <w:spacing w:after="60"/>
        <w:rPr>
          <w:rFonts w:cs="Arial"/>
          <w:b/>
          <w:szCs w:val="20"/>
        </w:rPr>
      </w:pPr>
    </w:p>
    <w:p w:rsidR="005C36B0" w:rsidRDefault="005C36B0" w:rsidP="00127A36">
      <w:pPr>
        <w:spacing w:after="60"/>
        <w:rPr>
          <w:rFonts w:cs="Arial"/>
          <w:b/>
          <w:szCs w:val="20"/>
        </w:rPr>
      </w:pPr>
    </w:p>
    <w:p w:rsidR="005C36B0" w:rsidRDefault="005C36B0" w:rsidP="00127A36">
      <w:pPr>
        <w:spacing w:after="60"/>
        <w:rPr>
          <w:rFonts w:cs="Arial"/>
          <w:b/>
          <w:szCs w:val="20"/>
        </w:rPr>
      </w:pPr>
    </w:p>
    <w:p w:rsidR="005C36B0" w:rsidRDefault="005C36B0" w:rsidP="00127A36">
      <w:pPr>
        <w:spacing w:after="60"/>
        <w:rPr>
          <w:rFonts w:cs="Arial"/>
          <w:b/>
          <w:szCs w:val="20"/>
        </w:rPr>
      </w:pPr>
    </w:p>
    <w:p w:rsidR="005C36B0" w:rsidRDefault="005C36B0" w:rsidP="00127A36">
      <w:pPr>
        <w:spacing w:after="60"/>
        <w:rPr>
          <w:rFonts w:cs="Arial"/>
          <w:b/>
          <w:szCs w:val="20"/>
        </w:rPr>
      </w:pPr>
    </w:p>
    <w:p w:rsidR="005C36B0" w:rsidRDefault="005C36B0" w:rsidP="00127A36">
      <w:pPr>
        <w:spacing w:after="60"/>
        <w:rPr>
          <w:rFonts w:cs="Arial"/>
          <w:b/>
          <w:szCs w:val="20"/>
        </w:rPr>
      </w:pPr>
    </w:p>
    <w:p w:rsidR="005C36B0" w:rsidRDefault="005C36B0" w:rsidP="00127A36">
      <w:pPr>
        <w:spacing w:after="60"/>
        <w:rPr>
          <w:rFonts w:cs="Arial"/>
          <w:b/>
          <w:szCs w:val="20"/>
        </w:rPr>
      </w:pPr>
    </w:p>
    <w:p w:rsidR="004A0CA5" w:rsidRDefault="004A0CA5" w:rsidP="00127A36">
      <w:pPr>
        <w:spacing w:after="60"/>
        <w:rPr>
          <w:rFonts w:cs="Arial"/>
          <w:b/>
          <w:szCs w:val="20"/>
        </w:rPr>
      </w:pPr>
    </w:p>
    <w:p w:rsidR="004A0CA5" w:rsidRDefault="004A0CA5" w:rsidP="00127A36">
      <w:pPr>
        <w:spacing w:after="60"/>
        <w:rPr>
          <w:rFonts w:cs="Arial"/>
          <w:b/>
          <w:szCs w:val="20"/>
        </w:rPr>
      </w:pPr>
    </w:p>
    <w:p w:rsidR="004A0CA5" w:rsidRDefault="004A0CA5" w:rsidP="00127A36">
      <w:pPr>
        <w:spacing w:after="60"/>
        <w:rPr>
          <w:rFonts w:cs="Arial"/>
          <w:b/>
          <w:szCs w:val="20"/>
        </w:rPr>
      </w:pPr>
    </w:p>
    <w:p w:rsidR="004A0CA5" w:rsidRDefault="004A0CA5" w:rsidP="00127A36">
      <w:pPr>
        <w:spacing w:after="60"/>
        <w:rPr>
          <w:rFonts w:cs="Arial"/>
          <w:b/>
          <w:szCs w:val="20"/>
        </w:rPr>
      </w:pPr>
    </w:p>
    <w:p w:rsidR="00127A36" w:rsidRDefault="00013A18" w:rsidP="00127A36">
      <w:pPr>
        <w:spacing w:after="60"/>
        <w:rPr>
          <w:rFonts w:cs="Arial"/>
          <w:b/>
          <w:szCs w:val="20"/>
        </w:rPr>
      </w:pPr>
      <w:r>
        <w:rPr>
          <w:rFonts w:cs="Arial"/>
          <w:b/>
          <w:szCs w:val="20"/>
        </w:rPr>
        <w:t>Graf 3</w:t>
      </w:r>
      <w:r w:rsidR="00127A36" w:rsidRPr="00091A5B">
        <w:rPr>
          <w:rFonts w:cs="Arial"/>
          <w:b/>
          <w:szCs w:val="20"/>
        </w:rPr>
        <w:t xml:space="preserve"> </w:t>
      </w:r>
      <w:r w:rsidR="00127A36" w:rsidRPr="00127A36">
        <w:rPr>
          <w:rFonts w:cs="Arial"/>
          <w:b/>
          <w:szCs w:val="20"/>
        </w:rPr>
        <w:t>Objem vnitřního stěhování podle věkových skupin v letech 2005–2017 (v %)</w:t>
      </w:r>
    </w:p>
    <w:p w:rsidR="00400443" w:rsidRDefault="00AE0A8B" w:rsidP="00B44A02">
      <w:r w:rsidRPr="00AE0A8B">
        <w:rPr>
          <w:noProof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-1905</wp:posOffset>
            </wp:positionV>
            <wp:extent cx="5429250" cy="2886075"/>
            <wp:effectExtent l="0" t="0" r="0" b="9525"/>
            <wp:wrapNone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A36" w:rsidRDefault="00127A36" w:rsidP="00B44A02"/>
    <w:p w:rsidR="00127A36" w:rsidRDefault="00127A36" w:rsidP="00B44A02"/>
    <w:p w:rsidR="00127A36" w:rsidRDefault="00127A36" w:rsidP="00B44A02"/>
    <w:p w:rsidR="00127A36" w:rsidRDefault="00127A36" w:rsidP="00B44A02"/>
    <w:p w:rsidR="00127A36" w:rsidRDefault="00127A36" w:rsidP="00B44A02"/>
    <w:p w:rsidR="00127A36" w:rsidRDefault="00127A36" w:rsidP="00B44A02"/>
    <w:p w:rsidR="00127A36" w:rsidRDefault="00127A36" w:rsidP="00B44A02"/>
    <w:p w:rsidR="00127A36" w:rsidRDefault="00127A36" w:rsidP="00B44A02"/>
    <w:p w:rsidR="00127A36" w:rsidRDefault="00127A36" w:rsidP="00CB070D">
      <w:pPr>
        <w:spacing w:after="0"/>
      </w:pPr>
    </w:p>
    <w:p w:rsidR="006A2FAF" w:rsidRDefault="00A67DC7" w:rsidP="00CB070D">
      <w:pPr>
        <w:spacing w:after="0"/>
      </w:pPr>
      <w:r>
        <w:t>Intenzita vnitřního stěhování podle věku znázorněná mírami vnitřního stěhování podle věku (objem vnitřního stěhování podle věku na 1 000 obyvatel středního stavu daného věku) bývá obecně nejvyšší u dětí v prvních letech života, k</w:t>
      </w:r>
      <w:r w:rsidR="007C0AA1">
        <w:t>teré se stěhují s rodiči (Graf 4</w:t>
      </w:r>
      <w:r>
        <w:t>). Poté intenzita migrace klesá až do věku o</w:t>
      </w:r>
      <w:r w:rsidR="003658E1">
        <w:t>kolo 16–17 let a </w:t>
      </w:r>
      <w:r>
        <w:t>vzápětí roste k druhému, byť nižšímu, vrcholu ve věku zhruba 25–30 let. Tento růst obvykle souvisí se stěhování po absolvování školy za prací nebo s nově založenou rodinou.</w:t>
      </w:r>
      <w:r w:rsidR="00016930">
        <w:t xml:space="preserve"> Následně se intenzita stěhování postupně snižuje až na minima okolo věku 70–75 let. U nejstarších osob míry stěhování opět rostou v souvislosti se stěhováním do menších bytů, k rodinám nebo do zařízení sociální péče.</w:t>
      </w:r>
      <w:r w:rsidR="006A2FAF">
        <w:t xml:space="preserve"> </w:t>
      </w:r>
    </w:p>
    <w:p w:rsidR="006A2FAF" w:rsidRDefault="006A2FAF" w:rsidP="00CB070D">
      <w:pPr>
        <w:spacing w:after="0"/>
      </w:pPr>
    </w:p>
    <w:p w:rsidR="00CB070D" w:rsidRDefault="006A2FAF" w:rsidP="00BE4469">
      <w:r>
        <w:t>Při srovnání let 2005 a 2017 je patrný růst měr vnitřní migrace téměř u všech jednotek věku až do</w:t>
      </w:r>
      <w:r w:rsidR="00217B77">
        <w:t xml:space="preserve"> věku zhruba 65 let, přičemž nejintenzivnější nárůst byl u dětí do dvou let. U nejstarších migrantů byl pozorován </w:t>
      </w:r>
      <w:r w:rsidR="00217B77">
        <w:lastRenderedPageBreak/>
        <w:t xml:space="preserve">výrazný pokles intenzity stěhování (Přílohová tabulka 3). </w:t>
      </w:r>
      <w:r w:rsidR="00C91685">
        <w:t>Druhý vrchol mimo dětský věk se posunul z 26 na 28</w:t>
      </w:r>
      <w:r w:rsidR="00BE4469">
        <w:t xml:space="preserve"> let mezi roky 2005 a 2017. Pokud srovnáme poslední sledovaný rok a rok 2008, kdy byla jedna z nejvyšších intenzit vnitřní migrace, tak můžeme sledovat podstatný pokles intenzit stěhování okolo věků 25 a 40 a naopak růst u dětí do dvou let, osob ve věku 15-18 let a u šedesátníků. </w:t>
      </w:r>
      <w:r w:rsidR="00016930">
        <w:t xml:space="preserve"> </w:t>
      </w:r>
      <w:r w:rsidR="00A67DC7">
        <w:t xml:space="preserve"> </w:t>
      </w:r>
    </w:p>
    <w:p w:rsidR="00A14E31" w:rsidRDefault="00013A18" w:rsidP="00A14E31">
      <w:pPr>
        <w:spacing w:after="60"/>
        <w:rPr>
          <w:rFonts w:cs="Arial"/>
          <w:b/>
          <w:szCs w:val="20"/>
        </w:rPr>
      </w:pPr>
      <w:r>
        <w:rPr>
          <w:rFonts w:cs="Arial"/>
          <w:b/>
          <w:szCs w:val="20"/>
        </w:rPr>
        <w:t>Graf 4</w:t>
      </w:r>
      <w:r w:rsidR="00A14E31" w:rsidRPr="00091A5B">
        <w:rPr>
          <w:rFonts w:cs="Arial"/>
          <w:b/>
          <w:szCs w:val="20"/>
        </w:rPr>
        <w:t xml:space="preserve"> </w:t>
      </w:r>
      <w:r w:rsidR="00A14E31" w:rsidRPr="00A14E31">
        <w:rPr>
          <w:rFonts w:cs="Arial"/>
          <w:b/>
          <w:szCs w:val="20"/>
        </w:rPr>
        <w:t>Míry vnitřního stěhování podle věku v letech 2005–2017 (</w:t>
      </w:r>
      <w:r w:rsidR="009B07FE" w:rsidRPr="009B07FE">
        <w:rPr>
          <w:rFonts w:cs="Arial"/>
          <w:b/>
          <w:szCs w:val="20"/>
        </w:rPr>
        <w:t>v ‰</w:t>
      </w:r>
      <w:r w:rsidR="00F07E4B">
        <w:rPr>
          <w:rFonts w:cs="Arial"/>
          <w:b/>
          <w:szCs w:val="20"/>
        </w:rPr>
        <w:t>)</w:t>
      </w:r>
    </w:p>
    <w:bookmarkEnd w:id="1"/>
    <w:p w:rsidR="00E74D0F" w:rsidRDefault="000E2F16" w:rsidP="000469B3">
      <w:pPr>
        <w:spacing w:after="0"/>
      </w:pPr>
      <w:r w:rsidRPr="000E2F16"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4445</wp:posOffset>
            </wp:positionV>
            <wp:extent cx="5391150" cy="2886075"/>
            <wp:effectExtent l="0" t="0" r="0" b="9525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D0F" w:rsidRDefault="00E74D0F" w:rsidP="00E74D0F"/>
    <w:p w:rsidR="00E74D0F" w:rsidRDefault="00E74D0F" w:rsidP="00E74D0F"/>
    <w:p w:rsidR="00E74D0F" w:rsidRDefault="00E74D0F" w:rsidP="00E74D0F"/>
    <w:p w:rsidR="00E74D0F" w:rsidRDefault="00E74D0F" w:rsidP="00E74D0F"/>
    <w:p w:rsidR="00E74D0F" w:rsidRDefault="00E74D0F" w:rsidP="00E74D0F"/>
    <w:p w:rsidR="00E74D0F" w:rsidRDefault="00E74D0F" w:rsidP="00E74D0F"/>
    <w:p w:rsidR="00E74D0F" w:rsidRDefault="00E74D0F" w:rsidP="00E74D0F"/>
    <w:p w:rsidR="00E74D0F" w:rsidRDefault="00E74D0F" w:rsidP="00E74D0F"/>
    <w:p w:rsidR="001C2992" w:rsidRDefault="001C2992" w:rsidP="00E74D0F">
      <w:pPr>
        <w:spacing w:after="60"/>
        <w:rPr>
          <w:rFonts w:cs="Arial"/>
          <w:b/>
          <w:szCs w:val="20"/>
        </w:rPr>
      </w:pPr>
    </w:p>
    <w:p w:rsidR="00E74D0F" w:rsidRDefault="004D0DF1" w:rsidP="00E74D0F">
      <w:pPr>
        <w:spacing w:after="60"/>
        <w:rPr>
          <w:rFonts w:cs="Arial"/>
          <w:b/>
          <w:szCs w:val="20"/>
        </w:rPr>
      </w:pPr>
      <w:r>
        <w:rPr>
          <w:rFonts w:cs="Arial"/>
          <w:b/>
          <w:szCs w:val="20"/>
        </w:rPr>
        <w:t>Graf 5</w:t>
      </w:r>
      <w:r w:rsidR="00E74D0F" w:rsidRPr="00091A5B">
        <w:rPr>
          <w:rFonts w:cs="Arial"/>
          <w:b/>
          <w:szCs w:val="20"/>
        </w:rPr>
        <w:t xml:space="preserve"> </w:t>
      </w:r>
      <w:r w:rsidR="009B07FE" w:rsidRPr="009B07FE">
        <w:rPr>
          <w:rFonts w:cs="Arial"/>
          <w:b/>
          <w:szCs w:val="20"/>
        </w:rPr>
        <w:t>Míry vnitřního stěhování podle pohlaví a věku v letech 2008 a 2017 (v ‰)</w:t>
      </w:r>
    </w:p>
    <w:p w:rsidR="009B07FE" w:rsidRDefault="00B91EEF" w:rsidP="00E74D0F">
      <w:pPr>
        <w:spacing w:after="60"/>
        <w:rPr>
          <w:rFonts w:cs="Arial"/>
          <w:b/>
          <w:szCs w:val="20"/>
        </w:rPr>
      </w:pPr>
      <w:r w:rsidRPr="00B91EEF">
        <w:rPr>
          <w:noProof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5391150" cy="2886075"/>
            <wp:effectExtent l="0" t="0" r="0" b="9525"/>
            <wp:wrapNone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FA6" w:rsidRDefault="00386FA6" w:rsidP="00E74D0F"/>
    <w:p w:rsidR="00386FA6" w:rsidRPr="00386FA6" w:rsidRDefault="00386FA6" w:rsidP="00386FA6"/>
    <w:p w:rsidR="00386FA6" w:rsidRPr="00386FA6" w:rsidRDefault="00386FA6" w:rsidP="00386FA6"/>
    <w:p w:rsidR="00386FA6" w:rsidRPr="00386FA6" w:rsidRDefault="00386FA6" w:rsidP="00386FA6"/>
    <w:p w:rsidR="00386FA6" w:rsidRPr="00386FA6" w:rsidRDefault="00386FA6" w:rsidP="00386FA6"/>
    <w:p w:rsidR="00386FA6" w:rsidRPr="00386FA6" w:rsidRDefault="00386FA6" w:rsidP="00386FA6"/>
    <w:p w:rsidR="00386FA6" w:rsidRPr="00386FA6" w:rsidRDefault="00386FA6" w:rsidP="00386FA6"/>
    <w:p w:rsidR="00386FA6" w:rsidRPr="00386FA6" w:rsidRDefault="00386FA6" w:rsidP="00386FA6"/>
    <w:p w:rsidR="001C2992" w:rsidRDefault="001C2992" w:rsidP="001C2992">
      <w:pPr>
        <w:spacing w:after="0"/>
      </w:pPr>
    </w:p>
    <w:p w:rsidR="001C2992" w:rsidRDefault="001C2992" w:rsidP="001C2992">
      <w:pPr>
        <w:spacing w:after="0"/>
      </w:pPr>
      <w:r>
        <w:t>Pro srovnání měr stěhov</w:t>
      </w:r>
      <w:r w:rsidR="007C0AA1">
        <w:t>ání podle věku a pohlaví (Graf 5</w:t>
      </w:r>
      <w:r>
        <w:t>) byly vybrány roky 2008 (nejvyšší podíl mužů na vnitřním stěhování a jeden z největších objemů a intenzit migrace ve sledovaném období) a 2017 (aktuální rok a jeden z nejnižších podílů mužů). V případě mužů vzrostla intenzita stěhování podstatně u nejmladších dětí a u šedesátníků, naopak se snížila u stěhujících se ve věcích okolo 25 a 40 let (trendy byly podobné jako u měr vnitřního stěhování bez rozlišení pohlaví). U žen míry stěhování ve</w:t>
      </w:r>
      <w:r w:rsidR="003658E1">
        <w:t xml:space="preserve"> většině věků rostly, nejvíce u </w:t>
      </w:r>
      <w:r>
        <w:t xml:space="preserve">nejmladších dětí, osob ve věku 15–18 let, 30–35 let a u šedesátnic. </w:t>
      </w:r>
    </w:p>
    <w:p w:rsidR="001C2992" w:rsidRDefault="001C2992" w:rsidP="001C2992">
      <w:pPr>
        <w:spacing w:after="0"/>
      </w:pPr>
    </w:p>
    <w:p w:rsidR="008C0A7B" w:rsidRDefault="00C86793" w:rsidP="008C0A7B">
      <w:pPr>
        <w:spacing w:after="0"/>
      </w:pPr>
      <w:r>
        <w:t>Mezi pohlavími</w:t>
      </w:r>
      <w:r w:rsidR="001C2992">
        <w:t xml:space="preserve"> jsou největší rozdíly patrné ve věku 18–30 let, kde měly výrazně vyšší intenzitu stěhování ženy, která se v čase ještě prohloubila, a podstatně vyšší míry stěhování u žen byly i u nejstarších migrantů ve věku</w:t>
      </w:r>
      <w:r w:rsidR="00A12E2A">
        <w:t xml:space="preserve"> 70 let a více. Naopak muži měli</w:t>
      </w:r>
      <w:r w:rsidR="001C2992">
        <w:t xml:space="preserve"> vyšší intenzity stěhování než ženy u padesátníků a šedesátníků </w:t>
      </w:r>
      <w:r w:rsidR="001C2992">
        <w:lastRenderedPageBreak/>
        <w:t>(platí pro oba roky). U intenzity stěhování ve věkové skupině cca 35–49 let dominovaly v roce 2008 muži, v posledním sl</w:t>
      </w:r>
      <w:r w:rsidR="00A12E2A">
        <w:t xml:space="preserve">edovaném roce už to byly ženy. </w:t>
      </w:r>
      <w:r w:rsidR="001C2992">
        <w:t xml:space="preserve">Vrchol intenzity stěhování byl u žen (pokud vyloučíme nejmladší děti) o 1–2 roky dříve než u mužů, kde byl okolo 28 let. </w:t>
      </w:r>
    </w:p>
    <w:p w:rsidR="001C2992" w:rsidRDefault="001C2992" w:rsidP="008C0A7B">
      <w:pPr>
        <w:spacing w:after="0"/>
      </w:pPr>
    </w:p>
    <w:p w:rsidR="008C0A7B" w:rsidRDefault="0087240B" w:rsidP="0081263C">
      <w:r>
        <w:t>Průměrný věk migrantů se signifikantně neměnil a pohyboval se v rozmezí 30,6 až 31,5 let</w:t>
      </w:r>
      <w:r w:rsidR="003658E1">
        <w:t xml:space="preserve"> mezi roky 2005 a </w:t>
      </w:r>
      <w:r w:rsidR="003C6360">
        <w:t>2017</w:t>
      </w:r>
      <w:r w:rsidR="007C0AA1">
        <w:t xml:space="preserve"> (Graf 6</w:t>
      </w:r>
      <w:r>
        <w:t>).</w:t>
      </w:r>
      <w:r w:rsidR="003C6360">
        <w:t xml:space="preserve"> Nižší byl u mužů (29,9–30,7 let), než u žen (31,1–32,2).</w:t>
      </w:r>
      <w:r w:rsidR="0081263C">
        <w:t xml:space="preserve"> Vyšší průměrný věk v případě žen byl způsoben zejména jejich převahou ve starších věkových kategoriích.</w:t>
      </w:r>
      <w:r w:rsidR="003C6360">
        <w:t xml:space="preserve"> </w:t>
      </w:r>
      <w:r>
        <w:t xml:space="preserve">  </w:t>
      </w:r>
    </w:p>
    <w:p w:rsidR="0076529D" w:rsidRDefault="004D0DF1" w:rsidP="0076529D">
      <w:pPr>
        <w:spacing w:after="60"/>
        <w:rPr>
          <w:rFonts w:cs="Arial"/>
          <w:b/>
          <w:szCs w:val="20"/>
        </w:rPr>
      </w:pPr>
      <w:r>
        <w:rPr>
          <w:rFonts w:cs="Arial"/>
          <w:b/>
          <w:szCs w:val="20"/>
        </w:rPr>
        <w:t>Graf 6</w:t>
      </w:r>
      <w:r w:rsidR="0076529D" w:rsidRPr="00091A5B">
        <w:rPr>
          <w:rFonts w:cs="Arial"/>
          <w:b/>
          <w:szCs w:val="20"/>
        </w:rPr>
        <w:t xml:space="preserve"> </w:t>
      </w:r>
      <w:r w:rsidR="0076529D">
        <w:rPr>
          <w:rFonts w:cs="Arial"/>
          <w:b/>
          <w:szCs w:val="20"/>
        </w:rPr>
        <w:t>Průměrný věk</w:t>
      </w:r>
      <w:r w:rsidR="00B72730">
        <w:rPr>
          <w:rFonts w:cs="Arial"/>
          <w:b/>
          <w:szCs w:val="20"/>
        </w:rPr>
        <w:t xml:space="preserve"> migrantů podle pohlaví</w:t>
      </w:r>
      <w:r w:rsidR="0076529D">
        <w:rPr>
          <w:rFonts w:cs="Arial"/>
          <w:b/>
          <w:szCs w:val="20"/>
        </w:rPr>
        <w:t xml:space="preserve"> </w:t>
      </w:r>
      <w:r w:rsidR="00B72730">
        <w:rPr>
          <w:rFonts w:cs="Arial"/>
          <w:b/>
          <w:szCs w:val="20"/>
        </w:rPr>
        <w:t>v letech 2005–2017</w:t>
      </w:r>
    </w:p>
    <w:p w:rsidR="00386FA6" w:rsidRDefault="004759D8" w:rsidP="00386FA6">
      <w:r w:rsidRPr="004759D8">
        <w:rPr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1905</wp:posOffset>
            </wp:positionV>
            <wp:extent cx="5400675" cy="2886075"/>
            <wp:effectExtent l="0" t="0" r="9525" b="9525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9D8" w:rsidRDefault="004759D8" w:rsidP="00386FA6"/>
    <w:p w:rsidR="004759D8" w:rsidRPr="004759D8" w:rsidRDefault="004759D8" w:rsidP="004759D8"/>
    <w:p w:rsidR="004759D8" w:rsidRPr="004759D8" w:rsidRDefault="004759D8" w:rsidP="004759D8"/>
    <w:p w:rsidR="004759D8" w:rsidRPr="004759D8" w:rsidRDefault="004759D8" w:rsidP="004759D8"/>
    <w:p w:rsidR="004759D8" w:rsidRPr="004759D8" w:rsidRDefault="004759D8" w:rsidP="004759D8"/>
    <w:p w:rsidR="004759D8" w:rsidRPr="004759D8" w:rsidRDefault="004759D8" w:rsidP="004759D8"/>
    <w:p w:rsidR="004759D8" w:rsidRPr="004759D8" w:rsidRDefault="004759D8" w:rsidP="004759D8"/>
    <w:p w:rsidR="004759D8" w:rsidRDefault="004759D8" w:rsidP="004759D8"/>
    <w:p w:rsidR="0081263C" w:rsidRDefault="0081263C" w:rsidP="0081263C">
      <w:pPr>
        <w:spacing w:after="0"/>
        <w:rPr>
          <w:rFonts w:cs="Arial"/>
          <w:b/>
          <w:szCs w:val="20"/>
        </w:rPr>
      </w:pPr>
    </w:p>
    <w:p w:rsidR="00106D41" w:rsidRDefault="004D0DF1" w:rsidP="00106D41">
      <w:pPr>
        <w:spacing w:after="60"/>
        <w:rPr>
          <w:rFonts w:cs="Arial"/>
          <w:b/>
          <w:szCs w:val="20"/>
        </w:rPr>
      </w:pPr>
      <w:r>
        <w:rPr>
          <w:rFonts w:cs="Arial"/>
          <w:b/>
          <w:szCs w:val="20"/>
        </w:rPr>
        <w:t>Graf 7</w:t>
      </w:r>
      <w:r w:rsidR="00106D41" w:rsidRPr="00091A5B">
        <w:rPr>
          <w:rFonts w:cs="Arial"/>
          <w:b/>
          <w:szCs w:val="20"/>
        </w:rPr>
        <w:t xml:space="preserve"> </w:t>
      </w:r>
      <w:r w:rsidR="00106D41" w:rsidRPr="00106D41">
        <w:rPr>
          <w:rFonts w:cs="Arial"/>
          <w:b/>
          <w:szCs w:val="20"/>
        </w:rPr>
        <w:t>Objem vnitřního stěhování podle druhu stěhování v letech 2005–2017 (v %)</w:t>
      </w:r>
    </w:p>
    <w:p w:rsidR="00106D41" w:rsidRDefault="00003075" w:rsidP="00FC75C9">
      <w:pPr>
        <w:spacing w:after="60"/>
        <w:rPr>
          <w:rFonts w:cs="Arial"/>
          <w:b/>
          <w:szCs w:val="20"/>
        </w:rPr>
      </w:pPr>
      <w:r w:rsidRPr="00003075">
        <w:rPr>
          <w:noProof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5429250" cy="2886075"/>
            <wp:effectExtent l="0" t="0" r="0" b="9525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D41" w:rsidRDefault="00106D41" w:rsidP="00FC75C9">
      <w:pPr>
        <w:spacing w:after="60"/>
        <w:rPr>
          <w:rFonts w:cs="Arial"/>
          <w:b/>
          <w:szCs w:val="20"/>
        </w:rPr>
      </w:pPr>
    </w:p>
    <w:p w:rsidR="00106D41" w:rsidRDefault="00106D41" w:rsidP="00FC75C9">
      <w:pPr>
        <w:spacing w:after="60"/>
        <w:rPr>
          <w:rFonts w:cs="Arial"/>
          <w:b/>
          <w:szCs w:val="20"/>
        </w:rPr>
      </w:pPr>
    </w:p>
    <w:p w:rsidR="00106D41" w:rsidRDefault="00106D41" w:rsidP="00FC75C9">
      <w:pPr>
        <w:spacing w:after="60"/>
        <w:rPr>
          <w:rFonts w:cs="Arial"/>
          <w:b/>
          <w:szCs w:val="20"/>
        </w:rPr>
      </w:pPr>
    </w:p>
    <w:p w:rsidR="00106D41" w:rsidRDefault="00106D41" w:rsidP="00FC75C9">
      <w:pPr>
        <w:spacing w:after="60"/>
        <w:rPr>
          <w:rFonts w:cs="Arial"/>
          <w:b/>
          <w:szCs w:val="20"/>
        </w:rPr>
      </w:pPr>
    </w:p>
    <w:p w:rsidR="00106D41" w:rsidRDefault="00106D41" w:rsidP="00FC75C9">
      <w:pPr>
        <w:spacing w:after="60"/>
        <w:rPr>
          <w:rFonts w:cs="Arial"/>
          <w:b/>
          <w:szCs w:val="20"/>
        </w:rPr>
      </w:pPr>
    </w:p>
    <w:p w:rsidR="00106D41" w:rsidRDefault="00106D41" w:rsidP="00FC75C9">
      <w:pPr>
        <w:spacing w:after="60"/>
        <w:rPr>
          <w:rFonts w:cs="Arial"/>
          <w:b/>
          <w:szCs w:val="20"/>
        </w:rPr>
      </w:pPr>
    </w:p>
    <w:p w:rsidR="00106D41" w:rsidRDefault="00106D41" w:rsidP="00FC75C9">
      <w:pPr>
        <w:spacing w:after="60"/>
        <w:rPr>
          <w:rFonts w:cs="Arial"/>
          <w:b/>
          <w:szCs w:val="20"/>
        </w:rPr>
      </w:pPr>
    </w:p>
    <w:p w:rsidR="00106D41" w:rsidRDefault="00106D41" w:rsidP="00FC75C9">
      <w:pPr>
        <w:spacing w:after="60"/>
        <w:rPr>
          <w:rFonts w:cs="Arial"/>
          <w:b/>
          <w:szCs w:val="20"/>
        </w:rPr>
      </w:pPr>
    </w:p>
    <w:p w:rsidR="00106D41" w:rsidRDefault="00106D41" w:rsidP="00FC75C9">
      <w:pPr>
        <w:spacing w:after="60"/>
        <w:rPr>
          <w:rFonts w:cs="Arial"/>
          <w:b/>
          <w:szCs w:val="20"/>
        </w:rPr>
      </w:pPr>
    </w:p>
    <w:p w:rsidR="00106D41" w:rsidRDefault="00106D41" w:rsidP="00FC75C9">
      <w:pPr>
        <w:spacing w:after="60"/>
        <w:rPr>
          <w:rFonts w:cs="Arial"/>
          <w:b/>
          <w:szCs w:val="20"/>
        </w:rPr>
      </w:pPr>
    </w:p>
    <w:p w:rsidR="00106D41" w:rsidRDefault="00106D41" w:rsidP="00FC75C9">
      <w:pPr>
        <w:spacing w:after="60"/>
        <w:rPr>
          <w:rFonts w:cs="Arial"/>
          <w:b/>
          <w:szCs w:val="20"/>
        </w:rPr>
      </w:pPr>
    </w:p>
    <w:p w:rsidR="00106D41" w:rsidRDefault="00106D41" w:rsidP="00FC75C9">
      <w:pPr>
        <w:spacing w:after="60"/>
        <w:rPr>
          <w:rFonts w:cs="Arial"/>
          <w:b/>
          <w:szCs w:val="20"/>
        </w:rPr>
      </w:pPr>
    </w:p>
    <w:p w:rsidR="00106D41" w:rsidRDefault="00106D41" w:rsidP="00FC75C9">
      <w:pPr>
        <w:spacing w:after="60"/>
        <w:rPr>
          <w:rFonts w:cs="Arial"/>
          <w:b/>
          <w:szCs w:val="20"/>
        </w:rPr>
      </w:pPr>
    </w:p>
    <w:p w:rsidR="00106D41" w:rsidRPr="00EE7B85" w:rsidRDefault="00EE7B85" w:rsidP="004857DE">
      <w:pPr>
        <w:spacing w:after="0"/>
        <w:rPr>
          <w:rFonts w:cs="Arial"/>
          <w:szCs w:val="20"/>
        </w:rPr>
      </w:pPr>
      <w:r>
        <w:rPr>
          <w:rFonts w:cs="Arial"/>
          <w:szCs w:val="20"/>
        </w:rPr>
        <w:t>Zastoupení druhů stěhování na celkovém objemu se ve sledovaném období výrazně nezměnilo</w:t>
      </w:r>
      <w:r w:rsidR="007C0AA1">
        <w:rPr>
          <w:rFonts w:cs="Arial"/>
          <w:szCs w:val="20"/>
        </w:rPr>
        <w:t xml:space="preserve"> (Graf 7</w:t>
      </w:r>
      <w:r w:rsidR="008E754A">
        <w:rPr>
          <w:rFonts w:cs="Arial"/>
          <w:szCs w:val="20"/>
        </w:rPr>
        <w:t>)</w:t>
      </w:r>
      <w:r>
        <w:rPr>
          <w:rFonts w:cs="Arial"/>
          <w:szCs w:val="20"/>
        </w:rPr>
        <w:t xml:space="preserve">. Podíl mezikrajského stěhování (které probíhá v průměru na delší vzdálenost než </w:t>
      </w:r>
      <w:proofErr w:type="spellStart"/>
      <w:r>
        <w:rPr>
          <w:rFonts w:cs="Arial"/>
          <w:szCs w:val="20"/>
        </w:rPr>
        <w:t>vnitrokrajské</w:t>
      </w:r>
      <w:proofErr w:type="spellEnd"/>
      <w:r>
        <w:rPr>
          <w:rFonts w:cs="Arial"/>
          <w:szCs w:val="20"/>
        </w:rPr>
        <w:t xml:space="preserve"> stěhování) se pohyboval v rozmezí 34,8 % až 39,4 %, přičemž nejvyšších hodnot bylo dosaženo v letech </w:t>
      </w:r>
      <w:r w:rsidR="008E754A">
        <w:rPr>
          <w:rFonts w:cs="Arial"/>
          <w:szCs w:val="20"/>
        </w:rPr>
        <w:t xml:space="preserve">2008 a 2009 (lehce přes 39,0 %) a nejnižších (do 35,0 %) v letech 2013–2014. </w:t>
      </w:r>
      <w:r>
        <w:rPr>
          <w:rFonts w:cs="Arial"/>
          <w:szCs w:val="20"/>
        </w:rPr>
        <w:t xml:space="preserve">Podíl meziokresního stěhování v rámci kraje byl mezi 18,7 % až 21,3 % s nejnižšími hodnotami do 19,0 % v letech 2005 až 2008 a s nejvyšší </w:t>
      </w:r>
      <w:r>
        <w:rPr>
          <w:rFonts w:cs="Arial"/>
          <w:szCs w:val="20"/>
        </w:rPr>
        <w:lastRenderedPageBreak/>
        <w:t xml:space="preserve">hodnotou v roce 2017. </w:t>
      </w:r>
      <w:proofErr w:type="spellStart"/>
      <w:r w:rsidR="0043641D">
        <w:rPr>
          <w:rFonts w:cs="Arial"/>
          <w:szCs w:val="20"/>
        </w:rPr>
        <w:t>Meziobecní</w:t>
      </w:r>
      <w:proofErr w:type="spellEnd"/>
      <w:r w:rsidR="0043641D">
        <w:rPr>
          <w:rFonts w:cs="Arial"/>
          <w:szCs w:val="20"/>
        </w:rPr>
        <w:t xml:space="preserve"> stěhování v rámci okresu se na celkovém objemu vnitřního stěhování </w:t>
      </w:r>
      <w:proofErr w:type="gramStart"/>
      <w:r w:rsidR="0043641D">
        <w:rPr>
          <w:rFonts w:cs="Arial"/>
          <w:szCs w:val="20"/>
        </w:rPr>
        <w:t xml:space="preserve">podílelo z </w:t>
      </w:r>
      <w:r>
        <w:rPr>
          <w:rFonts w:cs="Arial"/>
          <w:szCs w:val="20"/>
        </w:rPr>
        <w:t>41,3</w:t>
      </w:r>
      <w:proofErr w:type="gramEnd"/>
      <w:r>
        <w:rPr>
          <w:rFonts w:cs="Arial"/>
          <w:szCs w:val="20"/>
        </w:rPr>
        <w:t xml:space="preserve"> %</w:t>
      </w:r>
      <w:r w:rsidR="0043641D">
        <w:rPr>
          <w:rFonts w:cs="Arial"/>
          <w:szCs w:val="20"/>
        </w:rPr>
        <w:t xml:space="preserve"> až</w:t>
      </w:r>
      <w:r>
        <w:rPr>
          <w:rFonts w:cs="Arial"/>
          <w:szCs w:val="20"/>
        </w:rPr>
        <w:t xml:space="preserve"> 45,6 %</w:t>
      </w:r>
      <w:r w:rsidR="0043641D">
        <w:rPr>
          <w:rFonts w:cs="Arial"/>
          <w:szCs w:val="20"/>
        </w:rPr>
        <w:t>.</w:t>
      </w:r>
      <w:r w:rsidR="00C86793">
        <w:rPr>
          <w:rFonts w:cs="Arial"/>
          <w:szCs w:val="20"/>
        </w:rPr>
        <w:t xml:space="preserve"> Nejméně a to do 42,0 % </w:t>
      </w:r>
      <w:r w:rsidR="0043641D">
        <w:rPr>
          <w:rFonts w:cs="Arial"/>
          <w:szCs w:val="20"/>
        </w:rPr>
        <w:t xml:space="preserve">v letech 2008–2010 a nejvíce (45,6 %) v roce 2005. </w:t>
      </w:r>
    </w:p>
    <w:p w:rsidR="0081263C" w:rsidRDefault="0081263C" w:rsidP="008E754A">
      <w:pPr>
        <w:spacing w:after="0"/>
      </w:pPr>
    </w:p>
    <w:p w:rsidR="004857DE" w:rsidRDefault="004857DE" w:rsidP="00A018F8">
      <w:r>
        <w:t>Objem vnitřního stěhování cizinců se výrazně měnil</w:t>
      </w:r>
      <w:r w:rsidR="007C0AA1">
        <w:t xml:space="preserve"> (Graf 8</w:t>
      </w:r>
      <w:r w:rsidR="00815FEC">
        <w:t>)</w:t>
      </w:r>
      <w:r>
        <w:t>. V roce 2005 šlo o 17 933 případů stěhování, následoval výrazný nárůst až na 45 755 v</w:t>
      </w:r>
      <w:r w:rsidR="00A12E2A">
        <w:t> roce 2007. Na hodnotách přes 40</w:t>
      </w:r>
      <w:r>
        <w:t xml:space="preserve"> tisíc se objem držel ještě v letech 2008 a 2009. Poté došlo k výraznému poklesu a v posledních pěti letech se pohybuje okolo 19 tisíc.</w:t>
      </w:r>
      <w:r w:rsidR="00815FEC">
        <w:t xml:space="preserve"> Podíl stěhování cizinců na celkovém objemu stěhování měl podobný vývoj. Narostl z 8,4 % v roce 2005 na 17,8 % v roce 2009 a vzápětí došlo ke snížení podílu na hodnoty okolo 8,0 % v poslední pětiletce.</w:t>
      </w:r>
      <w:r w:rsidR="008C7D37">
        <w:t xml:space="preserve"> Za nárůstem celkového objemu vnitřního stěhování o 42 001 mezi roky 2005 a 2007 tedy mohou z 59,1 % cizinci, protože mezi nimi narostl objem </w:t>
      </w:r>
      <w:r w:rsidR="00C86793">
        <w:t xml:space="preserve">vnitřní migrace </w:t>
      </w:r>
      <w:r w:rsidR="008C7D37">
        <w:t xml:space="preserve">ve </w:t>
      </w:r>
      <w:r w:rsidR="00C86793">
        <w:t>stejném období o 24 822 případů.</w:t>
      </w:r>
    </w:p>
    <w:p w:rsidR="004857DE" w:rsidRDefault="004D0DF1" w:rsidP="004857DE">
      <w:pPr>
        <w:spacing w:after="60"/>
        <w:rPr>
          <w:rFonts w:cs="Arial"/>
          <w:b/>
          <w:szCs w:val="20"/>
        </w:rPr>
      </w:pPr>
      <w:r>
        <w:rPr>
          <w:rFonts w:cs="Arial"/>
          <w:b/>
          <w:szCs w:val="20"/>
        </w:rPr>
        <w:t>Graf 8</w:t>
      </w:r>
      <w:r w:rsidR="004857DE" w:rsidRPr="00091A5B">
        <w:rPr>
          <w:rFonts w:cs="Arial"/>
          <w:b/>
          <w:szCs w:val="20"/>
        </w:rPr>
        <w:t xml:space="preserve"> </w:t>
      </w:r>
      <w:r w:rsidR="004857DE">
        <w:rPr>
          <w:rFonts w:cs="Arial"/>
          <w:b/>
          <w:szCs w:val="20"/>
        </w:rPr>
        <w:t>Objem vnitřního stěhování cizinců v letech 2005–2017</w:t>
      </w:r>
    </w:p>
    <w:p w:rsidR="004857DE" w:rsidRDefault="004857DE" w:rsidP="004857DE">
      <w:pPr>
        <w:tabs>
          <w:tab w:val="left" w:pos="1740"/>
        </w:tabs>
      </w:pPr>
      <w:r w:rsidRPr="00183CA7">
        <w:rPr>
          <w:noProof/>
        </w:rPr>
        <w:drawing>
          <wp:anchor distT="0" distB="0" distL="114300" distR="114300" simplePos="0" relativeHeight="251697664" behindDoc="1" locked="0" layoutInCell="1" allowOverlap="1" wp14:anchorId="496DB50C" wp14:editId="10C776DD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5400675" cy="2886075"/>
            <wp:effectExtent l="0" t="0" r="9525" b="9525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63C" w:rsidRPr="008E754A" w:rsidRDefault="0081263C" w:rsidP="00FC75C9">
      <w:pPr>
        <w:spacing w:after="60"/>
        <w:rPr>
          <w:rFonts w:cs="Arial"/>
          <w:szCs w:val="20"/>
        </w:rPr>
      </w:pPr>
    </w:p>
    <w:p w:rsidR="0081263C" w:rsidRDefault="0081263C" w:rsidP="00FC75C9">
      <w:pPr>
        <w:spacing w:after="60"/>
        <w:rPr>
          <w:rFonts w:cs="Arial"/>
          <w:b/>
          <w:szCs w:val="20"/>
        </w:rPr>
      </w:pPr>
    </w:p>
    <w:p w:rsidR="0081263C" w:rsidRDefault="0081263C" w:rsidP="00FC75C9">
      <w:pPr>
        <w:spacing w:after="60"/>
        <w:rPr>
          <w:rFonts w:cs="Arial"/>
          <w:b/>
          <w:szCs w:val="20"/>
        </w:rPr>
      </w:pPr>
    </w:p>
    <w:p w:rsidR="00106D41" w:rsidRDefault="00106D41" w:rsidP="00FC75C9">
      <w:pPr>
        <w:spacing w:after="60"/>
        <w:rPr>
          <w:rFonts w:cs="Arial"/>
          <w:b/>
          <w:szCs w:val="20"/>
        </w:rPr>
      </w:pPr>
    </w:p>
    <w:p w:rsidR="00106D41" w:rsidRDefault="00106D41" w:rsidP="00FC75C9">
      <w:pPr>
        <w:spacing w:after="60"/>
        <w:rPr>
          <w:rFonts w:cs="Arial"/>
          <w:b/>
          <w:szCs w:val="20"/>
        </w:rPr>
      </w:pPr>
    </w:p>
    <w:p w:rsidR="004857DE" w:rsidRDefault="004857DE" w:rsidP="00FC75C9">
      <w:pPr>
        <w:spacing w:after="60"/>
        <w:rPr>
          <w:rFonts w:cs="Arial"/>
          <w:b/>
          <w:szCs w:val="20"/>
        </w:rPr>
      </w:pPr>
    </w:p>
    <w:p w:rsidR="004857DE" w:rsidRDefault="004857DE" w:rsidP="00FC75C9">
      <w:pPr>
        <w:spacing w:after="60"/>
        <w:rPr>
          <w:rFonts w:cs="Arial"/>
          <w:b/>
          <w:szCs w:val="20"/>
        </w:rPr>
      </w:pPr>
    </w:p>
    <w:p w:rsidR="004857DE" w:rsidRDefault="004857DE" w:rsidP="00FC75C9">
      <w:pPr>
        <w:spacing w:after="60"/>
        <w:rPr>
          <w:rFonts w:cs="Arial"/>
          <w:b/>
          <w:szCs w:val="20"/>
        </w:rPr>
      </w:pPr>
    </w:p>
    <w:p w:rsidR="004857DE" w:rsidRDefault="004857DE" w:rsidP="00FC75C9">
      <w:pPr>
        <w:spacing w:after="60"/>
        <w:rPr>
          <w:rFonts w:cs="Arial"/>
          <w:b/>
          <w:szCs w:val="20"/>
        </w:rPr>
      </w:pPr>
    </w:p>
    <w:p w:rsidR="004857DE" w:rsidRDefault="004857DE" w:rsidP="00FC75C9">
      <w:pPr>
        <w:spacing w:after="60"/>
        <w:rPr>
          <w:rFonts w:cs="Arial"/>
          <w:b/>
          <w:szCs w:val="20"/>
        </w:rPr>
      </w:pPr>
    </w:p>
    <w:p w:rsidR="004857DE" w:rsidRDefault="004857DE" w:rsidP="00FC75C9">
      <w:pPr>
        <w:spacing w:after="60"/>
        <w:rPr>
          <w:rFonts w:cs="Arial"/>
          <w:b/>
          <w:szCs w:val="20"/>
        </w:rPr>
      </w:pPr>
    </w:p>
    <w:p w:rsidR="004857DE" w:rsidRDefault="004857DE" w:rsidP="00FC75C9">
      <w:pPr>
        <w:spacing w:after="60"/>
        <w:rPr>
          <w:rFonts w:cs="Arial"/>
          <w:b/>
          <w:szCs w:val="20"/>
        </w:rPr>
      </w:pPr>
    </w:p>
    <w:p w:rsidR="004857DE" w:rsidRDefault="004857DE" w:rsidP="00FC75C9">
      <w:pPr>
        <w:spacing w:after="60"/>
        <w:rPr>
          <w:rFonts w:cs="Arial"/>
          <w:b/>
          <w:szCs w:val="20"/>
        </w:rPr>
      </w:pPr>
    </w:p>
    <w:p w:rsidR="00FC75C9" w:rsidRDefault="004D0DF1" w:rsidP="00FC75C9">
      <w:pPr>
        <w:spacing w:after="60"/>
        <w:rPr>
          <w:rFonts w:cs="Arial"/>
          <w:b/>
          <w:szCs w:val="20"/>
        </w:rPr>
      </w:pPr>
      <w:r>
        <w:rPr>
          <w:rFonts w:cs="Arial"/>
          <w:b/>
          <w:szCs w:val="20"/>
        </w:rPr>
        <w:t>Graf 9</w:t>
      </w:r>
      <w:r w:rsidR="00FC75C9" w:rsidRPr="00091A5B">
        <w:rPr>
          <w:rFonts w:cs="Arial"/>
          <w:b/>
          <w:szCs w:val="20"/>
        </w:rPr>
        <w:t xml:space="preserve"> </w:t>
      </w:r>
      <w:r w:rsidR="00FC75C9">
        <w:rPr>
          <w:rFonts w:cs="Arial"/>
          <w:b/>
          <w:szCs w:val="20"/>
        </w:rPr>
        <w:t>Objem vnitřní</w:t>
      </w:r>
      <w:r w:rsidR="00183CA7">
        <w:rPr>
          <w:rFonts w:cs="Arial"/>
          <w:b/>
          <w:szCs w:val="20"/>
        </w:rPr>
        <w:t>ho</w:t>
      </w:r>
      <w:r w:rsidR="00FC75C9">
        <w:rPr>
          <w:rFonts w:cs="Arial"/>
          <w:b/>
          <w:szCs w:val="20"/>
        </w:rPr>
        <w:t xml:space="preserve"> </w:t>
      </w:r>
      <w:r w:rsidR="00183CA7">
        <w:rPr>
          <w:rFonts w:cs="Arial"/>
          <w:b/>
          <w:szCs w:val="20"/>
        </w:rPr>
        <w:t xml:space="preserve">stěhování </w:t>
      </w:r>
      <w:r w:rsidR="00FC75C9">
        <w:rPr>
          <w:rFonts w:cs="Arial"/>
          <w:b/>
          <w:szCs w:val="20"/>
        </w:rPr>
        <w:t>občanů ČR a Ukrajiny v letech 2005–2017</w:t>
      </w:r>
    </w:p>
    <w:p w:rsidR="00FC75C9" w:rsidRDefault="00997355" w:rsidP="00FC75C9">
      <w:pPr>
        <w:spacing w:after="60"/>
        <w:rPr>
          <w:rFonts w:cs="Arial"/>
          <w:b/>
          <w:szCs w:val="20"/>
        </w:rPr>
      </w:pPr>
      <w:r w:rsidRPr="00997355">
        <w:rPr>
          <w:noProof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635</wp:posOffset>
            </wp:positionV>
            <wp:extent cx="5400675" cy="2886075"/>
            <wp:effectExtent l="0" t="0" r="9525" b="9525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5C9" w:rsidRDefault="00FC75C9" w:rsidP="00FC75C9">
      <w:pPr>
        <w:spacing w:after="60"/>
        <w:rPr>
          <w:rFonts w:cs="Arial"/>
          <w:b/>
          <w:szCs w:val="20"/>
        </w:rPr>
      </w:pPr>
    </w:p>
    <w:p w:rsidR="00FC75C9" w:rsidRDefault="00FC75C9" w:rsidP="002C4ACB">
      <w:pPr>
        <w:spacing w:after="60"/>
        <w:rPr>
          <w:rFonts w:cs="Arial"/>
          <w:b/>
          <w:szCs w:val="20"/>
        </w:rPr>
      </w:pPr>
    </w:p>
    <w:p w:rsidR="00FC75C9" w:rsidRDefault="00FC75C9" w:rsidP="002C4ACB">
      <w:pPr>
        <w:spacing w:after="60"/>
        <w:rPr>
          <w:rFonts w:cs="Arial"/>
          <w:b/>
          <w:szCs w:val="20"/>
        </w:rPr>
      </w:pPr>
    </w:p>
    <w:p w:rsidR="00FC75C9" w:rsidRDefault="00FC75C9" w:rsidP="002C4ACB">
      <w:pPr>
        <w:spacing w:after="60"/>
        <w:rPr>
          <w:rFonts w:cs="Arial"/>
          <w:b/>
          <w:szCs w:val="20"/>
        </w:rPr>
      </w:pPr>
    </w:p>
    <w:p w:rsidR="00FC75C9" w:rsidRDefault="00FC75C9" w:rsidP="002C4ACB">
      <w:pPr>
        <w:spacing w:after="60"/>
        <w:rPr>
          <w:rFonts w:cs="Arial"/>
          <w:b/>
          <w:szCs w:val="20"/>
        </w:rPr>
      </w:pPr>
    </w:p>
    <w:p w:rsidR="00FC75C9" w:rsidRDefault="00FC75C9" w:rsidP="002C4ACB">
      <w:pPr>
        <w:spacing w:after="60"/>
        <w:rPr>
          <w:rFonts w:cs="Arial"/>
          <w:b/>
          <w:szCs w:val="20"/>
        </w:rPr>
      </w:pPr>
    </w:p>
    <w:p w:rsidR="00FC75C9" w:rsidRDefault="00FC75C9" w:rsidP="002C4ACB">
      <w:pPr>
        <w:spacing w:after="60"/>
        <w:rPr>
          <w:rFonts w:cs="Arial"/>
          <w:b/>
          <w:szCs w:val="20"/>
        </w:rPr>
      </w:pPr>
    </w:p>
    <w:p w:rsidR="00FC75C9" w:rsidRDefault="00FC75C9" w:rsidP="002C4ACB">
      <w:pPr>
        <w:spacing w:after="60"/>
        <w:rPr>
          <w:rFonts w:cs="Arial"/>
          <w:b/>
          <w:szCs w:val="20"/>
        </w:rPr>
      </w:pPr>
    </w:p>
    <w:p w:rsidR="00FC75C9" w:rsidRDefault="00FC75C9" w:rsidP="002C4ACB">
      <w:pPr>
        <w:spacing w:after="60"/>
        <w:rPr>
          <w:rFonts w:cs="Arial"/>
          <w:b/>
          <w:szCs w:val="20"/>
        </w:rPr>
      </w:pPr>
    </w:p>
    <w:p w:rsidR="00FC75C9" w:rsidRDefault="00FC75C9" w:rsidP="002C4ACB">
      <w:pPr>
        <w:spacing w:after="60"/>
        <w:rPr>
          <w:rFonts w:cs="Arial"/>
          <w:b/>
          <w:szCs w:val="20"/>
        </w:rPr>
      </w:pPr>
    </w:p>
    <w:p w:rsidR="00FC75C9" w:rsidRDefault="00FC75C9" w:rsidP="002C4ACB">
      <w:pPr>
        <w:spacing w:after="60"/>
        <w:rPr>
          <w:rFonts w:cs="Arial"/>
          <w:b/>
          <w:szCs w:val="20"/>
        </w:rPr>
      </w:pPr>
    </w:p>
    <w:p w:rsidR="00FC75C9" w:rsidRDefault="00FC75C9" w:rsidP="002C4ACB">
      <w:pPr>
        <w:spacing w:after="60"/>
        <w:rPr>
          <w:rFonts w:cs="Arial"/>
          <w:b/>
          <w:szCs w:val="20"/>
        </w:rPr>
      </w:pPr>
    </w:p>
    <w:p w:rsidR="00FC75C9" w:rsidRDefault="00FC75C9" w:rsidP="002C4ACB">
      <w:pPr>
        <w:spacing w:after="60"/>
        <w:rPr>
          <w:rFonts w:cs="Arial"/>
          <w:b/>
          <w:szCs w:val="20"/>
        </w:rPr>
      </w:pPr>
    </w:p>
    <w:p w:rsidR="00FC75C9" w:rsidRPr="00BE71D0" w:rsidRDefault="00BE71D0" w:rsidP="00A018F8">
      <w:pPr>
        <w:spacing w:after="0"/>
        <w:rPr>
          <w:rFonts w:cs="Arial"/>
          <w:szCs w:val="20"/>
        </w:rPr>
      </w:pPr>
      <w:r w:rsidRPr="00BE71D0">
        <w:rPr>
          <w:rFonts w:cs="Arial"/>
          <w:szCs w:val="20"/>
        </w:rPr>
        <w:t>Z</w:t>
      </w:r>
      <w:r>
        <w:rPr>
          <w:rFonts w:cs="Arial"/>
          <w:szCs w:val="20"/>
        </w:rPr>
        <w:t xml:space="preserve"> jednotlivých státních příslušníků se na objemu vnitřní migrace cizinců nejvíce podíleli Ukrajinci (za celé </w:t>
      </w:r>
      <w:proofErr w:type="gramStart"/>
      <w:r>
        <w:rPr>
          <w:rFonts w:cs="Arial"/>
          <w:szCs w:val="20"/>
        </w:rPr>
        <w:t>období z 42,4</w:t>
      </w:r>
      <w:proofErr w:type="gramEnd"/>
      <w:r>
        <w:rPr>
          <w:rFonts w:cs="Arial"/>
          <w:szCs w:val="20"/>
        </w:rPr>
        <w:t xml:space="preserve"> %). </w:t>
      </w:r>
      <w:r w:rsidR="001F3D79">
        <w:rPr>
          <w:rFonts w:cs="Arial"/>
          <w:szCs w:val="20"/>
        </w:rPr>
        <w:t>Nejvíce případů stěhování Ukrajinců bylo v letech 200</w:t>
      </w:r>
      <w:r w:rsidR="007C0AA1">
        <w:rPr>
          <w:rFonts w:cs="Arial"/>
          <w:szCs w:val="20"/>
        </w:rPr>
        <w:t>7 a 2008 (okolo 23 tisíc; Graf 9</w:t>
      </w:r>
      <w:r w:rsidR="001F3D79">
        <w:rPr>
          <w:rFonts w:cs="Arial"/>
          <w:szCs w:val="20"/>
        </w:rPr>
        <w:t xml:space="preserve">). </w:t>
      </w:r>
      <w:r w:rsidR="006B587B">
        <w:rPr>
          <w:rFonts w:cs="Arial"/>
          <w:szCs w:val="20"/>
        </w:rPr>
        <w:t>V dalších letech pravděpodobně v souvislosti s ekonomickou krizí počty výrazně klesaly. V letech 2014–</w:t>
      </w:r>
      <w:r w:rsidR="006B587B">
        <w:rPr>
          <w:rFonts w:cs="Arial"/>
          <w:szCs w:val="20"/>
        </w:rPr>
        <w:lastRenderedPageBreak/>
        <w:t>2017 nepřekonaly ani hranici 5 tisíc, tedy výrazně nižší hodnotu než na začátku sledovaného období. Další početnou sub-populací s častými migračními pohyby uvnitř území státu byli Vietnamci (za celé období tvořili 21,3 % ze všech migračních pohybů cizinců; Přílohová tabulka 8) a Slováci (9,4 %).</w:t>
      </w:r>
      <w:r w:rsidR="00E915A3">
        <w:rPr>
          <w:rFonts w:cs="Arial"/>
          <w:szCs w:val="20"/>
        </w:rPr>
        <w:t xml:space="preserve"> </w:t>
      </w:r>
      <w:r w:rsidR="006B587B">
        <w:rPr>
          <w:rFonts w:cs="Arial"/>
          <w:szCs w:val="20"/>
        </w:rPr>
        <w:t xml:space="preserve">    </w:t>
      </w:r>
      <w:r>
        <w:rPr>
          <w:rFonts w:cs="Arial"/>
          <w:szCs w:val="20"/>
        </w:rPr>
        <w:t xml:space="preserve"> </w:t>
      </w:r>
    </w:p>
    <w:p w:rsidR="00240EDD" w:rsidRDefault="00240EDD" w:rsidP="00E915A3">
      <w:pPr>
        <w:spacing w:after="0"/>
        <w:rPr>
          <w:rFonts w:cs="Arial"/>
          <w:b/>
          <w:szCs w:val="20"/>
        </w:rPr>
      </w:pPr>
    </w:p>
    <w:p w:rsidR="00E915A3" w:rsidRPr="006B7663" w:rsidRDefault="006B7663" w:rsidP="002C4ACB">
      <w:pPr>
        <w:spacing w:after="60"/>
        <w:rPr>
          <w:rFonts w:cs="Arial"/>
          <w:szCs w:val="20"/>
        </w:rPr>
      </w:pPr>
      <w:r>
        <w:rPr>
          <w:rFonts w:cs="Arial"/>
          <w:szCs w:val="20"/>
        </w:rPr>
        <w:t>Počty pří</w:t>
      </w:r>
      <w:r w:rsidR="007C0AA1">
        <w:rPr>
          <w:rFonts w:cs="Arial"/>
          <w:szCs w:val="20"/>
        </w:rPr>
        <w:t>padů stěhování občanů ČR (Graf 9</w:t>
      </w:r>
      <w:r>
        <w:rPr>
          <w:rFonts w:cs="Arial"/>
          <w:szCs w:val="20"/>
        </w:rPr>
        <w:t>) sice kopírují trendy jako u všech obyvatel ČR s růstem mezi roky 2005 a 2007 a následným poklesem, minima ale bylo dosaženo už v roce 2009 a od té doby objem vnitřní migrace u občanů ČR každoročně rostl až do roku 2016. V posledním roce došlo k mírnému poklesu.</w:t>
      </w:r>
      <w:r w:rsidR="00EB37C9">
        <w:rPr>
          <w:rFonts w:cs="Arial"/>
          <w:szCs w:val="20"/>
        </w:rPr>
        <w:t xml:space="preserve"> Od roku 2012 je však objem vnitřní migrace vyšší než v roce 2007</w:t>
      </w:r>
      <w:r w:rsidR="00C47FFB">
        <w:rPr>
          <w:rFonts w:cs="Arial"/>
          <w:szCs w:val="20"/>
        </w:rPr>
        <w:t xml:space="preserve"> a maximální hodnota</w:t>
      </w:r>
      <w:r w:rsidR="00EB37C9">
        <w:rPr>
          <w:rFonts w:cs="Arial"/>
          <w:szCs w:val="20"/>
        </w:rPr>
        <w:t xml:space="preserve"> 231 651 </w:t>
      </w:r>
      <w:r w:rsidR="00C47FFB">
        <w:rPr>
          <w:rFonts w:cs="Arial"/>
          <w:szCs w:val="20"/>
        </w:rPr>
        <w:t>byla</w:t>
      </w:r>
      <w:r w:rsidR="00EB37C9">
        <w:rPr>
          <w:rFonts w:cs="Arial"/>
          <w:szCs w:val="20"/>
        </w:rPr>
        <w:t xml:space="preserve"> </w:t>
      </w:r>
      <w:r w:rsidR="00C47FFB">
        <w:rPr>
          <w:rFonts w:cs="Arial"/>
          <w:szCs w:val="20"/>
        </w:rPr>
        <w:t>evidována</w:t>
      </w:r>
      <w:r w:rsidR="00EB37C9">
        <w:rPr>
          <w:rFonts w:cs="Arial"/>
          <w:szCs w:val="20"/>
        </w:rPr>
        <w:t xml:space="preserve"> v roce </w:t>
      </w:r>
      <w:r w:rsidR="00C47FFB">
        <w:rPr>
          <w:rFonts w:cs="Arial"/>
          <w:szCs w:val="20"/>
        </w:rPr>
        <w:t xml:space="preserve">2016, zatímco u </w:t>
      </w:r>
      <w:r w:rsidR="00EE4EE1">
        <w:rPr>
          <w:rFonts w:cs="Arial"/>
          <w:szCs w:val="20"/>
        </w:rPr>
        <w:t>stěhování</w:t>
      </w:r>
      <w:r w:rsidR="00C47FFB">
        <w:rPr>
          <w:rFonts w:cs="Arial"/>
          <w:szCs w:val="20"/>
        </w:rPr>
        <w:t xml:space="preserve"> bez rozlišení občanství to bylo v roce 2007.</w:t>
      </w:r>
      <w:r w:rsidR="00EE4EE1">
        <w:rPr>
          <w:rFonts w:cs="Arial"/>
          <w:szCs w:val="20"/>
        </w:rPr>
        <w:t xml:space="preserve"> Současný nižší objem vnitřní migrace než v roce 2007 je tak způsoben menším počtem případů stěhování u cizinců. </w:t>
      </w:r>
      <w:r w:rsidR="00EB37C9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   </w:t>
      </w:r>
    </w:p>
    <w:p w:rsidR="00EE4EE1" w:rsidRPr="00EE4EE1" w:rsidRDefault="00EE4EE1" w:rsidP="00EE4EE1">
      <w:pPr>
        <w:spacing w:after="0"/>
        <w:rPr>
          <w:rFonts w:cs="Arial"/>
          <w:b/>
          <w:szCs w:val="20"/>
        </w:rPr>
      </w:pPr>
    </w:p>
    <w:p w:rsidR="008C52BF" w:rsidRDefault="008C52BF" w:rsidP="00240EDD">
      <w:pPr>
        <w:pStyle w:val="Nadpis1"/>
      </w:pPr>
    </w:p>
    <w:p w:rsidR="008C52BF" w:rsidRDefault="008C52BF" w:rsidP="00240EDD">
      <w:pPr>
        <w:pStyle w:val="Nadpis1"/>
      </w:pPr>
    </w:p>
    <w:p w:rsidR="008C52BF" w:rsidRDefault="008C52BF" w:rsidP="00240EDD">
      <w:pPr>
        <w:pStyle w:val="Nadpis1"/>
      </w:pPr>
    </w:p>
    <w:p w:rsidR="008C52BF" w:rsidRDefault="008C52BF" w:rsidP="00240EDD">
      <w:pPr>
        <w:pStyle w:val="Nadpis1"/>
      </w:pPr>
    </w:p>
    <w:p w:rsidR="008C52BF" w:rsidRDefault="008C52BF" w:rsidP="00240EDD">
      <w:pPr>
        <w:pStyle w:val="Nadpis1"/>
      </w:pPr>
    </w:p>
    <w:p w:rsidR="008C52BF" w:rsidRDefault="008C52BF" w:rsidP="00240EDD">
      <w:pPr>
        <w:pStyle w:val="Nadpis1"/>
      </w:pPr>
    </w:p>
    <w:p w:rsidR="008C52BF" w:rsidRDefault="008C52BF" w:rsidP="00240EDD">
      <w:pPr>
        <w:pStyle w:val="Nadpis1"/>
      </w:pPr>
    </w:p>
    <w:p w:rsidR="008C52BF" w:rsidRDefault="008C52BF" w:rsidP="00240EDD">
      <w:pPr>
        <w:pStyle w:val="Nadpis1"/>
      </w:pPr>
    </w:p>
    <w:p w:rsidR="008C52BF" w:rsidRDefault="008C52BF" w:rsidP="00240EDD">
      <w:pPr>
        <w:pStyle w:val="Nadpis1"/>
      </w:pPr>
    </w:p>
    <w:p w:rsidR="008C52BF" w:rsidRDefault="008C52BF" w:rsidP="00240EDD">
      <w:pPr>
        <w:pStyle w:val="Nadpis1"/>
      </w:pPr>
    </w:p>
    <w:p w:rsidR="008C52BF" w:rsidRDefault="008C52BF" w:rsidP="00240EDD">
      <w:pPr>
        <w:pStyle w:val="Nadpis1"/>
      </w:pPr>
    </w:p>
    <w:p w:rsidR="008C52BF" w:rsidRDefault="008C52BF" w:rsidP="00240EDD">
      <w:pPr>
        <w:pStyle w:val="Nadpis1"/>
      </w:pPr>
    </w:p>
    <w:p w:rsidR="008C52BF" w:rsidRDefault="008C52BF" w:rsidP="00240EDD">
      <w:pPr>
        <w:pStyle w:val="Nadpis1"/>
      </w:pPr>
    </w:p>
    <w:p w:rsidR="008C52BF" w:rsidRDefault="008C52BF" w:rsidP="00240EDD">
      <w:pPr>
        <w:pStyle w:val="Nadpis1"/>
      </w:pPr>
    </w:p>
    <w:p w:rsidR="008C52BF" w:rsidRDefault="008C52BF" w:rsidP="00240EDD">
      <w:pPr>
        <w:pStyle w:val="Nadpis1"/>
      </w:pPr>
    </w:p>
    <w:p w:rsidR="008C52BF" w:rsidRDefault="008C52BF" w:rsidP="00240EDD">
      <w:pPr>
        <w:pStyle w:val="Nadpis1"/>
      </w:pPr>
    </w:p>
    <w:p w:rsidR="008C52BF" w:rsidRDefault="008C52BF" w:rsidP="00240EDD">
      <w:pPr>
        <w:pStyle w:val="Nadpis1"/>
      </w:pPr>
    </w:p>
    <w:p w:rsidR="008C52BF" w:rsidRDefault="008C52BF" w:rsidP="00240EDD">
      <w:pPr>
        <w:pStyle w:val="Nadpis1"/>
      </w:pPr>
    </w:p>
    <w:p w:rsidR="008C52BF" w:rsidRDefault="008C52BF" w:rsidP="00240EDD">
      <w:pPr>
        <w:pStyle w:val="Nadpis1"/>
      </w:pPr>
    </w:p>
    <w:p w:rsidR="008C52BF" w:rsidRDefault="008C52BF" w:rsidP="00240EDD">
      <w:pPr>
        <w:pStyle w:val="Nadpis1"/>
      </w:pPr>
    </w:p>
    <w:p w:rsidR="008C52BF" w:rsidRDefault="008C52BF" w:rsidP="00240EDD">
      <w:pPr>
        <w:pStyle w:val="Nadpis1"/>
      </w:pPr>
    </w:p>
    <w:p w:rsidR="008C52BF" w:rsidRDefault="008C52BF" w:rsidP="00240EDD">
      <w:pPr>
        <w:pStyle w:val="Nadpis1"/>
      </w:pPr>
    </w:p>
    <w:p w:rsidR="008C52BF" w:rsidRDefault="008C52BF" w:rsidP="00240EDD">
      <w:pPr>
        <w:pStyle w:val="Nadpis1"/>
      </w:pPr>
    </w:p>
    <w:p w:rsidR="008C52BF" w:rsidRDefault="008C52BF" w:rsidP="00240EDD">
      <w:pPr>
        <w:pStyle w:val="Nadpis1"/>
      </w:pPr>
    </w:p>
    <w:p w:rsidR="008C52BF" w:rsidRDefault="008C52BF" w:rsidP="00240EDD">
      <w:pPr>
        <w:pStyle w:val="Nadpis1"/>
      </w:pPr>
    </w:p>
    <w:p w:rsidR="00240EDD" w:rsidRPr="006F5416" w:rsidRDefault="00240EDD" w:rsidP="00240EDD">
      <w:pPr>
        <w:pStyle w:val="Nadpis1"/>
      </w:pPr>
      <w:bookmarkStart w:id="4" w:name="_Toc531859774"/>
      <w:r>
        <w:lastRenderedPageBreak/>
        <w:t>3. Mezikrajské stěhování</w:t>
      </w:r>
      <w:bookmarkEnd w:id="4"/>
    </w:p>
    <w:p w:rsidR="006B7835" w:rsidRPr="006B7835" w:rsidRDefault="00326D8C" w:rsidP="00C93F25">
      <w:pPr>
        <w:rPr>
          <w:rFonts w:cs="Arial"/>
          <w:szCs w:val="20"/>
        </w:rPr>
      </w:pPr>
      <w:r>
        <w:rPr>
          <w:rFonts w:cs="Arial"/>
          <w:szCs w:val="20"/>
        </w:rPr>
        <w:t>Objem mezikrajského stěhování (migrant překračuje hranice kraje) se vyvíjel obdobně jako u objemu celkového stěhování. Mezi roky 2005 a 2007 došlo k </w:t>
      </w:r>
      <w:proofErr w:type="gramStart"/>
      <w:r>
        <w:rPr>
          <w:rFonts w:cs="Arial"/>
          <w:szCs w:val="20"/>
        </w:rPr>
        <w:t>nárůstu z 75 669</w:t>
      </w:r>
      <w:proofErr w:type="gramEnd"/>
      <w:r>
        <w:rPr>
          <w:rFonts w:cs="Arial"/>
          <w:szCs w:val="20"/>
        </w:rPr>
        <w:t xml:space="preserve"> na </w:t>
      </w:r>
      <w:r w:rsidR="007C0AA1">
        <w:rPr>
          <w:rFonts w:cs="Arial"/>
          <w:szCs w:val="20"/>
        </w:rPr>
        <w:t>98 403 případů stěhování (Graf 10</w:t>
      </w:r>
      <w:r>
        <w:rPr>
          <w:rFonts w:cs="Arial"/>
          <w:szCs w:val="20"/>
        </w:rPr>
        <w:t>). Po mírném poklesu v roce 2008 došlo k jeho akceleraci a minima bylo dosaženo v roce 2013 (81 448). Následovaly tři roky růstu na hodnotu 90 493 v roce 2016, které vystřídal drobný pokles na 89 090 případů stěhování v posledním sledovaném roce.</w:t>
      </w:r>
      <w:r w:rsidR="00A0280F">
        <w:rPr>
          <w:rFonts w:cs="Arial"/>
          <w:szCs w:val="20"/>
        </w:rPr>
        <w:t xml:space="preserve"> Podíl mužů na celokrajském stěhování byl zhruba o jeden procentní bod vyšší než u stěhování celkem a pohyboval se v rozmezí </w:t>
      </w:r>
      <w:proofErr w:type="gramStart"/>
      <w:r w:rsidR="00A0280F">
        <w:rPr>
          <w:rFonts w:cs="Arial"/>
          <w:szCs w:val="20"/>
        </w:rPr>
        <w:t>46,7 %–51,2</w:t>
      </w:r>
      <w:proofErr w:type="gramEnd"/>
      <w:r w:rsidR="00A0280F">
        <w:rPr>
          <w:rFonts w:cs="Arial"/>
          <w:szCs w:val="20"/>
        </w:rPr>
        <w:t xml:space="preserve"> %, přičemž vyšší hodnoty nad 50 % byly pozorovány v letech 2007 až 2010.</w:t>
      </w:r>
      <w:r w:rsidR="004209BC">
        <w:rPr>
          <w:rFonts w:cs="Arial"/>
          <w:szCs w:val="20"/>
        </w:rPr>
        <w:t xml:space="preserve"> Od roku 2011 se ovšem i u mezikrajské migrace stěhuje více žen než mužů. </w:t>
      </w:r>
      <w:r w:rsidR="00A0280F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   </w:t>
      </w:r>
    </w:p>
    <w:p w:rsidR="00D2125D" w:rsidRDefault="00D2125D" w:rsidP="00D2125D">
      <w:pPr>
        <w:spacing w:after="60"/>
        <w:rPr>
          <w:rFonts w:cs="Arial"/>
          <w:b/>
          <w:szCs w:val="20"/>
        </w:rPr>
      </w:pPr>
      <w:r>
        <w:rPr>
          <w:rFonts w:cs="Arial"/>
          <w:b/>
          <w:szCs w:val="20"/>
        </w:rPr>
        <w:t xml:space="preserve">Graf </w:t>
      </w:r>
      <w:r w:rsidR="003B6020">
        <w:rPr>
          <w:rFonts w:cs="Arial"/>
          <w:b/>
          <w:szCs w:val="20"/>
        </w:rPr>
        <w:t>10</w:t>
      </w:r>
      <w:r w:rsidRPr="00091A5B">
        <w:rPr>
          <w:rFonts w:cs="Arial"/>
          <w:b/>
          <w:szCs w:val="20"/>
        </w:rPr>
        <w:t xml:space="preserve"> </w:t>
      </w:r>
      <w:r>
        <w:rPr>
          <w:rFonts w:cs="Arial"/>
          <w:b/>
          <w:szCs w:val="20"/>
        </w:rPr>
        <w:t>Mezikrajské stěhování</w:t>
      </w:r>
      <w:r w:rsidRPr="00400443">
        <w:rPr>
          <w:rFonts w:cs="Arial"/>
          <w:b/>
          <w:szCs w:val="20"/>
        </w:rPr>
        <w:t xml:space="preserve"> a podíl mužů</w:t>
      </w:r>
      <w:r>
        <w:rPr>
          <w:rFonts w:cs="Arial"/>
          <w:b/>
          <w:szCs w:val="20"/>
        </w:rPr>
        <w:t xml:space="preserve"> (v %)</w:t>
      </w:r>
      <w:r w:rsidRPr="00400443">
        <w:rPr>
          <w:rFonts w:cs="Arial"/>
          <w:b/>
          <w:szCs w:val="20"/>
        </w:rPr>
        <w:t xml:space="preserve"> v letech 2005–2017</w:t>
      </w:r>
    </w:p>
    <w:p w:rsidR="00286992" w:rsidRDefault="006A09EC" w:rsidP="00240EDD">
      <w:pPr>
        <w:tabs>
          <w:tab w:val="left" w:pos="1650"/>
        </w:tabs>
      </w:pPr>
      <w:r w:rsidRPr="006A09EC">
        <w:rPr>
          <w:noProof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-1270</wp:posOffset>
            </wp:positionV>
            <wp:extent cx="5400675" cy="2886075"/>
            <wp:effectExtent l="0" t="0" r="9525" b="9525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992" w:rsidRPr="00286992" w:rsidRDefault="00286992" w:rsidP="00286992"/>
    <w:p w:rsidR="00286992" w:rsidRPr="00286992" w:rsidRDefault="00286992" w:rsidP="00286992"/>
    <w:p w:rsidR="00286992" w:rsidRPr="00286992" w:rsidRDefault="00286992" w:rsidP="00286992"/>
    <w:p w:rsidR="00286992" w:rsidRPr="00286992" w:rsidRDefault="00286992" w:rsidP="00286992"/>
    <w:p w:rsidR="00286992" w:rsidRPr="00286992" w:rsidRDefault="00286992" w:rsidP="00286992"/>
    <w:p w:rsidR="00286992" w:rsidRPr="00286992" w:rsidRDefault="00286992" w:rsidP="00286992"/>
    <w:p w:rsidR="00286992" w:rsidRPr="00286992" w:rsidRDefault="00286992" w:rsidP="00286992"/>
    <w:p w:rsidR="00286992" w:rsidRDefault="00286992" w:rsidP="00286992"/>
    <w:p w:rsidR="00F07248" w:rsidRDefault="00F07248" w:rsidP="00F07248">
      <w:pPr>
        <w:spacing w:after="0"/>
        <w:rPr>
          <w:rFonts w:cs="Arial"/>
          <w:b/>
          <w:szCs w:val="20"/>
        </w:rPr>
      </w:pPr>
    </w:p>
    <w:p w:rsidR="00286992" w:rsidRDefault="003E0A39" w:rsidP="00286992">
      <w:pPr>
        <w:spacing w:after="60"/>
        <w:rPr>
          <w:rFonts w:cs="Arial"/>
          <w:b/>
          <w:szCs w:val="20"/>
        </w:rPr>
      </w:pPr>
      <w:r>
        <w:rPr>
          <w:rFonts w:cs="Arial"/>
          <w:b/>
          <w:szCs w:val="20"/>
        </w:rPr>
        <w:t>Graf 11</w:t>
      </w:r>
      <w:r w:rsidR="00286992" w:rsidRPr="00091A5B">
        <w:rPr>
          <w:rFonts w:cs="Arial"/>
          <w:b/>
          <w:szCs w:val="20"/>
        </w:rPr>
        <w:t xml:space="preserve"> </w:t>
      </w:r>
      <w:r w:rsidR="00286992" w:rsidRPr="00286992">
        <w:rPr>
          <w:rFonts w:cs="Arial"/>
          <w:b/>
          <w:szCs w:val="20"/>
        </w:rPr>
        <w:t>Mezikrajské stěhování podle věkových skupin v letech 2005–2017 (v %)</w:t>
      </w:r>
    </w:p>
    <w:p w:rsidR="001D3DA3" w:rsidRDefault="0001432B" w:rsidP="00286992">
      <w:pPr>
        <w:spacing w:after="60"/>
      </w:pPr>
      <w:r w:rsidRPr="0001432B">
        <w:rPr>
          <w:noProof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3175</wp:posOffset>
            </wp:positionV>
            <wp:extent cx="5429250" cy="2886075"/>
            <wp:effectExtent l="0" t="0" r="0" b="9525"/>
            <wp:wrapNone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3DA3" w:rsidRPr="001D3DA3" w:rsidRDefault="001D3DA3" w:rsidP="001D3DA3"/>
    <w:p w:rsidR="001D3DA3" w:rsidRPr="001D3DA3" w:rsidRDefault="001D3DA3" w:rsidP="001D3DA3"/>
    <w:p w:rsidR="001D3DA3" w:rsidRPr="001D3DA3" w:rsidRDefault="001D3DA3" w:rsidP="001D3DA3"/>
    <w:p w:rsidR="001D3DA3" w:rsidRPr="001D3DA3" w:rsidRDefault="001D3DA3" w:rsidP="001D3DA3"/>
    <w:p w:rsidR="001D3DA3" w:rsidRPr="001D3DA3" w:rsidRDefault="001D3DA3" w:rsidP="001D3DA3"/>
    <w:p w:rsidR="001D3DA3" w:rsidRPr="001D3DA3" w:rsidRDefault="001D3DA3" w:rsidP="001D3DA3"/>
    <w:p w:rsidR="001D3DA3" w:rsidRPr="001D3DA3" w:rsidRDefault="001D3DA3" w:rsidP="001D3DA3"/>
    <w:p w:rsidR="001D3DA3" w:rsidRDefault="001D3DA3" w:rsidP="001D3DA3"/>
    <w:p w:rsidR="00F07248" w:rsidRDefault="00F07248" w:rsidP="00F07248">
      <w:pPr>
        <w:tabs>
          <w:tab w:val="left" w:pos="2040"/>
        </w:tabs>
        <w:spacing w:after="0"/>
      </w:pPr>
    </w:p>
    <w:p w:rsidR="00286992" w:rsidRDefault="005E6219" w:rsidP="001D3DA3">
      <w:pPr>
        <w:tabs>
          <w:tab w:val="left" w:pos="2040"/>
        </w:tabs>
      </w:pPr>
      <w:r>
        <w:t xml:space="preserve">Nejčastější věkovou skupinou, která se podílela na mezikrajském stěhování, byli 18–34letí, jejichž podíl ale </w:t>
      </w:r>
      <w:proofErr w:type="gramStart"/>
      <w:r>
        <w:t>poklesl z 47,5</w:t>
      </w:r>
      <w:proofErr w:type="gramEnd"/>
      <w:r>
        <w:t xml:space="preserve"> % v roce 2005 na 38,0 % o dvanáct let později. Děti do 17 let byli zastoupeni z 23,7 % v posledním sledovaném roce při nárůstu podílu z 18,7 % v roce 2005. Rostlo i zastoupení osob ve věku </w:t>
      </w:r>
      <w:r>
        <w:br/>
      </w:r>
      <w:r>
        <w:lastRenderedPageBreak/>
        <w:t xml:space="preserve">35–49 let z 18,1 % na začátku sledovaného období na 22,3 % v roce 2017. Starší věkové skupiny spíše stagnovaly v rozmezí </w:t>
      </w:r>
      <w:proofErr w:type="gramStart"/>
      <w:r>
        <w:t>9,3 %–10,1</w:t>
      </w:r>
      <w:proofErr w:type="gramEnd"/>
      <w:r>
        <w:t xml:space="preserve"> % u 50–64letých a 4,5 %–6,8 % v případě 65letých a starších. </w:t>
      </w:r>
      <w:r w:rsidR="003150F3">
        <w:t>Ve srovnání</w:t>
      </w:r>
      <w:r w:rsidR="000D5597">
        <w:t xml:space="preserve"> s celkovou vnitřní migrací byl</w:t>
      </w:r>
      <w:r w:rsidR="003150F3">
        <w:t xml:space="preserve"> u mezikrajského stěhování sledován nižší podíl dět</w:t>
      </w:r>
      <w:r w:rsidR="000D5597">
        <w:t>í</w:t>
      </w:r>
      <w:r w:rsidR="003150F3">
        <w:t xml:space="preserve"> a vyšší zastoupení osob ve věku 18</w:t>
      </w:r>
      <w:r w:rsidR="00467DBD">
        <w:t>–34 let, což vedlo k tomu, že průměrný věk stěhující se osoby byl u mezikrajského stěhování vyšší než u všech migrantů (ve sledovaném období o 0,5–1,0 roku) a pohyboval se v r</w:t>
      </w:r>
      <w:r w:rsidR="007C0AA1">
        <w:t>ozmezí 31,2 až 32,0 let (Graf 12</w:t>
      </w:r>
      <w:r w:rsidR="00467DBD">
        <w:t>).</w:t>
      </w:r>
      <w:r w:rsidR="00953C4E">
        <w:t xml:space="preserve"> Ženy měly opět tento průměrný věk vyšší než muži.</w:t>
      </w:r>
      <w:r w:rsidR="00467DBD">
        <w:t xml:space="preserve"> </w:t>
      </w:r>
      <w:r w:rsidR="003150F3">
        <w:t xml:space="preserve"> </w:t>
      </w:r>
      <w:r>
        <w:t xml:space="preserve"> </w:t>
      </w:r>
      <w:r w:rsidR="001D3DA3">
        <w:tab/>
      </w:r>
    </w:p>
    <w:p w:rsidR="001D3DA3" w:rsidRDefault="003E0A39" w:rsidP="001D3DA3">
      <w:pPr>
        <w:spacing w:after="60"/>
        <w:rPr>
          <w:rFonts w:cs="Arial"/>
          <w:b/>
          <w:szCs w:val="20"/>
        </w:rPr>
      </w:pPr>
      <w:r>
        <w:rPr>
          <w:rFonts w:cs="Arial"/>
          <w:b/>
          <w:szCs w:val="20"/>
        </w:rPr>
        <w:t>Graf 12</w:t>
      </w:r>
      <w:r w:rsidR="001D3DA3" w:rsidRPr="00091A5B">
        <w:rPr>
          <w:rFonts w:cs="Arial"/>
          <w:b/>
          <w:szCs w:val="20"/>
        </w:rPr>
        <w:t xml:space="preserve"> </w:t>
      </w:r>
      <w:r w:rsidR="001D3DA3" w:rsidRPr="001D3DA3">
        <w:rPr>
          <w:rFonts w:cs="Arial"/>
          <w:b/>
          <w:szCs w:val="20"/>
        </w:rPr>
        <w:t>Průměrný věk migrantů u mezikrajského stěhování podle pohlaví v letech 2005–2017</w:t>
      </w:r>
    </w:p>
    <w:p w:rsidR="001D3DA3" w:rsidRDefault="006B04CE" w:rsidP="001D3DA3">
      <w:pPr>
        <w:spacing w:after="60"/>
        <w:rPr>
          <w:rFonts w:cs="Arial"/>
          <w:b/>
          <w:szCs w:val="20"/>
        </w:rPr>
      </w:pPr>
      <w:r w:rsidRPr="006B04CE">
        <w:rPr>
          <w:noProof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5400675" cy="2886075"/>
            <wp:effectExtent l="0" t="0" r="9525" b="9525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958" w:rsidRDefault="00581958" w:rsidP="001D3DA3">
      <w:pPr>
        <w:tabs>
          <w:tab w:val="left" w:pos="2040"/>
        </w:tabs>
      </w:pPr>
    </w:p>
    <w:p w:rsidR="00581958" w:rsidRPr="00581958" w:rsidRDefault="00581958" w:rsidP="00581958"/>
    <w:p w:rsidR="00581958" w:rsidRPr="00581958" w:rsidRDefault="00581958" w:rsidP="00581958"/>
    <w:p w:rsidR="00581958" w:rsidRPr="00581958" w:rsidRDefault="00581958" w:rsidP="00581958"/>
    <w:p w:rsidR="00581958" w:rsidRPr="00581958" w:rsidRDefault="00581958" w:rsidP="00581958"/>
    <w:p w:rsidR="00581958" w:rsidRPr="00581958" w:rsidRDefault="00581958" w:rsidP="00581958"/>
    <w:p w:rsidR="00581958" w:rsidRPr="00581958" w:rsidRDefault="00581958" w:rsidP="00581958"/>
    <w:p w:rsidR="00581958" w:rsidRPr="00581958" w:rsidRDefault="00581958" w:rsidP="00581958"/>
    <w:p w:rsidR="00953C4E" w:rsidRDefault="00953C4E" w:rsidP="00581958">
      <w:pPr>
        <w:spacing w:after="60"/>
        <w:rPr>
          <w:rFonts w:cs="Arial"/>
          <w:b/>
          <w:szCs w:val="20"/>
        </w:rPr>
      </w:pPr>
    </w:p>
    <w:p w:rsidR="00581958" w:rsidRDefault="00501671" w:rsidP="00581958">
      <w:pPr>
        <w:spacing w:after="60"/>
        <w:rPr>
          <w:rFonts w:cs="Arial"/>
          <w:b/>
          <w:szCs w:val="20"/>
        </w:rPr>
      </w:pPr>
      <w:r>
        <w:rPr>
          <w:rFonts w:cs="Arial"/>
          <w:b/>
          <w:szCs w:val="20"/>
        </w:rPr>
        <w:t>Graf 13</w:t>
      </w:r>
      <w:r w:rsidR="00581958" w:rsidRPr="00091A5B">
        <w:rPr>
          <w:rFonts w:cs="Arial"/>
          <w:b/>
          <w:szCs w:val="20"/>
        </w:rPr>
        <w:t xml:space="preserve"> </w:t>
      </w:r>
      <w:r w:rsidR="00581958">
        <w:rPr>
          <w:rFonts w:cs="Arial"/>
          <w:b/>
          <w:szCs w:val="20"/>
        </w:rPr>
        <w:t>Mezikrajské stěhování cizinců v letech 2005–2017</w:t>
      </w:r>
    </w:p>
    <w:p w:rsidR="00581958" w:rsidRDefault="00BB5AAD" w:rsidP="00581958">
      <w:pPr>
        <w:spacing w:after="60"/>
        <w:rPr>
          <w:rFonts w:cs="Arial"/>
          <w:b/>
          <w:szCs w:val="20"/>
        </w:rPr>
      </w:pPr>
      <w:r w:rsidRPr="00BB5AAD">
        <w:rPr>
          <w:noProof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5400675" cy="2886075"/>
            <wp:effectExtent l="0" t="0" r="9525" b="9525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3DA3" w:rsidRDefault="001D3DA3" w:rsidP="00581958">
      <w:pPr>
        <w:tabs>
          <w:tab w:val="left" w:pos="1110"/>
        </w:tabs>
      </w:pPr>
    </w:p>
    <w:p w:rsidR="00C807F4" w:rsidRDefault="00C807F4" w:rsidP="00581958">
      <w:pPr>
        <w:tabs>
          <w:tab w:val="left" w:pos="1110"/>
        </w:tabs>
      </w:pPr>
    </w:p>
    <w:p w:rsidR="00C807F4" w:rsidRDefault="00C807F4" w:rsidP="00581958">
      <w:pPr>
        <w:tabs>
          <w:tab w:val="left" w:pos="1110"/>
        </w:tabs>
      </w:pPr>
    </w:p>
    <w:p w:rsidR="00C807F4" w:rsidRDefault="00C807F4" w:rsidP="00581958">
      <w:pPr>
        <w:tabs>
          <w:tab w:val="left" w:pos="1110"/>
        </w:tabs>
      </w:pPr>
    </w:p>
    <w:p w:rsidR="00C807F4" w:rsidRDefault="00C807F4" w:rsidP="00581958">
      <w:pPr>
        <w:tabs>
          <w:tab w:val="left" w:pos="1110"/>
        </w:tabs>
      </w:pPr>
    </w:p>
    <w:p w:rsidR="00C807F4" w:rsidRDefault="00C807F4" w:rsidP="00581958">
      <w:pPr>
        <w:tabs>
          <w:tab w:val="left" w:pos="1110"/>
        </w:tabs>
      </w:pPr>
    </w:p>
    <w:p w:rsidR="00C807F4" w:rsidRDefault="00C807F4" w:rsidP="00581958">
      <w:pPr>
        <w:tabs>
          <w:tab w:val="left" w:pos="1110"/>
        </w:tabs>
      </w:pPr>
    </w:p>
    <w:p w:rsidR="00C807F4" w:rsidRDefault="00C807F4" w:rsidP="00581958">
      <w:pPr>
        <w:tabs>
          <w:tab w:val="left" w:pos="1110"/>
        </w:tabs>
      </w:pPr>
    </w:p>
    <w:p w:rsidR="00C807F4" w:rsidRDefault="00C807F4" w:rsidP="008A13EC">
      <w:pPr>
        <w:tabs>
          <w:tab w:val="left" w:pos="1110"/>
        </w:tabs>
        <w:spacing w:after="0"/>
      </w:pPr>
    </w:p>
    <w:p w:rsidR="008A13EC" w:rsidRDefault="00410F63" w:rsidP="00581958">
      <w:pPr>
        <w:tabs>
          <w:tab w:val="left" w:pos="1110"/>
        </w:tabs>
      </w:pPr>
      <w:r>
        <w:t>Cizinci se na mezikrajském stěhování podílel</w:t>
      </w:r>
      <w:r w:rsidR="000D5597">
        <w:t>i</w:t>
      </w:r>
      <w:r>
        <w:t xml:space="preserve"> více než na celkovém objemu vnitřního stěhování. Mezi roky 2005 a 2007 se </w:t>
      </w:r>
      <w:r w:rsidR="006433C0">
        <w:t xml:space="preserve">jejich podíl </w:t>
      </w:r>
      <w:r>
        <w:t xml:space="preserve">zvýšil z 15,0 % na 28,6 %, další dva roky se pohyboval na podobné úrovni a poté poklesl </w:t>
      </w:r>
      <w:r w:rsidR="006433C0">
        <w:t xml:space="preserve">až </w:t>
      </w:r>
      <w:r>
        <w:t>na 12,3 % v roce 2017</w:t>
      </w:r>
      <w:r w:rsidR="007C0AA1">
        <w:t xml:space="preserve"> (Graf 13</w:t>
      </w:r>
      <w:r w:rsidR="000D73F0">
        <w:t>)</w:t>
      </w:r>
      <w:r>
        <w:t>.</w:t>
      </w:r>
      <w:r w:rsidR="006433C0">
        <w:t xml:space="preserve"> </w:t>
      </w:r>
      <w:r w:rsidR="000D73F0">
        <w:t xml:space="preserve">Počet případů mezikrajského stěhování cizinců měl stejné trendy – z 11 356 v roce 2005 na 28 114 v roce 2007, následovaly dva roky stagnace a pokles na hodnoty okolo 11 tisíc v posledních pěti letech. </w:t>
      </w:r>
      <w:r>
        <w:t xml:space="preserve"> </w:t>
      </w:r>
    </w:p>
    <w:p w:rsidR="00C807F4" w:rsidRDefault="00C807F4" w:rsidP="00581958">
      <w:pPr>
        <w:tabs>
          <w:tab w:val="left" w:pos="1110"/>
        </w:tabs>
      </w:pPr>
    </w:p>
    <w:p w:rsidR="00C807F4" w:rsidRDefault="00007A03" w:rsidP="00B17F98">
      <w:pPr>
        <w:tabs>
          <w:tab w:val="left" w:pos="1110"/>
        </w:tabs>
        <w:spacing w:after="0"/>
      </w:pPr>
      <w:r>
        <w:lastRenderedPageBreak/>
        <w:t>Za celé období 2005–2017 se nejvíce obyvatel ČR přistěhovalo do Středočeského kraje (301 904; Gr</w:t>
      </w:r>
      <w:r w:rsidR="007C0AA1">
        <w:t>af 14</w:t>
      </w:r>
      <w:r w:rsidR="003658E1">
        <w:t>) a </w:t>
      </w:r>
      <w:r>
        <w:t>do Hlavního města Prahy (262 757).</w:t>
      </w:r>
      <w:r w:rsidR="00B17F98">
        <w:t xml:space="preserve"> Tyto dva kraje se na celkovém počtu přistěhovalých podílely téměř z poloviny.</w:t>
      </w:r>
      <w:r>
        <w:t xml:space="preserve"> </w:t>
      </w:r>
      <w:r w:rsidR="001A3896">
        <w:t>S velkým odstupem následovaly kraje Jihomoravský (80 024 osob) a Ústecký (68 474).</w:t>
      </w:r>
      <w:r w:rsidR="00FD5632">
        <w:t xml:space="preserve"> Naopak nejméně obyvatel se přestěhovalo do Karlovarského (23 303 osob) a Zlínského (34 361 osob) kraje.</w:t>
      </w:r>
      <w:r w:rsidR="00B17F98">
        <w:t xml:space="preserve"> Do Středočeského kraje se přistěhovalo nejvíce obyvatel v každém roce ze sledovaného období s výjimkou roku 2016, kdy si prohodil pozice s Prahou.</w:t>
      </w:r>
      <w:r w:rsidR="00051BE1">
        <w:t xml:space="preserve"> Obdobně Karlovarský kraj měl stabilně nejmenší počet přistěhovalých osob. </w:t>
      </w:r>
      <w:r w:rsidR="001A3896">
        <w:t xml:space="preserve"> </w:t>
      </w:r>
      <w:r>
        <w:t xml:space="preserve"> </w:t>
      </w:r>
    </w:p>
    <w:p w:rsidR="00B17F98" w:rsidRDefault="00B17F98" w:rsidP="00B17F98">
      <w:pPr>
        <w:spacing w:after="0"/>
        <w:rPr>
          <w:rFonts w:cs="Arial"/>
          <w:b/>
          <w:szCs w:val="20"/>
        </w:rPr>
      </w:pPr>
    </w:p>
    <w:p w:rsidR="00C807F4" w:rsidRDefault="00B175A0" w:rsidP="00581958">
      <w:pPr>
        <w:tabs>
          <w:tab w:val="left" w:pos="1110"/>
        </w:tabs>
      </w:pPr>
      <w:r>
        <w:t>U vystěhovalých dominovalo jednoznačně Hlavní město Praha s 281 886 vystěhovalými ve zkoumaném období, následoval Středočeský kraj s 171 632 osobami, kt</w:t>
      </w:r>
      <w:r w:rsidR="007C0AA1">
        <w:t>eré tento kraj opustili (Graf 14</w:t>
      </w:r>
      <w:r>
        <w:t>). Koncentrace vystěhovalých v těchto dvou krajích nebyla tak výrazná jako u přistěhovalých (40,0 %). Další kraje s vysokým počtem vystěhovalých byly ještě Ústecký (88 337</w:t>
      </w:r>
      <w:r w:rsidR="003658E1">
        <w:t xml:space="preserve"> osob), Jihomoravský (81 413) a </w:t>
      </w:r>
      <w:proofErr w:type="spellStart"/>
      <w:r>
        <w:t>Moravskoslezký</w:t>
      </w:r>
      <w:proofErr w:type="spellEnd"/>
      <w:r>
        <w:t xml:space="preserve"> (79 620). Nejméně obyvatel se vystěhovalo z Karlovarského (40 590 osob), Plzeňského (41 131) a Zlínského (42 668) kraje.</w:t>
      </w:r>
      <w:r w:rsidR="00051BE1">
        <w:t xml:space="preserve"> V celém období 2005–2017 se každoročně nejvíce obyvatel vystěhovalo z Prahy, kterou následoval Středočeský kraj. Na opačném pólu se střídaly kraje Karlovarský, Plzeňský a Zlínský. </w:t>
      </w:r>
      <w:r>
        <w:t xml:space="preserve">    </w:t>
      </w:r>
    </w:p>
    <w:p w:rsidR="00C807F4" w:rsidRDefault="00501671" w:rsidP="00C807F4">
      <w:pPr>
        <w:spacing w:after="60"/>
        <w:rPr>
          <w:rFonts w:cs="Arial"/>
          <w:b/>
          <w:szCs w:val="20"/>
        </w:rPr>
      </w:pPr>
      <w:r>
        <w:rPr>
          <w:rFonts w:cs="Arial"/>
          <w:b/>
          <w:szCs w:val="20"/>
        </w:rPr>
        <w:t>Graf 14</w:t>
      </w:r>
      <w:r w:rsidR="00C807F4" w:rsidRPr="00091A5B">
        <w:rPr>
          <w:rFonts w:cs="Arial"/>
          <w:b/>
          <w:szCs w:val="20"/>
        </w:rPr>
        <w:t xml:space="preserve"> </w:t>
      </w:r>
      <w:r w:rsidR="00C807F4" w:rsidRPr="00C807F4">
        <w:rPr>
          <w:rFonts w:cs="Arial"/>
          <w:b/>
          <w:szCs w:val="20"/>
        </w:rPr>
        <w:t xml:space="preserve">Přistěhovalí a vystěhovalí </w:t>
      </w:r>
      <w:r w:rsidR="00F71A56">
        <w:rPr>
          <w:rFonts w:cs="Arial"/>
          <w:b/>
          <w:szCs w:val="20"/>
        </w:rPr>
        <w:t>podle krajů</w:t>
      </w:r>
      <w:r w:rsidR="00C807F4" w:rsidRPr="00C807F4">
        <w:rPr>
          <w:rFonts w:cs="Arial"/>
          <w:b/>
          <w:szCs w:val="20"/>
        </w:rPr>
        <w:t xml:space="preserve"> za období 2005–2017</w:t>
      </w:r>
    </w:p>
    <w:p w:rsidR="00C807F4" w:rsidRDefault="00C807F4" w:rsidP="00C807F4">
      <w:pPr>
        <w:spacing w:after="60"/>
        <w:rPr>
          <w:rFonts w:cs="Arial"/>
          <w:b/>
          <w:szCs w:val="20"/>
        </w:rPr>
      </w:pPr>
      <w:r w:rsidRPr="00C807F4">
        <w:rPr>
          <w:noProof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5400675" cy="2886075"/>
            <wp:effectExtent l="0" t="0" r="9525" b="9525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7F4" w:rsidRDefault="00C807F4" w:rsidP="00581958">
      <w:pPr>
        <w:tabs>
          <w:tab w:val="left" w:pos="1110"/>
        </w:tabs>
      </w:pPr>
    </w:p>
    <w:p w:rsidR="00C807F4" w:rsidRDefault="00C807F4" w:rsidP="00581958">
      <w:pPr>
        <w:tabs>
          <w:tab w:val="left" w:pos="1110"/>
        </w:tabs>
      </w:pPr>
    </w:p>
    <w:p w:rsidR="00C807F4" w:rsidRDefault="00C807F4" w:rsidP="00581958">
      <w:pPr>
        <w:tabs>
          <w:tab w:val="left" w:pos="1110"/>
        </w:tabs>
      </w:pPr>
    </w:p>
    <w:p w:rsidR="00C807F4" w:rsidRDefault="00C807F4" w:rsidP="00581958">
      <w:pPr>
        <w:tabs>
          <w:tab w:val="left" w:pos="1110"/>
        </w:tabs>
      </w:pPr>
    </w:p>
    <w:p w:rsidR="00C807F4" w:rsidRDefault="00C807F4" w:rsidP="00581958">
      <w:pPr>
        <w:tabs>
          <w:tab w:val="left" w:pos="1110"/>
        </w:tabs>
      </w:pPr>
    </w:p>
    <w:p w:rsidR="00C807F4" w:rsidRDefault="00C807F4" w:rsidP="00581958">
      <w:pPr>
        <w:tabs>
          <w:tab w:val="left" w:pos="1110"/>
        </w:tabs>
      </w:pPr>
    </w:p>
    <w:p w:rsidR="00C807F4" w:rsidRDefault="00C807F4" w:rsidP="00581958">
      <w:pPr>
        <w:tabs>
          <w:tab w:val="left" w:pos="1110"/>
        </w:tabs>
      </w:pPr>
    </w:p>
    <w:p w:rsidR="00C807F4" w:rsidRDefault="00C807F4" w:rsidP="00581958">
      <w:pPr>
        <w:tabs>
          <w:tab w:val="left" w:pos="1110"/>
        </w:tabs>
      </w:pPr>
    </w:p>
    <w:p w:rsidR="00C807F4" w:rsidRDefault="00C807F4" w:rsidP="00051BE1">
      <w:pPr>
        <w:tabs>
          <w:tab w:val="left" w:pos="1110"/>
        </w:tabs>
        <w:spacing w:after="0"/>
      </w:pPr>
    </w:p>
    <w:p w:rsidR="009A5B97" w:rsidRDefault="00912AD6" w:rsidP="009A5B97">
      <w:pPr>
        <w:tabs>
          <w:tab w:val="left" w:pos="1110"/>
        </w:tabs>
        <w:spacing w:after="0"/>
      </w:pPr>
      <w:r>
        <w:t>Saldo mezikrajské</w:t>
      </w:r>
      <w:r w:rsidR="006F301A">
        <w:t>ho</w:t>
      </w:r>
      <w:r>
        <w:t xml:space="preserve"> </w:t>
      </w:r>
      <w:r w:rsidR="006F301A">
        <w:t>stěhování</w:t>
      </w:r>
      <w:r>
        <w:t xml:space="preserve"> </w:t>
      </w:r>
      <w:r w:rsidR="000D5597">
        <w:t>bylo za celé období 2005 až 2017</w:t>
      </w:r>
      <w:r>
        <w:t xml:space="preserve"> nejvyšší ve Středočeském kraji (130 272 osob</w:t>
      </w:r>
      <w:r w:rsidR="007C0AA1">
        <w:t>; Graf 15</w:t>
      </w:r>
      <w:r>
        <w:t>). Z dalších krajů přibylo obyvatel vnitřní migrací již jen v Plzeňském (</w:t>
      </w:r>
      <w:r w:rsidR="003658E1">
        <w:t>8 672 osob) a </w:t>
      </w:r>
      <w:r>
        <w:t>Jihočeském kraji (1 471).</w:t>
      </w:r>
      <w:r w:rsidR="00B54C6A">
        <w:t xml:space="preserve"> Výrazně ztrátový byl Moravskoslezský kraj (-39 090 osob), který byl následovaný Ústeckým </w:t>
      </w:r>
      <w:r w:rsidR="00E11D1F">
        <w:t>krajem (-</w:t>
      </w:r>
      <w:r w:rsidR="00B54C6A">
        <w:t>19 863)</w:t>
      </w:r>
      <w:r w:rsidR="00E11D1F">
        <w:t>, Hlavním městem Prahou (-19 129)</w:t>
      </w:r>
      <w:r w:rsidR="00B54C6A">
        <w:t xml:space="preserve"> a Karlovarským krajem (-17 287).</w:t>
      </w:r>
      <w:r w:rsidR="006F301A">
        <w:t xml:space="preserve"> Středočeský kraj byl populačně nejziskovější vnitřním stěhováním každoročně</w:t>
      </w:r>
      <w:r w:rsidR="00462D3F">
        <w:t xml:space="preserve"> (s maximem v roce 2008 – 15 012 osob; Přílohová tabulka 14)</w:t>
      </w:r>
      <w:r w:rsidR="006F301A">
        <w:t>, naopak Moravskoslezský byl nejztrátovější s výjimkou let 2008 a 2010, kdy šlo o Prahu. Zajímavý byl vývoj u Jihomoravského kraje, který byl za celé období migračně</w:t>
      </w:r>
      <w:r w:rsidR="003658E1">
        <w:t xml:space="preserve"> ztrátový </w:t>
      </w:r>
      <w:r w:rsidR="003658E1">
        <w:br/>
        <w:t>(-</w:t>
      </w:r>
      <w:r w:rsidR="006F301A">
        <w:t xml:space="preserve">1 389 osob), což bylo způsobeno záporným saldem v letech 2005 až 2008. Od roku 2009 měl tento kraj kladné saldo vnitřní migrace. </w:t>
      </w:r>
      <w:r w:rsidR="00E2652C">
        <w:t xml:space="preserve"> </w:t>
      </w:r>
    </w:p>
    <w:p w:rsidR="009A5B97" w:rsidRPr="009A5B97" w:rsidRDefault="009A5B97" w:rsidP="009A5B97">
      <w:pPr>
        <w:spacing w:after="0"/>
        <w:rPr>
          <w:rFonts w:cs="Arial"/>
          <w:szCs w:val="20"/>
        </w:rPr>
      </w:pPr>
    </w:p>
    <w:p w:rsidR="00051BE1" w:rsidRDefault="009A5B97" w:rsidP="00581958">
      <w:pPr>
        <w:tabs>
          <w:tab w:val="left" w:pos="1110"/>
        </w:tabs>
      </w:pPr>
      <w:r>
        <w:t>Vzhledem k tomu, že velikost salda je značně ovlivněna populační velikostí daného kraje, tak bylo vypočítáno relativní saldo na 1 000 obyvatel středního stavu</w:t>
      </w:r>
      <w:r w:rsidR="007C0AA1">
        <w:t xml:space="preserve"> (Graf 15</w:t>
      </w:r>
      <w:r w:rsidR="00462D3F">
        <w:t>)</w:t>
      </w:r>
      <w:r>
        <w:t>.</w:t>
      </w:r>
      <w:r w:rsidR="00A02710">
        <w:t xml:space="preserve"> Krajem s nejvyšším relativním saldem za celé období zůstává Středočeský kraj (8,0 </w:t>
      </w:r>
      <w:r w:rsidR="00A02710">
        <w:rPr>
          <w:rFonts w:cs="Arial"/>
        </w:rPr>
        <w:t>‰</w:t>
      </w:r>
      <w:r w:rsidR="00A02710">
        <w:t xml:space="preserve">), zatímco nejnižší úrovně dosáhl Karlovarský kraj (-4,4 </w:t>
      </w:r>
      <w:r w:rsidR="003658E1">
        <w:rPr>
          <w:rFonts w:cs="Arial"/>
        </w:rPr>
        <w:t>‰) a </w:t>
      </w:r>
      <w:r w:rsidR="00A02710">
        <w:rPr>
          <w:rFonts w:cs="Arial"/>
        </w:rPr>
        <w:t xml:space="preserve">Moravskoslezský byl až druhý (-2,4 ‰) následovaný Ústeckým krajem (-1,8 ‰). </w:t>
      </w:r>
      <w:r w:rsidR="00044538">
        <w:rPr>
          <w:rFonts w:cs="Arial"/>
        </w:rPr>
        <w:t>Hlavní město Praha bylo až šesté nejztrátovější</w:t>
      </w:r>
      <w:r w:rsidR="00B46EC3">
        <w:rPr>
          <w:rFonts w:cs="Arial"/>
        </w:rPr>
        <w:t xml:space="preserve"> (-1,2 ‰)</w:t>
      </w:r>
      <w:r w:rsidR="00044538">
        <w:rPr>
          <w:rFonts w:cs="Arial"/>
        </w:rPr>
        <w:t>.</w:t>
      </w:r>
      <w:r w:rsidR="00462D3F">
        <w:rPr>
          <w:rFonts w:cs="Arial"/>
        </w:rPr>
        <w:t xml:space="preserve"> Středočeský kraj byl nejziskovějším mezi kraji každoročně, stejně jako Karlovarský kraj nejztrátovější (Přílohová tabulka 15).</w:t>
      </w:r>
      <w:r w:rsidR="00044538">
        <w:rPr>
          <w:rFonts w:cs="Arial"/>
        </w:rPr>
        <w:t xml:space="preserve"> </w:t>
      </w:r>
      <w:r w:rsidR="00A02710">
        <w:rPr>
          <w:rFonts w:cs="Arial"/>
        </w:rPr>
        <w:t xml:space="preserve">  </w:t>
      </w:r>
      <w:r w:rsidR="00A02710">
        <w:t xml:space="preserve"> </w:t>
      </w:r>
      <w:r>
        <w:t xml:space="preserve">  </w:t>
      </w:r>
      <w:r w:rsidR="00E2652C">
        <w:t xml:space="preserve">  </w:t>
      </w:r>
      <w:r w:rsidR="00B54C6A">
        <w:t xml:space="preserve">  </w:t>
      </w:r>
      <w:r w:rsidR="00912AD6">
        <w:t xml:space="preserve">  </w:t>
      </w:r>
    </w:p>
    <w:p w:rsidR="008F7E24" w:rsidRDefault="00501671" w:rsidP="008F7E24">
      <w:pPr>
        <w:spacing w:after="60"/>
        <w:rPr>
          <w:rFonts w:cs="Arial"/>
          <w:b/>
          <w:szCs w:val="20"/>
        </w:rPr>
      </w:pPr>
      <w:r>
        <w:rPr>
          <w:rFonts w:cs="Arial"/>
          <w:b/>
          <w:szCs w:val="20"/>
        </w:rPr>
        <w:lastRenderedPageBreak/>
        <w:t>Graf 15</w:t>
      </w:r>
      <w:r w:rsidR="008F7E24" w:rsidRPr="00091A5B">
        <w:rPr>
          <w:rFonts w:cs="Arial"/>
          <w:b/>
          <w:szCs w:val="20"/>
        </w:rPr>
        <w:t xml:space="preserve"> </w:t>
      </w:r>
      <w:r w:rsidR="008F7E24" w:rsidRPr="008F7E24">
        <w:rPr>
          <w:rFonts w:cs="Arial"/>
          <w:b/>
          <w:szCs w:val="20"/>
        </w:rPr>
        <w:t>Saldo stěhování</w:t>
      </w:r>
      <w:r w:rsidR="00F71A56">
        <w:rPr>
          <w:rFonts w:cs="Arial"/>
          <w:b/>
          <w:szCs w:val="20"/>
        </w:rPr>
        <w:t xml:space="preserve"> podle krajů</w:t>
      </w:r>
      <w:r w:rsidR="008F7E24" w:rsidRPr="008F7E24">
        <w:rPr>
          <w:rFonts w:cs="Arial"/>
          <w:b/>
          <w:szCs w:val="20"/>
        </w:rPr>
        <w:t xml:space="preserve"> za období 2005–2017</w:t>
      </w:r>
    </w:p>
    <w:p w:rsidR="00C807F4" w:rsidRDefault="00036F27" w:rsidP="00581958">
      <w:pPr>
        <w:tabs>
          <w:tab w:val="left" w:pos="1110"/>
        </w:tabs>
      </w:pPr>
      <w:r w:rsidRPr="00036F27">
        <w:rPr>
          <w:noProof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5400675" cy="3248025"/>
            <wp:effectExtent l="0" t="0" r="9525" b="9525"/>
            <wp:wrapNone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FCA" w:rsidRDefault="00233FCA" w:rsidP="00581958">
      <w:pPr>
        <w:tabs>
          <w:tab w:val="left" w:pos="1110"/>
        </w:tabs>
      </w:pPr>
    </w:p>
    <w:p w:rsidR="00233FCA" w:rsidRPr="00233FCA" w:rsidRDefault="00233FCA" w:rsidP="00233FCA"/>
    <w:p w:rsidR="00233FCA" w:rsidRPr="00233FCA" w:rsidRDefault="00233FCA" w:rsidP="00233FCA"/>
    <w:p w:rsidR="00233FCA" w:rsidRPr="00233FCA" w:rsidRDefault="00233FCA" w:rsidP="00233FCA"/>
    <w:p w:rsidR="00233FCA" w:rsidRPr="00233FCA" w:rsidRDefault="00233FCA" w:rsidP="00233FCA"/>
    <w:p w:rsidR="00233FCA" w:rsidRPr="00233FCA" w:rsidRDefault="00233FCA" w:rsidP="00233FCA"/>
    <w:p w:rsidR="00233FCA" w:rsidRPr="00233FCA" w:rsidRDefault="00233FCA" w:rsidP="00233FCA"/>
    <w:p w:rsidR="00233FCA" w:rsidRPr="00233FCA" w:rsidRDefault="00233FCA" w:rsidP="00233FCA"/>
    <w:p w:rsidR="00233FCA" w:rsidRDefault="00233FCA" w:rsidP="00233FCA"/>
    <w:p w:rsidR="00EC31E7" w:rsidRDefault="00EC31E7" w:rsidP="00462D3F">
      <w:pPr>
        <w:spacing w:after="0"/>
      </w:pPr>
    </w:p>
    <w:p w:rsidR="00AF3DA5" w:rsidRDefault="00B17E52" w:rsidP="00AF3DA5">
      <w:pPr>
        <w:spacing w:after="0"/>
      </w:pPr>
      <w:r>
        <w:t xml:space="preserve">Nejsilnějším proudem mezikrajského stěhování v souhrnu za celé období 2005 až 2017 byla migrace mezi Hlavním městem Prahou a Středočeským krajem s obratem 286 970 osob (téměř 13 % z celkového obratu </w:t>
      </w:r>
      <w:r w:rsidR="00CD3E9D">
        <w:t xml:space="preserve">mezikrajské </w:t>
      </w:r>
      <w:r>
        <w:t>vnitřní migrace</w:t>
      </w:r>
      <w:r w:rsidR="00216E1A">
        <w:t>; Přílohová tabulka 17</w:t>
      </w:r>
      <w:r>
        <w:t xml:space="preserve">). </w:t>
      </w:r>
      <w:r w:rsidR="00B938AC">
        <w:t xml:space="preserve">Více osob se vystěhovalo z Prahy do </w:t>
      </w:r>
      <w:r>
        <w:t>Středočeského kraje (</w:t>
      </w:r>
      <w:r w:rsidR="00B938AC">
        <w:t>193 158), než opačným směrem (93</w:t>
      </w:r>
      <w:r w:rsidR="00216E1A">
        <w:t> </w:t>
      </w:r>
      <w:r w:rsidR="00B938AC">
        <w:t>812</w:t>
      </w:r>
      <w:r w:rsidR="00216E1A">
        <w:t>; Přílohová tabulka 16</w:t>
      </w:r>
      <w:r w:rsidR="00B938AC">
        <w:t>).</w:t>
      </w:r>
      <w:r w:rsidR="00AF3DA5">
        <w:t xml:space="preserve"> S výrazným odstupem další nejpočetnější proudy byly mezi Hlavním městem Prahou a Ústeckým krajem s obratem 44 1</w:t>
      </w:r>
      <w:r w:rsidR="003658E1">
        <w:t>72 osob (z </w:t>
      </w:r>
      <w:r w:rsidR="00AF3DA5">
        <w:t xml:space="preserve">Ústeckého kraje do Prahy 27 728 osob a 16 444 opačným směrem) a mezi Středočeským a Ústeckým </w:t>
      </w:r>
      <w:r w:rsidR="00094E75">
        <w:t>krajem s obratem 36 605 osob (z Ústeckého do Středočeského</w:t>
      </w:r>
      <w:r w:rsidR="00AF3DA5">
        <w:t xml:space="preserve"> 20 315 osob a 16 290 opačně). Další dva proudy jsou silné pouze v jednom směru – z Jihomoravského (19 558 osob) a Moravskoslezského kraje (19 331) do Prahy. Naopak nejslabší proud byl mezi Karlovarským a vzdáleným Zlínským krajem s obratem pouhých 766 osob za celé období.</w:t>
      </w:r>
    </w:p>
    <w:p w:rsidR="00AF3DA5" w:rsidRPr="00AF3DA5" w:rsidRDefault="00AF3DA5" w:rsidP="00AF3DA5">
      <w:pPr>
        <w:spacing w:after="0"/>
        <w:rPr>
          <w:rFonts w:cs="Arial"/>
          <w:szCs w:val="20"/>
        </w:rPr>
      </w:pPr>
    </w:p>
    <w:p w:rsidR="00A948B0" w:rsidRDefault="00D61D28" w:rsidP="00233FCA">
      <w:r>
        <w:t>Největší kladné saldo mezikrajského stěhování měl v období 2005–2017</w:t>
      </w:r>
      <w:r w:rsidR="00633C4B">
        <w:t xml:space="preserve"> Střed</w:t>
      </w:r>
      <w:r w:rsidR="003658E1">
        <w:t>očeský kraj s Prahou (o </w:t>
      </w:r>
      <w:r w:rsidR="00633C4B">
        <w:t>99 346 osob více se přestěhovalo z Prahy do Středočeského kraje, než opačným směrem; Přílohová tabulka 17).</w:t>
      </w:r>
      <w:r w:rsidR="003D3F98">
        <w:t xml:space="preserve"> Roční maximum bylo v roce 2008 a to 11 921 osob. Od roku 2014 se saldo pohybuje na nižší úrovni okolo 6 až 7 tisíc. Středočeský kraj byl ve sledovaném období ztrátový pouze s Plzeňským krajem, s ostatními kraji měl saldo kladné. Hlavní měst</w:t>
      </w:r>
      <w:r w:rsidR="00633439">
        <w:t>o Praha bylo ztrátové</w:t>
      </w:r>
      <w:r w:rsidR="003D3F98">
        <w:t xml:space="preserve"> pouze se S</w:t>
      </w:r>
      <w:r w:rsidR="003658E1">
        <w:t>tředočeským krajem a </w:t>
      </w:r>
      <w:r w:rsidR="00633439">
        <w:t>výrazně ziskové s Moravskoslezským (14 421 osob), Jihomoravským (12 319) a Ústeckým krajem (11 284). Karlovarský kraj přišel o obyvatele vnitřní migrací se všemi kraji kromě Moravskoslezského. Nejvíce s Prahou (-6 777 osob). Nejhůře na tom byl Moravskoslezský kraj, který ztratil obyvatele se všemi kraji. Kromě již zmiňované Prahy byla významná záporná salda zaznamenána i v migraci se Středočeským</w:t>
      </w:r>
      <w:r w:rsidR="00633439">
        <w:br/>
        <w:t xml:space="preserve">(-7 357 obyvatel) a Jihomoravským krajem (-6 056). </w:t>
      </w:r>
      <w:r w:rsidR="003D3F98">
        <w:t xml:space="preserve">  </w:t>
      </w:r>
      <w:r w:rsidR="00633C4B">
        <w:t xml:space="preserve"> </w:t>
      </w:r>
    </w:p>
    <w:p w:rsidR="00462D3F" w:rsidRDefault="00AF3DA5" w:rsidP="00233FCA">
      <w:r>
        <w:t xml:space="preserve">     </w:t>
      </w:r>
      <w:r w:rsidR="005058E5">
        <w:t xml:space="preserve"> </w:t>
      </w:r>
    </w:p>
    <w:p w:rsidR="00233FCA" w:rsidRDefault="00233FCA" w:rsidP="00233FCA">
      <w:pPr>
        <w:tabs>
          <w:tab w:val="left" w:pos="1125"/>
        </w:tabs>
      </w:pPr>
    </w:p>
    <w:p w:rsidR="00233FCA" w:rsidRDefault="00233FCA" w:rsidP="00233FCA">
      <w:pPr>
        <w:tabs>
          <w:tab w:val="left" w:pos="1125"/>
        </w:tabs>
      </w:pPr>
    </w:p>
    <w:p w:rsidR="00233FCA" w:rsidRDefault="00233FCA" w:rsidP="00233FCA">
      <w:pPr>
        <w:tabs>
          <w:tab w:val="left" w:pos="1125"/>
        </w:tabs>
      </w:pPr>
    </w:p>
    <w:p w:rsidR="00233FCA" w:rsidRDefault="00233FCA" w:rsidP="00233FCA">
      <w:pPr>
        <w:tabs>
          <w:tab w:val="left" w:pos="1125"/>
        </w:tabs>
      </w:pPr>
    </w:p>
    <w:p w:rsidR="00FF0A52" w:rsidRDefault="00FF0A52" w:rsidP="00FF0A52">
      <w:pPr>
        <w:pStyle w:val="Nadpis1"/>
      </w:pPr>
      <w:bookmarkStart w:id="5" w:name="_Toc531859775"/>
      <w:r>
        <w:lastRenderedPageBreak/>
        <w:t xml:space="preserve">4. </w:t>
      </w:r>
      <w:proofErr w:type="spellStart"/>
      <w:r>
        <w:t>Vnitrokrajské</w:t>
      </w:r>
      <w:proofErr w:type="spellEnd"/>
      <w:r>
        <w:t xml:space="preserve"> stěhování</w:t>
      </w:r>
      <w:bookmarkEnd w:id="5"/>
    </w:p>
    <w:p w:rsidR="001C7FBA" w:rsidRPr="001C7FBA" w:rsidRDefault="00F54DAE" w:rsidP="00DE3C36">
      <w:pPr>
        <w:spacing w:after="60"/>
        <w:rPr>
          <w:rFonts w:cs="Arial"/>
          <w:szCs w:val="20"/>
        </w:rPr>
      </w:pPr>
      <w:r>
        <w:rPr>
          <w:rFonts w:cs="Arial"/>
          <w:szCs w:val="20"/>
        </w:rPr>
        <w:t xml:space="preserve">Počet případů </w:t>
      </w:r>
      <w:proofErr w:type="spellStart"/>
      <w:r>
        <w:rPr>
          <w:rFonts w:cs="Arial"/>
          <w:szCs w:val="20"/>
        </w:rPr>
        <w:t>vnitrokrajského</w:t>
      </w:r>
      <w:proofErr w:type="spellEnd"/>
      <w:r>
        <w:rPr>
          <w:rFonts w:cs="Arial"/>
          <w:szCs w:val="20"/>
        </w:rPr>
        <w:t xml:space="preserve"> stěhování (migrace mimo hranice obce v rámci kraje) se zvýšil </w:t>
      </w:r>
      <w:proofErr w:type="gramStart"/>
      <w:r>
        <w:rPr>
          <w:rFonts w:cs="Arial"/>
          <w:szCs w:val="20"/>
        </w:rPr>
        <w:t>ze</w:t>
      </w:r>
      <w:proofErr w:type="gramEnd"/>
      <w:r>
        <w:rPr>
          <w:rFonts w:cs="Arial"/>
          <w:szCs w:val="20"/>
        </w:rPr>
        <w:t xml:space="preserve"> 138 019 v roce 2005</w:t>
      </w:r>
      <w:r w:rsidR="007C0AA1">
        <w:rPr>
          <w:rFonts w:cs="Arial"/>
          <w:szCs w:val="20"/>
        </w:rPr>
        <w:t xml:space="preserve"> na 157 286 v roce 2007 (Graf 16</w:t>
      </w:r>
      <w:r>
        <w:rPr>
          <w:rFonts w:cs="Arial"/>
          <w:szCs w:val="20"/>
        </w:rPr>
        <w:t xml:space="preserve">). Následoval pokles na 141 397 v roce 2009. Poté tento druh vnitřní migrace rostl až na 160 229 pohybů v roce 2016 a v posledním roce došlo k poklesu na hodnotu 156 980. V posledních třech letech se tak objem </w:t>
      </w:r>
      <w:proofErr w:type="spellStart"/>
      <w:r>
        <w:rPr>
          <w:rFonts w:cs="Arial"/>
          <w:szCs w:val="20"/>
        </w:rPr>
        <w:t>vnitrokrajské</w:t>
      </w:r>
      <w:proofErr w:type="spellEnd"/>
      <w:r>
        <w:rPr>
          <w:rFonts w:cs="Arial"/>
          <w:szCs w:val="20"/>
        </w:rPr>
        <w:t xml:space="preserve"> migrace dostal na podobnou úroveň jako v roce 2007, na rozdíl od mezikrajské migrace, která podobného objemu jako v roce 2007 zatím nedosáhla. </w:t>
      </w:r>
      <w:r w:rsidR="00617D08">
        <w:rPr>
          <w:rFonts w:cs="Arial"/>
          <w:szCs w:val="20"/>
        </w:rPr>
        <w:t xml:space="preserve">Podíl mužů na </w:t>
      </w:r>
      <w:proofErr w:type="spellStart"/>
      <w:r w:rsidR="00617D08">
        <w:rPr>
          <w:rFonts w:cs="Arial"/>
          <w:szCs w:val="20"/>
        </w:rPr>
        <w:t>vnitrokrajské</w:t>
      </w:r>
      <w:proofErr w:type="spellEnd"/>
      <w:r w:rsidR="00617D08">
        <w:rPr>
          <w:rFonts w:cs="Arial"/>
          <w:szCs w:val="20"/>
        </w:rPr>
        <w:t xml:space="preserve"> migraci se ve zkoumaném období pohyboval v rozmezí 45,9 % – 48,2 %, tedy na nižších hodnotách než u všech případů stěhování. </w:t>
      </w:r>
      <w:r>
        <w:rPr>
          <w:rFonts w:cs="Arial"/>
          <w:szCs w:val="20"/>
        </w:rPr>
        <w:t xml:space="preserve"> </w:t>
      </w:r>
    </w:p>
    <w:p w:rsidR="001C7FBA" w:rsidRDefault="001C7FBA" w:rsidP="00044043">
      <w:pPr>
        <w:spacing w:after="0"/>
        <w:rPr>
          <w:rFonts w:cs="Arial"/>
          <w:b/>
          <w:szCs w:val="20"/>
        </w:rPr>
      </w:pPr>
    </w:p>
    <w:p w:rsidR="00DE3C36" w:rsidRDefault="00501671" w:rsidP="00DE3C36">
      <w:pPr>
        <w:spacing w:after="60"/>
        <w:rPr>
          <w:rFonts w:cs="Arial"/>
          <w:b/>
          <w:szCs w:val="20"/>
        </w:rPr>
      </w:pPr>
      <w:r>
        <w:rPr>
          <w:rFonts w:cs="Arial"/>
          <w:b/>
          <w:szCs w:val="20"/>
        </w:rPr>
        <w:t>Graf 16</w:t>
      </w:r>
      <w:r w:rsidR="00DE3C36" w:rsidRPr="00091A5B">
        <w:rPr>
          <w:rFonts w:cs="Arial"/>
          <w:b/>
          <w:szCs w:val="20"/>
        </w:rPr>
        <w:t xml:space="preserve"> </w:t>
      </w:r>
      <w:proofErr w:type="spellStart"/>
      <w:r w:rsidR="00DE3C36">
        <w:rPr>
          <w:rFonts w:cs="Arial"/>
          <w:b/>
          <w:szCs w:val="20"/>
        </w:rPr>
        <w:t>Vnitrokrajské</w:t>
      </w:r>
      <w:proofErr w:type="spellEnd"/>
      <w:r w:rsidR="00DE3C36">
        <w:rPr>
          <w:rFonts w:cs="Arial"/>
          <w:b/>
          <w:szCs w:val="20"/>
        </w:rPr>
        <w:t xml:space="preserve"> stěhování</w:t>
      </w:r>
      <w:r w:rsidR="00DE3C36" w:rsidRPr="00400443">
        <w:rPr>
          <w:rFonts w:cs="Arial"/>
          <w:b/>
          <w:szCs w:val="20"/>
        </w:rPr>
        <w:t xml:space="preserve"> a podíl mužů</w:t>
      </w:r>
      <w:r w:rsidR="00DE3C36">
        <w:rPr>
          <w:rFonts w:cs="Arial"/>
          <w:b/>
          <w:szCs w:val="20"/>
        </w:rPr>
        <w:t xml:space="preserve"> (v %)</w:t>
      </w:r>
      <w:r w:rsidR="00DE3C36" w:rsidRPr="00400443">
        <w:rPr>
          <w:rFonts w:cs="Arial"/>
          <w:b/>
          <w:szCs w:val="20"/>
        </w:rPr>
        <w:t xml:space="preserve"> v letech 2005–2017</w:t>
      </w:r>
    </w:p>
    <w:p w:rsidR="00FF0A52" w:rsidRPr="00FF0A52" w:rsidRDefault="004E73B2" w:rsidP="00FF0A52">
      <w:r w:rsidRPr="004E73B2">
        <w:rPr>
          <w:noProof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-2540</wp:posOffset>
            </wp:positionV>
            <wp:extent cx="5400675" cy="2886075"/>
            <wp:effectExtent l="0" t="0" r="9525" b="9525"/>
            <wp:wrapNone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FCA" w:rsidRDefault="00233FCA" w:rsidP="00233FCA">
      <w:pPr>
        <w:tabs>
          <w:tab w:val="left" w:pos="1125"/>
        </w:tabs>
      </w:pPr>
    </w:p>
    <w:p w:rsidR="007D125D" w:rsidRDefault="007D125D" w:rsidP="00233FCA">
      <w:pPr>
        <w:tabs>
          <w:tab w:val="left" w:pos="1125"/>
        </w:tabs>
      </w:pPr>
    </w:p>
    <w:p w:rsidR="007D125D" w:rsidRPr="007D125D" w:rsidRDefault="007D125D" w:rsidP="007D125D"/>
    <w:p w:rsidR="007D125D" w:rsidRPr="007D125D" w:rsidRDefault="007D125D" w:rsidP="007D125D"/>
    <w:p w:rsidR="007D125D" w:rsidRPr="007D125D" w:rsidRDefault="007D125D" w:rsidP="007D125D"/>
    <w:p w:rsidR="007D125D" w:rsidRPr="007D125D" w:rsidRDefault="007D125D" w:rsidP="007D125D"/>
    <w:p w:rsidR="007D125D" w:rsidRPr="007D125D" w:rsidRDefault="007D125D" w:rsidP="007D125D"/>
    <w:p w:rsidR="007D125D" w:rsidRDefault="007D125D" w:rsidP="007D125D"/>
    <w:p w:rsidR="007D125D" w:rsidRDefault="007D125D" w:rsidP="00044043">
      <w:pPr>
        <w:spacing w:after="0"/>
        <w:rPr>
          <w:rFonts w:cs="Arial"/>
          <w:b/>
          <w:szCs w:val="20"/>
        </w:rPr>
      </w:pPr>
    </w:p>
    <w:p w:rsidR="007D125D" w:rsidRDefault="00501671" w:rsidP="007D125D">
      <w:pPr>
        <w:spacing w:after="60"/>
        <w:rPr>
          <w:rFonts w:cs="Arial"/>
          <w:b/>
          <w:szCs w:val="20"/>
        </w:rPr>
      </w:pPr>
      <w:r>
        <w:rPr>
          <w:rFonts w:cs="Arial"/>
          <w:b/>
          <w:szCs w:val="20"/>
        </w:rPr>
        <w:t>Graf 17</w:t>
      </w:r>
      <w:r w:rsidR="007D125D" w:rsidRPr="00091A5B">
        <w:rPr>
          <w:rFonts w:cs="Arial"/>
          <w:b/>
          <w:szCs w:val="20"/>
        </w:rPr>
        <w:t xml:space="preserve"> </w:t>
      </w:r>
      <w:proofErr w:type="spellStart"/>
      <w:r w:rsidR="007D125D">
        <w:rPr>
          <w:rFonts w:cs="Arial"/>
          <w:b/>
          <w:szCs w:val="20"/>
        </w:rPr>
        <w:t>Vnitro</w:t>
      </w:r>
      <w:r w:rsidR="007D125D" w:rsidRPr="00286992">
        <w:rPr>
          <w:rFonts w:cs="Arial"/>
          <w:b/>
          <w:szCs w:val="20"/>
        </w:rPr>
        <w:t>krajské</w:t>
      </w:r>
      <w:proofErr w:type="spellEnd"/>
      <w:r w:rsidR="007D125D" w:rsidRPr="00286992">
        <w:rPr>
          <w:rFonts w:cs="Arial"/>
          <w:b/>
          <w:szCs w:val="20"/>
        </w:rPr>
        <w:t xml:space="preserve"> stěhování podle věkových skupin v letech 2005–2017 (v %)</w:t>
      </w:r>
    </w:p>
    <w:p w:rsidR="0023600E" w:rsidRDefault="0001432B" w:rsidP="007D125D">
      <w:pPr>
        <w:spacing w:after="60"/>
        <w:rPr>
          <w:rFonts w:cs="Arial"/>
          <w:b/>
          <w:szCs w:val="20"/>
        </w:rPr>
      </w:pPr>
      <w:r w:rsidRPr="0001432B">
        <w:rPr>
          <w:noProof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3175</wp:posOffset>
            </wp:positionV>
            <wp:extent cx="5429250" cy="2886075"/>
            <wp:effectExtent l="0" t="0" r="0" b="9525"/>
            <wp:wrapNone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E93" w:rsidRDefault="00847E93" w:rsidP="007D125D"/>
    <w:p w:rsidR="00847E93" w:rsidRPr="00847E93" w:rsidRDefault="00847E93" w:rsidP="00847E93"/>
    <w:p w:rsidR="00847E93" w:rsidRPr="00847E93" w:rsidRDefault="00847E93" w:rsidP="00847E93"/>
    <w:p w:rsidR="00847E93" w:rsidRPr="00847E93" w:rsidRDefault="00847E93" w:rsidP="00847E93"/>
    <w:p w:rsidR="00847E93" w:rsidRPr="00847E93" w:rsidRDefault="00847E93" w:rsidP="00847E93"/>
    <w:p w:rsidR="00847E93" w:rsidRPr="00847E93" w:rsidRDefault="00847E93" w:rsidP="00847E93"/>
    <w:p w:rsidR="00847E93" w:rsidRPr="00847E93" w:rsidRDefault="00847E93" w:rsidP="00847E93"/>
    <w:p w:rsidR="00847E93" w:rsidRDefault="00847E93" w:rsidP="00847E93"/>
    <w:p w:rsidR="00847E93" w:rsidRDefault="00847E93" w:rsidP="00044043">
      <w:pPr>
        <w:spacing w:after="0"/>
      </w:pPr>
    </w:p>
    <w:p w:rsidR="00847E93" w:rsidRPr="0049318C" w:rsidRDefault="0049318C" w:rsidP="00AC754C">
      <w:pPr>
        <w:rPr>
          <w:rFonts w:cs="Arial"/>
          <w:szCs w:val="20"/>
        </w:rPr>
      </w:pPr>
      <w:r>
        <w:rPr>
          <w:rFonts w:cs="Arial"/>
          <w:szCs w:val="20"/>
        </w:rPr>
        <w:t xml:space="preserve">Nejčastěji zastoupenou věkovou skupinou u </w:t>
      </w:r>
      <w:proofErr w:type="spellStart"/>
      <w:r>
        <w:rPr>
          <w:rFonts w:cs="Arial"/>
          <w:szCs w:val="20"/>
        </w:rPr>
        <w:t>vnitrokrajské</w:t>
      </w:r>
      <w:proofErr w:type="spellEnd"/>
      <w:r>
        <w:rPr>
          <w:rFonts w:cs="Arial"/>
          <w:szCs w:val="20"/>
        </w:rPr>
        <w:t xml:space="preserve"> migrace byly 18–34letí, jejich podíl </w:t>
      </w:r>
      <w:proofErr w:type="gramStart"/>
      <w:r>
        <w:rPr>
          <w:rFonts w:cs="Arial"/>
          <w:szCs w:val="20"/>
        </w:rPr>
        <w:t>poklesl z 42,9</w:t>
      </w:r>
      <w:proofErr w:type="gramEnd"/>
      <w:r>
        <w:rPr>
          <w:rFonts w:cs="Arial"/>
          <w:szCs w:val="20"/>
        </w:rPr>
        <w:t> % v roce 2005 na 34,1 % v posledním sledovaném roce</w:t>
      </w:r>
      <w:r w:rsidR="007C0AA1">
        <w:rPr>
          <w:rFonts w:cs="Arial"/>
          <w:szCs w:val="20"/>
        </w:rPr>
        <w:t xml:space="preserve"> (Graf 17</w:t>
      </w:r>
      <w:r w:rsidR="00BA3A9F">
        <w:rPr>
          <w:rFonts w:cs="Arial"/>
          <w:szCs w:val="20"/>
        </w:rPr>
        <w:t>)</w:t>
      </w:r>
      <w:r>
        <w:rPr>
          <w:rFonts w:cs="Arial"/>
          <w:szCs w:val="20"/>
        </w:rPr>
        <w:t xml:space="preserve">. Zastoupení dětí do 17 let bylo také významné a narostlo z 23,7 % v roce 2005 na 28,1 % v roce 2017. Vzrostl </w:t>
      </w:r>
      <w:r w:rsidR="009B0CED">
        <w:rPr>
          <w:rFonts w:cs="Arial"/>
          <w:szCs w:val="20"/>
        </w:rPr>
        <w:t>i</w:t>
      </w:r>
      <w:r>
        <w:rPr>
          <w:rFonts w:cs="Arial"/>
          <w:szCs w:val="20"/>
        </w:rPr>
        <w:t xml:space="preserve"> podíl osob ve věku 35–49 let z 17,4 % na 21,9 % ve stejném období. Podíly 50 až 64letých a 65letých a starších na </w:t>
      </w:r>
      <w:proofErr w:type="spellStart"/>
      <w:r>
        <w:rPr>
          <w:rFonts w:cs="Arial"/>
          <w:szCs w:val="20"/>
        </w:rPr>
        <w:t>vnitrokrajské</w:t>
      </w:r>
      <w:proofErr w:type="spellEnd"/>
      <w:r>
        <w:rPr>
          <w:rFonts w:cs="Arial"/>
          <w:szCs w:val="20"/>
        </w:rPr>
        <w:t xml:space="preserve"> migraci </w:t>
      </w:r>
      <w:r>
        <w:rPr>
          <w:rFonts w:cs="Arial"/>
          <w:szCs w:val="20"/>
        </w:rPr>
        <w:lastRenderedPageBreak/>
        <w:t xml:space="preserve">v letech 2005 až 2017 stagnovaly v rozpětí 9,1 % – 9,8 %, respektive 4,6 % – 6,8 %. </w:t>
      </w:r>
      <w:r w:rsidR="00BA3A9F">
        <w:rPr>
          <w:rFonts w:cs="Arial"/>
          <w:szCs w:val="20"/>
        </w:rPr>
        <w:t xml:space="preserve">Ve srovnání se všemi případy vnitřního stěhování se u </w:t>
      </w:r>
      <w:proofErr w:type="spellStart"/>
      <w:r w:rsidR="00BA3A9F">
        <w:rPr>
          <w:rFonts w:cs="Arial"/>
          <w:szCs w:val="20"/>
        </w:rPr>
        <w:t>vnitrokrajského</w:t>
      </w:r>
      <w:proofErr w:type="spellEnd"/>
      <w:r w:rsidR="00BA3A9F">
        <w:rPr>
          <w:rFonts w:cs="Arial"/>
          <w:szCs w:val="20"/>
        </w:rPr>
        <w:t xml:space="preserve"> relativně více stěhovaly děti a méně osoby ve věku 18–34 let. Z toho vyplývá, že průměrný věk migranta, který se stěhoval uvnitř kraje, byl </w:t>
      </w:r>
      <w:r w:rsidR="009B0CED">
        <w:rPr>
          <w:rFonts w:cs="Arial"/>
          <w:szCs w:val="20"/>
        </w:rPr>
        <w:t>zhruba o 0,5 roku nižší než u všech případů vnitřního stěhování a pohyboval se v r</w:t>
      </w:r>
      <w:r w:rsidR="007C0AA1">
        <w:rPr>
          <w:rFonts w:cs="Arial"/>
          <w:szCs w:val="20"/>
        </w:rPr>
        <w:t>ozmezí 30,1 až 31,2 let (Graf 18</w:t>
      </w:r>
      <w:r w:rsidR="009B0CED">
        <w:rPr>
          <w:rFonts w:cs="Arial"/>
          <w:szCs w:val="20"/>
        </w:rPr>
        <w:t xml:space="preserve">).   </w:t>
      </w:r>
      <w:r w:rsidR="00BA3A9F">
        <w:rPr>
          <w:rFonts w:cs="Arial"/>
          <w:szCs w:val="20"/>
        </w:rPr>
        <w:t xml:space="preserve">    </w:t>
      </w:r>
      <w:r>
        <w:rPr>
          <w:rFonts w:cs="Arial"/>
          <w:szCs w:val="20"/>
        </w:rPr>
        <w:t xml:space="preserve">  </w:t>
      </w:r>
    </w:p>
    <w:p w:rsidR="00847E93" w:rsidRDefault="00501671" w:rsidP="00847E93">
      <w:pPr>
        <w:spacing w:after="60"/>
        <w:rPr>
          <w:rFonts w:cs="Arial"/>
          <w:b/>
          <w:szCs w:val="20"/>
        </w:rPr>
      </w:pPr>
      <w:r>
        <w:rPr>
          <w:rFonts w:cs="Arial"/>
          <w:b/>
          <w:szCs w:val="20"/>
        </w:rPr>
        <w:t>Graf 18</w:t>
      </w:r>
      <w:r w:rsidR="00847E93" w:rsidRPr="00091A5B">
        <w:rPr>
          <w:rFonts w:cs="Arial"/>
          <w:b/>
          <w:szCs w:val="20"/>
        </w:rPr>
        <w:t xml:space="preserve"> </w:t>
      </w:r>
      <w:r w:rsidR="00847E93">
        <w:rPr>
          <w:rFonts w:cs="Arial"/>
          <w:b/>
          <w:szCs w:val="20"/>
        </w:rPr>
        <w:t xml:space="preserve">Průměrný věk migrantů u </w:t>
      </w:r>
      <w:proofErr w:type="spellStart"/>
      <w:r w:rsidR="00847E93">
        <w:rPr>
          <w:rFonts w:cs="Arial"/>
          <w:b/>
          <w:szCs w:val="20"/>
        </w:rPr>
        <w:t>vnitro</w:t>
      </w:r>
      <w:r w:rsidR="00847E93" w:rsidRPr="001D3DA3">
        <w:rPr>
          <w:rFonts w:cs="Arial"/>
          <w:b/>
          <w:szCs w:val="20"/>
        </w:rPr>
        <w:t>krajského</w:t>
      </w:r>
      <w:proofErr w:type="spellEnd"/>
      <w:r w:rsidR="00847E93" w:rsidRPr="001D3DA3">
        <w:rPr>
          <w:rFonts w:cs="Arial"/>
          <w:b/>
          <w:szCs w:val="20"/>
        </w:rPr>
        <w:t xml:space="preserve"> stěhování podle pohlaví v letech 2005–2017</w:t>
      </w:r>
    </w:p>
    <w:p w:rsidR="00F64276" w:rsidRDefault="00F64276" w:rsidP="00847E93">
      <w:pPr>
        <w:tabs>
          <w:tab w:val="left" w:pos="2850"/>
        </w:tabs>
      </w:pPr>
      <w:r w:rsidRPr="00F64276">
        <w:rPr>
          <w:noProof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5400675" cy="2886075"/>
            <wp:effectExtent l="0" t="0" r="9525" b="9525"/>
            <wp:wrapNone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276" w:rsidRPr="00F64276" w:rsidRDefault="00F64276" w:rsidP="00F64276"/>
    <w:p w:rsidR="00F64276" w:rsidRPr="00F64276" w:rsidRDefault="00F64276" w:rsidP="00F64276"/>
    <w:p w:rsidR="00F64276" w:rsidRPr="00F64276" w:rsidRDefault="00F64276" w:rsidP="00F64276"/>
    <w:p w:rsidR="00F64276" w:rsidRPr="00F64276" w:rsidRDefault="00F64276" w:rsidP="00F64276"/>
    <w:p w:rsidR="00F64276" w:rsidRPr="00F64276" w:rsidRDefault="00F64276" w:rsidP="00F64276"/>
    <w:p w:rsidR="00F64276" w:rsidRPr="00F64276" w:rsidRDefault="00F64276" w:rsidP="00F64276"/>
    <w:p w:rsidR="00F64276" w:rsidRPr="00F64276" w:rsidRDefault="00F64276" w:rsidP="00F64276"/>
    <w:p w:rsidR="00F64276" w:rsidRDefault="00F64276" w:rsidP="00F64276"/>
    <w:p w:rsidR="00AC754C" w:rsidRDefault="00AC754C" w:rsidP="00AC754C">
      <w:pPr>
        <w:spacing w:after="0"/>
        <w:rPr>
          <w:rFonts w:cs="Arial"/>
          <w:b/>
          <w:szCs w:val="20"/>
        </w:rPr>
      </w:pPr>
    </w:p>
    <w:p w:rsidR="00F64276" w:rsidRDefault="00501671" w:rsidP="00F64276">
      <w:pPr>
        <w:spacing w:after="60"/>
        <w:rPr>
          <w:rFonts w:cs="Arial"/>
          <w:b/>
          <w:szCs w:val="20"/>
        </w:rPr>
      </w:pPr>
      <w:r>
        <w:rPr>
          <w:rFonts w:cs="Arial"/>
          <w:b/>
          <w:szCs w:val="20"/>
        </w:rPr>
        <w:t>Graf 19</w:t>
      </w:r>
      <w:r w:rsidR="00F64276" w:rsidRPr="00091A5B">
        <w:rPr>
          <w:rFonts w:cs="Arial"/>
          <w:b/>
          <w:szCs w:val="20"/>
        </w:rPr>
        <w:t xml:space="preserve"> </w:t>
      </w:r>
      <w:proofErr w:type="spellStart"/>
      <w:r w:rsidR="00F64276">
        <w:rPr>
          <w:rFonts w:cs="Arial"/>
          <w:b/>
          <w:szCs w:val="20"/>
        </w:rPr>
        <w:t>Vnitrokrajské</w:t>
      </w:r>
      <w:proofErr w:type="spellEnd"/>
      <w:r w:rsidR="00F64276">
        <w:rPr>
          <w:rFonts w:cs="Arial"/>
          <w:b/>
          <w:szCs w:val="20"/>
        </w:rPr>
        <w:t xml:space="preserve"> stěhování cizinců v letech 2005–2017</w:t>
      </w:r>
    </w:p>
    <w:p w:rsidR="00CA69A1" w:rsidRDefault="00AB0923" w:rsidP="00AB0923">
      <w:r w:rsidRPr="00AB0923">
        <w:rPr>
          <w:noProof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5400675" cy="2886075"/>
            <wp:effectExtent l="0" t="0" r="9525" b="9525"/>
            <wp:wrapNone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9A1" w:rsidRPr="00CA69A1" w:rsidRDefault="00CA69A1" w:rsidP="00CA69A1"/>
    <w:p w:rsidR="00CA69A1" w:rsidRPr="00CA69A1" w:rsidRDefault="00CA69A1" w:rsidP="00CA69A1"/>
    <w:p w:rsidR="00CA69A1" w:rsidRPr="00CA69A1" w:rsidRDefault="00CA69A1" w:rsidP="00CA69A1"/>
    <w:p w:rsidR="00CA69A1" w:rsidRPr="00CA69A1" w:rsidRDefault="00CA69A1" w:rsidP="00CA69A1"/>
    <w:p w:rsidR="00CA69A1" w:rsidRPr="00CA69A1" w:rsidRDefault="00CA69A1" w:rsidP="00CA69A1"/>
    <w:p w:rsidR="00CA69A1" w:rsidRPr="00CA69A1" w:rsidRDefault="00CA69A1" w:rsidP="00CA69A1"/>
    <w:p w:rsidR="00CA69A1" w:rsidRPr="00CA69A1" w:rsidRDefault="00CA69A1" w:rsidP="00CA69A1"/>
    <w:p w:rsidR="00CA69A1" w:rsidRDefault="00CA69A1" w:rsidP="00CA69A1"/>
    <w:p w:rsidR="00DF5D37" w:rsidRDefault="00DF5D37" w:rsidP="00AC754C">
      <w:pPr>
        <w:spacing w:after="0"/>
        <w:rPr>
          <w:rFonts w:cs="Arial"/>
          <w:b/>
          <w:szCs w:val="20"/>
        </w:rPr>
      </w:pPr>
    </w:p>
    <w:p w:rsidR="00AC754C" w:rsidRPr="00EA7BF4" w:rsidRDefault="00EA7BF4" w:rsidP="00DF5D37">
      <w:pPr>
        <w:spacing w:after="60"/>
        <w:rPr>
          <w:rFonts w:cs="Arial"/>
          <w:szCs w:val="20"/>
        </w:rPr>
      </w:pPr>
      <w:r>
        <w:rPr>
          <w:rFonts w:cs="Arial"/>
          <w:szCs w:val="20"/>
        </w:rPr>
        <w:t xml:space="preserve">Podíl cizinců na </w:t>
      </w:r>
      <w:proofErr w:type="spellStart"/>
      <w:r>
        <w:rPr>
          <w:rFonts w:cs="Arial"/>
          <w:szCs w:val="20"/>
        </w:rPr>
        <w:t>vnitrokrajské</w:t>
      </w:r>
      <w:proofErr w:type="spellEnd"/>
      <w:r>
        <w:rPr>
          <w:rFonts w:cs="Arial"/>
          <w:szCs w:val="20"/>
        </w:rPr>
        <w:t xml:space="preserve"> migraci byl nižší než u stěhování celkem a pohyboval se ve sledovaném období v rozmezí </w:t>
      </w:r>
      <w:r w:rsidR="007C0AA1">
        <w:rPr>
          <w:rFonts w:cs="Arial"/>
          <w:szCs w:val="20"/>
        </w:rPr>
        <w:t>4,8 % až 10,3 % (Graf 19</w:t>
      </w:r>
      <w:r w:rsidR="00CC5498">
        <w:rPr>
          <w:rFonts w:cs="Arial"/>
          <w:szCs w:val="20"/>
        </w:rPr>
        <w:t xml:space="preserve">), přičemž nejnižší hodnoty byly na začátku a na konci sledovaného období a nejvyšší (nad 9,0 %) v letech 2007 až 2010. Obdobně to bylo i s celkovým počtem cizinců, kteří se přestěhovali uvnitř kraje. Nejnižší hodnoty okolo 7 až 8 tisíc byly na krajích zkoumaného období a maxima na úrovni 14 až 15 tisíc v letech 2007 až 2010. </w:t>
      </w:r>
      <w:r>
        <w:rPr>
          <w:rFonts w:cs="Arial"/>
          <w:szCs w:val="20"/>
        </w:rPr>
        <w:t xml:space="preserve"> </w:t>
      </w:r>
    </w:p>
    <w:p w:rsidR="00DF5D37" w:rsidRDefault="00DF5D37" w:rsidP="00445339">
      <w:pPr>
        <w:spacing w:after="0"/>
        <w:rPr>
          <w:rFonts w:cs="Arial"/>
          <w:b/>
          <w:szCs w:val="20"/>
        </w:rPr>
      </w:pPr>
    </w:p>
    <w:p w:rsidR="00DF5D37" w:rsidRPr="009F5E33" w:rsidRDefault="009F5E33" w:rsidP="0094522B">
      <w:pPr>
        <w:rPr>
          <w:rFonts w:cs="Arial"/>
          <w:szCs w:val="20"/>
        </w:rPr>
      </w:pPr>
      <w:r>
        <w:rPr>
          <w:rFonts w:cs="Arial"/>
          <w:szCs w:val="20"/>
        </w:rPr>
        <w:t xml:space="preserve">Za celé sledované období se nejvyšší počet případů </w:t>
      </w:r>
      <w:proofErr w:type="spellStart"/>
      <w:r>
        <w:rPr>
          <w:rFonts w:cs="Arial"/>
          <w:szCs w:val="20"/>
        </w:rPr>
        <w:t>vnitrokrajského</w:t>
      </w:r>
      <w:proofErr w:type="spellEnd"/>
      <w:r>
        <w:rPr>
          <w:rFonts w:cs="Arial"/>
          <w:szCs w:val="20"/>
        </w:rPr>
        <w:t xml:space="preserve"> stěhování uskutečnil ve Stře</w:t>
      </w:r>
      <w:r w:rsidR="007C0AA1">
        <w:rPr>
          <w:rFonts w:cs="Arial"/>
          <w:szCs w:val="20"/>
        </w:rPr>
        <w:t>dočeském kraji (273 908; graf 20</w:t>
      </w:r>
      <w:r>
        <w:rPr>
          <w:rFonts w:cs="Arial"/>
          <w:szCs w:val="20"/>
        </w:rPr>
        <w:t xml:space="preserve">), za kterým následovaly kraje Moravskoslezský (244 028), Jihomoravský (231 940) </w:t>
      </w:r>
      <w:r>
        <w:rPr>
          <w:rFonts w:cs="Arial"/>
          <w:szCs w:val="20"/>
        </w:rPr>
        <w:lastRenderedPageBreak/>
        <w:t>a</w:t>
      </w:r>
      <w:r w:rsidR="003658E1">
        <w:rPr>
          <w:rFonts w:cs="Arial"/>
          <w:szCs w:val="20"/>
        </w:rPr>
        <w:t> </w:t>
      </w:r>
      <w:r>
        <w:rPr>
          <w:rFonts w:cs="Arial"/>
          <w:szCs w:val="20"/>
        </w:rPr>
        <w:t>Ústecký (225 624). Naopak nejméně to bylo v Karlovarském kraji (76 472) a kraji Vysočina (85 759)</w:t>
      </w:r>
      <w:r w:rsidR="0041048E">
        <w:rPr>
          <w:rFonts w:cs="Arial"/>
          <w:szCs w:val="20"/>
        </w:rPr>
        <w:t>.</w:t>
      </w:r>
      <w:r w:rsidR="00C12942">
        <w:rPr>
          <w:rFonts w:cs="Arial"/>
          <w:szCs w:val="20"/>
        </w:rPr>
        <w:t xml:space="preserve"> Při relativizaci ukazatele na 1 000 obyvatel středního stavu daného kraje měly nejvyššího hodnoty Ústecký (21,0 ‰) a Karlovarský kraj (19,4 ‰) a naopak nejnižší kraj Vysočina a Zlínský (oba 12,9 ‰).</w:t>
      </w:r>
      <w:r w:rsidR="00B94565">
        <w:rPr>
          <w:rFonts w:cs="Arial"/>
          <w:szCs w:val="20"/>
        </w:rPr>
        <w:t xml:space="preserve"> Vysoké hodnoty u Ústeckého kraje jsou pravděpodobně částečně způsobeny větším počtem populačně </w:t>
      </w:r>
      <w:r w:rsidR="00BD0254">
        <w:rPr>
          <w:rFonts w:cs="Arial"/>
          <w:szCs w:val="20"/>
        </w:rPr>
        <w:t>velkých</w:t>
      </w:r>
      <w:r w:rsidR="00B94565">
        <w:rPr>
          <w:rFonts w:cs="Arial"/>
          <w:szCs w:val="20"/>
        </w:rPr>
        <w:t xml:space="preserve"> měst v kraji.  </w:t>
      </w:r>
      <w:r w:rsidR="00C12942">
        <w:rPr>
          <w:rFonts w:cs="Arial"/>
          <w:szCs w:val="20"/>
        </w:rPr>
        <w:t xml:space="preserve">   </w:t>
      </w:r>
      <w:r w:rsidR="0041048E">
        <w:rPr>
          <w:rFonts w:cs="Arial"/>
          <w:szCs w:val="20"/>
        </w:rPr>
        <w:t xml:space="preserve"> </w:t>
      </w:r>
    </w:p>
    <w:p w:rsidR="00DF5D37" w:rsidRDefault="00501671" w:rsidP="00DF5D37">
      <w:pPr>
        <w:spacing w:after="60"/>
        <w:rPr>
          <w:rFonts w:cs="Arial"/>
          <w:b/>
          <w:szCs w:val="20"/>
        </w:rPr>
      </w:pPr>
      <w:r>
        <w:rPr>
          <w:rFonts w:cs="Arial"/>
          <w:b/>
          <w:szCs w:val="20"/>
        </w:rPr>
        <w:t>Graf 20</w:t>
      </w:r>
      <w:r w:rsidR="00DF5D37" w:rsidRPr="00091A5B">
        <w:rPr>
          <w:rFonts w:cs="Arial"/>
          <w:b/>
          <w:szCs w:val="20"/>
        </w:rPr>
        <w:t xml:space="preserve"> </w:t>
      </w:r>
      <w:proofErr w:type="spellStart"/>
      <w:r w:rsidR="00DF5D37" w:rsidRPr="00DF5D37">
        <w:rPr>
          <w:rFonts w:cs="Arial"/>
          <w:b/>
          <w:szCs w:val="20"/>
        </w:rPr>
        <w:t>Vnitrokrajské</w:t>
      </w:r>
      <w:proofErr w:type="spellEnd"/>
      <w:r w:rsidR="00DF5D37" w:rsidRPr="00DF5D37">
        <w:rPr>
          <w:rFonts w:cs="Arial"/>
          <w:b/>
          <w:szCs w:val="20"/>
        </w:rPr>
        <w:t xml:space="preserve"> stěhování podle krajů </w:t>
      </w:r>
      <w:r w:rsidR="006B662B">
        <w:rPr>
          <w:rFonts w:cs="Arial"/>
          <w:b/>
          <w:szCs w:val="20"/>
        </w:rPr>
        <w:t>za období</w:t>
      </w:r>
      <w:r w:rsidR="00DF5D37" w:rsidRPr="00DF5D37">
        <w:rPr>
          <w:rFonts w:cs="Arial"/>
          <w:b/>
          <w:szCs w:val="20"/>
        </w:rPr>
        <w:t xml:space="preserve"> 2005–2017</w:t>
      </w:r>
    </w:p>
    <w:p w:rsidR="00DF5D37" w:rsidRDefault="0086319A" w:rsidP="00DF5D37">
      <w:pPr>
        <w:spacing w:after="60"/>
        <w:rPr>
          <w:rFonts w:cs="Arial"/>
          <w:b/>
          <w:szCs w:val="20"/>
        </w:rPr>
      </w:pPr>
      <w:r w:rsidRPr="0086319A">
        <w:rPr>
          <w:noProof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5400675" cy="3248025"/>
            <wp:effectExtent l="0" t="0" r="9525" b="9525"/>
            <wp:wrapNone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D37" w:rsidRDefault="00DF5D37" w:rsidP="00CA69A1">
      <w:pPr>
        <w:tabs>
          <w:tab w:val="left" w:pos="1170"/>
        </w:tabs>
      </w:pPr>
    </w:p>
    <w:p w:rsidR="00765793" w:rsidRDefault="00765793" w:rsidP="00CA69A1">
      <w:pPr>
        <w:tabs>
          <w:tab w:val="left" w:pos="1170"/>
        </w:tabs>
      </w:pPr>
    </w:p>
    <w:p w:rsidR="00765793" w:rsidRPr="00765793" w:rsidRDefault="00765793" w:rsidP="00765793"/>
    <w:p w:rsidR="00765793" w:rsidRPr="00765793" w:rsidRDefault="00765793" w:rsidP="00765793"/>
    <w:p w:rsidR="00765793" w:rsidRPr="00765793" w:rsidRDefault="00765793" w:rsidP="00765793"/>
    <w:p w:rsidR="00765793" w:rsidRPr="00765793" w:rsidRDefault="00765793" w:rsidP="00765793"/>
    <w:p w:rsidR="00765793" w:rsidRPr="00765793" w:rsidRDefault="00765793" w:rsidP="00765793"/>
    <w:p w:rsidR="00765793" w:rsidRPr="00765793" w:rsidRDefault="00765793" w:rsidP="00765793"/>
    <w:p w:rsidR="00765793" w:rsidRPr="00765793" w:rsidRDefault="00765793" w:rsidP="00765793"/>
    <w:p w:rsidR="00765793" w:rsidRDefault="00765793" w:rsidP="00765793"/>
    <w:p w:rsidR="00765793" w:rsidRDefault="00765793" w:rsidP="00765793">
      <w:pPr>
        <w:pStyle w:val="Nadpis2"/>
      </w:pPr>
      <w:bookmarkStart w:id="6" w:name="_Toc531859776"/>
      <w:r>
        <w:t xml:space="preserve">4.1 </w:t>
      </w:r>
      <w:r w:rsidRPr="00765793">
        <w:t>Meziokresní stěhování v rámci kraje</w:t>
      </w:r>
      <w:bookmarkEnd w:id="6"/>
    </w:p>
    <w:p w:rsidR="003677AA" w:rsidRPr="003677AA" w:rsidRDefault="003677AA" w:rsidP="00316A2C">
      <w:pPr>
        <w:spacing w:after="60"/>
        <w:rPr>
          <w:rFonts w:cs="Arial"/>
          <w:szCs w:val="20"/>
        </w:rPr>
      </w:pPr>
      <w:proofErr w:type="spellStart"/>
      <w:r>
        <w:rPr>
          <w:rFonts w:cs="Arial"/>
          <w:szCs w:val="20"/>
        </w:rPr>
        <w:t>Vnitrokrajské</w:t>
      </w:r>
      <w:proofErr w:type="spellEnd"/>
      <w:r>
        <w:rPr>
          <w:rFonts w:cs="Arial"/>
          <w:szCs w:val="20"/>
        </w:rPr>
        <w:t xml:space="preserve"> stěhování lze dále rozdělit na stěhování mezi okresy v rámci kraje a na migraci mezi obcemi v rámci okresu. Prvně jmenované nejčastěji v období 2005–2017 probíhalo mezi okresy Jihomoravského (122 332 případů stěhování</w:t>
      </w:r>
      <w:r w:rsidR="007C0AA1">
        <w:rPr>
          <w:rFonts w:cs="Arial"/>
          <w:szCs w:val="20"/>
        </w:rPr>
        <w:t>; Graf 21</w:t>
      </w:r>
      <w:r>
        <w:rPr>
          <w:rFonts w:cs="Arial"/>
          <w:szCs w:val="20"/>
        </w:rPr>
        <w:t xml:space="preserve">), Moravskoslezského (99 503) a Středočeského kraje (81 108). Oproti tomu nejmenší počet </w:t>
      </w:r>
      <w:proofErr w:type="spellStart"/>
      <w:r>
        <w:rPr>
          <w:rFonts w:cs="Arial"/>
          <w:szCs w:val="20"/>
        </w:rPr>
        <w:t>přestěhovalých</w:t>
      </w:r>
      <w:proofErr w:type="spellEnd"/>
      <w:r>
        <w:rPr>
          <w:rFonts w:cs="Arial"/>
          <w:szCs w:val="20"/>
        </w:rPr>
        <w:t xml:space="preserve"> mezi okresy byl v rámci Karlovarského (17 857) a Zlínského kraje (18 398)</w:t>
      </w:r>
      <w:r w:rsidR="00C753DE">
        <w:rPr>
          <w:rStyle w:val="Znakapoznpodarou"/>
          <w:rFonts w:cs="Arial"/>
          <w:szCs w:val="20"/>
        </w:rPr>
        <w:footnoteReference w:id="7"/>
      </w:r>
      <w:r>
        <w:rPr>
          <w:rFonts w:cs="Arial"/>
          <w:szCs w:val="20"/>
        </w:rPr>
        <w:t>.</w:t>
      </w:r>
      <w:r w:rsidR="005E69C5">
        <w:rPr>
          <w:rFonts w:cs="Arial"/>
          <w:szCs w:val="20"/>
        </w:rPr>
        <w:t xml:space="preserve"> Po vztáhnutí meziokresního stěhování v rámci kraje na 1 000 obyvatel středního stavu kraje měl nejvyšší hodnoty Plzeňský kraj (8,8 ‰), následovaný Jihomoravským (8,1 ‰) a Moravskoslezským (6,2 ‰), zatímco nejnižší kraj Vysočina a Zlínský kraj (oba 2,4 ‰). </w:t>
      </w:r>
      <w:r w:rsidR="00DA77A0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   </w:t>
      </w:r>
    </w:p>
    <w:p w:rsidR="00DA77A0" w:rsidRDefault="00DA77A0" w:rsidP="002420F6">
      <w:pPr>
        <w:spacing w:after="0"/>
        <w:rPr>
          <w:rFonts w:cs="Arial"/>
          <w:b/>
          <w:szCs w:val="20"/>
        </w:rPr>
      </w:pPr>
    </w:p>
    <w:p w:rsidR="002420F6" w:rsidRPr="00465114" w:rsidRDefault="00465114" w:rsidP="00316A2C">
      <w:pPr>
        <w:spacing w:after="60"/>
        <w:rPr>
          <w:rFonts w:cs="Arial"/>
          <w:szCs w:val="20"/>
        </w:rPr>
      </w:pPr>
      <w:r w:rsidRPr="00465114">
        <w:rPr>
          <w:rFonts w:cs="Arial"/>
          <w:szCs w:val="20"/>
        </w:rPr>
        <w:t>Nejpočetnější mez</w:t>
      </w:r>
      <w:r>
        <w:rPr>
          <w:rFonts w:cs="Arial"/>
          <w:szCs w:val="20"/>
        </w:rPr>
        <w:t xml:space="preserve">iokresní proudy v rámci kraje se týkaly zejména okresů tvořených úplně (Brno-město) nebo z větší části (Ostrava-město, Plzeň-město) velkým městem na jedné straně a okresy tvořící zázemí těchto měst na druhé straně (Tab. 1). Vůbec nejpočetnější proud </w:t>
      </w:r>
      <w:r w:rsidR="00DD2F82">
        <w:rPr>
          <w:rFonts w:cs="Arial"/>
          <w:szCs w:val="20"/>
        </w:rPr>
        <w:t xml:space="preserve">za celé sledované období </w:t>
      </w:r>
      <w:r>
        <w:rPr>
          <w:rFonts w:cs="Arial"/>
          <w:szCs w:val="20"/>
        </w:rPr>
        <w:t>byl zaznamenán mezi Brnem-městem a Brnem-venkovem (38 510 ve směru z Brna-města a 17 802 druhým směrem).</w:t>
      </w:r>
      <w:r w:rsidR="00886579">
        <w:rPr>
          <w:rFonts w:cs="Arial"/>
          <w:szCs w:val="20"/>
        </w:rPr>
        <w:t xml:space="preserve"> Další významné proudy byly mezi Plzní-městem a Plzní-severem (o něco objemově nižší i s Plzní-jihem), kde také převažoval proud směrem z města. </w:t>
      </w:r>
      <w:r w:rsidR="00A902A5">
        <w:rPr>
          <w:rFonts w:cs="Arial"/>
          <w:szCs w:val="20"/>
        </w:rPr>
        <w:t xml:space="preserve">Z Ostravy-města se spíše obyvatelé vystěhovávali směrem do okresů Frýdek-Místek, Opava nebo Nový Jičín. Opačný směr byl silnější pouze u okresu Karviná – 11 637 obyvatel se přestěhovalo v letech 2005 až 2017 z Karviné </w:t>
      </w:r>
      <w:r w:rsidR="00DD2F82">
        <w:rPr>
          <w:rFonts w:cs="Arial"/>
          <w:szCs w:val="20"/>
        </w:rPr>
        <w:t>do Ostravy-města</w:t>
      </w:r>
      <w:r w:rsidR="00A902A5">
        <w:rPr>
          <w:rFonts w:cs="Arial"/>
          <w:szCs w:val="20"/>
        </w:rPr>
        <w:t>, zatímco směrem do Karviné to bylo 10 133.</w:t>
      </w:r>
      <w:r w:rsidR="005D4AC1">
        <w:rPr>
          <w:rFonts w:cs="Arial"/>
          <w:szCs w:val="20"/>
        </w:rPr>
        <w:t xml:space="preserve"> Právě proud z Karviné do Ostravy-města nejvíce početně posílil (z nejpočetnějších proudů z tab. 1) z hodnot pod 700 na začátku období až na zhruba 1 100 v letech 2013–2017.</w:t>
      </w:r>
      <w:r w:rsidR="00A902A5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  </w:t>
      </w:r>
    </w:p>
    <w:p w:rsidR="00DA77A0" w:rsidRDefault="00DA77A0" w:rsidP="00316A2C">
      <w:pPr>
        <w:spacing w:after="60"/>
        <w:rPr>
          <w:rFonts w:cs="Arial"/>
          <w:b/>
          <w:szCs w:val="20"/>
        </w:rPr>
      </w:pPr>
    </w:p>
    <w:p w:rsidR="00EB4118" w:rsidRDefault="00EB4118" w:rsidP="00316A2C">
      <w:pPr>
        <w:spacing w:after="60"/>
        <w:rPr>
          <w:rFonts w:cs="Arial"/>
          <w:b/>
          <w:szCs w:val="20"/>
        </w:rPr>
      </w:pPr>
    </w:p>
    <w:p w:rsidR="00316A2C" w:rsidRDefault="00501671" w:rsidP="00316A2C">
      <w:pPr>
        <w:spacing w:after="60"/>
        <w:rPr>
          <w:rFonts w:cs="Arial"/>
          <w:b/>
          <w:szCs w:val="20"/>
        </w:rPr>
      </w:pPr>
      <w:r>
        <w:rPr>
          <w:rFonts w:cs="Arial"/>
          <w:b/>
          <w:szCs w:val="20"/>
        </w:rPr>
        <w:lastRenderedPageBreak/>
        <w:t>Graf 21</w:t>
      </w:r>
      <w:r w:rsidR="00316A2C" w:rsidRPr="00091A5B">
        <w:rPr>
          <w:rFonts w:cs="Arial"/>
          <w:b/>
          <w:szCs w:val="20"/>
        </w:rPr>
        <w:t xml:space="preserve"> </w:t>
      </w:r>
      <w:r w:rsidR="00316A2C" w:rsidRPr="00316A2C">
        <w:rPr>
          <w:rFonts w:cs="Arial"/>
          <w:b/>
          <w:szCs w:val="20"/>
        </w:rPr>
        <w:t>Meziokresní stěhování v rámci kraje podle krajů</w:t>
      </w:r>
      <w:r w:rsidR="00316A2C" w:rsidRPr="00DF5D37">
        <w:rPr>
          <w:rFonts w:cs="Arial"/>
          <w:b/>
          <w:szCs w:val="20"/>
        </w:rPr>
        <w:t xml:space="preserve"> </w:t>
      </w:r>
      <w:r w:rsidR="00316A2C">
        <w:rPr>
          <w:rFonts w:cs="Arial"/>
          <w:b/>
          <w:szCs w:val="20"/>
        </w:rPr>
        <w:t>za období</w:t>
      </w:r>
      <w:r w:rsidR="00316A2C" w:rsidRPr="00DF5D37">
        <w:rPr>
          <w:rFonts w:cs="Arial"/>
          <w:b/>
          <w:szCs w:val="20"/>
        </w:rPr>
        <w:t xml:space="preserve"> 2005–2017</w:t>
      </w:r>
    </w:p>
    <w:p w:rsidR="00316A2C" w:rsidRDefault="00CD778A" w:rsidP="00316A2C">
      <w:pPr>
        <w:spacing w:after="60"/>
        <w:rPr>
          <w:rFonts w:cs="Arial"/>
          <w:b/>
          <w:szCs w:val="20"/>
        </w:rPr>
      </w:pPr>
      <w:r w:rsidRPr="00CD778A">
        <w:rPr>
          <w:noProof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635</wp:posOffset>
            </wp:positionV>
            <wp:extent cx="5400675" cy="3248025"/>
            <wp:effectExtent l="0" t="0" r="9525" b="9525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793" w:rsidRPr="00765793" w:rsidRDefault="00765793" w:rsidP="00765793"/>
    <w:p w:rsidR="00CD778A" w:rsidRDefault="00CD778A" w:rsidP="00765793">
      <w:pPr>
        <w:tabs>
          <w:tab w:val="left" w:pos="2910"/>
        </w:tabs>
      </w:pPr>
    </w:p>
    <w:p w:rsidR="00CD778A" w:rsidRPr="00CD778A" w:rsidRDefault="00CD778A" w:rsidP="00CD778A"/>
    <w:p w:rsidR="00CD778A" w:rsidRPr="00CD778A" w:rsidRDefault="00CD778A" w:rsidP="00CD778A"/>
    <w:p w:rsidR="00CD778A" w:rsidRPr="00CD778A" w:rsidRDefault="00CD778A" w:rsidP="00CD778A"/>
    <w:p w:rsidR="00CD778A" w:rsidRPr="00CD778A" w:rsidRDefault="00CD778A" w:rsidP="00CD778A"/>
    <w:p w:rsidR="00CD778A" w:rsidRPr="00CD778A" w:rsidRDefault="00CD778A" w:rsidP="00CD778A"/>
    <w:p w:rsidR="00CD778A" w:rsidRDefault="00CD778A" w:rsidP="00CD778A"/>
    <w:p w:rsidR="00CA69A1" w:rsidRDefault="00CA69A1" w:rsidP="00CD778A">
      <w:pPr>
        <w:jc w:val="right"/>
      </w:pPr>
    </w:p>
    <w:p w:rsidR="004D08F9" w:rsidRDefault="004D08F9" w:rsidP="004D08F9"/>
    <w:p w:rsidR="004D08F9" w:rsidRDefault="004D08F9" w:rsidP="004D08F9">
      <w:pPr>
        <w:spacing w:after="60"/>
        <w:rPr>
          <w:rFonts w:cs="Arial"/>
          <w:b/>
          <w:szCs w:val="20"/>
        </w:rPr>
      </w:pPr>
      <w:r>
        <w:rPr>
          <w:rFonts w:cs="Arial"/>
          <w:b/>
          <w:szCs w:val="20"/>
        </w:rPr>
        <w:t>Tab. 1</w:t>
      </w:r>
      <w:r w:rsidRPr="00091A5B">
        <w:rPr>
          <w:rFonts w:cs="Arial"/>
          <w:b/>
          <w:szCs w:val="20"/>
        </w:rPr>
        <w:t xml:space="preserve"> </w:t>
      </w:r>
      <w:r w:rsidR="007E58B7">
        <w:rPr>
          <w:rFonts w:cs="Arial"/>
          <w:b/>
          <w:szCs w:val="20"/>
        </w:rPr>
        <w:t>Nejpočetnější m</w:t>
      </w:r>
      <w:r w:rsidRPr="004D08F9">
        <w:rPr>
          <w:rFonts w:cs="Arial"/>
          <w:b/>
          <w:szCs w:val="20"/>
        </w:rPr>
        <w:t>eziokresní proudy stěhování v rámci kraje za období 2005–2017</w:t>
      </w:r>
    </w:p>
    <w:tbl>
      <w:tblPr>
        <w:tblW w:w="85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771D95" w:rsidRPr="00771D95" w:rsidTr="00584628">
        <w:trPr>
          <w:trHeight w:val="263"/>
        </w:trPr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5DADD"/>
            <w:vAlign w:val="center"/>
            <w:hideMark/>
          </w:tcPr>
          <w:p w:rsidR="00771D95" w:rsidRPr="00771D95" w:rsidRDefault="00771D95" w:rsidP="00771D95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71D95">
              <w:rPr>
                <w:rFonts w:cs="Arial"/>
                <w:b/>
                <w:bCs/>
                <w:sz w:val="16"/>
                <w:szCs w:val="16"/>
              </w:rPr>
              <w:t>Okres vystěhování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5DADD"/>
            <w:vAlign w:val="center"/>
            <w:hideMark/>
          </w:tcPr>
          <w:p w:rsidR="00771D95" w:rsidRPr="00771D95" w:rsidRDefault="00771D95" w:rsidP="00771D95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71D95">
              <w:rPr>
                <w:rFonts w:cs="Arial"/>
                <w:b/>
                <w:bCs/>
                <w:sz w:val="16"/>
                <w:szCs w:val="16"/>
              </w:rPr>
              <w:t>Okres přistěhování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FF" w:fill="F5DADD"/>
            <w:vAlign w:val="center"/>
            <w:hideMark/>
          </w:tcPr>
          <w:p w:rsidR="00771D95" w:rsidRPr="00771D95" w:rsidRDefault="00771D95" w:rsidP="00771D95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71D95">
              <w:rPr>
                <w:rFonts w:cs="Arial"/>
                <w:b/>
                <w:bCs/>
                <w:sz w:val="16"/>
                <w:szCs w:val="16"/>
              </w:rPr>
              <w:t>Počet migrantů</w:t>
            </w:r>
          </w:p>
        </w:tc>
      </w:tr>
      <w:tr w:rsidR="00771D95" w:rsidRPr="00771D95" w:rsidTr="00584628">
        <w:trPr>
          <w:trHeight w:val="255"/>
        </w:trPr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Brno-město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Brno-venkov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134" w:type="dxa"/>
            </w:tcMar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38 510</w:t>
            </w:r>
          </w:p>
        </w:tc>
      </w:tr>
      <w:tr w:rsidR="00771D95" w:rsidRPr="00771D95" w:rsidTr="00584628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Brno-venkov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Brno-město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134" w:type="dxa"/>
            </w:tcMar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17 802</w:t>
            </w:r>
          </w:p>
        </w:tc>
      </w:tr>
      <w:tr w:rsidR="00771D95" w:rsidRPr="00771D95" w:rsidTr="00584628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Plzeň-město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Plzeň-sever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134" w:type="dxa"/>
            </w:tcMar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12 545</w:t>
            </w:r>
          </w:p>
        </w:tc>
      </w:tr>
      <w:tr w:rsidR="00771D95" w:rsidRPr="00771D95" w:rsidTr="00584628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Karviná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Ostrava-město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134" w:type="dxa"/>
            </w:tcMar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11 637</w:t>
            </w:r>
          </w:p>
        </w:tc>
      </w:tr>
      <w:tr w:rsidR="00771D95" w:rsidRPr="00771D95" w:rsidTr="00584628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Ostrava-město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Frýdek-Místek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134" w:type="dxa"/>
            </w:tcMar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10 737</w:t>
            </w:r>
          </w:p>
        </w:tc>
      </w:tr>
      <w:tr w:rsidR="00771D95" w:rsidRPr="00771D95" w:rsidTr="00584628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Ostrava-město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Karviná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134" w:type="dxa"/>
            </w:tcMar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10 133</w:t>
            </w:r>
          </w:p>
        </w:tc>
      </w:tr>
      <w:tr w:rsidR="00771D95" w:rsidRPr="00771D95" w:rsidTr="00584628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Ostrava-město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Opava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134" w:type="dxa"/>
            </w:tcMar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9 346</w:t>
            </w:r>
          </w:p>
        </w:tc>
      </w:tr>
      <w:tr w:rsidR="00771D95" w:rsidRPr="00771D95" w:rsidTr="00584628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Karviná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Frýdek-Místek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134" w:type="dxa"/>
            </w:tcMar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8 461</w:t>
            </w:r>
          </w:p>
        </w:tc>
      </w:tr>
      <w:tr w:rsidR="00771D95" w:rsidRPr="00771D95" w:rsidTr="00584628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Plzeň-sever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Plzeň-město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134" w:type="dxa"/>
            </w:tcMar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7 159</w:t>
            </w:r>
          </w:p>
        </w:tc>
      </w:tr>
      <w:tr w:rsidR="00771D95" w:rsidRPr="00771D95" w:rsidTr="00584628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Brno-město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Vyškov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134" w:type="dxa"/>
            </w:tcMar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6 839</w:t>
            </w:r>
          </w:p>
        </w:tc>
      </w:tr>
      <w:tr w:rsidR="00771D95" w:rsidRPr="00771D95" w:rsidTr="00584628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Plzeň-město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Plzeň-jih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134" w:type="dxa"/>
            </w:tcMar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6 624</w:t>
            </w:r>
          </w:p>
        </w:tc>
      </w:tr>
      <w:tr w:rsidR="00771D95" w:rsidRPr="00771D95" w:rsidTr="00584628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Opava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Ostrava-město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134" w:type="dxa"/>
            </w:tcMar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6 439</w:t>
            </w:r>
          </w:p>
        </w:tc>
      </w:tr>
      <w:tr w:rsidR="00771D95" w:rsidRPr="00771D95" w:rsidTr="00584628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Brno-město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Blansko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134" w:type="dxa"/>
            </w:tcMar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6 181</w:t>
            </w:r>
          </w:p>
        </w:tc>
      </w:tr>
      <w:tr w:rsidR="00771D95" w:rsidRPr="00771D95" w:rsidTr="00584628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Český Krumlov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České Budějovice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134" w:type="dxa"/>
            </w:tcMar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5 741</w:t>
            </w:r>
          </w:p>
        </w:tc>
      </w:tr>
      <w:tr w:rsidR="00771D95" w:rsidRPr="00771D95" w:rsidTr="00584628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Frýdek-Místek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Ostrava-město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134" w:type="dxa"/>
            </w:tcMar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5 497</w:t>
            </w:r>
          </w:p>
        </w:tc>
      </w:tr>
      <w:tr w:rsidR="00771D95" w:rsidRPr="00771D95" w:rsidTr="00584628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Ostrava-město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Nový Jičín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134" w:type="dxa"/>
            </w:tcMar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5 486</w:t>
            </w:r>
          </w:p>
        </w:tc>
      </w:tr>
      <w:tr w:rsidR="00771D95" w:rsidRPr="00771D95" w:rsidTr="00584628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Pardubice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Chrudim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134" w:type="dxa"/>
            </w:tcMar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5 451</w:t>
            </w:r>
          </w:p>
        </w:tc>
      </w:tr>
      <w:tr w:rsidR="00771D95" w:rsidRPr="00771D95" w:rsidTr="00584628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Liberec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Jablonec nad Nisou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134" w:type="dxa"/>
            </w:tcMar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5 181</w:t>
            </w:r>
          </w:p>
        </w:tc>
      </w:tr>
      <w:tr w:rsidR="00771D95" w:rsidRPr="00771D95" w:rsidTr="00584628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Sokolov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Karlovy Vary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134" w:type="dxa"/>
            </w:tcMar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5 048</w:t>
            </w:r>
          </w:p>
        </w:tc>
      </w:tr>
      <w:tr w:rsidR="00771D95" w:rsidRPr="00771D95" w:rsidTr="00584628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Plzeň-jih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Plzeň-město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134" w:type="dxa"/>
            </w:tcMar>
            <w:vAlign w:val="bottom"/>
            <w:hideMark/>
          </w:tcPr>
          <w:p w:rsidR="00771D95" w:rsidRPr="00771D95" w:rsidRDefault="00771D95" w:rsidP="00771D9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71D95">
              <w:rPr>
                <w:rFonts w:cs="Arial"/>
                <w:sz w:val="16"/>
                <w:szCs w:val="16"/>
              </w:rPr>
              <w:t>5 007</w:t>
            </w:r>
          </w:p>
        </w:tc>
      </w:tr>
    </w:tbl>
    <w:p w:rsidR="00771D95" w:rsidRDefault="00771D95" w:rsidP="005D4AC1">
      <w:pPr>
        <w:spacing w:after="0"/>
        <w:rPr>
          <w:rFonts w:cs="Arial"/>
          <w:b/>
          <w:szCs w:val="20"/>
        </w:rPr>
      </w:pPr>
    </w:p>
    <w:p w:rsidR="006E5FB9" w:rsidRDefault="006E5FB9" w:rsidP="006E5FB9">
      <w:pPr>
        <w:pStyle w:val="Nadpis2"/>
      </w:pPr>
      <w:bookmarkStart w:id="7" w:name="_Toc531859777"/>
      <w:r>
        <w:t xml:space="preserve">4.2 </w:t>
      </w:r>
      <w:proofErr w:type="spellStart"/>
      <w:r w:rsidRPr="006E5FB9">
        <w:t>Meziobecní</w:t>
      </w:r>
      <w:proofErr w:type="spellEnd"/>
      <w:r w:rsidRPr="006E5FB9">
        <w:t xml:space="preserve"> stěhování v rámci okresu</w:t>
      </w:r>
      <w:bookmarkEnd w:id="7"/>
    </w:p>
    <w:p w:rsidR="00DD2F82" w:rsidRPr="00BA04B8" w:rsidRDefault="00C235DF" w:rsidP="00007445">
      <w:pPr>
        <w:rPr>
          <w:rFonts w:cs="Arial"/>
          <w:szCs w:val="20"/>
        </w:rPr>
      </w:pPr>
      <w:r>
        <w:rPr>
          <w:rFonts w:cs="Arial"/>
          <w:szCs w:val="20"/>
        </w:rPr>
        <w:t xml:space="preserve">Stěhování v rámci okresu bylo v období 2005–2017 nejčastější v okrese Karviná (37 741 případů stěhování; Tab. 2). V tomto okrese se kromě Karviné nachází i další větší města (Havířov, Orlová), mezi kterými jsou migrační proudy </w:t>
      </w:r>
      <w:r w:rsidR="000C4F06">
        <w:rPr>
          <w:rFonts w:cs="Arial"/>
          <w:szCs w:val="20"/>
        </w:rPr>
        <w:t xml:space="preserve">v rámci okresu </w:t>
      </w:r>
      <w:r>
        <w:rPr>
          <w:rFonts w:cs="Arial"/>
          <w:szCs w:val="20"/>
        </w:rPr>
        <w:t xml:space="preserve">nejčastější. Za Karvinou následovaly okresy Olomouc (37 441 případů) </w:t>
      </w:r>
      <w:r>
        <w:rPr>
          <w:rFonts w:cs="Arial"/>
          <w:szCs w:val="20"/>
        </w:rPr>
        <w:lastRenderedPageBreak/>
        <w:t>a</w:t>
      </w:r>
      <w:r w:rsidR="003658E1">
        <w:rPr>
          <w:rFonts w:cs="Arial"/>
          <w:szCs w:val="20"/>
        </w:rPr>
        <w:t> </w:t>
      </w:r>
      <w:r>
        <w:rPr>
          <w:rFonts w:cs="Arial"/>
          <w:szCs w:val="20"/>
        </w:rPr>
        <w:t>České Budějovice (36 828).</w:t>
      </w:r>
      <w:r w:rsidR="00C753DE">
        <w:rPr>
          <w:rFonts w:cs="Arial"/>
          <w:szCs w:val="20"/>
        </w:rPr>
        <w:t xml:space="preserve"> Nejméně početné bylo </w:t>
      </w:r>
      <w:proofErr w:type="spellStart"/>
      <w:r w:rsidR="00C753DE">
        <w:rPr>
          <w:rFonts w:cs="Arial"/>
          <w:szCs w:val="20"/>
        </w:rPr>
        <w:t>meziobecní</w:t>
      </w:r>
      <w:proofErr w:type="spellEnd"/>
      <w:r w:rsidR="00C753DE">
        <w:rPr>
          <w:rFonts w:cs="Arial"/>
          <w:szCs w:val="20"/>
        </w:rPr>
        <w:t xml:space="preserve"> stěhování v rámci okresu (ve sledovaném období) v okrese Plzeň-město (4 149 stěhování), Plzeň-jih (7 028) a Rokycany (7 534)</w:t>
      </w:r>
      <w:r w:rsidR="006260B9">
        <w:rPr>
          <w:rStyle w:val="Znakapoznpodarou"/>
          <w:rFonts w:cs="Arial"/>
          <w:szCs w:val="20"/>
        </w:rPr>
        <w:footnoteReference w:id="8"/>
      </w:r>
      <w:r w:rsidR="00C753DE">
        <w:rPr>
          <w:rFonts w:cs="Arial"/>
          <w:szCs w:val="20"/>
        </w:rPr>
        <w:t xml:space="preserve">. </w:t>
      </w:r>
      <w:r>
        <w:rPr>
          <w:rFonts w:cs="Arial"/>
          <w:szCs w:val="20"/>
        </w:rPr>
        <w:t xml:space="preserve">   </w:t>
      </w:r>
    </w:p>
    <w:p w:rsidR="006E6E30" w:rsidRDefault="006E6E30" w:rsidP="006E6E30">
      <w:pPr>
        <w:spacing w:after="60"/>
        <w:rPr>
          <w:rFonts w:cs="Arial"/>
          <w:b/>
          <w:szCs w:val="20"/>
        </w:rPr>
      </w:pPr>
      <w:r>
        <w:rPr>
          <w:rFonts w:cs="Arial"/>
          <w:b/>
          <w:szCs w:val="20"/>
        </w:rPr>
        <w:t>Tab. 2</w:t>
      </w:r>
      <w:r w:rsidRPr="00091A5B">
        <w:rPr>
          <w:rFonts w:cs="Arial"/>
          <w:b/>
          <w:szCs w:val="20"/>
        </w:rPr>
        <w:t xml:space="preserve"> </w:t>
      </w:r>
      <w:proofErr w:type="spellStart"/>
      <w:r w:rsidRPr="006E6E30">
        <w:rPr>
          <w:rFonts w:cs="Arial"/>
          <w:b/>
          <w:szCs w:val="20"/>
        </w:rPr>
        <w:t>Meziobecní</w:t>
      </w:r>
      <w:proofErr w:type="spellEnd"/>
      <w:r w:rsidRPr="006E6E30">
        <w:rPr>
          <w:rFonts w:cs="Arial"/>
          <w:b/>
          <w:szCs w:val="20"/>
        </w:rPr>
        <w:t xml:space="preserve"> stěhování v rámci okresu podle okresů </w:t>
      </w:r>
      <w:r>
        <w:rPr>
          <w:rFonts w:cs="Arial"/>
          <w:b/>
          <w:szCs w:val="20"/>
        </w:rPr>
        <w:t xml:space="preserve">za </w:t>
      </w:r>
      <w:r w:rsidRPr="004D08F9">
        <w:rPr>
          <w:rFonts w:cs="Arial"/>
          <w:b/>
          <w:szCs w:val="20"/>
        </w:rPr>
        <w:t>období 2005–2017</w:t>
      </w:r>
    </w:p>
    <w:tbl>
      <w:tblPr>
        <w:tblW w:w="850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2126"/>
        <w:gridCol w:w="2126"/>
        <w:gridCol w:w="2126"/>
      </w:tblGrid>
      <w:tr w:rsidR="00C12EB3" w:rsidRPr="00C12EB3" w:rsidTr="00C12EB3">
        <w:trPr>
          <w:trHeight w:val="263"/>
        </w:trPr>
        <w:tc>
          <w:tcPr>
            <w:tcW w:w="3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5DADD"/>
            <w:vAlign w:val="center"/>
            <w:hideMark/>
          </w:tcPr>
          <w:p w:rsidR="00C12EB3" w:rsidRPr="00C12EB3" w:rsidRDefault="00C12EB3" w:rsidP="00C12EB3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C12EB3">
              <w:rPr>
                <w:rFonts w:cs="Arial"/>
                <w:b/>
                <w:bCs/>
                <w:sz w:val="16"/>
                <w:szCs w:val="16"/>
              </w:rPr>
              <w:t>Okresy s nejvyšším počtem migrantů</w:t>
            </w:r>
          </w:p>
        </w:tc>
        <w:tc>
          <w:tcPr>
            <w:tcW w:w="3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FFFFFF" w:fill="F5DADD"/>
            <w:vAlign w:val="center"/>
            <w:hideMark/>
          </w:tcPr>
          <w:p w:rsidR="00C12EB3" w:rsidRPr="00C12EB3" w:rsidRDefault="00C12EB3" w:rsidP="00C12EB3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C12EB3">
              <w:rPr>
                <w:rFonts w:cs="Arial"/>
                <w:b/>
                <w:bCs/>
                <w:sz w:val="16"/>
                <w:szCs w:val="16"/>
              </w:rPr>
              <w:t>Okresy s nejnižším počtem migrantů</w:t>
            </w:r>
          </w:p>
        </w:tc>
      </w:tr>
      <w:tr w:rsidR="00C12EB3" w:rsidRPr="00C12EB3" w:rsidTr="00C12EB3">
        <w:trPr>
          <w:trHeight w:val="263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5DADD"/>
            <w:vAlign w:val="center"/>
            <w:hideMark/>
          </w:tcPr>
          <w:p w:rsidR="00C12EB3" w:rsidRPr="00C12EB3" w:rsidRDefault="00C12EB3" w:rsidP="00C12EB3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C12EB3">
              <w:rPr>
                <w:rFonts w:cs="Arial"/>
                <w:b/>
                <w:bCs/>
                <w:sz w:val="16"/>
                <w:szCs w:val="16"/>
              </w:rPr>
              <w:t xml:space="preserve">Okres 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5DADD"/>
            <w:vAlign w:val="center"/>
            <w:hideMark/>
          </w:tcPr>
          <w:p w:rsidR="00C12EB3" w:rsidRPr="00C12EB3" w:rsidRDefault="00C12EB3" w:rsidP="00C12EB3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C12EB3">
              <w:rPr>
                <w:rFonts w:cs="Arial"/>
                <w:b/>
                <w:bCs/>
                <w:sz w:val="16"/>
                <w:szCs w:val="16"/>
              </w:rPr>
              <w:t>Počet migrantů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5DADD"/>
            <w:vAlign w:val="center"/>
            <w:hideMark/>
          </w:tcPr>
          <w:p w:rsidR="00C12EB3" w:rsidRPr="00C12EB3" w:rsidRDefault="00C12EB3" w:rsidP="00C12EB3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C12EB3">
              <w:rPr>
                <w:rFonts w:cs="Arial"/>
                <w:b/>
                <w:bCs/>
                <w:sz w:val="16"/>
                <w:szCs w:val="16"/>
              </w:rPr>
              <w:t>Okres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FFFFFF" w:fill="F5DADD"/>
            <w:vAlign w:val="center"/>
            <w:hideMark/>
          </w:tcPr>
          <w:p w:rsidR="00C12EB3" w:rsidRPr="00C12EB3" w:rsidRDefault="00C12EB3" w:rsidP="00C12EB3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C12EB3">
              <w:rPr>
                <w:rFonts w:cs="Arial"/>
                <w:b/>
                <w:bCs/>
                <w:sz w:val="16"/>
                <w:szCs w:val="16"/>
              </w:rPr>
              <w:t>Počet migrantů</w:t>
            </w:r>
          </w:p>
        </w:tc>
      </w:tr>
      <w:tr w:rsidR="00C12EB3" w:rsidRPr="00C12EB3" w:rsidTr="00C12EB3">
        <w:trPr>
          <w:trHeight w:val="255"/>
        </w:trPr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C12EB3" w:rsidRPr="00C12EB3" w:rsidRDefault="00C12EB3" w:rsidP="00C12EB3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12EB3">
              <w:rPr>
                <w:rFonts w:cs="Arial"/>
                <w:sz w:val="16"/>
                <w:szCs w:val="16"/>
              </w:rPr>
              <w:t>Karviná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C12EB3" w:rsidRPr="00C12EB3" w:rsidRDefault="00C12EB3" w:rsidP="007D21F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12EB3">
              <w:rPr>
                <w:rFonts w:cs="Arial"/>
                <w:sz w:val="16"/>
                <w:szCs w:val="16"/>
              </w:rPr>
              <w:t>37 741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C12EB3" w:rsidRPr="00C12EB3" w:rsidRDefault="00C12EB3" w:rsidP="00C12EB3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12EB3">
              <w:rPr>
                <w:rFonts w:cs="Arial"/>
                <w:sz w:val="16"/>
                <w:szCs w:val="16"/>
              </w:rPr>
              <w:t>Plzeň-město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C12EB3" w:rsidRPr="00C12EB3" w:rsidRDefault="00C12EB3" w:rsidP="007D21F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12EB3">
              <w:rPr>
                <w:rFonts w:cs="Arial"/>
                <w:sz w:val="16"/>
                <w:szCs w:val="16"/>
              </w:rPr>
              <w:t>4 149</w:t>
            </w:r>
          </w:p>
        </w:tc>
      </w:tr>
      <w:tr w:rsidR="00C12EB3" w:rsidRPr="00C12EB3" w:rsidTr="00C12EB3">
        <w:trPr>
          <w:trHeight w:val="255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C12EB3" w:rsidRPr="00C12EB3" w:rsidRDefault="00C12EB3" w:rsidP="00C12EB3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12EB3">
              <w:rPr>
                <w:rFonts w:cs="Arial"/>
                <w:sz w:val="16"/>
                <w:szCs w:val="16"/>
              </w:rPr>
              <w:t>Olomouc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C12EB3" w:rsidRPr="00C12EB3" w:rsidRDefault="00C12EB3" w:rsidP="007D21F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12EB3">
              <w:rPr>
                <w:rFonts w:cs="Arial"/>
                <w:sz w:val="16"/>
                <w:szCs w:val="16"/>
              </w:rPr>
              <w:t>37 441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C12EB3" w:rsidRPr="00C12EB3" w:rsidRDefault="00C12EB3" w:rsidP="00C12EB3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12EB3">
              <w:rPr>
                <w:rFonts w:cs="Arial"/>
                <w:sz w:val="16"/>
                <w:szCs w:val="16"/>
              </w:rPr>
              <w:t>Plzeň-jih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C12EB3" w:rsidRPr="00C12EB3" w:rsidRDefault="00C12EB3" w:rsidP="007D21F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12EB3">
              <w:rPr>
                <w:rFonts w:cs="Arial"/>
                <w:sz w:val="16"/>
                <w:szCs w:val="16"/>
              </w:rPr>
              <w:t>7 028</w:t>
            </w:r>
          </w:p>
        </w:tc>
      </w:tr>
      <w:tr w:rsidR="00C12EB3" w:rsidRPr="00C12EB3" w:rsidTr="00C12EB3">
        <w:trPr>
          <w:trHeight w:val="255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C12EB3" w:rsidRPr="00C12EB3" w:rsidRDefault="00C12EB3" w:rsidP="00C12EB3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12EB3">
              <w:rPr>
                <w:rFonts w:cs="Arial"/>
                <w:sz w:val="16"/>
                <w:szCs w:val="16"/>
              </w:rPr>
              <w:t>České Budějovice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C12EB3" w:rsidRPr="00C12EB3" w:rsidRDefault="00C12EB3" w:rsidP="007D21F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12EB3">
              <w:rPr>
                <w:rFonts w:cs="Arial"/>
                <w:sz w:val="16"/>
                <w:szCs w:val="16"/>
              </w:rPr>
              <w:t>36 828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C12EB3" w:rsidRPr="00C12EB3" w:rsidRDefault="00C12EB3" w:rsidP="00C12EB3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12EB3">
              <w:rPr>
                <w:rFonts w:cs="Arial"/>
                <w:sz w:val="16"/>
                <w:szCs w:val="16"/>
              </w:rPr>
              <w:t>Rokycany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C12EB3" w:rsidRPr="00C12EB3" w:rsidRDefault="00C12EB3" w:rsidP="007D21F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12EB3">
              <w:rPr>
                <w:rFonts w:cs="Arial"/>
                <w:sz w:val="16"/>
                <w:szCs w:val="16"/>
              </w:rPr>
              <w:t>7 534</w:t>
            </w:r>
          </w:p>
        </w:tc>
      </w:tr>
      <w:tr w:rsidR="00C12EB3" w:rsidRPr="00C12EB3" w:rsidTr="00C12EB3">
        <w:trPr>
          <w:trHeight w:val="255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C12EB3" w:rsidRPr="00C12EB3" w:rsidRDefault="00C12EB3" w:rsidP="00C12EB3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12EB3">
              <w:rPr>
                <w:rFonts w:cs="Arial"/>
                <w:sz w:val="16"/>
                <w:szCs w:val="16"/>
              </w:rPr>
              <w:t>Teplice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C12EB3" w:rsidRPr="00C12EB3" w:rsidRDefault="00C12EB3" w:rsidP="007D21F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12EB3">
              <w:rPr>
                <w:rFonts w:cs="Arial"/>
                <w:sz w:val="16"/>
                <w:szCs w:val="16"/>
              </w:rPr>
              <w:t>32 647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C12EB3" w:rsidRPr="00C12EB3" w:rsidRDefault="00C12EB3" w:rsidP="00C12EB3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12EB3">
              <w:rPr>
                <w:rFonts w:cs="Arial"/>
                <w:sz w:val="16"/>
                <w:szCs w:val="16"/>
              </w:rPr>
              <w:t>Prachatice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C12EB3" w:rsidRPr="00C12EB3" w:rsidRDefault="00C12EB3" w:rsidP="007D21F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12EB3">
              <w:rPr>
                <w:rFonts w:cs="Arial"/>
                <w:sz w:val="16"/>
                <w:szCs w:val="16"/>
              </w:rPr>
              <w:t>7 912</w:t>
            </w:r>
          </w:p>
        </w:tc>
      </w:tr>
      <w:tr w:rsidR="00C12EB3" w:rsidRPr="00C12EB3" w:rsidTr="00C12EB3">
        <w:trPr>
          <w:trHeight w:val="255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C12EB3" w:rsidRPr="00C12EB3" w:rsidRDefault="00C12EB3" w:rsidP="00C12EB3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12EB3">
              <w:rPr>
                <w:rFonts w:cs="Arial"/>
                <w:sz w:val="16"/>
                <w:szCs w:val="16"/>
              </w:rPr>
              <w:t>Frýdek-Místek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C12EB3" w:rsidRPr="00C12EB3" w:rsidRDefault="00C12EB3" w:rsidP="007D21F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12EB3">
              <w:rPr>
                <w:rFonts w:cs="Arial"/>
                <w:sz w:val="16"/>
                <w:szCs w:val="16"/>
              </w:rPr>
              <w:t>32 333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C12EB3" w:rsidRPr="00C12EB3" w:rsidRDefault="00C12EB3" w:rsidP="00C12EB3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12EB3">
              <w:rPr>
                <w:rFonts w:cs="Arial"/>
                <w:sz w:val="16"/>
                <w:szCs w:val="16"/>
              </w:rPr>
              <w:t>Jeseník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C12EB3" w:rsidRPr="00C12EB3" w:rsidRDefault="00C12EB3" w:rsidP="007D21F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12EB3">
              <w:rPr>
                <w:rFonts w:cs="Arial"/>
                <w:sz w:val="16"/>
                <w:szCs w:val="16"/>
              </w:rPr>
              <w:t>8 196</w:t>
            </w:r>
          </w:p>
        </w:tc>
      </w:tr>
      <w:tr w:rsidR="00C12EB3" w:rsidRPr="00C12EB3" w:rsidTr="00C12EB3">
        <w:trPr>
          <w:trHeight w:val="255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C12EB3" w:rsidRPr="00C12EB3" w:rsidRDefault="00C12EB3" w:rsidP="00C12EB3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12EB3">
              <w:rPr>
                <w:rFonts w:cs="Arial"/>
                <w:sz w:val="16"/>
                <w:szCs w:val="16"/>
              </w:rPr>
              <w:t>Chomutov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C12EB3" w:rsidRPr="00C12EB3" w:rsidRDefault="00C12EB3" w:rsidP="007D21F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12EB3">
              <w:rPr>
                <w:rFonts w:cs="Arial"/>
                <w:sz w:val="16"/>
                <w:szCs w:val="16"/>
              </w:rPr>
              <w:t>29 114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C12EB3" w:rsidRPr="00C12EB3" w:rsidRDefault="00C12EB3" w:rsidP="00C12EB3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12EB3">
              <w:rPr>
                <w:rFonts w:cs="Arial"/>
                <w:sz w:val="16"/>
                <w:szCs w:val="16"/>
              </w:rPr>
              <w:t>Plzeň-sever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C12EB3" w:rsidRPr="00C12EB3" w:rsidRDefault="00C12EB3" w:rsidP="007D21F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12EB3">
              <w:rPr>
                <w:rFonts w:cs="Arial"/>
                <w:sz w:val="16"/>
                <w:szCs w:val="16"/>
              </w:rPr>
              <w:t>8 608</w:t>
            </w:r>
          </w:p>
        </w:tc>
      </w:tr>
      <w:tr w:rsidR="00C12EB3" w:rsidRPr="00C12EB3" w:rsidTr="00C12EB3">
        <w:trPr>
          <w:trHeight w:val="255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C12EB3" w:rsidRPr="00C12EB3" w:rsidRDefault="00C12EB3" w:rsidP="00C12EB3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12EB3">
              <w:rPr>
                <w:rFonts w:cs="Arial"/>
                <w:sz w:val="16"/>
                <w:szCs w:val="16"/>
              </w:rPr>
              <w:t>Mladá Boleslav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C12EB3" w:rsidRPr="00C12EB3" w:rsidRDefault="00C12EB3" w:rsidP="007D21F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12EB3">
              <w:rPr>
                <w:rFonts w:cs="Arial"/>
                <w:sz w:val="16"/>
                <w:szCs w:val="16"/>
              </w:rPr>
              <w:t>28 122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C12EB3" w:rsidRPr="00C12EB3" w:rsidRDefault="00C12EB3" w:rsidP="00C12EB3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12EB3">
              <w:rPr>
                <w:rFonts w:cs="Arial"/>
                <w:sz w:val="16"/>
                <w:szCs w:val="16"/>
              </w:rPr>
              <w:t>Písek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C12EB3" w:rsidRPr="00C12EB3" w:rsidRDefault="00C12EB3" w:rsidP="007D21F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12EB3">
              <w:rPr>
                <w:rFonts w:cs="Arial"/>
                <w:sz w:val="16"/>
                <w:szCs w:val="16"/>
              </w:rPr>
              <w:t>9 008</w:t>
            </w:r>
          </w:p>
        </w:tc>
      </w:tr>
      <w:tr w:rsidR="00C12EB3" w:rsidRPr="00C12EB3" w:rsidTr="00C12EB3">
        <w:trPr>
          <w:trHeight w:val="255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C12EB3" w:rsidRPr="00C12EB3" w:rsidRDefault="00C12EB3" w:rsidP="00C12EB3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12EB3">
              <w:rPr>
                <w:rFonts w:cs="Arial"/>
                <w:sz w:val="16"/>
                <w:szCs w:val="16"/>
              </w:rPr>
              <w:t>Kladno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C12EB3" w:rsidRPr="00C12EB3" w:rsidRDefault="00C12EB3" w:rsidP="007D21F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12EB3">
              <w:rPr>
                <w:rFonts w:cs="Arial"/>
                <w:sz w:val="16"/>
                <w:szCs w:val="16"/>
              </w:rPr>
              <w:t>27 707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C12EB3" w:rsidRPr="00C12EB3" w:rsidRDefault="00C12EB3" w:rsidP="00C12EB3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12EB3">
              <w:rPr>
                <w:rFonts w:cs="Arial"/>
                <w:sz w:val="16"/>
                <w:szCs w:val="16"/>
              </w:rPr>
              <w:t>Praha-západ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C12EB3" w:rsidRPr="00C12EB3" w:rsidRDefault="00C12EB3" w:rsidP="007D21F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12EB3">
              <w:rPr>
                <w:rFonts w:cs="Arial"/>
                <w:sz w:val="16"/>
                <w:szCs w:val="16"/>
              </w:rPr>
              <w:t>9 303</w:t>
            </w:r>
          </w:p>
        </w:tc>
      </w:tr>
      <w:tr w:rsidR="00C12EB3" w:rsidRPr="00C12EB3" w:rsidTr="00C12EB3">
        <w:trPr>
          <w:trHeight w:val="255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C12EB3" w:rsidRPr="00C12EB3" w:rsidRDefault="00C12EB3" w:rsidP="00C12EB3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12EB3">
              <w:rPr>
                <w:rFonts w:cs="Arial"/>
                <w:sz w:val="16"/>
                <w:szCs w:val="16"/>
              </w:rPr>
              <w:t>Pardubice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C12EB3" w:rsidRPr="00C12EB3" w:rsidRDefault="00C12EB3" w:rsidP="007D21F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12EB3">
              <w:rPr>
                <w:rFonts w:cs="Arial"/>
                <w:sz w:val="16"/>
                <w:szCs w:val="16"/>
              </w:rPr>
              <w:t>26 584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C12EB3" w:rsidRPr="00C12EB3" w:rsidRDefault="00C12EB3" w:rsidP="00C12EB3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12EB3">
              <w:rPr>
                <w:rFonts w:cs="Arial"/>
                <w:sz w:val="16"/>
                <w:szCs w:val="16"/>
              </w:rPr>
              <w:t>Rakovník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C12EB3" w:rsidRPr="00C12EB3" w:rsidRDefault="00C12EB3" w:rsidP="007D21F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12EB3">
              <w:rPr>
                <w:rFonts w:cs="Arial"/>
                <w:sz w:val="16"/>
                <w:szCs w:val="16"/>
              </w:rPr>
              <w:t>9 517</w:t>
            </w:r>
          </w:p>
        </w:tc>
      </w:tr>
      <w:tr w:rsidR="00C12EB3" w:rsidRPr="00C12EB3" w:rsidTr="00C12EB3">
        <w:trPr>
          <w:trHeight w:val="255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C12EB3" w:rsidRPr="00C12EB3" w:rsidRDefault="00C12EB3" w:rsidP="00C12EB3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12EB3">
              <w:rPr>
                <w:rFonts w:cs="Arial"/>
                <w:sz w:val="16"/>
                <w:szCs w:val="16"/>
              </w:rPr>
              <w:t>Liberec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C12EB3" w:rsidRPr="00C12EB3" w:rsidRDefault="00C12EB3" w:rsidP="007D21F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12EB3">
              <w:rPr>
                <w:rFonts w:cs="Arial"/>
                <w:sz w:val="16"/>
                <w:szCs w:val="16"/>
              </w:rPr>
              <w:t>26 070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C12EB3" w:rsidRPr="00C12EB3" w:rsidRDefault="00C12EB3" w:rsidP="00C12EB3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C12EB3">
              <w:rPr>
                <w:rFonts w:cs="Arial"/>
                <w:sz w:val="16"/>
                <w:szCs w:val="16"/>
              </w:rPr>
              <w:t>Pelhřimov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C12EB3" w:rsidRPr="00C12EB3" w:rsidRDefault="00C12EB3" w:rsidP="007D21F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C12EB3">
              <w:rPr>
                <w:rFonts w:cs="Arial"/>
                <w:sz w:val="16"/>
                <w:szCs w:val="16"/>
              </w:rPr>
              <w:t>9 729</w:t>
            </w:r>
          </w:p>
        </w:tc>
      </w:tr>
    </w:tbl>
    <w:p w:rsidR="00C12EB3" w:rsidRPr="00007445" w:rsidRDefault="00C12EB3" w:rsidP="00007445">
      <w:pPr>
        <w:spacing w:after="0"/>
        <w:rPr>
          <w:rFonts w:cs="Arial"/>
          <w:szCs w:val="20"/>
        </w:rPr>
      </w:pPr>
    </w:p>
    <w:p w:rsidR="00007445" w:rsidRPr="00007445" w:rsidRDefault="006260B9" w:rsidP="007E2727">
      <w:pPr>
        <w:spacing w:after="0"/>
        <w:rPr>
          <w:rFonts w:cs="Arial"/>
          <w:szCs w:val="20"/>
        </w:rPr>
      </w:pPr>
      <w:r>
        <w:rPr>
          <w:rFonts w:cs="Arial"/>
          <w:szCs w:val="20"/>
        </w:rPr>
        <w:t>Po přepočtu na 1 000 obyvatel střední</w:t>
      </w:r>
      <w:r w:rsidR="00EB4118">
        <w:rPr>
          <w:rFonts w:cs="Arial"/>
          <w:szCs w:val="20"/>
        </w:rPr>
        <w:t>ho</w:t>
      </w:r>
      <w:r>
        <w:rPr>
          <w:rFonts w:cs="Arial"/>
          <w:szCs w:val="20"/>
        </w:rPr>
        <w:t xml:space="preserve"> stavu daného okresu měly nejvíce případů stěhování v rámci okresu za období 2005–2017</w:t>
      </w:r>
      <w:r w:rsidR="00836E97">
        <w:rPr>
          <w:rFonts w:cs="Arial"/>
          <w:szCs w:val="20"/>
        </w:rPr>
        <w:t xml:space="preserve"> (Tab. 3)</w:t>
      </w:r>
      <w:r>
        <w:rPr>
          <w:rFonts w:cs="Arial"/>
          <w:szCs w:val="20"/>
        </w:rPr>
        <w:t xml:space="preserve"> okresy Teplice (19,5 ‰), Chomutov </w:t>
      </w:r>
      <w:r w:rsidR="003658E1">
        <w:rPr>
          <w:rFonts w:cs="Arial"/>
          <w:szCs w:val="20"/>
        </w:rPr>
        <w:t>(17,9 ‰) a Mladá Boleslav (17,6 </w:t>
      </w:r>
      <w:r>
        <w:rPr>
          <w:rFonts w:cs="Arial"/>
          <w:szCs w:val="20"/>
        </w:rPr>
        <w:t>‰).</w:t>
      </w:r>
      <w:r w:rsidR="00836E97">
        <w:rPr>
          <w:rFonts w:cs="Arial"/>
          <w:szCs w:val="20"/>
        </w:rPr>
        <w:t xml:space="preserve"> Naopak nejnižší intenzita migrace v rámci okresu byla zaznamen</w:t>
      </w:r>
      <w:r w:rsidR="003658E1">
        <w:rPr>
          <w:rFonts w:cs="Arial"/>
          <w:szCs w:val="20"/>
        </w:rPr>
        <w:t>ána v okresech Plzeň-město (1,8 </w:t>
      </w:r>
      <w:r w:rsidR="00836E97">
        <w:rPr>
          <w:rFonts w:cs="Arial"/>
          <w:szCs w:val="20"/>
        </w:rPr>
        <w:t xml:space="preserve">‰) a Ostrava-město (2,8 ‰). Jedná se o vysoce urbanizované okresy s velmi nízkým počtem obcí, kde se obyvatelstvo většinou stěhuje mimo hranice okresu. Další okresy s nízkou intenzitou migrace uvnitř okresu byly např. Praha-západ, Praha-východ nebo Plzeň-jih a Plzeň-sever, kde bylo také typické stěhování mimo hranice okresu do (z) blízkého velkého města.       </w:t>
      </w:r>
      <w:r>
        <w:rPr>
          <w:rFonts w:cs="Arial"/>
          <w:szCs w:val="20"/>
        </w:rPr>
        <w:t xml:space="preserve"> </w:t>
      </w:r>
    </w:p>
    <w:p w:rsidR="00007445" w:rsidRDefault="00007445" w:rsidP="007E2727">
      <w:pPr>
        <w:spacing w:after="0"/>
        <w:rPr>
          <w:rFonts w:cs="Arial"/>
          <w:b/>
          <w:szCs w:val="20"/>
        </w:rPr>
      </w:pPr>
    </w:p>
    <w:p w:rsidR="007E2727" w:rsidRDefault="007E2727" w:rsidP="007E2727">
      <w:pPr>
        <w:spacing w:after="0"/>
        <w:rPr>
          <w:rFonts w:cs="Arial"/>
          <w:b/>
          <w:szCs w:val="20"/>
        </w:rPr>
      </w:pPr>
      <w:r>
        <w:rPr>
          <w:rFonts w:cs="Arial"/>
          <w:b/>
          <w:szCs w:val="20"/>
        </w:rPr>
        <w:t>Tab. 3</w:t>
      </w:r>
      <w:r w:rsidRPr="00091A5B">
        <w:rPr>
          <w:rFonts w:cs="Arial"/>
          <w:b/>
          <w:szCs w:val="20"/>
        </w:rPr>
        <w:t xml:space="preserve"> </w:t>
      </w:r>
      <w:proofErr w:type="spellStart"/>
      <w:r w:rsidRPr="006E6E30">
        <w:rPr>
          <w:rFonts w:cs="Arial"/>
          <w:b/>
          <w:szCs w:val="20"/>
        </w:rPr>
        <w:t>Meziobecní</w:t>
      </w:r>
      <w:proofErr w:type="spellEnd"/>
      <w:r w:rsidRPr="006E6E30">
        <w:rPr>
          <w:rFonts w:cs="Arial"/>
          <w:b/>
          <w:szCs w:val="20"/>
        </w:rPr>
        <w:t xml:space="preserve"> stěhování v rámci okresu podle okresů </w:t>
      </w:r>
      <w:r>
        <w:rPr>
          <w:rFonts w:cs="Arial"/>
          <w:b/>
          <w:szCs w:val="20"/>
        </w:rPr>
        <w:t xml:space="preserve">za </w:t>
      </w:r>
      <w:r w:rsidRPr="004D08F9">
        <w:rPr>
          <w:rFonts w:cs="Arial"/>
          <w:b/>
          <w:szCs w:val="20"/>
        </w:rPr>
        <w:t>období 2005–201</w:t>
      </w:r>
      <w:r>
        <w:rPr>
          <w:rFonts w:cs="Arial"/>
          <w:b/>
          <w:szCs w:val="20"/>
        </w:rPr>
        <w:t>7</w:t>
      </w:r>
    </w:p>
    <w:p w:rsidR="007E2727" w:rsidRDefault="007E2727" w:rsidP="007E2727">
      <w:pPr>
        <w:spacing w:after="60"/>
        <w:rPr>
          <w:rFonts w:cs="Arial"/>
          <w:b/>
          <w:szCs w:val="20"/>
        </w:rPr>
      </w:pPr>
      <w:r>
        <w:rPr>
          <w:rFonts w:cs="Arial"/>
          <w:b/>
          <w:szCs w:val="20"/>
        </w:rPr>
        <w:t xml:space="preserve">           (na 1 000 obyvatel k 1. 7.) </w:t>
      </w:r>
    </w:p>
    <w:tbl>
      <w:tblPr>
        <w:tblW w:w="850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2126"/>
        <w:gridCol w:w="2126"/>
        <w:gridCol w:w="2126"/>
      </w:tblGrid>
      <w:tr w:rsidR="00996564" w:rsidRPr="00996564" w:rsidTr="00996564">
        <w:trPr>
          <w:trHeight w:val="263"/>
        </w:trPr>
        <w:tc>
          <w:tcPr>
            <w:tcW w:w="3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5DADD"/>
            <w:vAlign w:val="center"/>
            <w:hideMark/>
          </w:tcPr>
          <w:p w:rsidR="00996564" w:rsidRPr="00996564" w:rsidRDefault="00996564" w:rsidP="00996564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996564">
              <w:rPr>
                <w:rFonts w:cs="Arial"/>
                <w:b/>
                <w:bCs/>
                <w:sz w:val="16"/>
                <w:szCs w:val="16"/>
              </w:rPr>
              <w:t>Okresy s nejvyšší intenzitou migrace</w:t>
            </w:r>
          </w:p>
        </w:tc>
        <w:tc>
          <w:tcPr>
            <w:tcW w:w="3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FFFFFF" w:fill="F5DADD"/>
            <w:vAlign w:val="center"/>
            <w:hideMark/>
          </w:tcPr>
          <w:p w:rsidR="00996564" w:rsidRPr="00996564" w:rsidRDefault="00996564" w:rsidP="00996564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996564">
              <w:rPr>
                <w:rFonts w:cs="Arial"/>
                <w:b/>
                <w:bCs/>
                <w:sz w:val="16"/>
                <w:szCs w:val="16"/>
              </w:rPr>
              <w:t>Okresy s nejnižší intenzitou migrace</w:t>
            </w:r>
          </w:p>
        </w:tc>
      </w:tr>
      <w:tr w:rsidR="00996564" w:rsidRPr="00996564" w:rsidTr="00996564">
        <w:trPr>
          <w:trHeight w:val="263"/>
        </w:trPr>
        <w:tc>
          <w:tcPr>
            <w:tcW w:w="19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FFFFFF" w:fill="F5DADD"/>
            <w:vAlign w:val="center"/>
            <w:hideMark/>
          </w:tcPr>
          <w:p w:rsidR="00996564" w:rsidRPr="00996564" w:rsidRDefault="00996564" w:rsidP="00996564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996564">
              <w:rPr>
                <w:rFonts w:cs="Arial"/>
                <w:b/>
                <w:bCs/>
                <w:sz w:val="16"/>
                <w:szCs w:val="16"/>
              </w:rPr>
              <w:t xml:space="preserve">Okres </w:t>
            </w: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5DADD"/>
            <w:vAlign w:val="center"/>
            <w:hideMark/>
          </w:tcPr>
          <w:p w:rsidR="00996564" w:rsidRPr="00996564" w:rsidRDefault="00996564" w:rsidP="00996564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996564">
              <w:rPr>
                <w:rFonts w:cs="Arial"/>
                <w:b/>
                <w:bCs/>
                <w:sz w:val="16"/>
                <w:szCs w:val="16"/>
              </w:rPr>
              <w:t xml:space="preserve">Počet migrantů na </w:t>
            </w:r>
            <w:r w:rsidRPr="00996564">
              <w:rPr>
                <w:rFonts w:cs="Arial"/>
                <w:b/>
                <w:bCs/>
                <w:sz w:val="16"/>
                <w:szCs w:val="16"/>
              </w:rPr>
              <w:br/>
              <w:t>1 000 obyvatel</w:t>
            </w: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5DADD"/>
            <w:vAlign w:val="center"/>
            <w:hideMark/>
          </w:tcPr>
          <w:p w:rsidR="00996564" w:rsidRPr="00996564" w:rsidRDefault="00996564" w:rsidP="00996564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996564">
              <w:rPr>
                <w:rFonts w:cs="Arial"/>
                <w:b/>
                <w:bCs/>
                <w:sz w:val="16"/>
                <w:szCs w:val="16"/>
              </w:rPr>
              <w:t>Okres</w:t>
            </w: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FFFFFF" w:fill="F5DADD"/>
            <w:vAlign w:val="center"/>
            <w:hideMark/>
          </w:tcPr>
          <w:p w:rsidR="00996564" w:rsidRPr="00996564" w:rsidRDefault="00996564" w:rsidP="00996564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996564">
              <w:rPr>
                <w:rFonts w:cs="Arial"/>
                <w:b/>
                <w:bCs/>
                <w:sz w:val="16"/>
                <w:szCs w:val="16"/>
              </w:rPr>
              <w:t xml:space="preserve">Počet migrantů na </w:t>
            </w:r>
            <w:r w:rsidRPr="00996564">
              <w:rPr>
                <w:rFonts w:cs="Arial"/>
                <w:b/>
                <w:bCs/>
                <w:sz w:val="16"/>
                <w:szCs w:val="16"/>
              </w:rPr>
              <w:br/>
              <w:t>1 000 obyvatel</w:t>
            </w:r>
          </w:p>
        </w:tc>
      </w:tr>
      <w:tr w:rsidR="00996564" w:rsidRPr="00996564" w:rsidTr="00996564">
        <w:trPr>
          <w:trHeight w:val="263"/>
        </w:trPr>
        <w:tc>
          <w:tcPr>
            <w:tcW w:w="19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564" w:rsidRPr="00996564" w:rsidRDefault="00996564" w:rsidP="00996564">
            <w:pPr>
              <w:spacing w:after="0" w:line="240" w:lineRule="auto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564" w:rsidRPr="00996564" w:rsidRDefault="00996564" w:rsidP="00996564">
            <w:pPr>
              <w:spacing w:after="0" w:line="240" w:lineRule="auto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6564" w:rsidRPr="00996564" w:rsidRDefault="00996564" w:rsidP="00996564">
            <w:pPr>
              <w:spacing w:after="0" w:line="240" w:lineRule="auto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96564" w:rsidRPr="00996564" w:rsidRDefault="00996564" w:rsidP="00996564">
            <w:pPr>
              <w:spacing w:after="0" w:line="240" w:lineRule="auto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996564" w:rsidRPr="00996564" w:rsidTr="00996564">
        <w:trPr>
          <w:trHeight w:val="255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96564" w:rsidRPr="00996564" w:rsidRDefault="00996564" w:rsidP="00996564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96564">
              <w:rPr>
                <w:rFonts w:cs="Arial"/>
                <w:sz w:val="16"/>
                <w:szCs w:val="16"/>
              </w:rPr>
              <w:t>Teplice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96564" w:rsidRPr="00996564" w:rsidRDefault="00996564" w:rsidP="00012BA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96564">
              <w:rPr>
                <w:rFonts w:cs="Arial"/>
                <w:sz w:val="16"/>
                <w:szCs w:val="16"/>
              </w:rPr>
              <w:t>19,5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96564" w:rsidRPr="00996564" w:rsidRDefault="00996564" w:rsidP="00996564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96564">
              <w:rPr>
                <w:rFonts w:cs="Arial"/>
                <w:sz w:val="16"/>
                <w:szCs w:val="16"/>
              </w:rPr>
              <w:t>Plzeň-město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996564" w:rsidRPr="00996564" w:rsidRDefault="00996564" w:rsidP="00012BA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96564">
              <w:rPr>
                <w:rFonts w:cs="Arial"/>
                <w:sz w:val="16"/>
                <w:szCs w:val="16"/>
              </w:rPr>
              <w:t>1,8</w:t>
            </w:r>
          </w:p>
        </w:tc>
      </w:tr>
      <w:tr w:rsidR="00996564" w:rsidRPr="00996564" w:rsidTr="00996564">
        <w:trPr>
          <w:trHeight w:val="255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96564" w:rsidRPr="00996564" w:rsidRDefault="00996564" w:rsidP="00996564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96564">
              <w:rPr>
                <w:rFonts w:cs="Arial"/>
                <w:sz w:val="16"/>
                <w:szCs w:val="16"/>
              </w:rPr>
              <w:t>Chomutov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96564" w:rsidRPr="00996564" w:rsidRDefault="00996564" w:rsidP="00012BA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96564">
              <w:rPr>
                <w:rFonts w:cs="Arial"/>
                <w:sz w:val="16"/>
                <w:szCs w:val="16"/>
              </w:rPr>
              <w:t>17,9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96564" w:rsidRPr="00996564" w:rsidRDefault="00996564" w:rsidP="00996564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96564">
              <w:rPr>
                <w:rFonts w:cs="Arial"/>
                <w:sz w:val="16"/>
                <w:szCs w:val="16"/>
              </w:rPr>
              <w:t>Ostrava-město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996564" w:rsidRPr="00996564" w:rsidRDefault="00996564" w:rsidP="00012BA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96564">
              <w:rPr>
                <w:rFonts w:cs="Arial"/>
                <w:sz w:val="16"/>
                <w:szCs w:val="16"/>
              </w:rPr>
              <w:t>2,8</w:t>
            </w:r>
          </w:p>
        </w:tc>
      </w:tr>
      <w:tr w:rsidR="00996564" w:rsidRPr="00996564" w:rsidTr="00996564">
        <w:trPr>
          <w:trHeight w:val="255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96564" w:rsidRPr="00996564" w:rsidRDefault="00996564" w:rsidP="00996564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96564">
              <w:rPr>
                <w:rFonts w:cs="Arial"/>
                <w:sz w:val="16"/>
                <w:szCs w:val="16"/>
              </w:rPr>
              <w:t>Mladá Boleslav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96564" w:rsidRPr="00996564" w:rsidRDefault="00996564" w:rsidP="00012BA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96564">
              <w:rPr>
                <w:rFonts w:cs="Arial"/>
                <w:sz w:val="16"/>
                <w:szCs w:val="16"/>
              </w:rPr>
              <w:t>17,6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96564" w:rsidRPr="00996564" w:rsidRDefault="00996564" w:rsidP="00996564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96564">
              <w:rPr>
                <w:rFonts w:cs="Arial"/>
                <w:sz w:val="16"/>
                <w:szCs w:val="16"/>
              </w:rPr>
              <w:t>Praha-západ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996564" w:rsidRPr="00996564" w:rsidRDefault="00996564" w:rsidP="00012BA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96564">
              <w:rPr>
                <w:rFonts w:cs="Arial"/>
                <w:sz w:val="16"/>
                <w:szCs w:val="16"/>
              </w:rPr>
              <w:t>5,9</w:t>
            </w:r>
          </w:p>
        </w:tc>
      </w:tr>
      <w:tr w:rsidR="00996564" w:rsidRPr="00996564" w:rsidTr="00996564">
        <w:trPr>
          <w:trHeight w:val="255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96564" w:rsidRPr="00996564" w:rsidRDefault="00996564" w:rsidP="00996564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96564">
              <w:rPr>
                <w:rFonts w:cs="Arial"/>
                <w:sz w:val="16"/>
                <w:szCs w:val="16"/>
              </w:rPr>
              <w:t>Litoměřice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96564" w:rsidRPr="00996564" w:rsidRDefault="00996564" w:rsidP="00012BA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96564">
              <w:rPr>
                <w:rFonts w:cs="Arial"/>
                <w:sz w:val="16"/>
                <w:szCs w:val="16"/>
              </w:rPr>
              <w:t>16,9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96564" w:rsidRPr="00996564" w:rsidRDefault="00996564" w:rsidP="00996564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96564">
              <w:rPr>
                <w:rFonts w:cs="Arial"/>
                <w:sz w:val="16"/>
                <w:szCs w:val="16"/>
              </w:rPr>
              <w:t>Praha-východ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996564" w:rsidRPr="00996564" w:rsidRDefault="00996564" w:rsidP="00012BA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96564">
              <w:rPr>
                <w:rFonts w:cs="Arial"/>
                <w:sz w:val="16"/>
                <w:szCs w:val="16"/>
              </w:rPr>
              <w:t>7,5</w:t>
            </w:r>
          </w:p>
        </w:tc>
      </w:tr>
      <w:tr w:rsidR="00996564" w:rsidRPr="00996564" w:rsidTr="00996564">
        <w:trPr>
          <w:trHeight w:val="255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96564" w:rsidRPr="00996564" w:rsidRDefault="00996564" w:rsidP="00996564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96564">
              <w:rPr>
                <w:rFonts w:cs="Arial"/>
                <w:sz w:val="16"/>
                <w:szCs w:val="16"/>
              </w:rPr>
              <w:t>Sokolov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96564" w:rsidRPr="00996564" w:rsidRDefault="00996564" w:rsidP="00012BA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96564">
              <w:rPr>
                <w:rFonts w:cs="Arial"/>
                <w:sz w:val="16"/>
                <w:szCs w:val="16"/>
              </w:rPr>
              <w:t>16,7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96564" w:rsidRPr="00996564" w:rsidRDefault="00996564" w:rsidP="00996564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96564">
              <w:rPr>
                <w:rFonts w:cs="Arial"/>
                <w:sz w:val="16"/>
                <w:szCs w:val="16"/>
              </w:rPr>
              <w:t>Plzeň-jih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996564" w:rsidRPr="00996564" w:rsidRDefault="00996564" w:rsidP="00012BA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96564">
              <w:rPr>
                <w:rFonts w:cs="Arial"/>
                <w:sz w:val="16"/>
                <w:szCs w:val="16"/>
              </w:rPr>
              <w:t>8,6</w:t>
            </w:r>
          </w:p>
        </w:tc>
      </w:tr>
      <w:tr w:rsidR="00996564" w:rsidRPr="00996564" w:rsidTr="00996564">
        <w:trPr>
          <w:trHeight w:val="255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96564" w:rsidRPr="00996564" w:rsidRDefault="00996564" w:rsidP="00996564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96564">
              <w:rPr>
                <w:rFonts w:cs="Arial"/>
                <w:sz w:val="16"/>
                <w:szCs w:val="16"/>
              </w:rPr>
              <w:t>Česká Lípa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96564" w:rsidRPr="00996564" w:rsidRDefault="00996564" w:rsidP="00012BA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96564">
              <w:rPr>
                <w:rFonts w:cs="Arial"/>
                <w:sz w:val="16"/>
                <w:szCs w:val="16"/>
              </w:rPr>
              <w:t>15,9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96564" w:rsidRPr="00996564" w:rsidRDefault="00996564" w:rsidP="00996564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96564">
              <w:rPr>
                <w:rFonts w:cs="Arial"/>
                <w:sz w:val="16"/>
                <w:szCs w:val="16"/>
              </w:rPr>
              <w:t>Plzeň-sever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996564" w:rsidRPr="00996564" w:rsidRDefault="00996564" w:rsidP="00012BA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96564">
              <w:rPr>
                <w:rFonts w:cs="Arial"/>
                <w:sz w:val="16"/>
                <w:szCs w:val="16"/>
              </w:rPr>
              <w:t>8,8</w:t>
            </w:r>
          </w:p>
        </w:tc>
      </w:tr>
      <w:tr w:rsidR="00996564" w:rsidRPr="00996564" w:rsidTr="00996564">
        <w:trPr>
          <w:trHeight w:val="255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96564" w:rsidRPr="00996564" w:rsidRDefault="00996564" w:rsidP="00996564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96564">
              <w:rPr>
                <w:rFonts w:cs="Arial"/>
                <w:sz w:val="16"/>
                <w:szCs w:val="16"/>
              </w:rPr>
              <w:t>Tachov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96564" w:rsidRPr="00996564" w:rsidRDefault="00996564" w:rsidP="00012BA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96564">
              <w:rPr>
                <w:rFonts w:cs="Arial"/>
                <w:sz w:val="16"/>
                <w:szCs w:val="16"/>
              </w:rPr>
              <w:t>15,8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96564" w:rsidRPr="00996564" w:rsidRDefault="00996564" w:rsidP="00996564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96564">
              <w:rPr>
                <w:rFonts w:cs="Arial"/>
                <w:sz w:val="16"/>
                <w:szCs w:val="16"/>
              </w:rPr>
              <w:t>Břeclav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996564" w:rsidRPr="00996564" w:rsidRDefault="00996564" w:rsidP="00012BA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96564">
              <w:rPr>
                <w:rFonts w:cs="Arial"/>
                <w:sz w:val="16"/>
                <w:szCs w:val="16"/>
              </w:rPr>
              <w:t>9,4</w:t>
            </w:r>
          </w:p>
        </w:tc>
      </w:tr>
      <w:tr w:rsidR="00996564" w:rsidRPr="00996564" w:rsidTr="00996564">
        <w:trPr>
          <w:trHeight w:val="255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96564" w:rsidRPr="00996564" w:rsidRDefault="00996564" w:rsidP="00996564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96564">
              <w:rPr>
                <w:rFonts w:cs="Arial"/>
                <w:sz w:val="16"/>
                <w:szCs w:val="16"/>
              </w:rPr>
              <w:t>Jeseník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96564" w:rsidRPr="00996564" w:rsidRDefault="00996564" w:rsidP="00012BA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96564">
              <w:rPr>
                <w:rFonts w:cs="Arial"/>
                <w:sz w:val="16"/>
                <w:szCs w:val="16"/>
              </w:rPr>
              <w:t>15,5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96564" w:rsidRPr="00996564" w:rsidRDefault="00996564" w:rsidP="00996564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96564">
              <w:rPr>
                <w:rFonts w:cs="Arial"/>
                <w:sz w:val="16"/>
                <w:szCs w:val="16"/>
              </w:rPr>
              <w:t>Brno-venkov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996564" w:rsidRPr="00996564" w:rsidRDefault="00996564" w:rsidP="00012BA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96564">
              <w:rPr>
                <w:rFonts w:cs="Arial"/>
                <w:sz w:val="16"/>
                <w:szCs w:val="16"/>
              </w:rPr>
              <w:t>9,7</w:t>
            </w:r>
          </w:p>
        </w:tc>
      </w:tr>
      <w:tr w:rsidR="00996564" w:rsidRPr="00996564" w:rsidTr="00996564">
        <w:trPr>
          <w:trHeight w:val="255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96564" w:rsidRPr="00996564" w:rsidRDefault="00996564" w:rsidP="00996564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96564">
              <w:rPr>
                <w:rFonts w:cs="Arial"/>
                <w:sz w:val="16"/>
                <w:szCs w:val="16"/>
              </w:rPr>
              <w:t>Český Krumlov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96564" w:rsidRPr="00996564" w:rsidRDefault="00996564" w:rsidP="00012BA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96564">
              <w:rPr>
                <w:rFonts w:cs="Arial"/>
                <w:sz w:val="16"/>
                <w:szCs w:val="16"/>
              </w:rPr>
              <w:t>15,4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96564" w:rsidRPr="00996564" w:rsidRDefault="00996564" w:rsidP="00996564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96564">
              <w:rPr>
                <w:rFonts w:cs="Arial"/>
                <w:sz w:val="16"/>
                <w:szCs w:val="16"/>
              </w:rPr>
              <w:t>Písek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996564" w:rsidRPr="00996564" w:rsidRDefault="00996564" w:rsidP="00012BA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96564">
              <w:rPr>
                <w:rFonts w:cs="Arial"/>
                <w:sz w:val="16"/>
                <w:szCs w:val="16"/>
              </w:rPr>
              <w:t>9,8</w:t>
            </w:r>
          </w:p>
        </w:tc>
      </w:tr>
      <w:tr w:rsidR="00996564" w:rsidRPr="00996564" w:rsidTr="00996564">
        <w:trPr>
          <w:trHeight w:val="255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96564" w:rsidRPr="00996564" w:rsidRDefault="00996564" w:rsidP="00996564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96564">
              <w:rPr>
                <w:rFonts w:cs="Arial"/>
                <w:sz w:val="16"/>
                <w:szCs w:val="16"/>
              </w:rPr>
              <w:t>Louny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96564" w:rsidRPr="00996564" w:rsidRDefault="00996564" w:rsidP="00012BA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96564">
              <w:rPr>
                <w:rFonts w:cs="Arial"/>
                <w:sz w:val="16"/>
                <w:szCs w:val="16"/>
              </w:rPr>
              <w:t>15,3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96564" w:rsidRPr="00996564" w:rsidRDefault="00996564" w:rsidP="00996564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96564">
              <w:rPr>
                <w:rFonts w:cs="Arial"/>
                <w:sz w:val="16"/>
                <w:szCs w:val="16"/>
              </w:rPr>
              <w:t>Hradec Králové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996564" w:rsidRPr="00996564" w:rsidRDefault="00996564" w:rsidP="00012BA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96564">
              <w:rPr>
                <w:rFonts w:cs="Arial"/>
                <w:sz w:val="16"/>
                <w:szCs w:val="16"/>
              </w:rPr>
              <w:t>9,8</w:t>
            </w:r>
          </w:p>
        </w:tc>
      </w:tr>
    </w:tbl>
    <w:p w:rsidR="00996564" w:rsidRDefault="00996564" w:rsidP="0071105F">
      <w:pPr>
        <w:spacing w:after="0"/>
        <w:rPr>
          <w:rFonts w:cs="Arial"/>
          <w:b/>
          <w:szCs w:val="20"/>
        </w:rPr>
      </w:pPr>
    </w:p>
    <w:p w:rsidR="0071105F" w:rsidRPr="008D18E2" w:rsidRDefault="008D18E2" w:rsidP="007E2727">
      <w:pPr>
        <w:spacing w:after="60"/>
        <w:rPr>
          <w:rFonts w:cs="Arial"/>
          <w:szCs w:val="20"/>
        </w:rPr>
      </w:pPr>
      <w:r w:rsidRPr="008D18E2">
        <w:rPr>
          <w:rFonts w:cs="Arial"/>
          <w:szCs w:val="20"/>
        </w:rPr>
        <w:t xml:space="preserve">Nejpočetnější </w:t>
      </w:r>
      <w:proofErr w:type="spellStart"/>
      <w:r>
        <w:rPr>
          <w:rFonts w:cs="Arial"/>
          <w:szCs w:val="20"/>
        </w:rPr>
        <w:t>meziobecní</w:t>
      </w:r>
      <w:proofErr w:type="spellEnd"/>
      <w:r>
        <w:rPr>
          <w:rFonts w:cs="Arial"/>
          <w:szCs w:val="20"/>
        </w:rPr>
        <w:t xml:space="preserve"> proud uvnitř okresu v období 2005–20</w:t>
      </w:r>
      <w:r w:rsidR="003658E1">
        <w:rPr>
          <w:rFonts w:cs="Arial"/>
          <w:szCs w:val="20"/>
        </w:rPr>
        <w:t>17 byl sledován mezi Jirkovem a </w:t>
      </w:r>
      <w:r>
        <w:rPr>
          <w:rFonts w:cs="Arial"/>
          <w:szCs w:val="20"/>
        </w:rPr>
        <w:t xml:space="preserve">Chomutovem – 4 709 případů stěhování z Jirkova do Chomutova a 4 531 opačně (Tab. 4) Také proud mezi Litvínovem a Mostem byl velmi silný – 2 472 stěhujících se z Litvínova a 2 119 opačným směrem. Časté byly i proudy mezi Teplicemi na jedné straně a Dubím/Krupkou na straně druhé. Z 12 proudů s více než 1 500 případy stěhování ve zkoumaném období jich bylo 10 na území Ústeckého kraje.  </w:t>
      </w:r>
    </w:p>
    <w:p w:rsidR="00836E97" w:rsidRDefault="00836E97" w:rsidP="003E44F7">
      <w:pPr>
        <w:spacing w:after="60"/>
        <w:rPr>
          <w:rFonts w:cs="Arial"/>
          <w:b/>
          <w:szCs w:val="20"/>
        </w:rPr>
      </w:pPr>
    </w:p>
    <w:p w:rsidR="00836E97" w:rsidRDefault="00836E97" w:rsidP="003E44F7">
      <w:pPr>
        <w:spacing w:after="60"/>
        <w:rPr>
          <w:rFonts w:cs="Arial"/>
          <w:b/>
          <w:szCs w:val="20"/>
        </w:rPr>
      </w:pPr>
    </w:p>
    <w:p w:rsidR="00836E97" w:rsidRDefault="00836E97" w:rsidP="003E44F7">
      <w:pPr>
        <w:spacing w:after="60"/>
        <w:rPr>
          <w:rFonts w:cs="Arial"/>
          <w:b/>
          <w:szCs w:val="20"/>
        </w:rPr>
      </w:pPr>
    </w:p>
    <w:p w:rsidR="003E44F7" w:rsidRDefault="003E44F7" w:rsidP="003E44F7">
      <w:pPr>
        <w:spacing w:after="60"/>
        <w:rPr>
          <w:rFonts w:cs="Arial"/>
          <w:b/>
          <w:szCs w:val="20"/>
        </w:rPr>
      </w:pPr>
      <w:r>
        <w:rPr>
          <w:rFonts w:cs="Arial"/>
          <w:b/>
          <w:szCs w:val="20"/>
        </w:rPr>
        <w:lastRenderedPageBreak/>
        <w:t>Tab. 4</w:t>
      </w:r>
      <w:r w:rsidRPr="00091A5B">
        <w:rPr>
          <w:rFonts w:cs="Arial"/>
          <w:b/>
          <w:szCs w:val="20"/>
        </w:rPr>
        <w:t xml:space="preserve"> </w:t>
      </w:r>
      <w:r>
        <w:rPr>
          <w:rFonts w:cs="Arial"/>
          <w:b/>
          <w:szCs w:val="20"/>
        </w:rPr>
        <w:t xml:space="preserve">Nejpočetnější </w:t>
      </w:r>
      <w:proofErr w:type="spellStart"/>
      <w:r>
        <w:rPr>
          <w:rFonts w:cs="Arial"/>
          <w:b/>
          <w:szCs w:val="20"/>
        </w:rPr>
        <w:t>m</w:t>
      </w:r>
      <w:r w:rsidRPr="004D08F9">
        <w:rPr>
          <w:rFonts w:cs="Arial"/>
          <w:b/>
          <w:szCs w:val="20"/>
        </w:rPr>
        <w:t>ezio</w:t>
      </w:r>
      <w:r>
        <w:rPr>
          <w:rFonts w:cs="Arial"/>
          <w:b/>
          <w:szCs w:val="20"/>
        </w:rPr>
        <w:t>becní</w:t>
      </w:r>
      <w:proofErr w:type="spellEnd"/>
      <w:r w:rsidRPr="004D08F9">
        <w:rPr>
          <w:rFonts w:cs="Arial"/>
          <w:b/>
          <w:szCs w:val="20"/>
        </w:rPr>
        <w:t xml:space="preserve"> proudy stěhování v rámci </w:t>
      </w:r>
      <w:r>
        <w:rPr>
          <w:rFonts w:cs="Arial"/>
          <w:b/>
          <w:szCs w:val="20"/>
        </w:rPr>
        <w:t>okresu</w:t>
      </w:r>
      <w:r w:rsidRPr="004D08F9">
        <w:rPr>
          <w:rFonts w:cs="Arial"/>
          <w:b/>
          <w:szCs w:val="20"/>
        </w:rPr>
        <w:t xml:space="preserve"> za období 2005–2017</w:t>
      </w:r>
    </w:p>
    <w:tbl>
      <w:tblPr>
        <w:tblW w:w="85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012BA6" w:rsidRPr="00012BA6" w:rsidTr="00012BA6">
        <w:trPr>
          <w:trHeight w:val="263"/>
        </w:trPr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5DADD"/>
            <w:vAlign w:val="center"/>
            <w:hideMark/>
          </w:tcPr>
          <w:p w:rsidR="00012BA6" w:rsidRPr="00012BA6" w:rsidRDefault="00012BA6" w:rsidP="00012BA6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012BA6">
              <w:rPr>
                <w:rFonts w:cs="Arial"/>
                <w:b/>
                <w:bCs/>
                <w:sz w:val="16"/>
                <w:szCs w:val="16"/>
              </w:rPr>
              <w:t>Obec vystěhování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5DADD"/>
            <w:vAlign w:val="center"/>
            <w:hideMark/>
          </w:tcPr>
          <w:p w:rsidR="00012BA6" w:rsidRPr="00012BA6" w:rsidRDefault="00012BA6" w:rsidP="00012BA6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012BA6">
              <w:rPr>
                <w:rFonts w:cs="Arial"/>
                <w:b/>
                <w:bCs/>
                <w:sz w:val="16"/>
                <w:szCs w:val="16"/>
              </w:rPr>
              <w:t>Obec přistěhování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FF" w:fill="F5DADD"/>
            <w:vAlign w:val="center"/>
            <w:hideMark/>
          </w:tcPr>
          <w:p w:rsidR="00012BA6" w:rsidRPr="00012BA6" w:rsidRDefault="00012BA6" w:rsidP="00012BA6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012BA6">
              <w:rPr>
                <w:rFonts w:cs="Arial"/>
                <w:b/>
                <w:bCs/>
                <w:sz w:val="16"/>
                <w:szCs w:val="16"/>
              </w:rPr>
              <w:t>Počet migrantů</w:t>
            </w:r>
          </w:p>
        </w:tc>
      </w:tr>
      <w:tr w:rsidR="00012BA6" w:rsidRPr="00012BA6" w:rsidTr="00012BA6">
        <w:trPr>
          <w:trHeight w:val="255"/>
        </w:trPr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012BA6" w:rsidRPr="00012BA6" w:rsidRDefault="00012BA6" w:rsidP="00012BA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012BA6">
              <w:rPr>
                <w:rFonts w:cs="Arial"/>
                <w:sz w:val="16"/>
                <w:szCs w:val="16"/>
              </w:rPr>
              <w:t>Jirkov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012BA6" w:rsidRPr="00012BA6" w:rsidRDefault="00012BA6" w:rsidP="00012BA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012BA6">
              <w:rPr>
                <w:rFonts w:cs="Arial"/>
                <w:sz w:val="16"/>
                <w:szCs w:val="16"/>
              </w:rPr>
              <w:t>Chomutov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012BA6" w:rsidRPr="00012BA6" w:rsidRDefault="00012BA6" w:rsidP="00012BA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012BA6">
              <w:rPr>
                <w:rFonts w:cs="Arial"/>
                <w:sz w:val="16"/>
                <w:szCs w:val="16"/>
              </w:rPr>
              <w:t>4 709</w:t>
            </w:r>
          </w:p>
        </w:tc>
      </w:tr>
      <w:tr w:rsidR="00012BA6" w:rsidRPr="008D18E2" w:rsidTr="00012BA6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012BA6" w:rsidRPr="008D18E2" w:rsidRDefault="00012BA6" w:rsidP="00012BA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8D18E2">
              <w:rPr>
                <w:rFonts w:cs="Arial"/>
                <w:sz w:val="16"/>
                <w:szCs w:val="16"/>
              </w:rPr>
              <w:t>Chomutov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012BA6" w:rsidRPr="008D18E2" w:rsidRDefault="00012BA6" w:rsidP="00012BA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8D18E2">
              <w:rPr>
                <w:rFonts w:cs="Arial"/>
                <w:sz w:val="16"/>
                <w:szCs w:val="16"/>
              </w:rPr>
              <w:t>Jirkov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012BA6" w:rsidRPr="008D18E2" w:rsidRDefault="00012BA6" w:rsidP="00012BA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18E2">
              <w:rPr>
                <w:rFonts w:cs="Arial"/>
                <w:sz w:val="16"/>
                <w:szCs w:val="16"/>
              </w:rPr>
              <w:t>4 531</w:t>
            </w:r>
          </w:p>
        </w:tc>
      </w:tr>
      <w:tr w:rsidR="00012BA6" w:rsidRPr="008D18E2" w:rsidTr="00012BA6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012BA6" w:rsidRPr="008D18E2" w:rsidRDefault="00012BA6" w:rsidP="00012BA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8D18E2">
              <w:rPr>
                <w:rFonts w:cs="Arial"/>
                <w:sz w:val="16"/>
                <w:szCs w:val="16"/>
              </w:rPr>
              <w:t>Litvínov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012BA6" w:rsidRPr="008D18E2" w:rsidRDefault="00012BA6" w:rsidP="00012BA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8D18E2">
              <w:rPr>
                <w:rFonts w:cs="Arial"/>
                <w:sz w:val="16"/>
                <w:szCs w:val="16"/>
              </w:rPr>
              <w:t>Most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012BA6" w:rsidRPr="008D18E2" w:rsidRDefault="00012BA6" w:rsidP="00012BA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18E2">
              <w:rPr>
                <w:rFonts w:cs="Arial"/>
                <w:sz w:val="16"/>
                <w:szCs w:val="16"/>
              </w:rPr>
              <w:t>2 472</w:t>
            </w:r>
          </w:p>
        </w:tc>
      </w:tr>
      <w:tr w:rsidR="00012BA6" w:rsidRPr="008D18E2" w:rsidTr="00012BA6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012BA6" w:rsidRPr="008D18E2" w:rsidRDefault="00012BA6" w:rsidP="00012BA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8D18E2">
              <w:rPr>
                <w:rFonts w:cs="Arial"/>
                <w:sz w:val="16"/>
                <w:szCs w:val="16"/>
              </w:rPr>
              <w:t>Krupka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012BA6" w:rsidRPr="008D18E2" w:rsidRDefault="00012BA6" w:rsidP="00012BA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8D18E2">
              <w:rPr>
                <w:rFonts w:cs="Arial"/>
                <w:sz w:val="16"/>
                <w:szCs w:val="16"/>
              </w:rPr>
              <w:t>Teplice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012BA6" w:rsidRPr="008D18E2" w:rsidRDefault="00012BA6" w:rsidP="00012BA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18E2">
              <w:rPr>
                <w:rFonts w:cs="Arial"/>
                <w:sz w:val="16"/>
                <w:szCs w:val="16"/>
              </w:rPr>
              <w:t>2 219</w:t>
            </w:r>
          </w:p>
        </w:tc>
      </w:tr>
      <w:tr w:rsidR="00012BA6" w:rsidRPr="008D18E2" w:rsidTr="00012BA6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012BA6" w:rsidRPr="008D18E2" w:rsidRDefault="00012BA6" w:rsidP="00012BA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8D18E2">
              <w:rPr>
                <w:rFonts w:cs="Arial"/>
                <w:sz w:val="16"/>
                <w:szCs w:val="16"/>
              </w:rPr>
              <w:t>Most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012BA6" w:rsidRPr="008D18E2" w:rsidRDefault="00012BA6" w:rsidP="00012BA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8D18E2">
              <w:rPr>
                <w:rFonts w:cs="Arial"/>
                <w:sz w:val="16"/>
                <w:szCs w:val="16"/>
              </w:rPr>
              <w:t>Litvínov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012BA6" w:rsidRPr="008D18E2" w:rsidRDefault="00012BA6" w:rsidP="00012BA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18E2">
              <w:rPr>
                <w:rFonts w:cs="Arial"/>
                <w:sz w:val="16"/>
                <w:szCs w:val="16"/>
              </w:rPr>
              <w:t>2 119</w:t>
            </w:r>
          </w:p>
        </w:tc>
      </w:tr>
      <w:tr w:rsidR="00012BA6" w:rsidRPr="008D18E2" w:rsidTr="00012BA6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012BA6" w:rsidRPr="008D18E2" w:rsidRDefault="00012BA6" w:rsidP="00012BA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8D18E2">
              <w:rPr>
                <w:rFonts w:cs="Arial"/>
                <w:sz w:val="16"/>
                <w:szCs w:val="16"/>
              </w:rPr>
              <w:t>Ostrava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012BA6" w:rsidRPr="008D18E2" w:rsidRDefault="00012BA6" w:rsidP="00012BA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8D18E2">
              <w:rPr>
                <w:rFonts w:cs="Arial"/>
                <w:sz w:val="16"/>
                <w:szCs w:val="16"/>
              </w:rPr>
              <w:t>Vratimov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012BA6" w:rsidRPr="008D18E2" w:rsidRDefault="00012BA6" w:rsidP="00012BA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18E2">
              <w:rPr>
                <w:rFonts w:cs="Arial"/>
                <w:sz w:val="16"/>
                <w:szCs w:val="16"/>
              </w:rPr>
              <w:t>1 960</w:t>
            </w:r>
          </w:p>
        </w:tc>
      </w:tr>
      <w:tr w:rsidR="00012BA6" w:rsidRPr="008D18E2" w:rsidTr="00012BA6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012BA6" w:rsidRPr="008D18E2" w:rsidRDefault="00012BA6" w:rsidP="00012BA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8D18E2">
              <w:rPr>
                <w:rFonts w:cs="Arial"/>
                <w:sz w:val="16"/>
                <w:szCs w:val="16"/>
              </w:rPr>
              <w:t>Teplice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012BA6" w:rsidRPr="008D18E2" w:rsidRDefault="00012BA6" w:rsidP="00012BA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8D18E2">
              <w:rPr>
                <w:rFonts w:cs="Arial"/>
                <w:sz w:val="16"/>
                <w:szCs w:val="16"/>
              </w:rPr>
              <w:t>Dubí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012BA6" w:rsidRPr="008D18E2" w:rsidRDefault="00012BA6" w:rsidP="00012BA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18E2">
              <w:rPr>
                <w:rFonts w:cs="Arial"/>
                <w:sz w:val="16"/>
                <w:szCs w:val="16"/>
              </w:rPr>
              <w:t>1 858</w:t>
            </w:r>
          </w:p>
        </w:tc>
      </w:tr>
      <w:tr w:rsidR="00012BA6" w:rsidRPr="008D18E2" w:rsidTr="00012BA6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012BA6" w:rsidRPr="008D18E2" w:rsidRDefault="00012BA6" w:rsidP="00012BA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8D18E2">
              <w:rPr>
                <w:rFonts w:cs="Arial"/>
                <w:sz w:val="16"/>
                <w:szCs w:val="16"/>
              </w:rPr>
              <w:t>Teplice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012BA6" w:rsidRPr="008D18E2" w:rsidRDefault="00012BA6" w:rsidP="00012BA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8D18E2">
              <w:rPr>
                <w:rFonts w:cs="Arial"/>
                <w:sz w:val="16"/>
                <w:szCs w:val="16"/>
              </w:rPr>
              <w:t>Krupka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012BA6" w:rsidRPr="008D18E2" w:rsidRDefault="00012BA6" w:rsidP="00012BA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18E2">
              <w:rPr>
                <w:rFonts w:cs="Arial"/>
                <w:sz w:val="16"/>
                <w:szCs w:val="16"/>
              </w:rPr>
              <w:t>1 731</w:t>
            </w:r>
          </w:p>
        </w:tc>
      </w:tr>
      <w:tr w:rsidR="00012BA6" w:rsidRPr="008D18E2" w:rsidTr="00012BA6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012BA6" w:rsidRPr="008D18E2" w:rsidRDefault="00012BA6" w:rsidP="00012BA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8D18E2">
              <w:rPr>
                <w:rFonts w:cs="Arial"/>
                <w:sz w:val="16"/>
                <w:szCs w:val="16"/>
              </w:rPr>
              <w:t>Trmice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012BA6" w:rsidRPr="008D18E2" w:rsidRDefault="00012BA6" w:rsidP="00012BA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8D18E2">
              <w:rPr>
                <w:rFonts w:cs="Arial"/>
                <w:sz w:val="16"/>
                <w:szCs w:val="16"/>
              </w:rPr>
              <w:t>Ústí nad Labem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012BA6" w:rsidRPr="008D18E2" w:rsidRDefault="00012BA6" w:rsidP="00012BA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18E2">
              <w:rPr>
                <w:rFonts w:cs="Arial"/>
                <w:sz w:val="16"/>
                <w:szCs w:val="16"/>
              </w:rPr>
              <w:t>1 587</w:t>
            </w:r>
          </w:p>
        </w:tc>
      </w:tr>
      <w:tr w:rsidR="00012BA6" w:rsidRPr="008D18E2" w:rsidTr="00012BA6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012BA6" w:rsidRPr="008D18E2" w:rsidRDefault="00012BA6" w:rsidP="00012BA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8D18E2">
              <w:rPr>
                <w:rFonts w:cs="Arial"/>
                <w:sz w:val="16"/>
                <w:szCs w:val="16"/>
              </w:rPr>
              <w:t>Orlová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012BA6" w:rsidRPr="008D18E2" w:rsidRDefault="00012BA6" w:rsidP="00012BA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8D18E2">
              <w:rPr>
                <w:rFonts w:cs="Arial"/>
                <w:sz w:val="16"/>
                <w:szCs w:val="16"/>
              </w:rPr>
              <w:t>Havířov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012BA6" w:rsidRPr="008D18E2" w:rsidRDefault="00012BA6" w:rsidP="00012BA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18E2">
              <w:rPr>
                <w:rFonts w:cs="Arial"/>
                <w:sz w:val="16"/>
                <w:szCs w:val="16"/>
              </w:rPr>
              <w:t>1 558</w:t>
            </w:r>
          </w:p>
        </w:tc>
      </w:tr>
      <w:tr w:rsidR="00012BA6" w:rsidRPr="00012BA6" w:rsidTr="00012BA6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012BA6" w:rsidRPr="008D18E2" w:rsidRDefault="00012BA6" w:rsidP="00012BA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8D18E2">
              <w:rPr>
                <w:rFonts w:cs="Arial"/>
                <w:sz w:val="16"/>
                <w:szCs w:val="16"/>
              </w:rPr>
              <w:t>Dubí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012BA6" w:rsidRPr="008D18E2" w:rsidRDefault="00012BA6" w:rsidP="00012BA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8D18E2">
              <w:rPr>
                <w:rFonts w:cs="Arial"/>
                <w:sz w:val="16"/>
                <w:szCs w:val="16"/>
              </w:rPr>
              <w:t>Teplice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012BA6" w:rsidRPr="00012BA6" w:rsidRDefault="00012BA6" w:rsidP="00012BA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18E2">
              <w:rPr>
                <w:rFonts w:cs="Arial"/>
                <w:sz w:val="16"/>
                <w:szCs w:val="16"/>
              </w:rPr>
              <w:t>1 556</w:t>
            </w:r>
          </w:p>
        </w:tc>
      </w:tr>
      <w:tr w:rsidR="00012BA6" w:rsidRPr="00012BA6" w:rsidTr="00012BA6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012BA6" w:rsidRPr="00012BA6" w:rsidRDefault="00012BA6" w:rsidP="00012BA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012BA6">
              <w:rPr>
                <w:rFonts w:cs="Arial"/>
                <w:sz w:val="16"/>
                <w:szCs w:val="16"/>
              </w:rPr>
              <w:t>Ústí nad Labem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012BA6" w:rsidRPr="00012BA6" w:rsidRDefault="00012BA6" w:rsidP="00012BA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012BA6">
              <w:rPr>
                <w:rFonts w:cs="Arial"/>
                <w:sz w:val="16"/>
                <w:szCs w:val="16"/>
              </w:rPr>
              <w:t>Trmice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012BA6" w:rsidRPr="00012BA6" w:rsidRDefault="00012BA6" w:rsidP="00012BA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012BA6">
              <w:rPr>
                <w:rFonts w:cs="Arial"/>
                <w:sz w:val="16"/>
                <w:szCs w:val="16"/>
              </w:rPr>
              <w:t>1 536</w:t>
            </w:r>
          </w:p>
        </w:tc>
      </w:tr>
    </w:tbl>
    <w:p w:rsidR="006E6E30" w:rsidRPr="006E6E30" w:rsidRDefault="006E6E30" w:rsidP="006E6E30"/>
    <w:p w:rsidR="00DE48EF" w:rsidRDefault="00DE48EF" w:rsidP="00AF17BA">
      <w:pPr>
        <w:pStyle w:val="Nadpis1"/>
      </w:pPr>
    </w:p>
    <w:p w:rsidR="00DE48EF" w:rsidRDefault="00DE48EF" w:rsidP="00AF17BA">
      <w:pPr>
        <w:pStyle w:val="Nadpis1"/>
      </w:pPr>
    </w:p>
    <w:p w:rsidR="00DE48EF" w:rsidRDefault="00DE48EF" w:rsidP="00AF17BA">
      <w:pPr>
        <w:pStyle w:val="Nadpis1"/>
      </w:pPr>
    </w:p>
    <w:p w:rsidR="00DE48EF" w:rsidRDefault="00DE48EF" w:rsidP="00AF17BA">
      <w:pPr>
        <w:pStyle w:val="Nadpis1"/>
      </w:pPr>
    </w:p>
    <w:p w:rsidR="00836E97" w:rsidRDefault="00836E97" w:rsidP="00AF17BA">
      <w:pPr>
        <w:pStyle w:val="Nadpis1"/>
      </w:pPr>
    </w:p>
    <w:p w:rsidR="00836E97" w:rsidRDefault="00836E97" w:rsidP="00AF17BA">
      <w:pPr>
        <w:pStyle w:val="Nadpis1"/>
      </w:pPr>
    </w:p>
    <w:p w:rsidR="00836E97" w:rsidRDefault="00836E97" w:rsidP="00AF17BA">
      <w:pPr>
        <w:pStyle w:val="Nadpis1"/>
      </w:pPr>
    </w:p>
    <w:p w:rsidR="00836E97" w:rsidRDefault="00836E97" w:rsidP="00AF17BA">
      <w:pPr>
        <w:pStyle w:val="Nadpis1"/>
      </w:pPr>
    </w:p>
    <w:p w:rsidR="00836E97" w:rsidRDefault="00836E97" w:rsidP="00AF17BA">
      <w:pPr>
        <w:pStyle w:val="Nadpis1"/>
      </w:pPr>
    </w:p>
    <w:p w:rsidR="0069614B" w:rsidRDefault="0069614B" w:rsidP="00AF17BA">
      <w:pPr>
        <w:pStyle w:val="Nadpis1"/>
      </w:pPr>
    </w:p>
    <w:p w:rsidR="0069614B" w:rsidRDefault="0069614B" w:rsidP="00AF17BA">
      <w:pPr>
        <w:pStyle w:val="Nadpis1"/>
      </w:pPr>
    </w:p>
    <w:p w:rsidR="0069614B" w:rsidRDefault="0069614B" w:rsidP="00AF17BA">
      <w:pPr>
        <w:pStyle w:val="Nadpis1"/>
      </w:pPr>
    </w:p>
    <w:p w:rsidR="0069614B" w:rsidRDefault="0069614B" w:rsidP="00AF17BA">
      <w:pPr>
        <w:pStyle w:val="Nadpis1"/>
      </w:pPr>
    </w:p>
    <w:p w:rsidR="0069614B" w:rsidRDefault="0069614B" w:rsidP="00AF17BA">
      <w:pPr>
        <w:pStyle w:val="Nadpis1"/>
      </w:pPr>
    </w:p>
    <w:p w:rsidR="0069614B" w:rsidRDefault="0069614B" w:rsidP="00AF17BA">
      <w:pPr>
        <w:pStyle w:val="Nadpis1"/>
      </w:pPr>
    </w:p>
    <w:p w:rsidR="0069614B" w:rsidRDefault="0069614B" w:rsidP="00AF17BA">
      <w:pPr>
        <w:pStyle w:val="Nadpis1"/>
      </w:pPr>
    </w:p>
    <w:p w:rsidR="0069614B" w:rsidRDefault="0069614B" w:rsidP="00AF17BA">
      <w:pPr>
        <w:pStyle w:val="Nadpis1"/>
      </w:pPr>
    </w:p>
    <w:p w:rsidR="0069614B" w:rsidRDefault="0069614B" w:rsidP="00AF17BA">
      <w:pPr>
        <w:pStyle w:val="Nadpis1"/>
      </w:pPr>
    </w:p>
    <w:p w:rsidR="0069614B" w:rsidRDefault="0069614B" w:rsidP="00AF17BA">
      <w:pPr>
        <w:pStyle w:val="Nadpis1"/>
      </w:pPr>
    </w:p>
    <w:p w:rsidR="0069614B" w:rsidRDefault="0069614B" w:rsidP="00AF17BA">
      <w:pPr>
        <w:pStyle w:val="Nadpis1"/>
      </w:pPr>
    </w:p>
    <w:p w:rsidR="0069614B" w:rsidRDefault="0069614B" w:rsidP="00AF17BA">
      <w:pPr>
        <w:pStyle w:val="Nadpis1"/>
      </w:pPr>
    </w:p>
    <w:p w:rsidR="0069614B" w:rsidRDefault="0069614B" w:rsidP="00AF17BA">
      <w:pPr>
        <w:pStyle w:val="Nadpis1"/>
      </w:pPr>
    </w:p>
    <w:p w:rsidR="0069614B" w:rsidRDefault="0069614B" w:rsidP="00AF17BA">
      <w:pPr>
        <w:pStyle w:val="Nadpis1"/>
      </w:pPr>
    </w:p>
    <w:p w:rsidR="0054598A" w:rsidRPr="0054598A" w:rsidRDefault="00AF17BA" w:rsidP="0054598A">
      <w:pPr>
        <w:pStyle w:val="Nadpis1"/>
      </w:pPr>
      <w:bookmarkStart w:id="8" w:name="_Toc531859778"/>
      <w:r>
        <w:lastRenderedPageBreak/>
        <w:t>5. Meziokresní stěhování</w:t>
      </w:r>
      <w:bookmarkEnd w:id="8"/>
    </w:p>
    <w:p w:rsidR="00AB7033" w:rsidRDefault="003739F1" w:rsidP="00AB7033">
      <w:pPr>
        <w:spacing w:after="0"/>
      </w:pPr>
      <w:r>
        <w:t>Nejvíce obyvatel se u meziokresního stěhování (bez ohledu na hranice krajů) přistěhovalo ve sledovaném období 2005–2017 do okresů tvořených velkými městy nebo jejich zázemím (Přílohová tabulka 28). Vůbec nejvíce to bylo v případě Prahy (262 757 případů), následovala Praha-východ (85 196) a Praha-západ (72 647).</w:t>
      </w:r>
      <w:r w:rsidR="00AB7033">
        <w:t xml:space="preserve"> U vystěhovalých dominovaly velké městské okresy (Přílohová tabulka 29) – Praha (281 886 případů), Brno-město (94 071) a Ostrava-město (60 655). </w:t>
      </w:r>
      <w:r>
        <w:t xml:space="preserve">  </w:t>
      </w:r>
    </w:p>
    <w:p w:rsidR="00AB7033" w:rsidRDefault="00AB7033" w:rsidP="00AB7033">
      <w:pPr>
        <w:spacing w:after="0"/>
      </w:pPr>
    </w:p>
    <w:p w:rsidR="00AB7033" w:rsidRDefault="000D53BE" w:rsidP="00AB7033">
      <w:pPr>
        <w:spacing w:after="0"/>
      </w:pPr>
      <w:r>
        <w:t>Okresy v zázemí Prahy nejvíce populačně profitovaly z vnitřní migrace. Ve sledovaném období měly nejvyšší saldo migrace Praha-východ (45 332) a Praha-západ (37 543).</w:t>
      </w:r>
      <w:r w:rsidR="00ED2ABF">
        <w:t xml:space="preserve"> Maximálních hodnot v těchto okresech bylo dosaženo v roce </w:t>
      </w:r>
      <w:r w:rsidR="004C7F81">
        <w:t>2008</w:t>
      </w:r>
      <w:r w:rsidR="00ED2ABF">
        <w:t>.</w:t>
      </w:r>
      <w:r>
        <w:t xml:space="preserve"> V první desítce okresů (Tab. 5) najdeme sedm ze Středočeského kraje, které doplňují Brno-venkov, České Budějovice a Plzeň-sever.</w:t>
      </w:r>
      <w:r w:rsidR="00ED2ABF">
        <w:t xml:space="preserve"> Naopak nejvíce obyvatel vnitřní migrací ztratily v období 2005–2017 okresy Brno-město (-23 957), Praha (-19 129), Karviná (-18 107)</w:t>
      </w:r>
      <w:r w:rsidR="0007054F">
        <w:t xml:space="preserve"> a Ostrava-město </w:t>
      </w:r>
      <w:r w:rsidR="0007054F">
        <w:br/>
        <w:t>(-</w:t>
      </w:r>
      <w:r w:rsidR="00ED2ABF">
        <w:t>18 099).</w:t>
      </w:r>
      <w:r w:rsidR="000351D8">
        <w:t xml:space="preserve"> Kromě Prahy se snižoval počet obyvatel vnitřní migrací v těchto okresech každý rok. V Praze to bylo pouze v letech 2005–2006, 2008–2013</w:t>
      </w:r>
      <w:r w:rsidR="004C7F81">
        <w:t xml:space="preserve"> (maximum v roce 2008)</w:t>
      </w:r>
      <w:r w:rsidR="000351D8">
        <w:t xml:space="preserve"> a mírně také v roce 2015</w:t>
      </w:r>
      <w:r w:rsidR="004C7F81">
        <w:t xml:space="preserve"> (Přílohová tabulka 31)</w:t>
      </w:r>
      <w:r w:rsidR="000351D8">
        <w:t>.</w:t>
      </w:r>
      <w:r w:rsidR="00782784">
        <w:t xml:space="preserve"> Mezi deseti okresy s nejhorším saldem vnitřního</w:t>
      </w:r>
      <w:r w:rsidR="00D50F93">
        <w:t xml:space="preserve"> stěhování byly všechny tři okresy z </w:t>
      </w:r>
      <w:r w:rsidR="00782784">
        <w:t xml:space="preserve">Karlovarského kraje. </w:t>
      </w:r>
      <w:r w:rsidR="000351D8">
        <w:t xml:space="preserve"> </w:t>
      </w:r>
      <w:r w:rsidR="00ED2ABF">
        <w:t xml:space="preserve">   </w:t>
      </w:r>
      <w:r>
        <w:t xml:space="preserve"> </w:t>
      </w:r>
    </w:p>
    <w:p w:rsidR="003739F1" w:rsidRDefault="003739F1" w:rsidP="00AB7033">
      <w:pPr>
        <w:spacing w:after="0"/>
      </w:pPr>
      <w:r>
        <w:t xml:space="preserve"> </w:t>
      </w:r>
    </w:p>
    <w:p w:rsidR="00D325AC" w:rsidRDefault="00D325AC" w:rsidP="00D325AC">
      <w:pPr>
        <w:spacing w:after="60"/>
        <w:rPr>
          <w:rFonts w:cs="Arial"/>
          <w:b/>
          <w:szCs w:val="20"/>
        </w:rPr>
      </w:pPr>
      <w:r>
        <w:rPr>
          <w:rFonts w:cs="Arial"/>
          <w:b/>
          <w:szCs w:val="20"/>
        </w:rPr>
        <w:t>Tab. 5</w:t>
      </w:r>
      <w:r w:rsidRPr="00091A5B">
        <w:rPr>
          <w:rFonts w:cs="Arial"/>
          <w:b/>
          <w:szCs w:val="20"/>
        </w:rPr>
        <w:t xml:space="preserve"> </w:t>
      </w:r>
      <w:r>
        <w:rPr>
          <w:rFonts w:cs="Arial"/>
          <w:b/>
          <w:szCs w:val="20"/>
        </w:rPr>
        <w:t xml:space="preserve">Saldo </w:t>
      </w:r>
      <w:r w:rsidRPr="006E6E30">
        <w:rPr>
          <w:rFonts w:cs="Arial"/>
          <w:b/>
          <w:szCs w:val="20"/>
        </w:rPr>
        <w:t xml:space="preserve">stěhování podle okresů </w:t>
      </w:r>
      <w:r>
        <w:rPr>
          <w:rFonts w:cs="Arial"/>
          <w:b/>
          <w:szCs w:val="20"/>
        </w:rPr>
        <w:t xml:space="preserve">za </w:t>
      </w:r>
      <w:r w:rsidRPr="004D08F9">
        <w:rPr>
          <w:rFonts w:cs="Arial"/>
          <w:b/>
          <w:szCs w:val="20"/>
        </w:rPr>
        <w:t>období 2005–2017</w:t>
      </w:r>
    </w:p>
    <w:tbl>
      <w:tblPr>
        <w:tblW w:w="85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2126"/>
        <w:gridCol w:w="2126"/>
        <w:gridCol w:w="2126"/>
      </w:tblGrid>
      <w:tr w:rsidR="0075221A" w:rsidRPr="0075221A" w:rsidTr="0075221A">
        <w:trPr>
          <w:trHeight w:val="263"/>
        </w:trPr>
        <w:tc>
          <w:tcPr>
            <w:tcW w:w="3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5DADD"/>
            <w:vAlign w:val="center"/>
            <w:hideMark/>
          </w:tcPr>
          <w:p w:rsidR="0075221A" w:rsidRPr="0075221A" w:rsidRDefault="0075221A" w:rsidP="0075221A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5221A">
              <w:rPr>
                <w:rFonts w:cs="Arial"/>
                <w:b/>
                <w:bCs/>
                <w:sz w:val="16"/>
                <w:szCs w:val="16"/>
              </w:rPr>
              <w:t>Okresy s nejvyšším saldem</w:t>
            </w:r>
          </w:p>
        </w:tc>
        <w:tc>
          <w:tcPr>
            <w:tcW w:w="3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FFFFFF" w:fill="F5DADD"/>
            <w:vAlign w:val="center"/>
            <w:hideMark/>
          </w:tcPr>
          <w:p w:rsidR="0075221A" w:rsidRPr="0075221A" w:rsidRDefault="0075221A" w:rsidP="0075221A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5221A">
              <w:rPr>
                <w:rFonts w:cs="Arial"/>
                <w:b/>
                <w:bCs/>
                <w:sz w:val="16"/>
                <w:szCs w:val="16"/>
              </w:rPr>
              <w:t>Okresy s nejnižším saldem</w:t>
            </w:r>
          </w:p>
        </w:tc>
      </w:tr>
      <w:tr w:rsidR="0075221A" w:rsidRPr="0075221A" w:rsidTr="0075221A">
        <w:trPr>
          <w:trHeight w:val="263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5DADD"/>
            <w:vAlign w:val="center"/>
            <w:hideMark/>
          </w:tcPr>
          <w:p w:rsidR="0075221A" w:rsidRPr="0075221A" w:rsidRDefault="0075221A" w:rsidP="0075221A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5221A">
              <w:rPr>
                <w:rFonts w:cs="Arial"/>
                <w:b/>
                <w:bCs/>
                <w:sz w:val="16"/>
                <w:szCs w:val="16"/>
              </w:rPr>
              <w:t xml:space="preserve">Okres 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5DADD"/>
            <w:vAlign w:val="center"/>
            <w:hideMark/>
          </w:tcPr>
          <w:p w:rsidR="0075221A" w:rsidRPr="0075221A" w:rsidRDefault="0075221A" w:rsidP="0075221A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5221A">
              <w:rPr>
                <w:rFonts w:cs="Arial"/>
                <w:b/>
                <w:bCs/>
                <w:sz w:val="16"/>
                <w:szCs w:val="16"/>
              </w:rPr>
              <w:t>Saldo stěhování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5DADD"/>
            <w:vAlign w:val="center"/>
            <w:hideMark/>
          </w:tcPr>
          <w:p w:rsidR="0075221A" w:rsidRPr="0075221A" w:rsidRDefault="0075221A" w:rsidP="0075221A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5221A">
              <w:rPr>
                <w:rFonts w:cs="Arial"/>
                <w:b/>
                <w:bCs/>
                <w:sz w:val="16"/>
                <w:szCs w:val="16"/>
              </w:rPr>
              <w:t>Okres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FFFFFF" w:fill="F5DADD"/>
            <w:vAlign w:val="center"/>
            <w:hideMark/>
          </w:tcPr>
          <w:p w:rsidR="0075221A" w:rsidRPr="0075221A" w:rsidRDefault="0075221A" w:rsidP="0075221A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5221A">
              <w:rPr>
                <w:rFonts w:cs="Arial"/>
                <w:b/>
                <w:bCs/>
                <w:sz w:val="16"/>
                <w:szCs w:val="16"/>
              </w:rPr>
              <w:t>Saldo stěhování</w:t>
            </w:r>
          </w:p>
        </w:tc>
      </w:tr>
      <w:tr w:rsidR="0075221A" w:rsidRPr="0075221A" w:rsidTr="00E1696B">
        <w:trPr>
          <w:trHeight w:val="255"/>
        </w:trPr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5221A" w:rsidRPr="0075221A" w:rsidRDefault="0075221A" w:rsidP="0075221A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5221A">
              <w:rPr>
                <w:rFonts w:cs="Arial"/>
                <w:sz w:val="16"/>
                <w:szCs w:val="16"/>
              </w:rPr>
              <w:t>Praha-východ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tcMar>
              <w:right w:w="851" w:type="dxa"/>
            </w:tcMar>
            <w:vAlign w:val="bottom"/>
            <w:hideMark/>
          </w:tcPr>
          <w:p w:rsidR="0075221A" w:rsidRPr="0075221A" w:rsidRDefault="0075221A" w:rsidP="007522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5221A">
              <w:rPr>
                <w:rFonts w:cs="Arial"/>
                <w:sz w:val="16"/>
                <w:szCs w:val="16"/>
              </w:rPr>
              <w:t>45 332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5221A" w:rsidRPr="0075221A" w:rsidRDefault="0075221A" w:rsidP="0075221A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5221A">
              <w:rPr>
                <w:rFonts w:cs="Arial"/>
                <w:sz w:val="16"/>
                <w:szCs w:val="16"/>
              </w:rPr>
              <w:t>Brno-město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851" w:type="dxa"/>
            </w:tcMar>
            <w:vAlign w:val="bottom"/>
            <w:hideMark/>
          </w:tcPr>
          <w:p w:rsidR="0075221A" w:rsidRPr="0075221A" w:rsidRDefault="0075221A" w:rsidP="007522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5221A">
              <w:rPr>
                <w:rFonts w:cs="Arial"/>
                <w:sz w:val="16"/>
                <w:szCs w:val="16"/>
              </w:rPr>
              <w:t>-23 957</w:t>
            </w:r>
          </w:p>
        </w:tc>
      </w:tr>
      <w:tr w:rsidR="0075221A" w:rsidRPr="0075221A" w:rsidTr="00E1696B">
        <w:trPr>
          <w:trHeight w:val="255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5221A" w:rsidRPr="0075221A" w:rsidRDefault="0075221A" w:rsidP="0075221A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5221A">
              <w:rPr>
                <w:rFonts w:cs="Arial"/>
                <w:sz w:val="16"/>
                <w:szCs w:val="16"/>
              </w:rPr>
              <w:t>Praha-západ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tcMar>
              <w:right w:w="851" w:type="dxa"/>
            </w:tcMar>
            <w:vAlign w:val="bottom"/>
            <w:hideMark/>
          </w:tcPr>
          <w:p w:rsidR="0075221A" w:rsidRPr="0075221A" w:rsidRDefault="0075221A" w:rsidP="007522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5221A">
              <w:rPr>
                <w:rFonts w:cs="Arial"/>
                <w:sz w:val="16"/>
                <w:szCs w:val="16"/>
              </w:rPr>
              <w:t>37 543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5221A" w:rsidRPr="0075221A" w:rsidRDefault="002015D5" w:rsidP="0075221A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Praha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851" w:type="dxa"/>
            </w:tcMar>
            <w:vAlign w:val="bottom"/>
            <w:hideMark/>
          </w:tcPr>
          <w:p w:rsidR="0075221A" w:rsidRPr="0075221A" w:rsidRDefault="0075221A" w:rsidP="007522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5221A">
              <w:rPr>
                <w:rFonts w:cs="Arial"/>
                <w:sz w:val="16"/>
                <w:szCs w:val="16"/>
              </w:rPr>
              <w:t>-19 129</w:t>
            </w:r>
          </w:p>
        </w:tc>
      </w:tr>
      <w:tr w:rsidR="0075221A" w:rsidRPr="0075221A" w:rsidTr="00E1696B">
        <w:trPr>
          <w:trHeight w:val="255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5221A" w:rsidRPr="0075221A" w:rsidRDefault="0075221A" w:rsidP="0075221A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5221A">
              <w:rPr>
                <w:rFonts w:cs="Arial"/>
                <w:sz w:val="16"/>
                <w:szCs w:val="16"/>
              </w:rPr>
              <w:t>Brno-venkov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tcMar>
              <w:right w:w="851" w:type="dxa"/>
            </w:tcMar>
            <w:vAlign w:val="bottom"/>
            <w:hideMark/>
          </w:tcPr>
          <w:p w:rsidR="0075221A" w:rsidRPr="0075221A" w:rsidRDefault="0075221A" w:rsidP="007522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5221A">
              <w:rPr>
                <w:rFonts w:cs="Arial"/>
                <w:sz w:val="16"/>
                <w:szCs w:val="16"/>
              </w:rPr>
              <w:t>19 852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5221A" w:rsidRPr="0075221A" w:rsidRDefault="0075221A" w:rsidP="0075221A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5221A">
              <w:rPr>
                <w:rFonts w:cs="Arial"/>
                <w:sz w:val="16"/>
                <w:szCs w:val="16"/>
              </w:rPr>
              <w:t>Karviná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851" w:type="dxa"/>
            </w:tcMar>
            <w:vAlign w:val="bottom"/>
            <w:hideMark/>
          </w:tcPr>
          <w:p w:rsidR="0075221A" w:rsidRPr="0075221A" w:rsidRDefault="0075221A" w:rsidP="007522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5221A">
              <w:rPr>
                <w:rFonts w:cs="Arial"/>
                <w:sz w:val="16"/>
                <w:szCs w:val="16"/>
              </w:rPr>
              <w:t>-18 107</w:t>
            </w:r>
          </w:p>
        </w:tc>
      </w:tr>
      <w:tr w:rsidR="0075221A" w:rsidRPr="0075221A" w:rsidTr="00E1696B">
        <w:trPr>
          <w:trHeight w:val="255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5221A" w:rsidRPr="0075221A" w:rsidRDefault="0075221A" w:rsidP="0075221A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5221A">
              <w:rPr>
                <w:rFonts w:cs="Arial"/>
                <w:sz w:val="16"/>
                <w:szCs w:val="16"/>
              </w:rPr>
              <w:t>Beroun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tcMar>
              <w:right w:w="851" w:type="dxa"/>
            </w:tcMar>
            <w:vAlign w:val="bottom"/>
            <w:hideMark/>
          </w:tcPr>
          <w:p w:rsidR="0075221A" w:rsidRPr="0075221A" w:rsidRDefault="0075221A" w:rsidP="007522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5221A">
              <w:rPr>
                <w:rFonts w:cs="Arial"/>
                <w:sz w:val="16"/>
                <w:szCs w:val="16"/>
              </w:rPr>
              <w:t>10 733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5221A" w:rsidRPr="0075221A" w:rsidRDefault="0075221A" w:rsidP="0075221A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5221A">
              <w:rPr>
                <w:rFonts w:cs="Arial"/>
                <w:sz w:val="16"/>
                <w:szCs w:val="16"/>
              </w:rPr>
              <w:t>Ostrava-město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851" w:type="dxa"/>
            </w:tcMar>
            <w:vAlign w:val="bottom"/>
            <w:hideMark/>
          </w:tcPr>
          <w:p w:rsidR="0075221A" w:rsidRPr="0075221A" w:rsidRDefault="0075221A" w:rsidP="007522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5221A">
              <w:rPr>
                <w:rFonts w:cs="Arial"/>
                <w:sz w:val="16"/>
                <w:szCs w:val="16"/>
              </w:rPr>
              <w:t>-18 099</w:t>
            </w:r>
          </w:p>
        </w:tc>
      </w:tr>
      <w:tr w:rsidR="0075221A" w:rsidRPr="0075221A" w:rsidTr="00E1696B">
        <w:trPr>
          <w:trHeight w:val="255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5221A" w:rsidRPr="0075221A" w:rsidRDefault="0075221A" w:rsidP="0075221A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5221A">
              <w:rPr>
                <w:rFonts w:cs="Arial"/>
                <w:sz w:val="16"/>
                <w:szCs w:val="16"/>
              </w:rPr>
              <w:t>České Budějovice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tcMar>
              <w:right w:w="851" w:type="dxa"/>
            </w:tcMar>
            <w:vAlign w:val="bottom"/>
            <w:hideMark/>
          </w:tcPr>
          <w:p w:rsidR="0075221A" w:rsidRPr="0075221A" w:rsidRDefault="0075221A" w:rsidP="007522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5221A">
              <w:rPr>
                <w:rFonts w:cs="Arial"/>
                <w:sz w:val="16"/>
                <w:szCs w:val="16"/>
              </w:rPr>
              <w:t>7 500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5221A" w:rsidRPr="0075221A" w:rsidRDefault="0075221A" w:rsidP="0075221A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5221A">
              <w:rPr>
                <w:rFonts w:cs="Arial"/>
                <w:sz w:val="16"/>
                <w:szCs w:val="16"/>
              </w:rPr>
              <w:t>Karlovy Vary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851" w:type="dxa"/>
            </w:tcMar>
            <w:vAlign w:val="bottom"/>
            <w:hideMark/>
          </w:tcPr>
          <w:p w:rsidR="0075221A" w:rsidRPr="0075221A" w:rsidRDefault="0075221A" w:rsidP="007522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5221A">
              <w:rPr>
                <w:rFonts w:cs="Arial"/>
                <w:sz w:val="16"/>
                <w:szCs w:val="16"/>
              </w:rPr>
              <w:t>-7 563</w:t>
            </w:r>
          </w:p>
        </w:tc>
      </w:tr>
      <w:tr w:rsidR="0075221A" w:rsidRPr="0075221A" w:rsidTr="00E1696B">
        <w:trPr>
          <w:trHeight w:val="255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5221A" w:rsidRPr="0075221A" w:rsidRDefault="0075221A" w:rsidP="0075221A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5221A">
              <w:rPr>
                <w:rFonts w:cs="Arial"/>
                <w:sz w:val="16"/>
                <w:szCs w:val="16"/>
              </w:rPr>
              <w:t>Nymburk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tcMar>
              <w:right w:w="851" w:type="dxa"/>
            </w:tcMar>
            <w:vAlign w:val="bottom"/>
            <w:hideMark/>
          </w:tcPr>
          <w:p w:rsidR="0075221A" w:rsidRPr="0075221A" w:rsidRDefault="0075221A" w:rsidP="007522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5221A">
              <w:rPr>
                <w:rFonts w:cs="Arial"/>
                <w:sz w:val="16"/>
                <w:szCs w:val="16"/>
              </w:rPr>
              <w:t>7 090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5221A" w:rsidRPr="0075221A" w:rsidRDefault="0075221A" w:rsidP="0075221A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5221A">
              <w:rPr>
                <w:rFonts w:cs="Arial"/>
                <w:sz w:val="16"/>
                <w:szCs w:val="16"/>
              </w:rPr>
              <w:t>Most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851" w:type="dxa"/>
            </w:tcMar>
            <w:vAlign w:val="bottom"/>
            <w:hideMark/>
          </w:tcPr>
          <w:p w:rsidR="0075221A" w:rsidRPr="0075221A" w:rsidRDefault="0075221A" w:rsidP="007522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5221A">
              <w:rPr>
                <w:rFonts w:cs="Arial"/>
                <w:sz w:val="16"/>
                <w:szCs w:val="16"/>
              </w:rPr>
              <w:t>-5 078</w:t>
            </w:r>
          </w:p>
        </w:tc>
      </w:tr>
      <w:tr w:rsidR="0075221A" w:rsidRPr="0075221A" w:rsidTr="00E1696B">
        <w:trPr>
          <w:trHeight w:val="255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5221A" w:rsidRPr="0075221A" w:rsidRDefault="0075221A" w:rsidP="0075221A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5221A">
              <w:rPr>
                <w:rFonts w:cs="Arial"/>
                <w:sz w:val="16"/>
                <w:szCs w:val="16"/>
              </w:rPr>
              <w:t>Kolín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tcMar>
              <w:right w:w="851" w:type="dxa"/>
            </w:tcMar>
            <w:vAlign w:val="bottom"/>
            <w:hideMark/>
          </w:tcPr>
          <w:p w:rsidR="0075221A" w:rsidRPr="0075221A" w:rsidRDefault="0075221A" w:rsidP="007522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5221A">
              <w:rPr>
                <w:rFonts w:cs="Arial"/>
                <w:sz w:val="16"/>
                <w:szCs w:val="16"/>
              </w:rPr>
              <w:t>6 779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5221A" w:rsidRPr="0075221A" w:rsidRDefault="0075221A" w:rsidP="0075221A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5221A">
              <w:rPr>
                <w:rFonts w:cs="Arial"/>
                <w:sz w:val="16"/>
                <w:szCs w:val="16"/>
              </w:rPr>
              <w:t>Sokolov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851" w:type="dxa"/>
            </w:tcMar>
            <w:vAlign w:val="bottom"/>
            <w:hideMark/>
          </w:tcPr>
          <w:p w:rsidR="0075221A" w:rsidRPr="0075221A" w:rsidRDefault="0075221A" w:rsidP="007522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5221A">
              <w:rPr>
                <w:rFonts w:cs="Arial"/>
                <w:sz w:val="16"/>
                <w:szCs w:val="16"/>
              </w:rPr>
              <w:t>-4 888</w:t>
            </w:r>
          </w:p>
        </w:tc>
      </w:tr>
      <w:tr w:rsidR="0075221A" w:rsidRPr="0075221A" w:rsidTr="00E1696B">
        <w:trPr>
          <w:trHeight w:val="255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5221A" w:rsidRPr="0075221A" w:rsidRDefault="0075221A" w:rsidP="0075221A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5221A">
              <w:rPr>
                <w:rFonts w:cs="Arial"/>
                <w:sz w:val="16"/>
                <w:szCs w:val="16"/>
              </w:rPr>
              <w:t>Plzeň-sever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tcMar>
              <w:right w:w="851" w:type="dxa"/>
            </w:tcMar>
            <w:vAlign w:val="bottom"/>
            <w:hideMark/>
          </w:tcPr>
          <w:p w:rsidR="0075221A" w:rsidRPr="0075221A" w:rsidRDefault="0075221A" w:rsidP="007522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5221A">
              <w:rPr>
                <w:rFonts w:cs="Arial"/>
                <w:sz w:val="16"/>
                <w:szCs w:val="16"/>
              </w:rPr>
              <w:t>6 418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5221A" w:rsidRPr="0075221A" w:rsidRDefault="0075221A" w:rsidP="0075221A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5221A">
              <w:rPr>
                <w:rFonts w:cs="Arial"/>
                <w:sz w:val="16"/>
                <w:szCs w:val="16"/>
              </w:rPr>
              <w:t>Bruntál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851" w:type="dxa"/>
            </w:tcMar>
            <w:vAlign w:val="bottom"/>
            <w:hideMark/>
          </w:tcPr>
          <w:p w:rsidR="0075221A" w:rsidRPr="0075221A" w:rsidRDefault="0075221A" w:rsidP="007522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5221A">
              <w:rPr>
                <w:rFonts w:cs="Arial"/>
                <w:sz w:val="16"/>
                <w:szCs w:val="16"/>
              </w:rPr>
              <w:t>-4 850</w:t>
            </w:r>
          </w:p>
        </w:tc>
      </w:tr>
      <w:tr w:rsidR="0075221A" w:rsidRPr="0075221A" w:rsidTr="00E1696B">
        <w:trPr>
          <w:trHeight w:val="255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5221A" w:rsidRPr="0075221A" w:rsidRDefault="0075221A" w:rsidP="0075221A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5221A">
              <w:rPr>
                <w:rFonts w:cs="Arial"/>
                <w:sz w:val="16"/>
                <w:szCs w:val="16"/>
              </w:rPr>
              <w:t>Kladno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tcMar>
              <w:right w:w="851" w:type="dxa"/>
            </w:tcMar>
            <w:vAlign w:val="bottom"/>
            <w:hideMark/>
          </w:tcPr>
          <w:p w:rsidR="0075221A" w:rsidRPr="0075221A" w:rsidRDefault="0075221A" w:rsidP="007522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5221A">
              <w:rPr>
                <w:rFonts w:cs="Arial"/>
                <w:sz w:val="16"/>
                <w:szCs w:val="16"/>
              </w:rPr>
              <w:t>6 349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5221A" w:rsidRPr="0075221A" w:rsidRDefault="0075221A" w:rsidP="0075221A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5221A">
              <w:rPr>
                <w:rFonts w:cs="Arial"/>
                <w:sz w:val="16"/>
                <w:szCs w:val="16"/>
              </w:rPr>
              <w:t>Cheb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851" w:type="dxa"/>
            </w:tcMar>
            <w:vAlign w:val="bottom"/>
            <w:hideMark/>
          </w:tcPr>
          <w:p w:rsidR="0075221A" w:rsidRPr="0075221A" w:rsidRDefault="0075221A" w:rsidP="007522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5221A">
              <w:rPr>
                <w:rFonts w:cs="Arial"/>
                <w:sz w:val="16"/>
                <w:szCs w:val="16"/>
              </w:rPr>
              <w:t>-4 836</w:t>
            </w:r>
          </w:p>
        </w:tc>
      </w:tr>
      <w:tr w:rsidR="0075221A" w:rsidRPr="0075221A" w:rsidTr="00E1696B">
        <w:trPr>
          <w:trHeight w:val="255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5221A" w:rsidRPr="0075221A" w:rsidRDefault="0075221A" w:rsidP="0075221A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5221A">
              <w:rPr>
                <w:rFonts w:cs="Arial"/>
                <w:sz w:val="16"/>
                <w:szCs w:val="16"/>
              </w:rPr>
              <w:t>Benešov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tcMar>
              <w:right w:w="851" w:type="dxa"/>
            </w:tcMar>
            <w:vAlign w:val="bottom"/>
            <w:hideMark/>
          </w:tcPr>
          <w:p w:rsidR="0075221A" w:rsidRPr="0075221A" w:rsidRDefault="0075221A" w:rsidP="007522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5221A">
              <w:rPr>
                <w:rFonts w:cs="Arial"/>
                <w:sz w:val="16"/>
                <w:szCs w:val="16"/>
              </w:rPr>
              <w:t>5 778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75221A" w:rsidRPr="0075221A" w:rsidRDefault="0075221A" w:rsidP="0075221A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75221A">
              <w:rPr>
                <w:rFonts w:cs="Arial"/>
                <w:sz w:val="16"/>
                <w:szCs w:val="16"/>
              </w:rPr>
              <w:t>Přerov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851" w:type="dxa"/>
            </w:tcMar>
            <w:vAlign w:val="bottom"/>
            <w:hideMark/>
          </w:tcPr>
          <w:p w:rsidR="0075221A" w:rsidRPr="0075221A" w:rsidRDefault="0075221A" w:rsidP="0075221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75221A">
              <w:rPr>
                <w:rFonts w:cs="Arial"/>
                <w:sz w:val="16"/>
                <w:szCs w:val="16"/>
              </w:rPr>
              <w:t>-4 422</w:t>
            </w:r>
          </w:p>
        </w:tc>
      </w:tr>
    </w:tbl>
    <w:p w:rsidR="00D325AC" w:rsidRDefault="00D325AC" w:rsidP="005A0C68">
      <w:pPr>
        <w:spacing w:after="0"/>
      </w:pPr>
    </w:p>
    <w:p w:rsidR="005A0C68" w:rsidRDefault="00E8347D" w:rsidP="004D08F9">
      <w:r>
        <w:t xml:space="preserve">Po přepočtu ukazatelů na 1 000 obyvatel středního stavu dosahovaly </w:t>
      </w:r>
      <w:r w:rsidR="004A0CE0">
        <w:t xml:space="preserve">ve sledovaném období </w:t>
      </w:r>
      <w:r>
        <w:t xml:space="preserve">stále nejvyšších hodnot salda stěhování okresy Praha-východ (24,0 </w:t>
      </w:r>
      <w:r>
        <w:rPr>
          <w:rFonts w:cs="Arial"/>
        </w:rPr>
        <w:t>‰</w:t>
      </w:r>
      <w:r>
        <w:t xml:space="preserve">) a Praha-západ (23,9 </w:t>
      </w:r>
      <w:r>
        <w:rPr>
          <w:rFonts w:cs="Arial"/>
        </w:rPr>
        <w:t>‰</w:t>
      </w:r>
      <w:r>
        <w:t>)</w:t>
      </w:r>
      <w:r w:rsidR="004A0CE0">
        <w:t xml:space="preserve"> s maximy v roce 2008 (Přílohová tabulka 32).</w:t>
      </w:r>
      <w:r>
        <w:t xml:space="preserve"> </w:t>
      </w:r>
      <w:r w:rsidR="002C36E6">
        <w:t>Kromě dalších středočeských okresů se v první desítce na</w:t>
      </w:r>
      <w:r w:rsidR="004A0CE0">
        <w:t>c</w:t>
      </w:r>
      <w:r w:rsidR="002C36E6">
        <w:t>házely ještě okresy Brno-venkov, Plzeň-sever a Plzeň-jih (Tab. 6).</w:t>
      </w:r>
      <w:r w:rsidR="004A0CE0">
        <w:t xml:space="preserve"> Okresy s nejnižším relativním saldem stěhování byly Jeseník (-5,7 </w:t>
      </w:r>
      <w:r w:rsidR="004A0CE0">
        <w:rPr>
          <w:rFonts w:cs="Arial"/>
        </w:rPr>
        <w:t>‰)</w:t>
      </w:r>
      <w:r w:rsidR="004A0CE0">
        <w:t xml:space="preserve">, Karviná (-5,3 </w:t>
      </w:r>
      <w:r w:rsidR="004A0CE0">
        <w:rPr>
          <w:rFonts w:cs="Arial"/>
        </w:rPr>
        <w:t>‰)</w:t>
      </w:r>
      <w:r w:rsidR="004A0CE0">
        <w:t xml:space="preserve">, Brno-město a Karlovy Vary (oba -4,9 </w:t>
      </w:r>
      <w:r w:rsidR="004A0CE0">
        <w:rPr>
          <w:rFonts w:cs="Arial"/>
        </w:rPr>
        <w:t>‰). Praha měla až 30. nejnižší saldo.</w:t>
      </w:r>
      <w:r w:rsidR="004A0CE0">
        <w:t xml:space="preserve"> </w:t>
      </w:r>
      <w:r w:rsidR="002C36E6">
        <w:t xml:space="preserve"> </w:t>
      </w:r>
      <w:r>
        <w:t xml:space="preserve"> </w:t>
      </w:r>
    </w:p>
    <w:p w:rsidR="005B2831" w:rsidRDefault="005B2831" w:rsidP="00D97D7F">
      <w:pPr>
        <w:spacing w:after="0"/>
        <w:rPr>
          <w:rFonts w:cs="Arial"/>
          <w:b/>
          <w:szCs w:val="20"/>
        </w:rPr>
      </w:pPr>
      <w:r>
        <w:rPr>
          <w:rFonts w:cs="Arial"/>
          <w:b/>
          <w:szCs w:val="20"/>
        </w:rPr>
        <w:t>Tab. 6</w:t>
      </w:r>
      <w:r w:rsidRPr="00091A5B">
        <w:rPr>
          <w:rFonts w:cs="Arial"/>
          <w:b/>
          <w:szCs w:val="20"/>
        </w:rPr>
        <w:t xml:space="preserve"> </w:t>
      </w:r>
      <w:r>
        <w:rPr>
          <w:rFonts w:cs="Arial"/>
          <w:b/>
          <w:szCs w:val="20"/>
        </w:rPr>
        <w:t xml:space="preserve">Saldo </w:t>
      </w:r>
      <w:r w:rsidRPr="006E6E30">
        <w:rPr>
          <w:rFonts w:cs="Arial"/>
          <w:b/>
          <w:szCs w:val="20"/>
        </w:rPr>
        <w:t xml:space="preserve">stěhování podle okresů </w:t>
      </w:r>
      <w:r>
        <w:rPr>
          <w:rFonts w:cs="Arial"/>
          <w:b/>
          <w:szCs w:val="20"/>
        </w:rPr>
        <w:t xml:space="preserve">za </w:t>
      </w:r>
      <w:r w:rsidRPr="004D08F9">
        <w:rPr>
          <w:rFonts w:cs="Arial"/>
          <w:b/>
          <w:szCs w:val="20"/>
        </w:rPr>
        <w:t>období 2005–201</w:t>
      </w:r>
      <w:r w:rsidR="00D97D7F">
        <w:rPr>
          <w:rFonts w:cs="Arial"/>
          <w:b/>
          <w:szCs w:val="20"/>
        </w:rPr>
        <w:t>7</w:t>
      </w:r>
      <w:r>
        <w:rPr>
          <w:rFonts w:cs="Arial"/>
          <w:b/>
          <w:szCs w:val="20"/>
        </w:rPr>
        <w:t xml:space="preserve"> (na 1 000 obyvatel k 1. 7.)</w:t>
      </w:r>
    </w:p>
    <w:tbl>
      <w:tblPr>
        <w:tblW w:w="85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2126"/>
        <w:gridCol w:w="2126"/>
        <w:gridCol w:w="2126"/>
      </w:tblGrid>
      <w:tr w:rsidR="00A35EF2" w:rsidRPr="00A35EF2" w:rsidTr="00A35EF2">
        <w:trPr>
          <w:trHeight w:val="263"/>
        </w:trPr>
        <w:tc>
          <w:tcPr>
            <w:tcW w:w="3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5DADD"/>
            <w:vAlign w:val="center"/>
            <w:hideMark/>
          </w:tcPr>
          <w:p w:rsidR="00A35EF2" w:rsidRPr="00A35EF2" w:rsidRDefault="00A35EF2" w:rsidP="00A35EF2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A35EF2">
              <w:rPr>
                <w:rFonts w:cs="Arial"/>
                <w:b/>
                <w:bCs/>
                <w:sz w:val="16"/>
                <w:szCs w:val="16"/>
              </w:rPr>
              <w:t>Okresy s nejvyšším saldem</w:t>
            </w:r>
          </w:p>
        </w:tc>
        <w:tc>
          <w:tcPr>
            <w:tcW w:w="3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FFFFFF" w:fill="F5DADD"/>
            <w:vAlign w:val="center"/>
            <w:hideMark/>
          </w:tcPr>
          <w:p w:rsidR="00A35EF2" w:rsidRPr="00A35EF2" w:rsidRDefault="00A35EF2" w:rsidP="00A35EF2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A35EF2">
              <w:rPr>
                <w:rFonts w:cs="Arial"/>
                <w:b/>
                <w:bCs/>
                <w:sz w:val="16"/>
                <w:szCs w:val="16"/>
              </w:rPr>
              <w:t>Okresy s nejnižším saldem</w:t>
            </w:r>
          </w:p>
        </w:tc>
      </w:tr>
      <w:tr w:rsidR="00A35EF2" w:rsidRPr="00A35EF2" w:rsidTr="00A35EF2">
        <w:trPr>
          <w:trHeight w:val="263"/>
        </w:trPr>
        <w:tc>
          <w:tcPr>
            <w:tcW w:w="19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FFFFFF" w:fill="F5DADD"/>
            <w:vAlign w:val="center"/>
            <w:hideMark/>
          </w:tcPr>
          <w:p w:rsidR="00A35EF2" w:rsidRPr="00A35EF2" w:rsidRDefault="00A35EF2" w:rsidP="00A35EF2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A35EF2">
              <w:rPr>
                <w:rFonts w:cs="Arial"/>
                <w:b/>
                <w:bCs/>
                <w:sz w:val="16"/>
                <w:szCs w:val="16"/>
              </w:rPr>
              <w:t xml:space="preserve">Okres </w:t>
            </w: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5DADD"/>
            <w:vAlign w:val="center"/>
            <w:hideMark/>
          </w:tcPr>
          <w:p w:rsidR="00A35EF2" w:rsidRPr="00A35EF2" w:rsidRDefault="00A35EF2" w:rsidP="00A35EF2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A35EF2">
              <w:rPr>
                <w:rFonts w:cs="Arial"/>
                <w:b/>
                <w:bCs/>
                <w:sz w:val="16"/>
                <w:szCs w:val="16"/>
              </w:rPr>
              <w:t xml:space="preserve">Saldo stěhování na </w:t>
            </w:r>
            <w:r w:rsidRPr="00A35EF2">
              <w:rPr>
                <w:rFonts w:cs="Arial"/>
                <w:b/>
                <w:bCs/>
                <w:sz w:val="16"/>
                <w:szCs w:val="16"/>
              </w:rPr>
              <w:br/>
              <w:t>1 000 obyvatel</w:t>
            </w: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5DADD"/>
            <w:vAlign w:val="center"/>
            <w:hideMark/>
          </w:tcPr>
          <w:p w:rsidR="00A35EF2" w:rsidRPr="00A35EF2" w:rsidRDefault="00A35EF2" w:rsidP="00A35EF2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A35EF2">
              <w:rPr>
                <w:rFonts w:cs="Arial"/>
                <w:b/>
                <w:bCs/>
                <w:sz w:val="16"/>
                <w:szCs w:val="16"/>
              </w:rPr>
              <w:t>Okres</w:t>
            </w: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FFFFFF" w:fill="F5DADD"/>
            <w:vAlign w:val="center"/>
            <w:hideMark/>
          </w:tcPr>
          <w:p w:rsidR="00A35EF2" w:rsidRPr="00A35EF2" w:rsidRDefault="00A35EF2" w:rsidP="00A35EF2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A35EF2">
              <w:rPr>
                <w:rFonts w:cs="Arial"/>
                <w:b/>
                <w:bCs/>
                <w:sz w:val="16"/>
                <w:szCs w:val="16"/>
              </w:rPr>
              <w:t xml:space="preserve">Saldo stěhování na </w:t>
            </w:r>
            <w:r w:rsidRPr="00A35EF2">
              <w:rPr>
                <w:rFonts w:cs="Arial"/>
                <w:b/>
                <w:bCs/>
                <w:sz w:val="16"/>
                <w:szCs w:val="16"/>
              </w:rPr>
              <w:br/>
              <w:t>1 000 obyvatel</w:t>
            </w:r>
          </w:p>
        </w:tc>
      </w:tr>
      <w:tr w:rsidR="00A35EF2" w:rsidRPr="00A35EF2" w:rsidTr="00A35EF2">
        <w:trPr>
          <w:trHeight w:val="263"/>
        </w:trPr>
        <w:tc>
          <w:tcPr>
            <w:tcW w:w="19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5EF2" w:rsidRPr="00A35EF2" w:rsidRDefault="00A35EF2" w:rsidP="00A35EF2">
            <w:pPr>
              <w:spacing w:after="0" w:line="240" w:lineRule="auto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5EF2" w:rsidRPr="00A35EF2" w:rsidRDefault="00A35EF2" w:rsidP="00A35EF2">
            <w:pPr>
              <w:spacing w:after="0" w:line="240" w:lineRule="auto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5EF2" w:rsidRPr="00A35EF2" w:rsidRDefault="00A35EF2" w:rsidP="00A35EF2">
            <w:pPr>
              <w:spacing w:after="0" w:line="240" w:lineRule="auto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1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35EF2" w:rsidRPr="00A35EF2" w:rsidRDefault="00A35EF2" w:rsidP="00A35EF2">
            <w:pPr>
              <w:spacing w:after="0" w:line="240" w:lineRule="auto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A35EF2" w:rsidRPr="00A35EF2" w:rsidTr="00E1696B">
        <w:trPr>
          <w:trHeight w:val="255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5EF2" w:rsidRPr="00A35EF2" w:rsidRDefault="00A35EF2" w:rsidP="00A35EF2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A35EF2">
              <w:rPr>
                <w:rFonts w:cs="Arial"/>
                <w:sz w:val="16"/>
                <w:szCs w:val="16"/>
              </w:rPr>
              <w:t>Praha-východ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tcMar>
              <w:right w:w="851" w:type="dxa"/>
            </w:tcMar>
            <w:vAlign w:val="bottom"/>
            <w:hideMark/>
          </w:tcPr>
          <w:p w:rsidR="00A35EF2" w:rsidRPr="00A35EF2" w:rsidRDefault="00A35EF2" w:rsidP="00A35EF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35EF2">
              <w:rPr>
                <w:rFonts w:cs="Arial"/>
                <w:sz w:val="16"/>
                <w:szCs w:val="16"/>
              </w:rPr>
              <w:t>24,0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5EF2" w:rsidRPr="00A35EF2" w:rsidRDefault="00A35EF2" w:rsidP="00A35EF2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A35EF2">
              <w:rPr>
                <w:rFonts w:cs="Arial"/>
                <w:sz w:val="16"/>
                <w:szCs w:val="16"/>
              </w:rPr>
              <w:t>Jeseník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A35EF2" w:rsidRPr="00A35EF2" w:rsidRDefault="00A35EF2" w:rsidP="00E1696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A35EF2">
              <w:rPr>
                <w:rFonts w:cs="Arial"/>
                <w:sz w:val="16"/>
                <w:szCs w:val="16"/>
              </w:rPr>
              <w:t>-5,7</w:t>
            </w:r>
          </w:p>
        </w:tc>
      </w:tr>
      <w:tr w:rsidR="00A35EF2" w:rsidRPr="00A35EF2" w:rsidTr="00E1696B">
        <w:trPr>
          <w:trHeight w:val="255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5EF2" w:rsidRPr="00A35EF2" w:rsidRDefault="00A35EF2" w:rsidP="00A35EF2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A35EF2">
              <w:rPr>
                <w:rFonts w:cs="Arial"/>
                <w:sz w:val="16"/>
                <w:szCs w:val="16"/>
              </w:rPr>
              <w:t>Praha-západ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tcMar>
              <w:right w:w="851" w:type="dxa"/>
            </w:tcMar>
            <w:vAlign w:val="bottom"/>
            <w:hideMark/>
          </w:tcPr>
          <w:p w:rsidR="00A35EF2" w:rsidRPr="00A35EF2" w:rsidRDefault="00A35EF2" w:rsidP="00A35EF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35EF2">
              <w:rPr>
                <w:rFonts w:cs="Arial"/>
                <w:sz w:val="16"/>
                <w:szCs w:val="16"/>
              </w:rPr>
              <w:t>23,9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5EF2" w:rsidRPr="00A35EF2" w:rsidRDefault="00A35EF2" w:rsidP="00A35EF2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A35EF2">
              <w:rPr>
                <w:rFonts w:cs="Arial"/>
                <w:sz w:val="16"/>
                <w:szCs w:val="16"/>
              </w:rPr>
              <w:t>Karviná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A35EF2" w:rsidRPr="00A35EF2" w:rsidRDefault="00A35EF2" w:rsidP="00E1696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A35EF2">
              <w:rPr>
                <w:rFonts w:cs="Arial"/>
                <w:sz w:val="16"/>
                <w:szCs w:val="16"/>
              </w:rPr>
              <w:t>-5,3</w:t>
            </w:r>
          </w:p>
        </w:tc>
      </w:tr>
      <w:tr w:rsidR="00A35EF2" w:rsidRPr="00A35EF2" w:rsidTr="00E1696B">
        <w:trPr>
          <w:trHeight w:val="255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5EF2" w:rsidRPr="00A35EF2" w:rsidRDefault="00A35EF2" w:rsidP="00A35EF2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A35EF2">
              <w:rPr>
                <w:rFonts w:cs="Arial"/>
                <w:sz w:val="16"/>
                <w:szCs w:val="16"/>
              </w:rPr>
              <w:t>Beroun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tcMar>
              <w:right w:w="851" w:type="dxa"/>
            </w:tcMar>
            <w:vAlign w:val="bottom"/>
            <w:hideMark/>
          </w:tcPr>
          <w:p w:rsidR="00A35EF2" w:rsidRPr="00A35EF2" w:rsidRDefault="00A35EF2" w:rsidP="00A35EF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35EF2">
              <w:rPr>
                <w:rFonts w:cs="Arial"/>
                <w:sz w:val="16"/>
                <w:szCs w:val="16"/>
              </w:rPr>
              <w:t>9,7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5EF2" w:rsidRPr="00A35EF2" w:rsidRDefault="00A35EF2" w:rsidP="00A35EF2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A35EF2">
              <w:rPr>
                <w:rFonts w:cs="Arial"/>
                <w:sz w:val="16"/>
                <w:szCs w:val="16"/>
              </w:rPr>
              <w:t>Brno-město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A35EF2" w:rsidRPr="00A35EF2" w:rsidRDefault="00A35EF2" w:rsidP="00E1696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A35EF2">
              <w:rPr>
                <w:rFonts w:cs="Arial"/>
                <w:sz w:val="16"/>
                <w:szCs w:val="16"/>
              </w:rPr>
              <w:t>-4,9</w:t>
            </w:r>
          </w:p>
        </w:tc>
      </w:tr>
      <w:tr w:rsidR="00A35EF2" w:rsidRPr="00A35EF2" w:rsidTr="00E1696B">
        <w:trPr>
          <w:trHeight w:val="255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5EF2" w:rsidRPr="00A35EF2" w:rsidRDefault="00A35EF2" w:rsidP="00A35EF2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A35EF2">
              <w:rPr>
                <w:rFonts w:cs="Arial"/>
                <w:sz w:val="16"/>
                <w:szCs w:val="16"/>
              </w:rPr>
              <w:t>Brno-venkov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tcMar>
              <w:right w:w="851" w:type="dxa"/>
            </w:tcMar>
            <w:vAlign w:val="bottom"/>
            <w:hideMark/>
          </w:tcPr>
          <w:p w:rsidR="00A35EF2" w:rsidRPr="00A35EF2" w:rsidRDefault="00A35EF2" w:rsidP="00A35EF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35EF2"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5EF2" w:rsidRPr="00A35EF2" w:rsidRDefault="00A35EF2" w:rsidP="00A35EF2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A35EF2">
              <w:rPr>
                <w:rFonts w:cs="Arial"/>
                <w:sz w:val="16"/>
                <w:szCs w:val="16"/>
              </w:rPr>
              <w:t>Karlovy Vary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A35EF2" w:rsidRPr="00A35EF2" w:rsidRDefault="00A35EF2" w:rsidP="00E1696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A35EF2">
              <w:rPr>
                <w:rFonts w:cs="Arial"/>
                <w:sz w:val="16"/>
                <w:szCs w:val="16"/>
              </w:rPr>
              <w:t>-4,9</w:t>
            </w:r>
          </w:p>
        </w:tc>
      </w:tr>
      <w:tr w:rsidR="00A35EF2" w:rsidRPr="00A35EF2" w:rsidTr="00E1696B">
        <w:trPr>
          <w:trHeight w:val="255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5EF2" w:rsidRPr="00A35EF2" w:rsidRDefault="00A35EF2" w:rsidP="00A35EF2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A35EF2">
              <w:rPr>
                <w:rFonts w:cs="Arial"/>
                <w:sz w:val="16"/>
                <w:szCs w:val="16"/>
              </w:rPr>
              <w:t>Plzeň-sever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tcMar>
              <w:right w:w="851" w:type="dxa"/>
            </w:tcMar>
            <w:vAlign w:val="bottom"/>
            <w:hideMark/>
          </w:tcPr>
          <w:p w:rsidR="00A35EF2" w:rsidRPr="00A35EF2" w:rsidRDefault="00A35EF2" w:rsidP="00A35EF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35EF2"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5EF2" w:rsidRPr="00A35EF2" w:rsidRDefault="00A35EF2" w:rsidP="00A35EF2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A35EF2">
              <w:rPr>
                <w:rFonts w:cs="Arial"/>
                <w:sz w:val="16"/>
                <w:szCs w:val="16"/>
              </w:rPr>
              <w:t>Ostrava-město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A35EF2" w:rsidRPr="00A35EF2" w:rsidRDefault="00A35EF2" w:rsidP="00E1696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A35EF2">
              <w:rPr>
                <w:rFonts w:cs="Arial"/>
                <w:sz w:val="16"/>
                <w:szCs w:val="16"/>
              </w:rPr>
              <w:t>-4,3</w:t>
            </w:r>
          </w:p>
        </w:tc>
      </w:tr>
      <w:tr w:rsidR="00A35EF2" w:rsidRPr="00A35EF2" w:rsidTr="00E1696B">
        <w:trPr>
          <w:trHeight w:val="255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5EF2" w:rsidRPr="00A35EF2" w:rsidRDefault="00A35EF2" w:rsidP="00A35EF2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A35EF2">
              <w:rPr>
                <w:rFonts w:cs="Arial"/>
                <w:sz w:val="16"/>
                <w:szCs w:val="16"/>
              </w:rPr>
              <w:t>Nymburk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tcMar>
              <w:right w:w="851" w:type="dxa"/>
            </w:tcMar>
            <w:vAlign w:val="bottom"/>
            <w:hideMark/>
          </w:tcPr>
          <w:p w:rsidR="00A35EF2" w:rsidRPr="00A35EF2" w:rsidRDefault="00A35EF2" w:rsidP="00A35EF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35EF2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5EF2" w:rsidRPr="00A35EF2" w:rsidRDefault="00A35EF2" w:rsidP="00A35EF2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A35EF2">
              <w:rPr>
                <w:rFonts w:cs="Arial"/>
                <w:sz w:val="16"/>
                <w:szCs w:val="16"/>
              </w:rPr>
              <w:t>Sokolov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A35EF2" w:rsidRPr="00A35EF2" w:rsidRDefault="00A35EF2" w:rsidP="00E1696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A35EF2">
              <w:rPr>
                <w:rFonts w:cs="Arial"/>
                <w:sz w:val="16"/>
                <w:szCs w:val="16"/>
              </w:rPr>
              <w:t>-4,1</w:t>
            </w:r>
          </w:p>
        </w:tc>
      </w:tr>
      <w:tr w:rsidR="00A35EF2" w:rsidRPr="00A35EF2" w:rsidTr="00E1696B">
        <w:trPr>
          <w:trHeight w:val="255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5EF2" w:rsidRPr="00A35EF2" w:rsidRDefault="00A35EF2" w:rsidP="00A35EF2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A35EF2">
              <w:rPr>
                <w:rFonts w:cs="Arial"/>
                <w:sz w:val="16"/>
                <w:szCs w:val="16"/>
              </w:rPr>
              <w:t>Kolín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tcMar>
              <w:right w:w="851" w:type="dxa"/>
            </w:tcMar>
            <w:vAlign w:val="bottom"/>
            <w:hideMark/>
          </w:tcPr>
          <w:p w:rsidR="00A35EF2" w:rsidRPr="00A35EF2" w:rsidRDefault="00A35EF2" w:rsidP="00A35EF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35EF2"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5EF2" w:rsidRPr="00A35EF2" w:rsidRDefault="00A35EF2" w:rsidP="00A35EF2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A35EF2">
              <w:rPr>
                <w:rFonts w:cs="Arial"/>
                <w:sz w:val="16"/>
                <w:szCs w:val="16"/>
              </w:rPr>
              <w:t>Cheb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A35EF2" w:rsidRPr="00A35EF2" w:rsidRDefault="00A35EF2" w:rsidP="00E1696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A35EF2">
              <w:rPr>
                <w:rFonts w:cs="Arial"/>
                <w:sz w:val="16"/>
                <w:szCs w:val="16"/>
              </w:rPr>
              <w:t>-4,0</w:t>
            </w:r>
          </w:p>
        </w:tc>
      </w:tr>
      <w:tr w:rsidR="00A35EF2" w:rsidRPr="00A35EF2" w:rsidTr="00E1696B">
        <w:trPr>
          <w:trHeight w:val="255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5EF2" w:rsidRPr="00A35EF2" w:rsidRDefault="00A35EF2" w:rsidP="00A35EF2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A35EF2">
              <w:rPr>
                <w:rFonts w:cs="Arial"/>
                <w:sz w:val="16"/>
                <w:szCs w:val="16"/>
              </w:rPr>
              <w:t>Benešov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tcMar>
              <w:right w:w="851" w:type="dxa"/>
            </w:tcMar>
            <w:vAlign w:val="bottom"/>
            <w:hideMark/>
          </w:tcPr>
          <w:p w:rsidR="00A35EF2" w:rsidRPr="00A35EF2" w:rsidRDefault="00A35EF2" w:rsidP="00A35EF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35EF2"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5EF2" w:rsidRPr="00A35EF2" w:rsidRDefault="00A35EF2" w:rsidP="00A35EF2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A35EF2">
              <w:rPr>
                <w:rFonts w:cs="Arial"/>
                <w:sz w:val="16"/>
                <w:szCs w:val="16"/>
              </w:rPr>
              <w:t>Bruntál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A35EF2" w:rsidRPr="00A35EF2" w:rsidRDefault="00A35EF2" w:rsidP="00E1696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A35EF2">
              <w:rPr>
                <w:rFonts w:cs="Arial"/>
                <w:sz w:val="16"/>
                <w:szCs w:val="16"/>
              </w:rPr>
              <w:t>-3,9</w:t>
            </w:r>
          </w:p>
        </w:tc>
      </w:tr>
      <w:tr w:rsidR="00A35EF2" w:rsidRPr="00A35EF2" w:rsidTr="00E1696B">
        <w:trPr>
          <w:trHeight w:val="255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5EF2" w:rsidRPr="00A35EF2" w:rsidRDefault="00A35EF2" w:rsidP="00A35EF2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A35EF2">
              <w:rPr>
                <w:rFonts w:cs="Arial"/>
                <w:sz w:val="16"/>
                <w:szCs w:val="16"/>
              </w:rPr>
              <w:t>Mělník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tcMar>
              <w:right w:w="851" w:type="dxa"/>
            </w:tcMar>
            <w:vAlign w:val="bottom"/>
            <w:hideMark/>
          </w:tcPr>
          <w:p w:rsidR="00A35EF2" w:rsidRPr="00A35EF2" w:rsidRDefault="00A35EF2" w:rsidP="00A35EF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35EF2">
              <w:rPr>
                <w:rFonts w:cs="Arial"/>
                <w:sz w:val="16"/>
                <w:szCs w:val="16"/>
              </w:rPr>
              <w:t>3,6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5EF2" w:rsidRPr="00A35EF2" w:rsidRDefault="00A35EF2" w:rsidP="00A35EF2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A35EF2">
              <w:rPr>
                <w:rFonts w:cs="Arial"/>
                <w:sz w:val="16"/>
                <w:szCs w:val="16"/>
              </w:rPr>
              <w:t>Most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A35EF2" w:rsidRPr="00A35EF2" w:rsidRDefault="00A35EF2" w:rsidP="00E1696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A35EF2">
              <w:rPr>
                <w:rFonts w:cs="Arial"/>
                <w:sz w:val="16"/>
                <w:szCs w:val="16"/>
              </w:rPr>
              <w:t>-3,4</w:t>
            </w:r>
          </w:p>
        </w:tc>
      </w:tr>
      <w:tr w:rsidR="00A35EF2" w:rsidRPr="00A35EF2" w:rsidTr="00E1696B">
        <w:trPr>
          <w:trHeight w:val="255"/>
        </w:trPr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5EF2" w:rsidRPr="00A35EF2" w:rsidRDefault="00A35EF2" w:rsidP="00A35EF2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A35EF2">
              <w:rPr>
                <w:rFonts w:cs="Arial"/>
                <w:sz w:val="16"/>
                <w:szCs w:val="16"/>
              </w:rPr>
              <w:t>Plzeň-jih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tcMar>
              <w:right w:w="851" w:type="dxa"/>
            </w:tcMar>
            <w:vAlign w:val="bottom"/>
            <w:hideMark/>
          </w:tcPr>
          <w:p w:rsidR="00A35EF2" w:rsidRPr="00A35EF2" w:rsidRDefault="00A35EF2" w:rsidP="00A35EF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35EF2"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35EF2" w:rsidRPr="00A35EF2" w:rsidRDefault="00A35EF2" w:rsidP="00A35EF2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A35EF2">
              <w:rPr>
                <w:rFonts w:cs="Arial"/>
                <w:sz w:val="16"/>
                <w:szCs w:val="16"/>
              </w:rPr>
              <w:t>Tachov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A35EF2" w:rsidRPr="00A35EF2" w:rsidRDefault="00A35EF2" w:rsidP="00E1696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A35EF2">
              <w:rPr>
                <w:rFonts w:cs="Arial"/>
                <w:sz w:val="16"/>
                <w:szCs w:val="16"/>
              </w:rPr>
              <w:t>-3,3</w:t>
            </w:r>
          </w:p>
        </w:tc>
      </w:tr>
    </w:tbl>
    <w:p w:rsidR="005B2831" w:rsidRDefault="005B2831" w:rsidP="004D08F9"/>
    <w:p w:rsidR="00DD45F6" w:rsidRDefault="00235807" w:rsidP="004D08F9">
      <w:r>
        <w:lastRenderedPageBreak/>
        <w:t>Nejsilnější proudy meziokresního stěhování byly za celé období 2005–201</w:t>
      </w:r>
      <w:r w:rsidR="003658E1">
        <w:t>7 mezi Prahou na jedné straně a </w:t>
      </w:r>
      <w:r>
        <w:t>okresy Praha-východ a Praha-západ na straně druhé</w:t>
      </w:r>
      <w:r w:rsidR="008E5CFB">
        <w:t xml:space="preserve"> (Tab. 7)</w:t>
      </w:r>
      <w:r>
        <w:t xml:space="preserve">. </w:t>
      </w:r>
      <w:r w:rsidR="008E5CFB">
        <w:t xml:space="preserve">Z Prahy se do </w:t>
      </w:r>
      <w:proofErr w:type="gramStart"/>
      <w:r w:rsidR="008E5CFB">
        <w:t>Prahy-východ</w:t>
      </w:r>
      <w:proofErr w:type="gramEnd"/>
      <w:r w:rsidR="008E5CFB">
        <w:t xml:space="preserve"> vystěhovalo 56 387 osob a 20 129 směřovalo opačným směrem. Z hlavního města se do </w:t>
      </w:r>
      <w:proofErr w:type="gramStart"/>
      <w:r w:rsidR="008E5CFB">
        <w:t>Prahy-západ</w:t>
      </w:r>
      <w:proofErr w:type="gramEnd"/>
      <w:r w:rsidR="008E5CFB">
        <w:t xml:space="preserve"> přestěhovalo 50 596 obyvatel a 18 279 šlo opačně. </w:t>
      </w:r>
      <w:r w:rsidR="00FB3D2D">
        <w:t xml:space="preserve">Tyto proudy dosahovaly svých nejvyšších hodnot v roce 2008. </w:t>
      </w:r>
      <w:r w:rsidR="002F3423">
        <w:t>Tradičně silný proud byl i mezi Brnem-městem a Brnem-venkovem (38 510 z Brna-města a 17 802 do Brna-města)</w:t>
      </w:r>
      <w:r w:rsidR="00FB3D2D">
        <w:t xml:space="preserve"> s vrcholem v roce 2010</w:t>
      </w:r>
      <w:r w:rsidR="002F3423">
        <w:t>.</w:t>
      </w:r>
      <w:r w:rsidR="00E06DF1">
        <w:t xml:space="preserve"> Z </w:t>
      </w:r>
      <w:r w:rsidR="00FB3D2D">
        <w:t>Prahy</w:t>
      </w:r>
      <w:r w:rsidR="00E06DF1">
        <w:t xml:space="preserve"> se obyvatelé často stěhovali i do dalších okresů Středočeského kraje (Kladno, Mělník, Beroun, Nymburk, Benešov, Kolín), obrácené proudy byl</w:t>
      </w:r>
      <w:r w:rsidR="00FB3D2D">
        <w:t>y</w:t>
      </w:r>
      <w:r w:rsidR="00E06DF1">
        <w:t xml:space="preserve"> méně početné.</w:t>
      </w:r>
      <w:r w:rsidR="00632E9D">
        <w:t xml:space="preserve"> Dynamický byl ale vývoj u proudů z </w:t>
      </w:r>
      <w:proofErr w:type="gramStart"/>
      <w:r w:rsidR="00632E9D">
        <w:t>Prahy-východ</w:t>
      </w:r>
      <w:proofErr w:type="gramEnd"/>
      <w:r w:rsidR="00632E9D">
        <w:t xml:space="preserve"> a Prahy-západ do Prahy. Počet takových případů stěhování se zvýšil mezi začátkem a koncem sledovaného období více než dvojnásobně (z hodnot okolo 800–900 až na 1 800–1 900)</w:t>
      </w:r>
      <w:r w:rsidR="00882B1B">
        <w:t xml:space="preserve">. Tato data dokládají určité </w:t>
      </w:r>
      <w:proofErr w:type="spellStart"/>
      <w:r w:rsidR="00882B1B">
        <w:t>reurbanizační</w:t>
      </w:r>
      <w:proofErr w:type="spellEnd"/>
      <w:r w:rsidR="00882B1B">
        <w:t xml:space="preserve"> tendence obyvatelstva ze zázemí hlavního města. </w:t>
      </w:r>
      <w:r w:rsidR="00632E9D">
        <w:t xml:space="preserve"> </w:t>
      </w:r>
      <w:r w:rsidR="00E06DF1">
        <w:t xml:space="preserve">  </w:t>
      </w:r>
      <w:r w:rsidR="002F3423">
        <w:t xml:space="preserve"> </w:t>
      </w:r>
      <w:r w:rsidR="008E5CFB">
        <w:t xml:space="preserve">  </w:t>
      </w:r>
    </w:p>
    <w:p w:rsidR="00D37826" w:rsidRDefault="00D37826" w:rsidP="00D37826">
      <w:pPr>
        <w:spacing w:after="60"/>
        <w:rPr>
          <w:rFonts w:cs="Arial"/>
          <w:b/>
          <w:szCs w:val="20"/>
        </w:rPr>
      </w:pPr>
      <w:r>
        <w:rPr>
          <w:rFonts w:cs="Arial"/>
          <w:b/>
          <w:szCs w:val="20"/>
        </w:rPr>
        <w:t>Tab. 7</w:t>
      </w:r>
      <w:r w:rsidRPr="00091A5B">
        <w:rPr>
          <w:rFonts w:cs="Arial"/>
          <w:b/>
          <w:szCs w:val="20"/>
        </w:rPr>
        <w:t xml:space="preserve"> </w:t>
      </w:r>
      <w:r w:rsidRPr="00D37826">
        <w:rPr>
          <w:rFonts w:cs="Arial"/>
          <w:b/>
          <w:szCs w:val="20"/>
        </w:rPr>
        <w:t>Meziokresní proudy stěhování za období 2005–2017</w:t>
      </w:r>
    </w:p>
    <w:tbl>
      <w:tblPr>
        <w:tblW w:w="85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9E7A45" w:rsidRPr="009E7A45" w:rsidTr="009E7A45">
        <w:trPr>
          <w:trHeight w:val="263"/>
        </w:trPr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5DADD"/>
            <w:vAlign w:val="center"/>
            <w:hideMark/>
          </w:tcPr>
          <w:p w:rsidR="009E7A45" w:rsidRPr="009E7A45" w:rsidRDefault="009E7A45" w:rsidP="009E7A45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9E7A45">
              <w:rPr>
                <w:rFonts w:cs="Arial"/>
                <w:b/>
                <w:bCs/>
                <w:sz w:val="16"/>
                <w:szCs w:val="16"/>
              </w:rPr>
              <w:t>Okres vystěhování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5DADD"/>
            <w:vAlign w:val="center"/>
            <w:hideMark/>
          </w:tcPr>
          <w:p w:rsidR="009E7A45" w:rsidRPr="009E7A45" w:rsidRDefault="009E7A45" w:rsidP="009E7A45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9E7A45">
              <w:rPr>
                <w:rFonts w:cs="Arial"/>
                <w:b/>
                <w:bCs/>
                <w:sz w:val="16"/>
                <w:szCs w:val="16"/>
              </w:rPr>
              <w:t>Okres přistěhování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FF" w:fill="F5DADD"/>
            <w:vAlign w:val="center"/>
            <w:hideMark/>
          </w:tcPr>
          <w:p w:rsidR="009E7A45" w:rsidRPr="009E7A45" w:rsidRDefault="009E7A45" w:rsidP="009E7A45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9E7A45">
              <w:rPr>
                <w:rFonts w:cs="Arial"/>
                <w:b/>
                <w:bCs/>
                <w:sz w:val="16"/>
                <w:szCs w:val="16"/>
              </w:rPr>
              <w:t>Počet migrantů</w:t>
            </w:r>
          </w:p>
        </w:tc>
      </w:tr>
      <w:tr w:rsidR="009E7A45" w:rsidRPr="009E7A45" w:rsidTr="00E1696B">
        <w:trPr>
          <w:trHeight w:val="255"/>
        </w:trPr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E7A45" w:rsidRPr="009E7A45" w:rsidRDefault="002015D5" w:rsidP="009E7A4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Praha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E7A45" w:rsidRPr="009E7A45" w:rsidRDefault="009E7A45" w:rsidP="009E7A4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E7A45">
              <w:rPr>
                <w:rFonts w:cs="Arial"/>
                <w:sz w:val="16"/>
                <w:szCs w:val="16"/>
              </w:rPr>
              <w:t>Praha-východ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247" w:type="dxa"/>
            </w:tcMar>
            <w:vAlign w:val="bottom"/>
            <w:hideMark/>
          </w:tcPr>
          <w:p w:rsidR="009E7A45" w:rsidRPr="009E7A45" w:rsidRDefault="009E7A45" w:rsidP="009E7A4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E7A45">
              <w:rPr>
                <w:rFonts w:cs="Arial"/>
                <w:sz w:val="16"/>
                <w:szCs w:val="16"/>
              </w:rPr>
              <w:t>56 387</w:t>
            </w:r>
          </w:p>
        </w:tc>
      </w:tr>
      <w:tr w:rsidR="009E7A45" w:rsidRPr="009E7A45" w:rsidTr="00E1696B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E7A45" w:rsidRPr="009E7A45" w:rsidRDefault="002015D5" w:rsidP="009E7A4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Praha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E7A45" w:rsidRPr="009E7A45" w:rsidRDefault="009E7A45" w:rsidP="009E7A4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E7A45">
              <w:rPr>
                <w:rFonts w:cs="Arial"/>
                <w:sz w:val="16"/>
                <w:szCs w:val="16"/>
              </w:rPr>
              <w:t>Praha-západ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247" w:type="dxa"/>
            </w:tcMar>
            <w:vAlign w:val="bottom"/>
            <w:hideMark/>
          </w:tcPr>
          <w:p w:rsidR="009E7A45" w:rsidRPr="009E7A45" w:rsidRDefault="009E7A45" w:rsidP="009E7A4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E7A45">
              <w:rPr>
                <w:rFonts w:cs="Arial"/>
                <w:sz w:val="16"/>
                <w:szCs w:val="16"/>
              </w:rPr>
              <w:t>50 596</w:t>
            </w:r>
          </w:p>
        </w:tc>
      </w:tr>
      <w:tr w:rsidR="009E7A45" w:rsidRPr="009E7A45" w:rsidTr="00E1696B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E7A45" w:rsidRPr="009E7A45" w:rsidRDefault="009E7A45" w:rsidP="009E7A4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E7A45">
              <w:rPr>
                <w:rFonts w:cs="Arial"/>
                <w:sz w:val="16"/>
                <w:szCs w:val="16"/>
              </w:rPr>
              <w:t>Brno-město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E7A45" w:rsidRPr="009E7A45" w:rsidRDefault="009E7A45" w:rsidP="009E7A4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E7A45">
              <w:rPr>
                <w:rFonts w:cs="Arial"/>
                <w:sz w:val="16"/>
                <w:szCs w:val="16"/>
              </w:rPr>
              <w:t>Brno-venkov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247" w:type="dxa"/>
            </w:tcMar>
            <w:vAlign w:val="bottom"/>
            <w:hideMark/>
          </w:tcPr>
          <w:p w:rsidR="009E7A45" w:rsidRPr="009E7A45" w:rsidRDefault="009E7A45" w:rsidP="009E7A4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E7A45">
              <w:rPr>
                <w:rFonts w:cs="Arial"/>
                <w:sz w:val="16"/>
                <w:szCs w:val="16"/>
              </w:rPr>
              <w:t>38 510</w:t>
            </w:r>
          </w:p>
        </w:tc>
      </w:tr>
      <w:tr w:rsidR="009E7A45" w:rsidRPr="009E7A45" w:rsidTr="00E1696B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E7A45" w:rsidRPr="009E7A45" w:rsidRDefault="009E7A45" w:rsidP="009E7A4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E7A45">
              <w:rPr>
                <w:rFonts w:cs="Arial"/>
                <w:sz w:val="16"/>
                <w:szCs w:val="16"/>
              </w:rPr>
              <w:t>Praha-východ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E7A45" w:rsidRPr="009E7A45" w:rsidRDefault="002015D5" w:rsidP="009E7A4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Praha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247" w:type="dxa"/>
            </w:tcMar>
            <w:vAlign w:val="bottom"/>
            <w:hideMark/>
          </w:tcPr>
          <w:p w:rsidR="009E7A45" w:rsidRPr="009E7A45" w:rsidRDefault="009E7A45" w:rsidP="009E7A4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E7A45">
              <w:rPr>
                <w:rFonts w:cs="Arial"/>
                <w:sz w:val="16"/>
                <w:szCs w:val="16"/>
              </w:rPr>
              <w:t>20 129</w:t>
            </w:r>
          </w:p>
        </w:tc>
      </w:tr>
      <w:tr w:rsidR="009E7A45" w:rsidRPr="009E7A45" w:rsidTr="00E1696B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E7A45" w:rsidRPr="009E7A45" w:rsidRDefault="009E7A45" w:rsidP="009E7A4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E7A45">
              <w:rPr>
                <w:rFonts w:cs="Arial"/>
                <w:sz w:val="16"/>
                <w:szCs w:val="16"/>
              </w:rPr>
              <w:t>Praha-západ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E7A45" w:rsidRPr="009E7A45" w:rsidRDefault="002015D5" w:rsidP="009E7A4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Praha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247" w:type="dxa"/>
            </w:tcMar>
            <w:vAlign w:val="bottom"/>
            <w:hideMark/>
          </w:tcPr>
          <w:p w:rsidR="009E7A45" w:rsidRPr="009E7A45" w:rsidRDefault="009E7A45" w:rsidP="009E7A4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E7A45">
              <w:rPr>
                <w:rFonts w:cs="Arial"/>
                <w:sz w:val="16"/>
                <w:szCs w:val="16"/>
              </w:rPr>
              <w:t>18 279</w:t>
            </w:r>
          </w:p>
        </w:tc>
      </w:tr>
      <w:tr w:rsidR="009E7A45" w:rsidRPr="009E7A45" w:rsidTr="00E1696B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E7A45" w:rsidRPr="009E7A45" w:rsidRDefault="009E7A45" w:rsidP="009E7A4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E7A45">
              <w:rPr>
                <w:rFonts w:cs="Arial"/>
                <w:sz w:val="16"/>
                <w:szCs w:val="16"/>
              </w:rPr>
              <w:t>Brno-venkov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E7A45" w:rsidRPr="009E7A45" w:rsidRDefault="009E7A45" w:rsidP="009E7A4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E7A45">
              <w:rPr>
                <w:rFonts w:cs="Arial"/>
                <w:sz w:val="16"/>
                <w:szCs w:val="16"/>
              </w:rPr>
              <w:t>Brno-město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247" w:type="dxa"/>
            </w:tcMar>
            <w:vAlign w:val="bottom"/>
            <w:hideMark/>
          </w:tcPr>
          <w:p w:rsidR="009E7A45" w:rsidRPr="009E7A45" w:rsidRDefault="009E7A45" w:rsidP="009E7A4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E7A45">
              <w:rPr>
                <w:rFonts w:cs="Arial"/>
                <w:sz w:val="16"/>
                <w:szCs w:val="16"/>
              </w:rPr>
              <w:t>17 802</w:t>
            </w:r>
          </w:p>
        </w:tc>
      </w:tr>
      <w:tr w:rsidR="009E7A45" w:rsidRPr="009E7A45" w:rsidTr="00E1696B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E7A45" w:rsidRPr="009E7A45" w:rsidRDefault="002015D5" w:rsidP="009E7A4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Praha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E7A45" w:rsidRPr="009E7A45" w:rsidRDefault="009E7A45" w:rsidP="009E7A4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E7A45">
              <w:rPr>
                <w:rFonts w:cs="Arial"/>
                <w:sz w:val="16"/>
                <w:szCs w:val="16"/>
              </w:rPr>
              <w:t>Kladno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247" w:type="dxa"/>
            </w:tcMar>
            <w:vAlign w:val="bottom"/>
            <w:hideMark/>
          </w:tcPr>
          <w:p w:rsidR="009E7A45" w:rsidRPr="009E7A45" w:rsidRDefault="009E7A45" w:rsidP="009E7A4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E7A45">
              <w:rPr>
                <w:rFonts w:cs="Arial"/>
                <w:sz w:val="16"/>
                <w:szCs w:val="16"/>
              </w:rPr>
              <w:t>14 114</w:t>
            </w:r>
          </w:p>
        </w:tc>
      </w:tr>
      <w:tr w:rsidR="009E7A45" w:rsidRPr="009E7A45" w:rsidTr="00E1696B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E7A45" w:rsidRPr="009E7A45" w:rsidRDefault="002015D5" w:rsidP="009E7A4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Praha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E7A45" w:rsidRPr="009E7A45" w:rsidRDefault="009E7A45" w:rsidP="009E7A4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E7A45">
              <w:rPr>
                <w:rFonts w:cs="Arial"/>
                <w:sz w:val="16"/>
                <w:szCs w:val="16"/>
              </w:rPr>
              <w:t>Mělník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247" w:type="dxa"/>
            </w:tcMar>
            <w:vAlign w:val="bottom"/>
            <w:hideMark/>
          </w:tcPr>
          <w:p w:rsidR="009E7A45" w:rsidRPr="009E7A45" w:rsidRDefault="009E7A45" w:rsidP="009E7A4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E7A45">
              <w:rPr>
                <w:rFonts w:cs="Arial"/>
                <w:sz w:val="16"/>
                <w:szCs w:val="16"/>
              </w:rPr>
              <w:t>13 219</w:t>
            </w:r>
          </w:p>
        </w:tc>
      </w:tr>
      <w:tr w:rsidR="009E7A45" w:rsidRPr="009E7A45" w:rsidTr="00E1696B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E7A45" w:rsidRPr="009E7A45" w:rsidRDefault="009E7A45" w:rsidP="009E7A4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E7A45">
              <w:rPr>
                <w:rFonts w:cs="Arial"/>
                <w:sz w:val="16"/>
                <w:szCs w:val="16"/>
              </w:rPr>
              <w:t>Plzeň-město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E7A45" w:rsidRPr="009E7A45" w:rsidRDefault="009E7A45" w:rsidP="009E7A4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E7A45">
              <w:rPr>
                <w:rFonts w:cs="Arial"/>
                <w:sz w:val="16"/>
                <w:szCs w:val="16"/>
              </w:rPr>
              <w:t>Plzeň-sever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247" w:type="dxa"/>
            </w:tcMar>
            <w:vAlign w:val="bottom"/>
            <w:hideMark/>
          </w:tcPr>
          <w:p w:rsidR="009E7A45" w:rsidRPr="009E7A45" w:rsidRDefault="009E7A45" w:rsidP="009E7A4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E7A45">
              <w:rPr>
                <w:rFonts w:cs="Arial"/>
                <w:sz w:val="16"/>
                <w:szCs w:val="16"/>
              </w:rPr>
              <w:t>12 545</w:t>
            </w:r>
          </w:p>
        </w:tc>
      </w:tr>
      <w:tr w:rsidR="009E7A45" w:rsidRPr="009E7A45" w:rsidTr="00E1696B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E7A45" w:rsidRPr="009E7A45" w:rsidRDefault="009E7A45" w:rsidP="009E7A4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E7A45">
              <w:rPr>
                <w:rFonts w:cs="Arial"/>
                <w:sz w:val="16"/>
                <w:szCs w:val="16"/>
              </w:rPr>
              <w:t>Karviná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E7A45" w:rsidRPr="009E7A45" w:rsidRDefault="009E7A45" w:rsidP="009E7A4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E7A45">
              <w:rPr>
                <w:rFonts w:cs="Arial"/>
                <w:sz w:val="16"/>
                <w:szCs w:val="16"/>
              </w:rPr>
              <w:t>Ostrava-město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247" w:type="dxa"/>
            </w:tcMar>
            <w:vAlign w:val="bottom"/>
            <w:hideMark/>
          </w:tcPr>
          <w:p w:rsidR="009E7A45" w:rsidRPr="009E7A45" w:rsidRDefault="009E7A45" w:rsidP="009E7A4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E7A45">
              <w:rPr>
                <w:rFonts w:cs="Arial"/>
                <w:sz w:val="16"/>
                <w:szCs w:val="16"/>
              </w:rPr>
              <w:t>11 637</w:t>
            </w:r>
          </w:p>
        </w:tc>
      </w:tr>
      <w:tr w:rsidR="009E7A45" w:rsidRPr="009E7A45" w:rsidTr="00E1696B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E7A45" w:rsidRPr="009E7A45" w:rsidRDefault="002015D5" w:rsidP="009E7A4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Praha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E7A45" w:rsidRPr="009E7A45" w:rsidRDefault="009E7A45" w:rsidP="009E7A4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E7A45">
              <w:rPr>
                <w:rFonts w:cs="Arial"/>
                <w:sz w:val="16"/>
                <w:szCs w:val="16"/>
              </w:rPr>
              <w:t>Beroun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247" w:type="dxa"/>
            </w:tcMar>
            <w:vAlign w:val="bottom"/>
            <w:hideMark/>
          </w:tcPr>
          <w:p w:rsidR="009E7A45" w:rsidRPr="009E7A45" w:rsidRDefault="009E7A45" w:rsidP="009E7A4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E7A45">
              <w:rPr>
                <w:rFonts w:cs="Arial"/>
                <w:sz w:val="16"/>
                <w:szCs w:val="16"/>
              </w:rPr>
              <w:t>11 422</w:t>
            </w:r>
          </w:p>
        </w:tc>
      </w:tr>
      <w:tr w:rsidR="009E7A45" w:rsidRPr="009E7A45" w:rsidTr="00E1696B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E7A45" w:rsidRPr="009E7A45" w:rsidRDefault="009E7A45" w:rsidP="009E7A4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E7A45">
              <w:rPr>
                <w:rFonts w:cs="Arial"/>
                <w:sz w:val="16"/>
                <w:szCs w:val="16"/>
              </w:rPr>
              <w:t>Ostrava-město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E7A45" w:rsidRPr="009E7A45" w:rsidRDefault="009E7A45" w:rsidP="009E7A4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E7A45">
              <w:rPr>
                <w:rFonts w:cs="Arial"/>
                <w:sz w:val="16"/>
                <w:szCs w:val="16"/>
              </w:rPr>
              <w:t>Frýdek-Místek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247" w:type="dxa"/>
            </w:tcMar>
            <w:vAlign w:val="bottom"/>
            <w:hideMark/>
          </w:tcPr>
          <w:p w:rsidR="009E7A45" w:rsidRPr="009E7A45" w:rsidRDefault="009E7A45" w:rsidP="009E7A4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E7A45">
              <w:rPr>
                <w:rFonts w:cs="Arial"/>
                <w:sz w:val="16"/>
                <w:szCs w:val="16"/>
              </w:rPr>
              <w:t>10 737</w:t>
            </w:r>
          </w:p>
        </w:tc>
      </w:tr>
      <w:tr w:rsidR="009E7A45" w:rsidRPr="009E7A45" w:rsidTr="00E1696B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E7A45" w:rsidRPr="009E7A45" w:rsidRDefault="002015D5" w:rsidP="009E7A4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Praha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E7A45" w:rsidRPr="009E7A45" w:rsidRDefault="009E7A45" w:rsidP="009E7A4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E7A45">
              <w:rPr>
                <w:rFonts w:cs="Arial"/>
                <w:sz w:val="16"/>
                <w:szCs w:val="16"/>
              </w:rPr>
              <w:t>Nymburk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247" w:type="dxa"/>
            </w:tcMar>
            <w:vAlign w:val="bottom"/>
            <w:hideMark/>
          </w:tcPr>
          <w:p w:rsidR="009E7A45" w:rsidRPr="009E7A45" w:rsidRDefault="009E7A45" w:rsidP="009E7A4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E7A45">
              <w:rPr>
                <w:rFonts w:cs="Arial"/>
                <w:sz w:val="16"/>
                <w:szCs w:val="16"/>
              </w:rPr>
              <w:t>10 366</w:t>
            </w:r>
          </w:p>
        </w:tc>
      </w:tr>
      <w:tr w:rsidR="009E7A45" w:rsidRPr="009E7A45" w:rsidTr="00E1696B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E7A45" w:rsidRPr="009E7A45" w:rsidRDefault="009E7A45" w:rsidP="009E7A4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E7A45">
              <w:rPr>
                <w:rFonts w:cs="Arial"/>
                <w:sz w:val="16"/>
                <w:szCs w:val="16"/>
              </w:rPr>
              <w:t>Brno-město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E7A45" w:rsidRPr="009E7A45" w:rsidRDefault="002015D5" w:rsidP="009E7A4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Praha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247" w:type="dxa"/>
            </w:tcMar>
            <w:vAlign w:val="bottom"/>
            <w:hideMark/>
          </w:tcPr>
          <w:p w:rsidR="009E7A45" w:rsidRPr="009E7A45" w:rsidRDefault="009E7A45" w:rsidP="009E7A4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E7A45">
              <w:rPr>
                <w:rFonts w:cs="Arial"/>
                <w:sz w:val="16"/>
                <w:szCs w:val="16"/>
              </w:rPr>
              <w:t>10 242</w:t>
            </w:r>
          </w:p>
        </w:tc>
      </w:tr>
      <w:tr w:rsidR="009E7A45" w:rsidRPr="009E7A45" w:rsidTr="00E1696B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E7A45" w:rsidRPr="009E7A45" w:rsidRDefault="009E7A45" w:rsidP="009E7A4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E7A45">
              <w:rPr>
                <w:rFonts w:cs="Arial"/>
                <w:sz w:val="16"/>
                <w:szCs w:val="16"/>
              </w:rPr>
              <w:t>Ostrava-město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E7A45" w:rsidRPr="009E7A45" w:rsidRDefault="009E7A45" w:rsidP="009E7A4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E7A45">
              <w:rPr>
                <w:rFonts w:cs="Arial"/>
                <w:sz w:val="16"/>
                <w:szCs w:val="16"/>
              </w:rPr>
              <w:t>Karviná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247" w:type="dxa"/>
            </w:tcMar>
            <w:vAlign w:val="bottom"/>
            <w:hideMark/>
          </w:tcPr>
          <w:p w:rsidR="009E7A45" w:rsidRPr="009E7A45" w:rsidRDefault="009E7A45" w:rsidP="009E7A4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E7A45">
              <w:rPr>
                <w:rFonts w:cs="Arial"/>
                <w:sz w:val="16"/>
                <w:szCs w:val="16"/>
              </w:rPr>
              <w:t>10 133</w:t>
            </w:r>
          </w:p>
        </w:tc>
      </w:tr>
      <w:tr w:rsidR="009E7A45" w:rsidRPr="009E7A45" w:rsidTr="00E1696B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E7A45" w:rsidRPr="009E7A45" w:rsidRDefault="002015D5" w:rsidP="009E7A4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Praha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E7A45" w:rsidRPr="009E7A45" w:rsidRDefault="009E7A45" w:rsidP="009E7A4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E7A45">
              <w:rPr>
                <w:rFonts w:cs="Arial"/>
                <w:sz w:val="16"/>
                <w:szCs w:val="16"/>
              </w:rPr>
              <w:t>Benešov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247" w:type="dxa"/>
            </w:tcMar>
            <w:vAlign w:val="bottom"/>
            <w:hideMark/>
          </w:tcPr>
          <w:p w:rsidR="009E7A45" w:rsidRPr="009E7A45" w:rsidRDefault="009E7A45" w:rsidP="009E7A4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E7A45">
              <w:rPr>
                <w:rFonts w:cs="Arial"/>
                <w:sz w:val="16"/>
                <w:szCs w:val="16"/>
              </w:rPr>
              <w:t>9 500</w:t>
            </w:r>
          </w:p>
        </w:tc>
      </w:tr>
      <w:tr w:rsidR="009E7A45" w:rsidRPr="009E7A45" w:rsidTr="00E1696B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E7A45" w:rsidRPr="009E7A45" w:rsidRDefault="009E7A45" w:rsidP="009E7A4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E7A45">
              <w:rPr>
                <w:rFonts w:cs="Arial"/>
                <w:sz w:val="16"/>
                <w:szCs w:val="16"/>
              </w:rPr>
              <w:t>Ostrava-město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E7A45" w:rsidRPr="009E7A45" w:rsidRDefault="009E7A45" w:rsidP="009E7A4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E7A45">
              <w:rPr>
                <w:rFonts w:cs="Arial"/>
                <w:sz w:val="16"/>
                <w:szCs w:val="16"/>
              </w:rPr>
              <w:t>Opava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247" w:type="dxa"/>
            </w:tcMar>
            <w:vAlign w:val="bottom"/>
            <w:hideMark/>
          </w:tcPr>
          <w:p w:rsidR="009E7A45" w:rsidRPr="009E7A45" w:rsidRDefault="009E7A45" w:rsidP="009E7A4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E7A45">
              <w:rPr>
                <w:rFonts w:cs="Arial"/>
                <w:sz w:val="16"/>
                <w:szCs w:val="16"/>
              </w:rPr>
              <w:t>9 346</w:t>
            </w:r>
          </w:p>
        </w:tc>
      </w:tr>
      <w:tr w:rsidR="009E7A45" w:rsidRPr="009E7A45" w:rsidTr="00E1696B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E7A45" w:rsidRPr="009E7A45" w:rsidRDefault="009E7A45" w:rsidP="009E7A4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E7A45">
              <w:rPr>
                <w:rFonts w:cs="Arial"/>
                <w:sz w:val="16"/>
                <w:szCs w:val="16"/>
              </w:rPr>
              <w:t>Mělník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E7A45" w:rsidRPr="009E7A45" w:rsidRDefault="002015D5" w:rsidP="009E7A4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Praha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247" w:type="dxa"/>
            </w:tcMar>
            <w:vAlign w:val="bottom"/>
            <w:hideMark/>
          </w:tcPr>
          <w:p w:rsidR="009E7A45" w:rsidRPr="009E7A45" w:rsidRDefault="009E7A45" w:rsidP="009E7A4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E7A45">
              <w:rPr>
                <w:rFonts w:cs="Arial"/>
                <w:sz w:val="16"/>
                <w:szCs w:val="16"/>
              </w:rPr>
              <w:t>9 246</w:t>
            </w:r>
          </w:p>
        </w:tc>
      </w:tr>
      <w:tr w:rsidR="009E7A45" w:rsidRPr="009E7A45" w:rsidTr="00E1696B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E7A45" w:rsidRPr="009E7A45" w:rsidRDefault="009E7A45" w:rsidP="009E7A4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E7A45">
              <w:rPr>
                <w:rFonts w:cs="Arial"/>
                <w:sz w:val="16"/>
                <w:szCs w:val="16"/>
              </w:rPr>
              <w:t>Kladno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E7A45" w:rsidRPr="009E7A45" w:rsidRDefault="002015D5" w:rsidP="009E7A4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Praha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247" w:type="dxa"/>
            </w:tcMar>
            <w:vAlign w:val="bottom"/>
            <w:hideMark/>
          </w:tcPr>
          <w:p w:rsidR="009E7A45" w:rsidRPr="009E7A45" w:rsidRDefault="009E7A45" w:rsidP="009E7A4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E7A45">
              <w:rPr>
                <w:rFonts w:cs="Arial"/>
                <w:sz w:val="16"/>
                <w:szCs w:val="16"/>
              </w:rPr>
              <w:t>8 679</w:t>
            </w:r>
          </w:p>
        </w:tc>
      </w:tr>
      <w:tr w:rsidR="009E7A45" w:rsidRPr="009E7A45" w:rsidTr="00E1696B">
        <w:trPr>
          <w:trHeight w:val="255"/>
        </w:trPr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E7A45" w:rsidRPr="009E7A45" w:rsidRDefault="002015D5" w:rsidP="009E7A4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Praha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E7A45" w:rsidRPr="009E7A45" w:rsidRDefault="009E7A45" w:rsidP="009E7A4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E7A45">
              <w:rPr>
                <w:rFonts w:cs="Arial"/>
                <w:sz w:val="16"/>
                <w:szCs w:val="16"/>
              </w:rPr>
              <w:t>Kolín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247" w:type="dxa"/>
            </w:tcMar>
            <w:vAlign w:val="bottom"/>
            <w:hideMark/>
          </w:tcPr>
          <w:p w:rsidR="009E7A45" w:rsidRPr="009E7A45" w:rsidRDefault="009E7A45" w:rsidP="009E7A4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E7A45">
              <w:rPr>
                <w:rFonts w:cs="Arial"/>
                <w:sz w:val="16"/>
                <w:szCs w:val="16"/>
              </w:rPr>
              <w:t>8 555</w:t>
            </w:r>
          </w:p>
        </w:tc>
      </w:tr>
    </w:tbl>
    <w:p w:rsidR="00DD45F6" w:rsidRDefault="00DD45F6" w:rsidP="004D08F9"/>
    <w:p w:rsidR="00FB3D2D" w:rsidRDefault="00FB3D2D" w:rsidP="00DA0EDA">
      <w:pPr>
        <w:pStyle w:val="Nadpis1"/>
      </w:pPr>
    </w:p>
    <w:p w:rsidR="00FB3D2D" w:rsidRDefault="00FB3D2D" w:rsidP="00DA0EDA">
      <w:pPr>
        <w:pStyle w:val="Nadpis1"/>
      </w:pPr>
    </w:p>
    <w:p w:rsidR="00FB3D2D" w:rsidRDefault="00FB3D2D" w:rsidP="00DA0EDA">
      <w:pPr>
        <w:pStyle w:val="Nadpis1"/>
      </w:pPr>
    </w:p>
    <w:p w:rsidR="00FB3D2D" w:rsidRDefault="00FB3D2D" w:rsidP="00DA0EDA">
      <w:pPr>
        <w:pStyle w:val="Nadpis1"/>
      </w:pPr>
    </w:p>
    <w:p w:rsidR="00FB3D2D" w:rsidRDefault="00FB3D2D" w:rsidP="00DA0EDA">
      <w:pPr>
        <w:pStyle w:val="Nadpis1"/>
      </w:pPr>
    </w:p>
    <w:p w:rsidR="00FB3D2D" w:rsidRDefault="00FB3D2D" w:rsidP="00DA0EDA">
      <w:pPr>
        <w:pStyle w:val="Nadpis1"/>
      </w:pPr>
    </w:p>
    <w:p w:rsidR="00FB3D2D" w:rsidRDefault="00FB3D2D" w:rsidP="00DA0EDA">
      <w:pPr>
        <w:pStyle w:val="Nadpis1"/>
      </w:pPr>
    </w:p>
    <w:p w:rsidR="00FB3D2D" w:rsidRDefault="00FB3D2D" w:rsidP="00DA0EDA">
      <w:pPr>
        <w:pStyle w:val="Nadpis1"/>
      </w:pPr>
    </w:p>
    <w:p w:rsidR="00FB3D2D" w:rsidRDefault="00FB3D2D" w:rsidP="00DA0EDA">
      <w:pPr>
        <w:pStyle w:val="Nadpis1"/>
      </w:pPr>
    </w:p>
    <w:p w:rsidR="00FB3D2D" w:rsidRDefault="00FB3D2D" w:rsidP="00DA0EDA">
      <w:pPr>
        <w:pStyle w:val="Nadpis1"/>
      </w:pPr>
    </w:p>
    <w:p w:rsidR="00FB3D2D" w:rsidRDefault="00FB3D2D" w:rsidP="00DA0EDA">
      <w:pPr>
        <w:pStyle w:val="Nadpis1"/>
      </w:pPr>
    </w:p>
    <w:p w:rsidR="00DA0EDA" w:rsidRDefault="00DA0EDA" w:rsidP="00DA0EDA">
      <w:pPr>
        <w:pStyle w:val="Nadpis1"/>
      </w:pPr>
      <w:bookmarkStart w:id="9" w:name="_Toc531859779"/>
      <w:r>
        <w:lastRenderedPageBreak/>
        <w:t xml:space="preserve">6. Stěhování </w:t>
      </w:r>
      <w:r w:rsidR="004F1746">
        <w:t>mezi správními obvody obcí s</w:t>
      </w:r>
      <w:r w:rsidRPr="00DA0EDA">
        <w:t xml:space="preserve"> rozšířenou působností</w:t>
      </w:r>
      <w:bookmarkEnd w:id="9"/>
    </w:p>
    <w:p w:rsidR="00666303" w:rsidRDefault="00945D0F" w:rsidP="00617038">
      <w:pPr>
        <w:spacing w:after="0"/>
      </w:pPr>
      <w:r>
        <w:t>Ve zkoumaném období 2005–2017 se nejvíce obyvatel přistěhovalo do Prahy</w:t>
      </w:r>
      <w:r>
        <w:rPr>
          <w:rStyle w:val="Znakapoznpodarou"/>
        </w:rPr>
        <w:footnoteReference w:id="9"/>
      </w:r>
      <w:r>
        <w:t xml:space="preserve"> (262 757 případů stěhování; Přílohová tabulka 34). S výrazným odstupem následovaly správní obvody obcí s rozšířenou působností (SO ORP) v zázemí velkých měst (Černošice, Brandýs nad </w:t>
      </w:r>
      <w:proofErr w:type="gramStart"/>
      <w:r>
        <w:t>Labem-Stará</w:t>
      </w:r>
      <w:proofErr w:type="gramEnd"/>
      <w:r>
        <w:t xml:space="preserve"> Boleslav a Říčany u Prahy nebo Šlapanice u Brna)</w:t>
      </w:r>
      <w:r w:rsidR="00D563AC">
        <w:t xml:space="preserve"> či SO ORP tvořená úplně nebo z větší části velkými městy (Brno, Ostrava, Plzeň, Kladno nebo České Budějovice).</w:t>
      </w:r>
      <w:r w:rsidR="009259F5">
        <w:t xml:space="preserve"> V případě vystěhovalých dominovaly SO ORP velkých měst (Praha – 281 886 případů stěhování, Brno, Ostrava a Plzeň; Přílohová tabulka 35). Pátého a šestého nejvyššího počtu ovšem dosáhly SO ORP v zázemí Prahy – Černošice (35 104) a Brandýs nad </w:t>
      </w:r>
      <w:proofErr w:type="gramStart"/>
      <w:r w:rsidR="009259F5">
        <w:t>Labem-Stará</w:t>
      </w:r>
      <w:proofErr w:type="gramEnd"/>
      <w:r w:rsidR="009259F5">
        <w:t xml:space="preserve"> Boleslav (26 598). Počet vystěhovalých zde při srovnání začátku a konce období narostl téměř dvakrát.   </w:t>
      </w:r>
      <w:r w:rsidR="001A1C96">
        <w:t xml:space="preserve"> </w:t>
      </w:r>
      <w:r w:rsidR="00D563AC">
        <w:t xml:space="preserve"> </w:t>
      </w:r>
      <w:r>
        <w:t xml:space="preserve"> </w:t>
      </w:r>
    </w:p>
    <w:p w:rsidR="00666303" w:rsidRDefault="00666303" w:rsidP="00617038">
      <w:pPr>
        <w:spacing w:after="0"/>
      </w:pPr>
    </w:p>
    <w:p w:rsidR="00A3383C" w:rsidRDefault="004D2293" w:rsidP="002C4F90">
      <w:r>
        <w:t>Nejvýraznější kladné saldo stěhování měly zejména SO ORP ze zázemí Prahy, ale i jiných velkých měst</w:t>
      </w:r>
      <w:r w:rsidR="00A3383C">
        <w:t xml:space="preserve"> (Tab. 8)</w:t>
      </w:r>
      <w:r>
        <w:t xml:space="preserve">. V období 2005–2017 vnitřní migrací získaly obyvatele zejména SO ORP Černošice (37 543), Brandýs nad </w:t>
      </w:r>
      <w:proofErr w:type="gramStart"/>
      <w:r>
        <w:t>Labem-Stará</w:t>
      </w:r>
      <w:proofErr w:type="gramEnd"/>
      <w:r>
        <w:t xml:space="preserve"> Boleslav (26 537) a Říčany (18 795). </w:t>
      </w:r>
      <w:r w:rsidR="004830BC">
        <w:t xml:space="preserve">Všechna tato tři SO ORP měla nejvyšší salda stěhování v roce 2008. </w:t>
      </w:r>
      <w:r>
        <w:t xml:space="preserve">Do SO ORP Šlapanice sousedícího s Brnem </w:t>
      </w:r>
      <w:r w:rsidR="003658E1">
        <w:t>přibylo 8 584 osob a do Nýřan u </w:t>
      </w:r>
      <w:r>
        <w:t>Plzně 6</w:t>
      </w:r>
      <w:r w:rsidR="00A3383C">
        <w:t> </w:t>
      </w:r>
      <w:r>
        <w:t>022.</w:t>
      </w:r>
      <w:r w:rsidR="00A3383C">
        <w:t xml:space="preserve"> Naopak populačně výrazně ztratily SO ORP velkých měst</w:t>
      </w:r>
      <w:r w:rsidR="003658E1">
        <w:t>. Brno přišlo vnitřní migrací o </w:t>
      </w:r>
      <w:r w:rsidR="00A3383C">
        <w:t>23 957 obyvatel ve sledovaném období, Praha potom o 19 129 a Ostrava o 18 099.</w:t>
      </w:r>
      <w:r w:rsidR="00FD4F8F">
        <w:t xml:space="preserve"> Z 205 SO ORP (respektive 206 s Prahou) jich</w:t>
      </w:r>
      <w:r w:rsidR="00A3383C">
        <w:t xml:space="preserve"> </w:t>
      </w:r>
      <w:r w:rsidR="00FD4F8F">
        <w:t xml:space="preserve">81 ve sledovaném období obyvatele vnitřní migrací získalo.  </w:t>
      </w:r>
    </w:p>
    <w:p w:rsidR="005E3DC5" w:rsidRDefault="004A2A36" w:rsidP="005E3DC5">
      <w:pPr>
        <w:spacing w:after="0"/>
        <w:rPr>
          <w:rFonts w:cs="Arial"/>
          <w:b/>
          <w:szCs w:val="20"/>
        </w:rPr>
      </w:pPr>
      <w:r>
        <w:rPr>
          <w:rFonts w:cs="Arial"/>
          <w:b/>
          <w:szCs w:val="20"/>
        </w:rPr>
        <w:t>Tab. 8</w:t>
      </w:r>
      <w:r w:rsidRPr="00091A5B">
        <w:rPr>
          <w:rFonts w:cs="Arial"/>
          <w:b/>
          <w:szCs w:val="20"/>
        </w:rPr>
        <w:t xml:space="preserve"> </w:t>
      </w:r>
      <w:r>
        <w:rPr>
          <w:rFonts w:cs="Arial"/>
          <w:b/>
          <w:szCs w:val="20"/>
        </w:rPr>
        <w:t xml:space="preserve">Saldo </w:t>
      </w:r>
      <w:r w:rsidRPr="004A2A36">
        <w:rPr>
          <w:rFonts w:cs="Arial"/>
          <w:b/>
          <w:szCs w:val="20"/>
        </w:rPr>
        <w:t xml:space="preserve">stěhování </w:t>
      </w:r>
      <w:r w:rsidR="001C17C6">
        <w:rPr>
          <w:rFonts w:cs="Arial"/>
          <w:b/>
          <w:szCs w:val="20"/>
        </w:rPr>
        <w:t>podle</w:t>
      </w:r>
      <w:r w:rsidRPr="004A2A36">
        <w:rPr>
          <w:rFonts w:cs="Arial"/>
          <w:b/>
          <w:szCs w:val="20"/>
        </w:rPr>
        <w:t xml:space="preserve"> správn</w:t>
      </w:r>
      <w:r w:rsidR="001C17C6">
        <w:rPr>
          <w:rFonts w:cs="Arial"/>
          <w:b/>
          <w:szCs w:val="20"/>
        </w:rPr>
        <w:t>ích obvodů</w:t>
      </w:r>
      <w:r w:rsidRPr="004A2A36">
        <w:rPr>
          <w:rFonts w:cs="Arial"/>
          <w:b/>
          <w:szCs w:val="20"/>
        </w:rPr>
        <w:t xml:space="preserve"> obcí s rozšířenou působností</w:t>
      </w:r>
      <w:r w:rsidRPr="006E6E30">
        <w:rPr>
          <w:rFonts w:cs="Arial"/>
          <w:b/>
          <w:szCs w:val="20"/>
        </w:rPr>
        <w:t xml:space="preserve"> </w:t>
      </w:r>
    </w:p>
    <w:p w:rsidR="004A2A36" w:rsidRDefault="004A2A36" w:rsidP="005E3DC5">
      <w:pPr>
        <w:spacing w:after="60"/>
        <w:ind w:firstLine="708"/>
        <w:rPr>
          <w:rFonts w:cs="Arial"/>
          <w:b/>
          <w:szCs w:val="20"/>
        </w:rPr>
      </w:pPr>
      <w:r>
        <w:rPr>
          <w:rFonts w:cs="Arial"/>
          <w:b/>
          <w:szCs w:val="20"/>
        </w:rPr>
        <w:t xml:space="preserve">za </w:t>
      </w:r>
      <w:r w:rsidRPr="004D08F9">
        <w:rPr>
          <w:rFonts w:cs="Arial"/>
          <w:b/>
          <w:szCs w:val="20"/>
        </w:rPr>
        <w:t>období 2005–2017</w:t>
      </w:r>
    </w:p>
    <w:tbl>
      <w:tblPr>
        <w:tblW w:w="85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3"/>
        <w:gridCol w:w="1904"/>
        <w:gridCol w:w="1934"/>
        <w:gridCol w:w="1904"/>
      </w:tblGrid>
      <w:tr w:rsidR="005E3DC5" w:rsidRPr="005E3DC5" w:rsidTr="00FD4F8F">
        <w:trPr>
          <w:trHeight w:val="263"/>
        </w:trPr>
        <w:tc>
          <w:tcPr>
            <w:tcW w:w="46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5DADD"/>
            <w:vAlign w:val="center"/>
            <w:hideMark/>
          </w:tcPr>
          <w:p w:rsidR="005E3DC5" w:rsidRPr="005E3DC5" w:rsidRDefault="005E3DC5" w:rsidP="005E3DC5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5E3DC5">
              <w:rPr>
                <w:rFonts w:cs="Arial"/>
                <w:b/>
                <w:bCs/>
                <w:sz w:val="16"/>
                <w:szCs w:val="16"/>
              </w:rPr>
              <w:t>SO ORP s nejvyšším saldem</w:t>
            </w: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FFFFFF" w:fill="F5DADD"/>
            <w:vAlign w:val="center"/>
            <w:hideMark/>
          </w:tcPr>
          <w:p w:rsidR="005E3DC5" w:rsidRPr="005E3DC5" w:rsidRDefault="005E3DC5" w:rsidP="005E3DC5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5E3DC5">
              <w:rPr>
                <w:rFonts w:cs="Arial"/>
                <w:b/>
                <w:bCs/>
                <w:sz w:val="16"/>
                <w:szCs w:val="16"/>
              </w:rPr>
              <w:t>SO ORP s nejnižším saldem</w:t>
            </w:r>
          </w:p>
        </w:tc>
      </w:tr>
      <w:tr w:rsidR="005E3DC5" w:rsidRPr="005E3DC5" w:rsidTr="00FD4F8F">
        <w:trPr>
          <w:trHeight w:val="263"/>
        </w:trPr>
        <w:tc>
          <w:tcPr>
            <w:tcW w:w="27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5DADD"/>
            <w:vAlign w:val="center"/>
            <w:hideMark/>
          </w:tcPr>
          <w:p w:rsidR="005E3DC5" w:rsidRPr="005E3DC5" w:rsidRDefault="005E3DC5" w:rsidP="005E3DC5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5E3DC5">
              <w:rPr>
                <w:rFonts w:cs="Arial"/>
                <w:b/>
                <w:bCs/>
                <w:sz w:val="16"/>
                <w:szCs w:val="16"/>
              </w:rPr>
              <w:t>SO ORP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5DADD"/>
            <w:vAlign w:val="center"/>
            <w:hideMark/>
          </w:tcPr>
          <w:p w:rsidR="005E3DC5" w:rsidRPr="005E3DC5" w:rsidRDefault="005E3DC5" w:rsidP="005E3DC5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5E3DC5">
              <w:rPr>
                <w:rFonts w:cs="Arial"/>
                <w:b/>
                <w:bCs/>
                <w:sz w:val="16"/>
                <w:szCs w:val="16"/>
              </w:rPr>
              <w:t>Saldo stěhování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5DADD"/>
            <w:vAlign w:val="center"/>
            <w:hideMark/>
          </w:tcPr>
          <w:p w:rsidR="005E3DC5" w:rsidRPr="005E3DC5" w:rsidRDefault="005E3DC5" w:rsidP="005E3DC5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5E3DC5">
              <w:rPr>
                <w:rFonts w:cs="Arial"/>
                <w:b/>
                <w:bCs/>
                <w:sz w:val="16"/>
                <w:szCs w:val="16"/>
              </w:rPr>
              <w:t>SO ORP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FFFFFF" w:fill="F5DADD"/>
            <w:vAlign w:val="center"/>
            <w:hideMark/>
          </w:tcPr>
          <w:p w:rsidR="005E3DC5" w:rsidRPr="005E3DC5" w:rsidRDefault="005E3DC5" w:rsidP="005E3DC5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5E3DC5">
              <w:rPr>
                <w:rFonts w:cs="Arial"/>
                <w:b/>
                <w:bCs/>
                <w:sz w:val="16"/>
                <w:szCs w:val="16"/>
              </w:rPr>
              <w:t>Saldo stěhování</w:t>
            </w:r>
          </w:p>
        </w:tc>
      </w:tr>
      <w:tr w:rsidR="005E3DC5" w:rsidRPr="005E3DC5" w:rsidTr="00FD4F8F">
        <w:trPr>
          <w:trHeight w:val="255"/>
        </w:trPr>
        <w:tc>
          <w:tcPr>
            <w:tcW w:w="27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5E3DC5" w:rsidRPr="005E3DC5" w:rsidRDefault="005E3DC5" w:rsidP="005E3DC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5E3DC5">
              <w:rPr>
                <w:rFonts w:cs="Arial"/>
                <w:sz w:val="16"/>
                <w:szCs w:val="16"/>
              </w:rPr>
              <w:t>Černošice</w:t>
            </w:r>
          </w:p>
        </w:tc>
        <w:tc>
          <w:tcPr>
            <w:tcW w:w="19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tcMar>
              <w:right w:w="680" w:type="dxa"/>
            </w:tcMar>
            <w:vAlign w:val="bottom"/>
            <w:hideMark/>
          </w:tcPr>
          <w:p w:rsidR="005E3DC5" w:rsidRPr="005E3DC5" w:rsidRDefault="005E3DC5" w:rsidP="005E3D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E3DC5">
              <w:rPr>
                <w:rFonts w:cs="Arial"/>
                <w:sz w:val="16"/>
                <w:szCs w:val="16"/>
              </w:rPr>
              <w:t>37 543</w:t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5E3DC5" w:rsidRPr="005E3DC5" w:rsidRDefault="005E3DC5" w:rsidP="005E3DC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5E3DC5">
              <w:rPr>
                <w:rFonts w:cs="Arial"/>
                <w:sz w:val="16"/>
                <w:szCs w:val="16"/>
              </w:rPr>
              <w:t>Brno</w:t>
            </w:r>
          </w:p>
        </w:tc>
        <w:tc>
          <w:tcPr>
            <w:tcW w:w="19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680" w:type="dxa"/>
            </w:tcMar>
            <w:vAlign w:val="bottom"/>
            <w:hideMark/>
          </w:tcPr>
          <w:p w:rsidR="005E3DC5" w:rsidRPr="005E3DC5" w:rsidRDefault="005E3DC5" w:rsidP="005E3D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E3DC5">
              <w:rPr>
                <w:rFonts w:cs="Arial"/>
                <w:sz w:val="16"/>
                <w:szCs w:val="16"/>
              </w:rPr>
              <w:t>-23 957</w:t>
            </w:r>
          </w:p>
        </w:tc>
      </w:tr>
      <w:tr w:rsidR="005E3DC5" w:rsidRPr="005E3DC5" w:rsidTr="00FD4F8F">
        <w:trPr>
          <w:trHeight w:val="255"/>
        </w:trPr>
        <w:tc>
          <w:tcPr>
            <w:tcW w:w="27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5E3DC5" w:rsidRPr="005E3DC5" w:rsidRDefault="005E3DC5" w:rsidP="005E3DC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5E3DC5">
              <w:rPr>
                <w:rFonts w:cs="Arial"/>
                <w:sz w:val="16"/>
                <w:szCs w:val="16"/>
              </w:rPr>
              <w:t xml:space="preserve">Brandýs nad </w:t>
            </w:r>
            <w:proofErr w:type="gramStart"/>
            <w:r w:rsidRPr="005E3DC5">
              <w:rPr>
                <w:rFonts w:cs="Arial"/>
                <w:sz w:val="16"/>
                <w:szCs w:val="16"/>
              </w:rPr>
              <w:t>Labem-Stará</w:t>
            </w:r>
            <w:proofErr w:type="gramEnd"/>
            <w:r w:rsidRPr="005E3DC5">
              <w:rPr>
                <w:rFonts w:cs="Arial"/>
                <w:sz w:val="16"/>
                <w:szCs w:val="16"/>
              </w:rPr>
              <w:t xml:space="preserve"> Boleslav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tcMar>
              <w:right w:w="680" w:type="dxa"/>
            </w:tcMar>
            <w:vAlign w:val="bottom"/>
            <w:hideMark/>
          </w:tcPr>
          <w:p w:rsidR="005E3DC5" w:rsidRPr="005E3DC5" w:rsidRDefault="005E3DC5" w:rsidP="005E3D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E3DC5">
              <w:rPr>
                <w:rFonts w:cs="Arial"/>
                <w:sz w:val="16"/>
                <w:szCs w:val="16"/>
              </w:rPr>
              <w:t>26 537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5E3DC5" w:rsidRPr="005E3DC5" w:rsidRDefault="005E3DC5" w:rsidP="005E3DC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5E3DC5">
              <w:rPr>
                <w:rFonts w:cs="Arial"/>
                <w:sz w:val="16"/>
                <w:szCs w:val="16"/>
              </w:rPr>
              <w:t>Praha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680" w:type="dxa"/>
            </w:tcMar>
            <w:vAlign w:val="bottom"/>
            <w:hideMark/>
          </w:tcPr>
          <w:p w:rsidR="005E3DC5" w:rsidRPr="005E3DC5" w:rsidRDefault="005E3DC5" w:rsidP="005E3D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E3DC5">
              <w:rPr>
                <w:rFonts w:cs="Arial"/>
                <w:sz w:val="16"/>
                <w:szCs w:val="16"/>
              </w:rPr>
              <w:t>-19 129</w:t>
            </w:r>
          </w:p>
        </w:tc>
      </w:tr>
      <w:tr w:rsidR="005E3DC5" w:rsidRPr="005E3DC5" w:rsidTr="00FD4F8F">
        <w:trPr>
          <w:trHeight w:val="255"/>
        </w:trPr>
        <w:tc>
          <w:tcPr>
            <w:tcW w:w="27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5E3DC5" w:rsidRPr="005E3DC5" w:rsidRDefault="005E3DC5" w:rsidP="005E3DC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5E3DC5">
              <w:rPr>
                <w:rFonts w:cs="Arial"/>
                <w:sz w:val="16"/>
                <w:szCs w:val="16"/>
              </w:rPr>
              <w:t>Říčany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tcMar>
              <w:right w:w="680" w:type="dxa"/>
            </w:tcMar>
            <w:vAlign w:val="bottom"/>
            <w:hideMark/>
          </w:tcPr>
          <w:p w:rsidR="005E3DC5" w:rsidRPr="005E3DC5" w:rsidRDefault="005E3DC5" w:rsidP="005E3D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E3DC5">
              <w:rPr>
                <w:rFonts w:cs="Arial"/>
                <w:sz w:val="16"/>
                <w:szCs w:val="16"/>
              </w:rPr>
              <w:t>18 795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5E3DC5" w:rsidRPr="005E3DC5" w:rsidRDefault="005E3DC5" w:rsidP="005E3DC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5E3DC5">
              <w:rPr>
                <w:rFonts w:cs="Arial"/>
                <w:sz w:val="16"/>
                <w:szCs w:val="16"/>
              </w:rPr>
              <w:t>Ostrava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680" w:type="dxa"/>
            </w:tcMar>
            <w:vAlign w:val="bottom"/>
            <w:hideMark/>
          </w:tcPr>
          <w:p w:rsidR="005E3DC5" w:rsidRPr="005E3DC5" w:rsidRDefault="005E3DC5" w:rsidP="005E3D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E3DC5">
              <w:rPr>
                <w:rFonts w:cs="Arial"/>
                <w:sz w:val="16"/>
                <w:szCs w:val="16"/>
              </w:rPr>
              <w:t>-18 099</w:t>
            </w:r>
          </w:p>
        </w:tc>
      </w:tr>
      <w:tr w:rsidR="005E3DC5" w:rsidRPr="005E3DC5" w:rsidTr="00FD4F8F">
        <w:trPr>
          <w:trHeight w:val="255"/>
        </w:trPr>
        <w:tc>
          <w:tcPr>
            <w:tcW w:w="27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5E3DC5" w:rsidRPr="005E3DC5" w:rsidRDefault="005E3DC5" w:rsidP="005E3DC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5E3DC5">
              <w:rPr>
                <w:rFonts w:cs="Arial"/>
                <w:sz w:val="16"/>
                <w:szCs w:val="16"/>
              </w:rPr>
              <w:t>Beroun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tcMar>
              <w:right w:w="680" w:type="dxa"/>
            </w:tcMar>
            <w:vAlign w:val="bottom"/>
            <w:hideMark/>
          </w:tcPr>
          <w:p w:rsidR="005E3DC5" w:rsidRPr="005E3DC5" w:rsidRDefault="005E3DC5" w:rsidP="005E3D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E3DC5">
              <w:rPr>
                <w:rFonts w:cs="Arial"/>
                <w:sz w:val="16"/>
                <w:szCs w:val="16"/>
              </w:rPr>
              <w:t>8 613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5E3DC5" w:rsidRPr="005E3DC5" w:rsidRDefault="005E3DC5" w:rsidP="005E3DC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5E3DC5">
              <w:rPr>
                <w:rFonts w:cs="Arial"/>
                <w:sz w:val="16"/>
                <w:szCs w:val="16"/>
              </w:rPr>
              <w:t>Havířov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680" w:type="dxa"/>
            </w:tcMar>
            <w:vAlign w:val="bottom"/>
            <w:hideMark/>
          </w:tcPr>
          <w:p w:rsidR="005E3DC5" w:rsidRPr="005E3DC5" w:rsidRDefault="005E3DC5" w:rsidP="005E3D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E3DC5">
              <w:rPr>
                <w:rFonts w:cs="Arial"/>
                <w:sz w:val="16"/>
                <w:szCs w:val="16"/>
              </w:rPr>
              <w:t>-7 620</w:t>
            </w:r>
          </w:p>
        </w:tc>
      </w:tr>
      <w:tr w:rsidR="005E3DC5" w:rsidRPr="005E3DC5" w:rsidTr="00FD4F8F">
        <w:trPr>
          <w:trHeight w:val="255"/>
        </w:trPr>
        <w:tc>
          <w:tcPr>
            <w:tcW w:w="27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5E3DC5" w:rsidRPr="005E3DC5" w:rsidRDefault="005E3DC5" w:rsidP="005E3DC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5E3DC5">
              <w:rPr>
                <w:rFonts w:cs="Arial"/>
                <w:sz w:val="16"/>
                <w:szCs w:val="16"/>
              </w:rPr>
              <w:t>Šlapanice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tcMar>
              <w:right w:w="680" w:type="dxa"/>
            </w:tcMar>
            <w:vAlign w:val="bottom"/>
            <w:hideMark/>
          </w:tcPr>
          <w:p w:rsidR="005E3DC5" w:rsidRPr="005E3DC5" w:rsidRDefault="005E3DC5" w:rsidP="005E3D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E3DC5">
              <w:rPr>
                <w:rFonts w:cs="Arial"/>
                <w:sz w:val="16"/>
                <w:szCs w:val="16"/>
              </w:rPr>
              <w:t>8 584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5E3DC5" w:rsidRPr="005E3DC5" w:rsidRDefault="005E3DC5" w:rsidP="005E3DC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5E3DC5">
              <w:rPr>
                <w:rFonts w:cs="Arial"/>
                <w:sz w:val="16"/>
                <w:szCs w:val="16"/>
              </w:rPr>
              <w:t>Karviná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680" w:type="dxa"/>
            </w:tcMar>
            <w:vAlign w:val="bottom"/>
            <w:hideMark/>
          </w:tcPr>
          <w:p w:rsidR="005E3DC5" w:rsidRPr="005E3DC5" w:rsidRDefault="005E3DC5" w:rsidP="005E3D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E3DC5">
              <w:rPr>
                <w:rFonts w:cs="Arial"/>
                <w:sz w:val="16"/>
                <w:szCs w:val="16"/>
              </w:rPr>
              <w:t>-5 685</w:t>
            </w:r>
          </w:p>
        </w:tc>
      </w:tr>
      <w:tr w:rsidR="005E3DC5" w:rsidRPr="005E3DC5" w:rsidTr="00FD4F8F">
        <w:trPr>
          <w:trHeight w:val="255"/>
        </w:trPr>
        <w:tc>
          <w:tcPr>
            <w:tcW w:w="27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5E3DC5" w:rsidRPr="005E3DC5" w:rsidRDefault="005E3DC5" w:rsidP="005E3DC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5E3DC5">
              <w:rPr>
                <w:rFonts w:cs="Arial"/>
                <w:sz w:val="16"/>
                <w:szCs w:val="16"/>
              </w:rPr>
              <w:t>České Budějovice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tcMar>
              <w:right w:w="680" w:type="dxa"/>
            </w:tcMar>
            <w:vAlign w:val="bottom"/>
            <w:hideMark/>
          </w:tcPr>
          <w:p w:rsidR="005E3DC5" w:rsidRPr="005E3DC5" w:rsidRDefault="005E3DC5" w:rsidP="005E3D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E3DC5">
              <w:rPr>
                <w:rFonts w:cs="Arial"/>
                <w:sz w:val="16"/>
                <w:szCs w:val="16"/>
              </w:rPr>
              <w:t>6 313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5E3DC5" w:rsidRPr="005E3DC5" w:rsidRDefault="005E3DC5" w:rsidP="005E3DC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5E3DC5">
              <w:rPr>
                <w:rFonts w:cs="Arial"/>
                <w:sz w:val="16"/>
                <w:szCs w:val="16"/>
              </w:rPr>
              <w:t>Karlovy Vary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680" w:type="dxa"/>
            </w:tcMar>
            <w:vAlign w:val="bottom"/>
            <w:hideMark/>
          </w:tcPr>
          <w:p w:rsidR="005E3DC5" w:rsidRPr="005E3DC5" w:rsidRDefault="005E3DC5" w:rsidP="005E3D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E3DC5">
              <w:rPr>
                <w:rFonts w:cs="Arial"/>
                <w:sz w:val="16"/>
                <w:szCs w:val="16"/>
              </w:rPr>
              <w:t>-4 115</w:t>
            </w:r>
          </w:p>
        </w:tc>
      </w:tr>
      <w:tr w:rsidR="005E3DC5" w:rsidRPr="005E3DC5" w:rsidTr="00FD4F8F">
        <w:trPr>
          <w:trHeight w:val="255"/>
        </w:trPr>
        <w:tc>
          <w:tcPr>
            <w:tcW w:w="27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5E3DC5" w:rsidRPr="005E3DC5" w:rsidRDefault="005E3DC5" w:rsidP="005E3DC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5E3DC5">
              <w:rPr>
                <w:rFonts w:cs="Arial"/>
                <w:sz w:val="16"/>
                <w:szCs w:val="16"/>
              </w:rPr>
              <w:t>Nýřany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tcMar>
              <w:right w:w="680" w:type="dxa"/>
            </w:tcMar>
            <w:vAlign w:val="bottom"/>
            <w:hideMark/>
          </w:tcPr>
          <w:p w:rsidR="005E3DC5" w:rsidRPr="005E3DC5" w:rsidRDefault="005E3DC5" w:rsidP="005E3D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E3DC5">
              <w:rPr>
                <w:rFonts w:cs="Arial"/>
                <w:sz w:val="16"/>
                <w:szCs w:val="16"/>
              </w:rPr>
              <w:t>6 022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5E3DC5" w:rsidRPr="005E3DC5" w:rsidRDefault="005E3DC5" w:rsidP="005E3DC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5E3DC5">
              <w:rPr>
                <w:rFonts w:cs="Arial"/>
                <w:sz w:val="16"/>
                <w:szCs w:val="16"/>
              </w:rPr>
              <w:t>Sokolov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680" w:type="dxa"/>
            </w:tcMar>
            <w:vAlign w:val="bottom"/>
            <w:hideMark/>
          </w:tcPr>
          <w:p w:rsidR="005E3DC5" w:rsidRPr="005E3DC5" w:rsidRDefault="005E3DC5" w:rsidP="005E3D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E3DC5">
              <w:rPr>
                <w:rFonts w:cs="Arial"/>
                <w:sz w:val="16"/>
                <w:szCs w:val="16"/>
              </w:rPr>
              <w:t>-3 956</w:t>
            </w:r>
          </w:p>
        </w:tc>
      </w:tr>
      <w:tr w:rsidR="005E3DC5" w:rsidRPr="005E3DC5" w:rsidTr="00FD4F8F">
        <w:trPr>
          <w:trHeight w:val="255"/>
        </w:trPr>
        <w:tc>
          <w:tcPr>
            <w:tcW w:w="27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5E3DC5" w:rsidRPr="005E3DC5" w:rsidRDefault="005E3DC5" w:rsidP="005E3DC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5E3DC5">
              <w:rPr>
                <w:rFonts w:cs="Arial"/>
                <w:sz w:val="16"/>
                <w:szCs w:val="16"/>
              </w:rPr>
              <w:t>Benešov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tcMar>
              <w:right w:w="680" w:type="dxa"/>
            </w:tcMar>
            <w:vAlign w:val="bottom"/>
            <w:hideMark/>
          </w:tcPr>
          <w:p w:rsidR="005E3DC5" w:rsidRPr="005E3DC5" w:rsidRDefault="005E3DC5" w:rsidP="005E3D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E3DC5">
              <w:rPr>
                <w:rFonts w:cs="Arial"/>
                <w:sz w:val="16"/>
                <w:szCs w:val="16"/>
              </w:rPr>
              <w:t>4 877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5E3DC5" w:rsidRPr="005E3DC5" w:rsidRDefault="005E3DC5" w:rsidP="005E3DC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5E3DC5">
              <w:rPr>
                <w:rFonts w:cs="Arial"/>
                <w:sz w:val="16"/>
                <w:szCs w:val="16"/>
              </w:rPr>
              <w:t>Orlová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680" w:type="dxa"/>
            </w:tcMar>
            <w:vAlign w:val="bottom"/>
            <w:hideMark/>
          </w:tcPr>
          <w:p w:rsidR="005E3DC5" w:rsidRPr="005E3DC5" w:rsidRDefault="005E3DC5" w:rsidP="005E3D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E3DC5">
              <w:rPr>
                <w:rFonts w:cs="Arial"/>
                <w:sz w:val="16"/>
                <w:szCs w:val="16"/>
              </w:rPr>
              <w:t>-3 574</w:t>
            </w:r>
          </w:p>
        </w:tc>
      </w:tr>
      <w:tr w:rsidR="005E3DC5" w:rsidRPr="005E3DC5" w:rsidTr="00FD4F8F">
        <w:trPr>
          <w:trHeight w:val="255"/>
        </w:trPr>
        <w:tc>
          <w:tcPr>
            <w:tcW w:w="27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5E3DC5" w:rsidRPr="005E3DC5" w:rsidRDefault="005E3DC5" w:rsidP="005E3DC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5E3DC5">
              <w:rPr>
                <w:rFonts w:cs="Arial"/>
                <w:sz w:val="16"/>
                <w:szCs w:val="16"/>
              </w:rPr>
              <w:t>Lysá nad Labem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tcMar>
              <w:right w:w="680" w:type="dxa"/>
            </w:tcMar>
            <w:vAlign w:val="bottom"/>
            <w:hideMark/>
          </w:tcPr>
          <w:p w:rsidR="005E3DC5" w:rsidRPr="005E3DC5" w:rsidRDefault="005E3DC5" w:rsidP="005E3D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E3DC5">
              <w:rPr>
                <w:rFonts w:cs="Arial"/>
                <w:sz w:val="16"/>
                <w:szCs w:val="16"/>
              </w:rPr>
              <w:t>4 570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5E3DC5" w:rsidRPr="005E3DC5" w:rsidRDefault="005E3DC5" w:rsidP="005E3DC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5E3DC5">
              <w:rPr>
                <w:rFonts w:cs="Arial"/>
                <w:sz w:val="16"/>
                <w:szCs w:val="16"/>
              </w:rPr>
              <w:t>Most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680" w:type="dxa"/>
            </w:tcMar>
            <w:vAlign w:val="bottom"/>
            <w:hideMark/>
          </w:tcPr>
          <w:p w:rsidR="005E3DC5" w:rsidRPr="005E3DC5" w:rsidRDefault="005E3DC5" w:rsidP="005E3D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E3DC5">
              <w:rPr>
                <w:rFonts w:cs="Arial"/>
                <w:sz w:val="16"/>
                <w:szCs w:val="16"/>
              </w:rPr>
              <w:t>-3 449</w:t>
            </w:r>
          </w:p>
        </w:tc>
      </w:tr>
      <w:tr w:rsidR="005E3DC5" w:rsidRPr="005E3DC5" w:rsidTr="00FD4F8F">
        <w:trPr>
          <w:trHeight w:val="255"/>
        </w:trPr>
        <w:tc>
          <w:tcPr>
            <w:tcW w:w="27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5E3DC5" w:rsidRPr="005E3DC5" w:rsidRDefault="005E3DC5" w:rsidP="005E3DC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5E3DC5">
              <w:rPr>
                <w:rFonts w:cs="Arial"/>
                <w:sz w:val="16"/>
                <w:szCs w:val="16"/>
              </w:rPr>
              <w:t>Kladno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tcMar>
              <w:right w:w="680" w:type="dxa"/>
            </w:tcMar>
            <w:vAlign w:val="bottom"/>
            <w:hideMark/>
          </w:tcPr>
          <w:p w:rsidR="005E3DC5" w:rsidRPr="005E3DC5" w:rsidRDefault="005E3DC5" w:rsidP="005E3D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E3DC5">
              <w:rPr>
                <w:rFonts w:cs="Arial"/>
                <w:sz w:val="16"/>
                <w:szCs w:val="16"/>
              </w:rPr>
              <w:t>4 309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5E3DC5" w:rsidRPr="005E3DC5" w:rsidRDefault="005E3DC5" w:rsidP="005E3DC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5E3DC5">
              <w:rPr>
                <w:rFonts w:cs="Arial"/>
                <w:sz w:val="16"/>
                <w:szCs w:val="16"/>
              </w:rPr>
              <w:t>Ostrov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680" w:type="dxa"/>
            </w:tcMar>
            <w:vAlign w:val="bottom"/>
            <w:hideMark/>
          </w:tcPr>
          <w:p w:rsidR="005E3DC5" w:rsidRPr="005E3DC5" w:rsidRDefault="005E3DC5" w:rsidP="005E3DC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5E3DC5">
              <w:rPr>
                <w:rFonts w:cs="Arial"/>
                <w:sz w:val="16"/>
                <w:szCs w:val="16"/>
              </w:rPr>
              <w:t>-3 448</w:t>
            </w:r>
          </w:p>
        </w:tc>
      </w:tr>
    </w:tbl>
    <w:p w:rsidR="00FD4F8F" w:rsidRDefault="00FD4F8F" w:rsidP="00FD4F8F">
      <w:pPr>
        <w:spacing w:after="0"/>
      </w:pPr>
    </w:p>
    <w:p w:rsidR="000C58BE" w:rsidRDefault="00FD4F8F" w:rsidP="00FD4F8F">
      <w:r>
        <w:t xml:space="preserve">Po přepočtu na 1 000 obyvatel středního stavu měly nejvyšší saldo stěhování za období 2005–2017 také SO ORP ze zázemí Prahy (Tab. 9) – Říčany (25,6 </w:t>
      </w:r>
      <w:r>
        <w:rPr>
          <w:rFonts w:cs="Arial"/>
        </w:rPr>
        <w:t>‰</w:t>
      </w:r>
      <w:r>
        <w:t xml:space="preserve">), Černošice (24,0 </w:t>
      </w:r>
      <w:r>
        <w:rPr>
          <w:rFonts w:cs="Arial"/>
        </w:rPr>
        <w:t>‰</w:t>
      </w:r>
      <w:r>
        <w:t xml:space="preserve">) a Brandýs nad </w:t>
      </w:r>
      <w:proofErr w:type="gramStart"/>
      <w:r>
        <w:t>Labem-Stará</w:t>
      </w:r>
      <w:proofErr w:type="gramEnd"/>
      <w:r>
        <w:t xml:space="preserve"> Boleslav (22,7 </w:t>
      </w:r>
      <w:r>
        <w:rPr>
          <w:rFonts w:cs="Arial"/>
        </w:rPr>
        <w:t>‰</w:t>
      </w:r>
      <w:r>
        <w:t>), za kterými s odstupem následovaly Lysá nad Labem, Český Brod a Beroun.</w:t>
      </w:r>
      <w:r w:rsidR="000C58BE">
        <w:t xml:space="preserve"> Pořadí SO ORP s nejnižším saldem se po relativizaci na počet obyvatel značně proměnilo. SO ORP Brno tak mělo až 12. nejnižší saldo, Ostrava 17. a Praha 90. Relativně nejvíce obyvatel ubylo v SO ORP Ostrov v Karlovarském kraji (-9,1 </w:t>
      </w:r>
      <w:r w:rsidR="000C58BE">
        <w:rPr>
          <w:rFonts w:cs="Arial"/>
        </w:rPr>
        <w:t>‰</w:t>
      </w:r>
      <w:r w:rsidR="000C58BE">
        <w:t xml:space="preserve">), Kaplice v Jihočeském kraji (-7,1 </w:t>
      </w:r>
      <w:r w:rsidR="000C58BE">
        <w:rPr>
          <w:rFonts w:cs="Arial"/>
        </w:rPr>
        <w:t xml:space="preserve">‰) a Orlová v Moravskoslezském kraji (-6,9 ‰), za kterou následovaly další dvě SO ORP ve stejném kraji (Havířov a Karviná oba -6,2 ‰)   </w:t>
      </w:r>
      <w:r w:rsidR="000C58BE">
        <w:t xml:space="preserve">  </w:t>
      </w:r>
    </w:p>
    <w:p w:rsidR="000C58BE" w:rsidRDefault="00222683" w:rsidP="00FD4F8F">
      <w:r>
        <w:t xml:space="preserve">Nejsilnější proudy mezi SO ORP lze sledovat mezi Prahou a jejím zázemím (Tab. 10). Z Prahy do Černošic se v období 2005–2017 vystěhovalo 50 596 osob (18 279 opačným směrem), do Brandýsa nad Labem-Staré Boleslavi 34 188 obyvatel (12 780 opačně) a do Říčan migrovalo 22 199 osob (7 349 zpět). Další silné proudy z Prahy byly i do SO ORP Kladna, Berouna a Benešova. Z mimopražských byly nejvýznamnější proudy z Brna do Šlapanic (17 364 osob a 7 785 opačným směrem) a z Plzně do Nýřan (10 904 případů </w:t>
      </w:r>
      <w:r>
        <w:lastRenderedPageBreak/>
        <w:t xml:space="preserve">stěhování a 5 674 zpět). </w:t>
      </w:r>
      <w:r w:rsidR="007A4E6F">
        <w:t xml:space="preserve">Zatímco </w:t>
      </w:r>
      <w:proofErr w:type="spellStart"/>
      <w:r w:rsidR="007A4E6F">
        <w:t>suburbanizační</w:t>
      </w:r>
      <w:proofErr w:type="spellEnd"/>
      <w:r w:rsidR="007A4E6F">
        <w:t xml:space="preserve"> proudy z Prahy směrem do tří SO ORP v jejím zázemí vrcholily v roce 2008 a poté poklesly, tak proudy</w:t>
      </w:r>
      <w:r>
        <w:t xml:space="preserve"> </w:t>
      </w:r>
      <w:proofErr w:type="spellStart"/>
      <w:r w:rsidR="007A4E6F">
        <w:t>reurbanizační</w:t>
      </w:r>
      <w:proofErr w:type="spellEnd"/>
      <w:r w:rsidR="007A4E6F">
        <w:t xml:space="preserve"> ve sledovaném období sílily a v roce 2017 byly na více než dvounásobných hodnotách oproti roku 2005.  </w:t>
      </w:r>
      <w:r>
        <w:t xml:space="preserve"> </w:t>
      </w:r>
    </w:p>
    <w:p w:rsidR="00AB7D65" w:rsidRDefault="0030171D" w:rsidP="00FD4F8F">
      <w:pPr>
        <w:spacing w:before="240" w:after="0"/>
        <w:rPr>
          <w:rFonts w:cs="Arial"/>
          <w:b/>
          <w:szCs w:val="20"/>
        </w:rPr>
      </w:pPr>
      <w:r>
        <w:rPr>
          <w:rFonts w:cs="Arial"/>
          <w:b/>
          <w:szCs w:val="20"/>
        </w:rPr>
        <w:t>Tab. 9</w:t>
      </w:r>
      <w:r w:rsidRPr="00091A5B">
        <w:rPr>
          <w:rFonts w:cs="Arial"/>
          <w:b/>
          <w:szCs w:val="20"/>
        </w:rPr>
        <w:t xml:space="preserve"> </w:t>
      </w:r>
      <w:r w:rsidR="001C17C6">
        <w:rPr>
          <w:rFonts w:cs="Arial"/>
          <w:b/>
          <w:szCs w:val="20"/>
        </w:rPr>
        <w:t xml:space="preserve">Saldo </w:t>
      </w:r>
      <w:r w:rsidR="001C17C6" w:rsidRPr="004A2A36">
        <w:rPr>
          <w:rFonts w:cs="Arial"/>
          <w:b/>
          <w:szCs w:val="20"/>
        </w:rPr>
        <w:t xml:space="preserve">stěhování </w:t>
      </w:r>
      <w:r w:rsidR="001C17C6">
        <w:rPr>
          <w:rFonts w:cs="Arial"/>
          <w:b/>
          <w:szCs w:val="20"/>
        </w:rPr>
        <w:t>podle</w:t>
      </w:r>
      <w:r w:rsidR="001C17C6" w:rsidRPr="004A2A36">
        <w:rPr>
          <w:rFonts w:cs="Arial"/>
          <w:b/>
          <w:szCs w:val="20"/>
        </w:rPr>
        <w:t xml:space="preserve"> správn</w:t>
      </w:r>
      <w:r w:rsidR="001C17C6">
        <w:rPr>
          <w:rFonts w:cs="Arial"/>
          <w:b/>
          <w:szCs w:val="20"/>
        </w:rPr>
        <w:t>ích obvodů</w:t>
      </w:r>
      <w:r w:rsidR="001C17C6" w:rsidRPr="004A2A36">
        <w:rPr>
          <w:rFonts w:cs="Arial"/>
          <w:b/>
          <w:szCs w:val="20"/>
        </w:rPr>
        <w:t xml:space="preserve"> obcí s rozšířenou působností</w:t>
      </w:r>
      <w:r w:rsidRPr="006E6E30">
        <w:rPr>
          <w:rFonts w:cs="Arial"/>
          <w:b/>
          <w:szCs w:val="20"/>
        </w:rPr>
        <w:t xml:space="preserve"> </w:t>
      </w:r>
      <w:r>
        <w:rPr>
          <w:rFonts w:cs="Arial"/>
          <w:b/>
          <w:szCs w:val="20"/>
        </w:rPr>
        <w:t xml:space="preserve">za </w:t>
      </w:r>
      <w:r w:rsidRPr="004D08F9">
        <w:rPr>
          <w:rFonts w:cs="Arial"/>
          <w:b/>
          <w:szCs w:val="20"/>
        </w:rPr>
        <w:t>období</w:t>
      </w:r>
    </w:p>
    <w:p w:rsidR="0030171D" w:rsidRDefault="00AB7D65" w:rsidP="00AB7D65">
      <w:pPr>
        <w:spacing w:after="0"/>
        <w:rPr>
          <w:rFonts w:cs="Arial"/>
          <w:b/>
          <w:szCs w:val="20"/>
        </w:rPr>
      </w:pPr>
      <w:r>
        <w:rPr>
          <w:rFonts w:cs="Arial"/>
          <w:b/>
          <w:szCs w:val="20"/>
        </w:rPr>
        <w:t xml:space="preserve">            </w:t>
      </w:r>
      <w:r w:rsidR="0030171D" w:rsidRPr="004D08F9">
        <w:rPr>
          <w:rFonts w:cs="Arial"/>
          <w:b/>
          <w:szCs w:val="20"/>
        </w:rPr>
        <w:t>2005–2017</w:t>
      </w:r>
      <w:r>
        <w:rPr>
          <w:rFonts w:cs="Arial"/>
          <w:b/>
          <w:szCs w:val="20"/>
        </w:rPr>
        <w:t xml:space="preserve"> </w:t>
      </w:r>
      <w:r w:rsidR="0030171D">
        <w:rPr>
          <w:rFonts w:cs="Arial"/>
          <w:b/>
          <w:szCs w:val="20"/>
        </w:rPr>
        <w:t>(na 1 000 obyvatel k 1. 7.)</w:t>
      </w:r>
    </w:p>
    <w:tbl>
      <w:tblPr>
        <w:tblW w:w="85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4"/>
        <w:gridCol w:w="1881"/>
        <w:gridCol w:w="1979"/>
        <w:gridCol w:w="1881"/>
      </w:tblGrid>
      <w:tr w:rsidR="00AB7D65" w:rsidRPr="00AB7D65" w:rsidTr="00AB7D65">
        <w:trPr>
          <w:trHeight w:val="263"/>
        </w:trPr>
        <w:tc>
          <w:tcPr>
            <w:tcW w:w="42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5DADD"/>
            <w:vAlign w:val="center"/>
            <w:hideMark/>
          </w:tcPr>
          <w:p w:rsidR="00AB7D65" w:rsidRPr="00AB7D65" w:rsidRDefault="00AB7D65" w:rsidP="00AB7D65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AB7D65">
              <w:rPr>
                <w:rFonts w:cs="Arial"/>
                <w:b/>
                <w:bCs/>
                <w:sz w:val="16"/>
                <w:szCs w:val="16"/>
              </w:rPr>
              <w:t>SO ORP s nejvyšším saldem</w:t>
            </w:r>
          </w:p>
        </w:tc>
        <w:tc>
          <w:tcPr>
            <w:tcW w:w="35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FFFFFF" w:fill="F5DADD"/>
            <w:vAlign w:val="center"/>
            <w:hideMark/>
          </w:tcPr>
          <w:p w:rsidR="00AB7D65" w:rsidRPr="00AB7D65" w:rsidRDefault="00AB7D65" w:rsidP="00AB7D65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AB7D65">
              <w:rPr>
                <w:rFonts w:cs="Arial"/>
                <w:b/>
                <w:bCs/>
                <w:sz w:val="16"/>
                <w:szCs w:val="16"/>
              </w:rPr>
              <w:t>SO ORP s nejnižším saldem</w:t>
            </w:r>
          </w:p>
        </w:tc>
      </w:tr>
      <w:tr w:rsidR="00AB7D65" w:rsidRPr="00AB7D65" w:rsidTr="00AB7D65">
        <w:trPr>
          <w:trHeight w:val="263"/>
        </w:trPr>
        <w:tc>
          <w:tcPr>
            <w:tcW w:w="2548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FFFFFF" w:fill="F5DADD"/>
            <w:vAlign w:val="center"/>
            <w:hideMark/>
          </w:tcPr>
          <w:p w:rsidR="00AB7D65" w:rsidRPr="00AB7D65" w:rsidRDefault="00AB7D65" w:rsidP="00AB7D65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AB7D65">
              <w:rPr>
                <w:rFonts w:cs="Arial"/>
                <w:b/>
                <w:bCs/>
                <w:sz w:val="16"/>
                <w:szCs w:val="16"/>
              </w:rPr>
              <w:t>SO ORP</w:t>
            </w:r>
          </w:p>
        </w:tc>
        <w:tc>
          <w:tcPr>
            <w:tcW w:w="17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5DADD"/>
            <w:vAlign w:val="center"/>
            <w:hideMark/>
          </w:tcPr>
          <w:p w:rsidR="00AB7D65" w:rsidRPr="00AB7D65" w:rsidRDefault="00AB7D65" w:rsidP="00AB7D65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AB7D65">
              <w:rPr>
                <w:rFonts w:cs="Arial"/>
                <w:b/>
                <w:bCs/>
                <w:sz w:val="16"/>
                <w:szCs w:val="16"/>
              </w:rPr>
              <w:t xml:space="preserve">Saldo stěhování na </w:t>
            </w:r>
            <w:r w:rsidRPr="00AB7D65">
              <w:rPr>
                <w:rFonts w:cs="Arial"/>
                <w:b/>
                <w:bCs/>
                <w:sz w:val="16"/>
                <w:szCs w:val="16"/>
              </w:rPr>
              <w:br/>
              <w:t>1 000 obyvatel</w:t>
            </w:r>
          </w:p>
        </w:tc>
        <w:tc>
          <w:tcPr>
            <w:tcW w:w="18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5DADD"/>
            <w:vAlign w:val="center"/>
            <w:hideMark/>
          </w:tcPr>
          <w:p w:rsidR="00AB7D65" w:rsidRPr="00AB7D65" w:rsidRDefault="00AB7D65" w:rsidP="00AB7D65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AB7D65">
              <w:rPr>
                <w:rFonts w:cs="Arial"/>
                <w:b/>
                <w:bCs/>
                <w:sz w:val="16"/>
                <w:szCs w:val="16"/>
              </w:rPr>
              <w:t>SO ORP</w:t>
            </w:r>
          </w:p>
        </w:tc>
        <w:tc>
          <w:tcPr>
            <w:tcW w:w="17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FFFFFF" w:fill="F5DADD"/>
            <w:vAlign w:val="center"/>
            <w:hideMark/>
          </w:tcPr>
          <w:p w:rsidR="00AB7D65" w:rsidRPr="00AB7D65" w:rsidRDefault="00AB7D65" w:rsidP="00AB7D65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AB7D65">
              <w:rPr>
                <w:rFonts w:cs="Arial"/>
                <w:b/>
                <w:bCs/>
                <w:sz w:val="16"/>
                <w:szCs w:val="16"/>
              </w:rPr>
              <w:t xml:space="preserve">Saldo stěhování na </w:t>
            </w:r>
            <w:r w:rsidRPr="00AB7D65">
              <w:rPr>
                <w:rFonts w:cs="Arial"/>
                <w:b/>
                <w:bCs/>
                <w:sz w:val="16"/>
                <w:szCs w:val="16"/>
              </w:rPr>
              <w:br/>
              <w:t>1 000 obyvatel</w:t>
            </w:r>
          </w:p>
        </w:tc>
      </w:tr>
      <w:tr w:rsidR="00AB7D65" w:rsidRPr="00AB7D65" w:rsidTr="00AB7D65">
        <w:trPr>
          <w:trHeight w:val="263"/>
        </w:trPr>
        <w:tc>
          <w:tcPr>
            <w:tcW w:w="254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7D65" w:rsidRPr="00AB7D65" w:rsidRDefault="00AB7D65" w:rsidP="00AB7D65">
            <w:pPr>
              <w:spacing w:after="0" w:line="240" w:lineRule="auto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7D65" w:rsidRPr="00AB7D65" w:rsidRDefault="00AB7D65" w:rsidP="00AB7D65">
            <w:pPr>
              <w:spacing w:after="0" w:line="240" w:lineRule="auto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B7D65" w:rsidRPr="00AB7D65" w:rsidRDefault="00AB7D65" w:rsidP="00AB7D65">
            <w:pPr>
              <w:spacing w:after="0" w:line="240" w:lineRule="auto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AB7D65" w:rsidRPr="00AB7D65" w:rsidRDefault="00AB7D65" w:rsidP="00AB7D65">
            <w:pPr>
              <w:spacing w:after="0" w:line="240" w:lineRule="auto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AB7D65" w:rsidRPr="00AB7D65" w:rsidTr="00935421">
        <w:trPr>
          <w:trHeight w:val="255"/>
        </w:trPr>
        <w:tc>
          <w:tcPr>
            <w:tcW w:w="25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B7D65" w:rsidRPr="00AB7D65" w:rsidRDefault="00AB7D65" w:rsidP="00AB7D6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AB7D65">
              <w:rPr>
                <w:rFonts w:cs="Arial"/>
                <w:sz w:val="16"/>
                <w:szCs w:val="16"/>
              </w:rPr>
              <w:t>Říčany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tcMar>
              <w:right w:w="851" w:type="dxa"/>
            </w:tcMar>
            <w:vAlign w:val="bottom"/>
            <w:hideMark/>
          </w:tcPr>
          <w:p w:rsidR="00AB7D65" w:rsidRPr="00AB7D65" w:rsidRDefault="00AB7D65" w:rsidP="00AB7D6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B7D65">
              <w:rPr>
                <w:rFonts w:cs="Arial"/>
                <w:sz w:val="16"/>
                <w:szCs w:val="16"/>
              </w:rPr>
              <w:t>25,6</w:t>
            </w: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B7D65" w:rsidRPr="00AB7D65" w:rsidRDefault="00AB7D65" w:rsidP="00AB7D6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AB7D65">
              <w:rPr>
                <w:rFonts w:cs="Arial"/>
                <w:sz w:val="16"/>
                <w:szCs w:val="16"/>
              </w:rPr>
              <w:t>Ostrov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AB7D65" w:rsidRPr="00AB7D65" w:rsidRDefault="00AB7D65" w:rsidP="0093542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AB7D65">
              <w:rPr>
                <w:rFonts w:cs="Arial"/>
                <w:sz w:val="16"/>
                <w:szCs w:val="16"/>
              </w:rPr>
              <w:t>-9,1</w:t>
            </w:r>
          </w:p>
        </w:tc>
      </w:tr>
      <w:tr w:rsidR="00AB7D65" w:rsidRPr="00AB7D65" w:rsidTr="00935421">
        <w:trPr>
          <w:trHeight w:val="255"/>
        </w:trPr>
        <w:tc>
          <w:tcPr>
            <w:tcW w:w="25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B7D65" w:rsidRPr="00AB7D65" w:rsidRDefault="00AB7D65" w:rsidP="00AB7D6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AB7D65">
              <w:rPr>
                <w:rFonts w:cs="Arial"/>
                <w:sz w:val="16"/>
                <w:szCs w:val="16"/>
              </w:rPr>
              <w:t>Černošice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tcMar>
              <w:right w:w="851" w:type="dxa"/>
            </w:tcMar>
            <w:vAlign w:val="bottom"/>
            <w:hideMark/>
          </w:tcPr>
          <w:p w:rsidR="00AB7D65" w:rsidRPr="00AB7D65" w:rsidRDefault="00AB7D65" w:rsidP="00AB7D6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B7D65">
              <w:rPr>
                <w:rFonts w:cs="Arial"/>
                <w:sz w:val="16"/>
                <w:szCs w:val="16"/>
              </w:rPr>
              <w:t>24,0</w:t>
            </w: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B7D65" w:rsidRPr="00AB7D65" w:rsidRDefault="00AB7D65" w:rsidP="00AB7D6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AB7D65">
              <w:rPr>
                <w:rFonts w:cs="Arial"/>
                <w:sz w:val="16"/>
                <w:szCs w:val="16"/>
              </w:rPr>
              <w:t>Kaplice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AB7D65" w:rsidRPr="00AB7D65" w:rsidRDefault="00AB7D65" w:rsidP="0093542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AB7D65">
              <w:rPr>
                <w:rFonts w:cs="Arial"/>
                <w:sz w:val="16"/>
                <w:szCs w:val="16"/>
              </w:rPr>
              <w:t>-7,1</w:t>
            </w:r>
          </w:p>
        </w:tc>
      </w:tr>
      <w:tr w:rsidR="00AB7D65" w:rsidRPr="00AB7D65" w:rsidTr="00935421">
        <w:trPr>
          <w:trHeight w:val="255"/>
        </w:trPr>
        <w:tc>
          <w:tcPr>
            <w:tcW w:w="25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B7D65" w:rsidRPr="00AB7D65" w:rsidRDefault="00AB7D65" w:rsidP="00AB7D6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AB7D65">
              <w:rPr>
                <w:rFonts w:cs="Arial"/>
                <w:sz w:val="16"/>
                <w:szCs w:val="16"/>
              </w:rPr>
              <w:t xml:space="preserve">Brandýs nad </w:t>
            </w:r>
            <w:proofErr w:type="gramStart"/>
            <w:r w:rsidRPr="00AB7D65">
              <w:rPr>
                <w:rFonts w:cs="Arial"/>
                <w:sz w:val="16"/>
                <w:szCs w:val="16"/>
              </w:rPr>
              <w:t>Labem-Stará</w:t>
            </w:r>
            <w:proofErr w:type="gramEnd"/>
            <w:r w:rsidRPr="00AB7D65">
              <w:rPr>
                <w:rFonts w:cs="Arial"/>
                <w:sz w:val="16"/>
                <w:szCs w:val="16"/>
              </w:rPr>
              <w:t xml:space="preserve"> Boleslav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tcMar>
              <w:right w:w="851" w:type="dxa"/>
            </w:tcMar>
            <w:vAlign w:val="bottom"/>
            <w:hideMark/>
          </w:tcPr>
          <w:p w:rsidR="00AB7D65" w:rsidRPr="00AB7D65" w:rsidRDefault="00AB7D65" w:rsidP="00AB7D6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B7D65">
              <w:rPr>
                <w:rFonts w:cs="Arial"/>
                <w:sz w:val="16"/>
                <w:szCs w:val="16"/>
              </w:rPr>
              <w:t>22,7</w:t>
            </w: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B7D65" w:rsidRPr="00AB7D65" w:rsidRDefault="00AB7D65" w:rsidP="00AB7D6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AB7D65">
              <w:rPr>
                <w:rFonts w:cs="Arial"/>
                <w:sz w:val="16"/>
                <w:szCs w:val="16"/>
              </w:rPr>
              <w:t>Orlová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AB7D65" w:rsidRPr="00AB7D65" w:rsidRDefault="00AB7D65" w:rsidP="0093542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AB7D65">
              <w:rPr>
                <w:rFonts w:cs="Arial"/>
                <w:sz w:val="16"/>
                <w:szCs w:val="16"/>
              </w:rPr>
              <w:t>-6,9</w:t>
            </w:r>
          </w:p>
        </w:tc>
      </w:tr>
      <w:tr w:rsidR="00AB7D65" w:rsidRPr="00AB7D65" w:rsidTr="00935421">
        <w:trPr>
          <w:trHeight w:val="255"/>
        </w:trPr>
        <w:tc>
          <w:tcPr>
            <w:tcW w:w="25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B7D65" w:rsidRPr="00AB7D65" w:rsidRDefault="00AB7D65" w:rsidP="00AB7D6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AB7D65">
              <w:rPr>
                <w:rFonts w:cs="Arial"/>
                <w:sz w:val="16"/>
                <w:szCs w:val="16"/>
              </w:rPr>
              <w:t>Lysá nad Labem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tcMar>
              <w:right w:w="851" w:type="dxa"/>
            </w:tcMar>
            <w:vAlign w:val="bottom"/>
            <w:hideMark/>
          </w:tcPr>
          <w:p w:rsidR="00AB7D65" w:rsidRPr="00AB7D65" w:rsidRDefault="00AB7D65" w:rsidP="00AB7D6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B7D65">
              <w:rPr>
                <w:rFonts w:cs="Arial"/>
                <w:sz w:val="16"/>
                <w:szCs w:val="16"/>
              </w:rPr>
              <w:t>15,8</w:t>
            </w: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B7D65" w:rsidRPr="00AB7D65" w:rsidRDefault="00AB7D65" w:rsidP="00AB7D6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AB7D65">
              <w:rPr>
                <w:rFonts w:cs="Arial"/>
                <w:sz w:val="16"/>
                <w:szCs w:val="16"/>
              </w:rPr>
              <w:t>Havířov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AB7D65" w:rsidRPr="00AB7D65" w:rsidRDefault="00AB7D65" w:rsidP="0093542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AB7D65">
              <w:rPr>
                <w:rFonts w:cs="Arial"/>
                <w:sz w:val="16"/>
                <w:szCs w:val="16"/>
              </w:rPr>
              <w:t>-6,2</w:t>
            </w:r>
          </w:p>
        </w:tc>
      </w:tr>
      <w:tr w:rsidR="00AB7D65" w:rsidRPr="00AB7D65" w:rsidTr="00935421">
        <w:trPr>
          <w:trHeight w:val="255"/>
        </w:trPr>
        <w:tc>
          <w:tcPr>
            <w:tcW w:w="25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B7D65" w:rsidRPr="00AB7D65" w:rsidRDefault="00AB7D65" w:rsidP="00AB7D6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AB7D65">
              <w:rPr>
                <w:rFonts w:cs="Arial"/>
                <w:sz w:val="16"/>
                <w:szCs w:val="16"/>
              </w:rPr>
              <w:t>Český Brod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tcMar>
              <w:right w:w="851" w:type="dxa"/>
            </w:tcMar>
            <w:vAlign w:val="bottom"/>
            <w:hideMark/>
          </w:tcPr>
          <w:p w:rsidR="00AB7D65" w:rsidRPr="00AB7D65" w:rsidRDefault="00AB7D65" w:rsidP="00AB7D6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B7D65">
              <w:rPr>
                <w:rFonts w:cs="Arial"/>
                <w:sz w:val="16"/>
                <w:szCs w:val="16"/>
              </w:rPr>
              <w:t>11,9</w:t>
            </w: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B7D65" w:rsidRPr="00AB7D65" w:rsidRDefault="00AB7D65" w:rsidP="00AB7D6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AB7D65">
              <w:rPr>
                <w:rFonts w:cs="Arial"/>
                <w:sz w:val="16"/>
                <w:szCs w:val="16"/>
              </w:rPr>
              <w:t>Karviná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AB7D65" w:rsidRPr="00AB7D65" w:rsidRDefault="00AB7D65" w:rsidP="0093542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AB7D65">
              <w:rPr>
                <w:rFonts w:cs="Arial"/>
                <w:sz w:val="16"/>
                <w:szCs w:val="16"/>
              </w:rPr>
              <w:t>-6,2</w:t>
            </w:r>
          </w:p>
        </w:tc>
      </w:tr>
      <w:tr w:rsidR="00AB7D65" w:rsidRPr="00AB7D65" w:rsidTr="00935421">
        <w:trPr>
          <w:trHeight w:val="255"/>
        </w:trPr>
        <w:tc>
          <w:tcPr>
            <w:tcW w:w="25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B7D65" w:rsidRPr="00AB7D65" w:rsidRDefault="00AB7D65" w:rsidP="00AB7D6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AB7D65">
              <w:rPr>
                <w:rFonts w:cs="Arial"/>
                <w:sz w:val="16"/>
                <w:szCs w:val="16"/>
              </w:rPr>
              <w:t>Beroun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tcMar>
              <w:right w:w="851" w:type="dxa"/>
            </w:tcMar>
            <w:vAlign w:val="bottom"/>
            <w:hideMark/>
          </w:tcPr>
          <w:p w:rsidR="00AB7D65" w:rsidRPr="00AB7D65" w:rsidRDefault="00AB7D65" w:rsidP="00AB7D6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B7D65">
              <w:rPr>
                <w:rFonts w:cs="Arial"/>
                <w:sz w:val="16"/>
                <w:szCs w:val="16"/>
              </w:rPr>
              <w:t>11,7</w:t>
            </w: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B7D65" w:rsidRPr="00AB7D65" w:rsidRDefault="00AB7D65" w:rsidP="00AB7D6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AB7D65">
              <w:rPr>
                <w:rFonts w:cs="Arial"/>
                <w:sz w:val="16"/>
                <w:szCs w:val="16"/>
              </w:rPr>
              <w:t>Broumov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AB7D65" w:rsidRPr="00AB7D65" w:rsidRDefault="00AB7D65" w:rsidP="0093542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AB7D65">
              <w:rPr>
                <w:rFonts w:cs="Arial"/>
                <w:sz w:val="16"/>
                <w:szCs w:val="16"/>
              </w:rPr>
              <w:t>-5,8</w:t>
            </w:r>
          </w:p>
        </w:tc>
      </w:tr>
      <w:tr w:rsidR="00AB7D65" w:rsidRPr="00AB7D65" w:rsidTr="00935421">
        <w:trPr>
          <w:trHeight w:val="255"/>
        </w:trPr>
        <w:tc>
          <w:tcPr>
            <w:tcW w:w="25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B7D65" w:rsidRPr="00AB7D65" w:rsidRDefault="00AB7D65" w:rsidP="00AB7D6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AB7D65">
              <w:rPr>
                <w:rFonts w:cs="Arial"/>
                <w:sz w:val="16"/>
                <w:szCs w:val="16"/>
              </w:rPr>
              <w:t>Šlapanice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tcMar>
              <w:right w:w="851" w:type="dxa"/>
            </w:tcMar>
            <w:vAlign w:val="bottom"/>
            <w:hideMark/>
          </w:tcPr>
          <w:p w:rsidR="00AB7D65" w:rsidRPr="00AB7D65" w:rsidRDefault="00AB7D65" w:rsidP="00AB7D6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B7D65">
              <w:rPr>
                <w:rFonts w:cs="Arial"/>
                <w:sz w:val="16"/>
                <w:szCs w:val="16"/>
              </w:rPr>
              <w:t>10,7</w:t>
            </w: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B7D65" w:rsidRPr="00AB7D65" w:rsidRDefault="00AB7D65" w:rsidP="00AB7D6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AB7D65">
              <w:rPr>
                <w:rFonts w:cs="Arial"/>
                <w:sz w:val="16"/>
                <w:szCs w:val="16"/>
              </w:rPr>
              <w:t>Jeseník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AB7D65" w:rsidRPr="00AB7D65" w:rsidRDefault="00AB7D65" w:rsidP="0093542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AB7D65">
              <w:rPr>
                <w:rFonts w:cs="Arial"/>
                <w:sz w:val="16"/>
                <w:szCs w:val="16"/>
              </w:rPr>
              <w:t>-5,7</w:t>
            </w:r>
          </w:p>
        </w:tc>
      </w:tr>
      <w:tr w:rsidR="00AB7D65" w:rsidRPr="00AB7D65" w:rsidTr="00935421">
        <w:trPr>
          <w:trHeight w:val="255"/>
        </w:trPr>
        <w:tc>
          <w:tcPr>
            <w:tcW w:w="25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B7D65" w:rsidRPr="00AB7D65" w:rsidRDefault="00AB7D65" w:rsidP="00AB7D6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AB7D65">
              <w:rPr>
                <w:rFonts w:cs="Arial"/>
                <w:sz w:val="16"/>
                <w:szCs w:val="16"/>
              </w:rPr>
              <w:t>Dobříš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tcMar>
              <w:right w:w="851" w:type="dxa"/>
            </w:tcMar>
            <w:vAlign w:val="bottom"/>
            <w:hideMark/>
          </w:tcPr>
          <w:p w:rsidR="00AB7D65" w:rsidRPr="00AB7D65" w:rsidRDefault="00AB7D65" w:rsidP="00AB7D6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B7D65">
              <w:rPr>
                <w:rFonts w:cs="Arial"/>
                <w:sz w:val="16"/>
                <w:szCs w:val="16"/>
              </w:rPr>
              <w:t>10,0</w:t>
            </w: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B7D65" w:rsidRPr="00AB7D65" w:rsidRDefault="00AB7D65" w:rsidP="00AB7D6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AB7D65">
              <w:rPr>
                <w:rFonts w:cs="Arial"/>
                <w:sz w:val="16"/>
                <w:szCs w:val="16"/>
              </w:rPr>
              <w:t>Rýmařov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AB7D65" w:rsidRPr="00AB7D65" w:rsidRDefault="00AB7D65" w:rsidP="0093542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AB7D65">
              <w:rPr>
                <w:rFonts w:cs="Arial"/>
                <w:sz w:val="16"/>
                <w:szCs w:val="16"/>
              </w:rPr>
              <w:t>-5,4</w:t>
            </w:r>
          </w:p>
        </w:tc>
      </w:tr>
      <w:tr w:rsidR="00AB7D65" w:rsidRPr="00AB7D65" w:rsidTr="00935421">
        <w:trPr>
          <w:trHeight w:val="255"/>
        </w:trPr>
        <w:tc>
          <w:tcPr>
            <w:tcW w:w="25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B7D65" w:rsidRPr="00AB7D65" w:rsidRDefault="00AB7D65" w:rsidP="00AB7D6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AB7D65">
              <w:rPr>
                <w:rFonts w:cs="Arial"/>
                <w:sz w:val="16"/>
                <w:szCs w:val="16"/>
              </w:rPr>
              <w:t>Frýdlant nad Ostravicí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tcMar>
              <w:right w:w="851" w:type="dxa"/>
            </w:tcMar>
            <w:vAlign w:val="bottom"/>
            <w:hideMark/>
          </w:tcPr>
          <w:p w:rsidR="00AB7D65" w:rsidRPr="00AB7D65" w:rsidRDefault="00AB7D65" w:rsidP="00AB7D6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B7D65">
              <w:rPr>
                <w:rFonts w:cs="Arial"/>
                <w:sz w:val="16"/>
                <w:szCs w:val="16"/>
              </w:rPr>
              <w:t>9,2</w:t>
            </w: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B7D65" w:rsidRPr="00AB7D65" w:rsidRDefault="00AB7D65" w:rsidP="00AB7D6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AB7D65">
              <w:rPr>
                <w:rFonts w:cs="Arial"/>
                <w:sz w:val="16"/>
                <w:szCs w:val="16"/>
              </w:rPr>
              <w:t>Mariánské Lázně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AB7D65" w:rsidRPr="00AB7D65" w:rsidRDefault="00AB7D65" w:rsidP="0093542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AB7D65">
              <w:rPr>
                <w:rFonts w:cs="Arial"/>
                <w:sz w:val="16"/>
                <w:szCs w:val="16"/>
              </w:rPr>
              <w:t>-5,4</w:t>
            </w:r>
          </w:p>
        </w:tc>
      </w:tr>
      <w:tr w:rsidR="00AB7D65" w:rsidRPr="00AB7D65" w:rsidTr="00935421">
        <w:trPr>
          <w:trHeight w:val="255"/>
        </w:trPr>
        <w:tc>
          <w:tcPr>
            <w:tcW w:w="25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B7D65" w:rsidRPr="00AB7D65" w:rsidRDefault="00AB7D65" w:rsidP="00AB7D6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AB7D65">
              <w:rPr>
                <w:rFonts w:cs="Arial"/>
                <w:sz w:val="16"/>
                <w:szCs w:val="16"/>
              </w:rPr>
              <w:t>Nýřany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tcMar>
              <w:right w:w="851" w:type="dxa"/>
            </w:tcMar>
            <w:vAlign w:val="bottom"/>
            <w:hideMark/>
          </w:tcPr>
          <w:p w:rsidR="00AB7D65" w:rsidRPr="00AB7D65" w:rsidRDefault="00AB7D65" w:rsidP="00AB7D6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B7D65"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AB7D65" w:rsidRPr="00AB7D65" w:rsidRDefault="00AB7D65" w:rsidP="00AB7D6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AB7D65">
              <w:rPr>
                <w:rFonts w:cs="Arial"/>
                <w:sz w:val="16"/>
                <w:szCs w:val="16"/>
              </w:rPr>
              <w:t>Kraslice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:rsidR="00AB7D65" w:rsidRPr="00AB7D65" w:rsidRDefault="00AB7D65" w:rsidP="0093542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AB7D65">
              <w:rPr>
                <w:rFonts w:cs="Arial"/>
                <w:sz w:val="16"/>
                <w:szCs w:val="16"/>
              </w:rPr>
              <w:t>-5,2</w:t>
            </w:r>
          </w:p>
        </w:tc>
      </w:tr>
    </w:tbl>
    <w:p w:rsidR="00FD4F8F" w:rsidRDefault="00FD4F8F" w:rsidP="002838E0">
      <w:pPr>
        <w:spacing w:after="0"/>
      </w:pPr>
    </w:p>
    <w:p w:rsidR="00B62000" w:rsidRDefault="000A1EC4" w:rsidP="000A1EC4">
      <w:pPr>
        <w:spacing w:after="0"/>
        <w:rPr>
          <w:rFonts w:cs="Arial"/>
          <w:b/>
          <w:szCs w:val="20"/>
        </w:rPr>
      </w:pPr>
      <w:r>
        <w:rPr>
          <w:rFonts w:cs="Arial"/>
          <w:b/>
          <w:szCs w:val="20"/>
        </w:rPr>
        <w:t xml:space="preserve">Tab. 10 </w:t>
      </w:r>
      <w:r w:rsidRPr="000A1EC4">
        <w:rPr>
          <w:rFonts w:cs="Arial"/>
          <w:b/>
          <w:szCs w:val="20"/>
        </w:rPr>
        <w:t xml:space="preserve">Proudy stěhování mezi správními obvody obcí s rozšířenou působností </w:t>
      </w:r>
    </w:p>
    <w:p w:rsidR="000A1EC4" w:rsidRDefault="00B62000" w:rsidP="000A1EC4">
      <w:pPr>
        <w:spacing w:after="0"/>
        <w:rPr>
          <w:rFonts w:cs="Arial"/>
          <w:b/>
          <w:szCs w:val="20"/>
        </w:rPr>
      </w:pPr>
      <w:r>
        <w:rPr>
          <w:rFonts w:cs="Arial"/>
          <w:b/>
          <w:szCs w:val="20"/>
        </w:rPr>
        <w:t xml:space="preserve">              </w:t>
      </w:r>
      <w:r w:rsidR="000A1EC4" w:rsidRPr="000A1EC4">
        <w:rPr>
          <w:rFonts w:cs="Arial"/>
          <w:b/>
          <w:szCs w:val="20"/>
        </w:rPr>
        <w:t>za období 2005–2017</w:t>
      </w:r>
    </w:p>
    <w:tbl>
      <w:tblPr>
        <w:tblW w:w="85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34"/>
        <w:gridCol w:w="3034"/>
        <w:gridCol w:w="2437"/>
      </w:tblGrid>
      <w:tr w:rsidR="00B62000" w:rsidRPr="00B62000" w:rsidTr="00B62000">
        <w:trPr>
          <w:trHeight w:val="263"/>
        </w:trPr>
        <w:tc>
          <w:tcPr>
            <w:tcW w:w="30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5DADD"/>
            <w:vAlign w:val="center"/>
            <w:hideMark/>
          </w:tcPr>
          <w:p w:rsidR="00B62000" w:rsidRPr="00B62000" w:rsidRDefault="00B62000" w:rsidP="00B62000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B62000">
              <w:rPr>
                <w:rFonts w:cs="Arial"/>
                <w:b/>
                <w:bCs/>
                <w:sz w:val="16"/>
                <w:szCs w:val="16"/>
              </w:rPr>
              <w:t>SO ORP vystěhování</w:t>
            </w:r>
          </w:p>
        </w:tc>
        <w:tc>
          <w:tcPr>
            <w:tcW w:w="30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5DADD"/>
            <w:vAlign w:val="center"/>
            <w:hideMark/>
          </w:tcPr>
          <w:p w:rsidR="00B62000" w:rsidRPr="00B62000" w:rsidRDefault="00B62000" w:rsidP="00B62000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B62000">
              <w:rPr>
                <w:rFonts w:cs="Arial"/>
                <w:b/>
                <w:bCs/>
                <w:sz w:val="16"/>
                <w:szCs w:val="16"/>
              </w:rPr>
              <w:t>SO ORP přistěhování</w:t>
            </w:r>
          </w:p>
        </w:tc>
        <w:tc>
          <w:tcPr>
            <w:tcW w:w="24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FF" w:fill="F5DADD"/>
            <w:vAlign w:val="center"/>
            <w:hideMark/>
          </w:tcPr>
          <w:p w:rsidR="00B62000" w:rsidRPr="00B62000" w:rsidRDefault="00B62000" w:rsidP="00B62000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B62000">
              <w:rPr>
                <w:rFonts w:cs="Arial"/>
                <w:b/>
                <w:bCs/>
                <w:sz w:val="16"/>
                <w:szCs w:val="16"/>
              </w:rPr>
              <w:t>Počet migrantů</w:t>
            </w:r>
          </w:p>
        </w:tc>
      </w:tr>
      <w:tr w:rsidR="00B62000" w:rsidRPr="00B62000" w:rsidTr="00220916">
        <w:trPr>
          <w:trHeight w:val="255"/>
        </w:trPr>
        <w:tc>
          <w:tcPr>
            <w:tcW w:w="30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Praha</w:t>
            </w:r>
          </w:p>
        </w:tc>
        <w:tc>
          <w:tcPr>
            <w:tcW w:w="30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Černošice</w:t>
            </w:r>
          </w:p>
        </w:tc>
        <w:tc>
          <w:tcPr>
            <w:tcW w:w="24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021" w:type="dxa"/>
            </w:tcMar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50 596</w:t>
            </w:r>
          </w:p>
        </w:tc>
      </w:tr>
      <w:tr w:rsidR="00B62000" w:rsidRPr="00B62000" w:rsidTr="00220916">
        <w:trPr>
          <w:trHeight w:val="255"/>
        </w:trPr>
        <w:tc>
          <w:tcPr>
            <w:tcW w:w="3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Praha</w:t>
            </w:r>
          </w:p>
        </w:tc>
        <w:tc>
          <w:tcPr>
            <w:tcW w:w="3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 xml:space="preserve">Brandýs nad </w:t>
            </w:r>
            <w:proofErr w:type="gramStart"/>
            <w:r w:rsidRPr="00B62000">
              <w:rPr>
                <w:rFonts w:cs="Arial"/>
                <w:sz w:val="16"/>
                <w:szCs w:val="16"/>
              </w:rPr>
              <w:t>Labem-Stará</w:t>
            </w:r>
            <w:proofErr w:type="gramEnd"/>
            <w:r w:rsidRPr="00B62000">
              <w:rPr>
                <w:rFonts w:cs="Arial"/>
                <w:sz w:val="16"/>
                <w:szCs w:val="16"/>
              </w:rPr>
              <w:t xml:space="preserve"> Boleslav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021" w:type="dxa"/>
            </w:tcMar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34 188</w:t>
            </w:r>
          </w:p>
        </w:tc>
      </w:tr>
      <w:tr w:rsidR="00B62000" w:rsidRPr="00B62000" w:rsidTr="00220916">
        <w:trPr>
          <w:trHeight w:val="255"/>
        </w:trPr>
        <w:tc>
          <w:tcPr>
            <w:tcW w:w="3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Praha</w:t>
            </w:r>
          </w:p>
        </w:tc>
        <w:tc>
          <w:tcPr>
            <w:tcW w:w="3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Říčany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021" w:type="dxa"/>
            </w:tcMar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22 199</w:t>
            </w:r>
          </w:p>
        </w:tc>
      </w:tr>
      <w:tr w:rsidR="00B62000" w:rsidRPr="00B62000" w:rsidTr="00220916">
        <w:trPr>
          <w:trHeight w:val="255"/>
        </w:trPr>
        <w:tc>
          <w:tcPr>
            <w:tcW w:w="3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Černošice</w:t>
            </w:r>
          </w:p>
        </w:tc>
        <w:tc>
          <w:tcPr>
            <w:tcW w:w="3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Praha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021" w:type="dxa"/>
            </w:tcMar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18 279</w:t>
            </w:r>
          </w:p>
        </w:tc>
      </w:tr>
      <w:tr w:rsidR="00B62000" w:rsidRPr="00B62000" w:rsidTr="00220916">
        <w:trPr>
          <w:trHeight w:val="255"/>
        </w:trPr>
        <w:tc>
          <w:tcPr>
            <w:tcW w:w="3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Brno</w:t>
            </w:r>
          </w:p>
        </w:tc>
        <w:tc>
          <w:tcPr>
            <w:tcW w:w="3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Šlapanice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021" w:type="dxa"/>
            </w:tcMar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17 364</w:t>
            </w:r>
          </w:p>
        </w:tc>
      </w:tr>
      <w:tr w:rsidR="00B62000" w:rsidRPr="00B62000" w:rsidTr="00220916">
        <w:trPr>
          <w:trHeight w:val="255"/>
        </w:trPr>
        <w:tc>
          <w:tcPr>
            <w:tcW w:w="3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 xml:space="preserve">Brandýs nad </w:t>
            </w:r>
            <w:proofErr w:type="gramStart"/>
            <w:r w:rsidRPr="00B62000">
              <w:rPr>
                <w:rFonts w:cs="Arial"/>
                <w:sz w:val="16"/>
                <w:szCs w:val="16"/>
              </w:rPr>
              <w:t>Labem-Stará</w:t>
            </w:r>
            <w:proofErr w:type="gramEnd"/>
            <w:r w:rsidRPr="00B62000">
              <w:rPr>
                <w:rFonts w:cs="Arial"/>
                <w:sz w:val="16"/>
                <w:szCs w:val="16"/>
              </w:rPr>
              <w:t xml:space="preserve"> Boleslav</w:t>
            </w:r>
          </w:p>
        </w:tc>
        <w:tc>
          <w:tcPr>
            <w:tcW w:w="3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Praha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021" w:type="dxa"/>
            </w:tcMar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12 780</w:t>
            </w:r>
          </w:p>
        </w:tc>
      </w:tr>
      <w:tr w:rsidR="00B62000" w:rsidRPr="00B62000" w:rsidTr="00220916">
        <w:trPr>
          <w:trHeight w:val="255"/>
        </w:trPr>
        <w:tc>
          <w:tcPr>
            <w:tcW w:w="3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Praha</w:t>
            </w:r>
          </w:p>
        </w:tc>
        <w:tc>
          <w:tcPr>
            <w:tcW w:w="3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Kladno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021" w:type="dxa"/>
            </w:tcMar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11 160</w:t>
            </w:r>
          </w:p>
        </w:tc>
      </w:tr>
      <w:tr w:rsidR="00B62000" w:rsidRPr="00B62000" w:rsidTr="00220916">
        <w:trPr>
          <w:trHeight w:val="255"/>
        </w:trPr>
        <w:tc>
          <w:tcPr>
            <w:tcW w:w="3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Plzeň</w:t>
            </w:r>
          </w:p>
        </w:tc>
        <w:tc>
          <w:tcPr>
            <w:tcW w:w="3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Nýřany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021" w:type="dxa"/>
            </w:tcMar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10 904</w:t>
            </w:r>
          </w:p>
        </w:tc>
      </w:tr>
      <w:tr w:rsidR="00B62000" w:rsidRPr="00B62000" w:rsidTr="00220916">
        <w:trPr>
          <w:trHeight w:val="255"/>
        </w:trPr>
        <w:tc>
          <w:tcPr>
            <w:tcW w:w="3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Brno</w:t>
            </w:r>
          </w:p>
        </w:tc>
        <w:tc>
          <w:tcPr>
            <w:tcW w:w="3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Praha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021" w:type="dxa"/>
            </w:tcMar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10 242</w:t>
            </w:r>
          </w:p>
        </w:tc>
      </w:tr>
      <w:tr w:rsidR="00B62000" w:rsidRPr="00B62000" w:rsidTr="00220916">
        <w:trPr>
          <w:trHeight w:val="255"/>
        </w:trPr>
        <w:tc>
          <w:tcPr>
            <w:tcW w:w="3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Praha</w:t>
            </w:r>
          </w:p>
        </w:tc>
        <w:tc>
          <w:tcPr>
            <w:tcW w:w="3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Beroun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021" w:type="dxa"/>
            </w:tcMar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9 287</w:t>
            </w:r>
          </w:p>
        </w:tc>
      </w:tr>
      <w:tr w:rsidR="00B62000" w:rsidRPr="00B62000" w:rsidTr="00220916">
        <w:trPr>
          <w:trHeight w:val="255"/>
        </w:trPr>
        <w:tc>
          <w:tcPr>
            <w:tcW w:w="3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Šlapanice</w:t>
            </w:r>
          </w:p>
        </w:tc>
        <w:tc>
          <w:tcPr>
            <w:tcW w:w="3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Brno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021" w:type="dxa"/>
            </w:tcMar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7 785</w:t>
            </w:r>
          </w:p>
        </w:tc>
      </w:tr>
      <w:tr w:rsidR="00B62000" w:rsidRPr="00B62000" w:rsidTr="00220916">
        <w:trPr>
          <w:trHeight w:val="255"/>
        </w:trPr>
        <w:tc>
          <w:tcPr>
            <w:tcW w:w="3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Ostrava</w:t>
            </w:r>
          </w:p>
        </w:tc>
        <w:tc>
          <w:tcPr>
            <w:tcW w:w="3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Frýdek-Místek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021" w:type="dxa"/>
            </w:tcMar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7 492</w:t>
            </w:r>
          </w:p>
        </w:tc>
      </w:tr>
      <w:tr w:rsidR="00B62000" w:rsidRPr="00B62000" w:rsidTr="00220916">
        <w:trPr>
          <w:trHeight w:val="255"/>
        </w:trPr>
        <w:tc>
          <w:tcPr>
            <w:tcW w:w="3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Říčany</w:t>
            </w:r>
          </w:p>
        </w:tc>
        <w:tc>
          <w:tcPr>
            <w:tcW w:w="3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Praha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021" w:type="dxa"/>
            </w:tcMar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7 349</w:t>
            </w:r>
          </w:p>
        </w:tc>
      </w:tr>
      <w:tr w:rsidR="00B62000" w:rsidRPr="00B62000" w:rsidTr="00220916">
        <w:trPr>
          <w:trHeight w:val="255"/>
        </w:trPr>
        <w:tc>
          <w:tcPr>
            <w:tcW w:w="3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Praha</w:t>
            </w:r>
          </w:p>
        </w:tc>
        <w:tc>
          <w:tcPr>
            <w:tcW w:w="3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Benešov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021" w:type="dxa"/>
            </w:tcMar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7 224</w:t>
            </w:r>
          </w:p>
        </w:tc>
      </w:tr>
      <w:tr w:rsidR="00B62000" w:rsidRPr="00B62000" w:rsidTr="00220916">
        <w:trPr>
          <w:trHeight w:val="255"/>
        </w:trPr>
        <w:tc>
          <w:tcPr>
            <w:tcW w:w="3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Ostrava</w:t>
            </w:r>
          </w:p>
        </w:tc>
        <w:tc>
          <w:tcPr>
            <w:tcW w:w="3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Praha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021" w:type="dxa"/>
            </w:tcMar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6 995</w:t>
            </w:r>
          </w:p>
        </w:tc>
      </w:tr>
      <w:tr w:rsidR="00B62000" w:rsidRPr="00B62000" w:rsidTr="00220916">
        <w:trPr>
          <w:trHeight w:val="255"/>
        </w:trPr>
        <w:tc>
          <w:tcPr>
            <w:tcW w:w="3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Kladno</w:t>
            </w:r>
          </w:p>
        </w:tc>
        <w:tc>
          <w:tcPr>
            <w:tcW w:w="3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Praha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021" w:type="dxa"/>
            </w:tcMar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6 776</w:t>
            </w:r>
          </w:p>
        </w:tc>
      </w:tr>
      <w:tr w:rsidR="00B62000" w:rsidRPr="00B62000" w:rsidTr="00220916">
        <w:trPr>
          <w:trHeight w:val="255"/>
        </w:trPr>
        <w:tc>
          <w:tcPr>
            <w:tcW w:w="3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Nýřany</w:t>
            </w:r>
          </w:p>
        </w:tc>
        <w:tc>
          <w:tcPr>
            <w:tcW w:w="3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Plzeň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021" w:type="dxa"/>
            </w:tcMar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5 674</w:t>
            </w:r>
          </w:p>
        </w:tc>
      </w:tr>
      <w:tr w:rsidR="00B62000" w:rsidRPr="00B62000" w:rsidTr="00220916">
        <w:trPr>
          <w:trHeight w:val="255"/>
        </w:trPr>
        <w:tc>
          <w:tcPr>
            <w:tcW w:w="3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Brno</w:t>
            </w:r>
          </w:p>
        </w:tc>
        <w:tc>
          <w:tcPr>
            <w:tcW w:w="3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Židlochovice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021" w:type="dxa"/>
            </w:tcMar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5 646</w:t>
            </w:r>
          </w:p>
        </w:tc>
      </w:tr>
      <w:tr w:rsidR="00B62000" w:rsidRPr="00B62000" w:rsidTr="00220916">
        <w:trPr>
          <w:trHeight w:val="255"/>
        </w:trPr>
        <w:tc>
          <w:tcPr>
            <w:tcW w:w="3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Havířov</w:t>
            </w:r>
          </w:p>
        </w:tc>
        <w:tc>
          <w:tcPr>
            <w:tcW w:w="3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Ostrava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021" w:type="dxa"/>
            </w:tcMar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5 280</w:t>
            </w:r>
          </w:p>
        </w:tc>
      </w:tr>
      <w:tr w:rsidR="00B62000" w:rsidRPr="00B62000" w:rsidTr="00220916">
        <w:trPr>
          <w:trHeight w:val="255"/>
        </w:trPr>
        <w:tc>
          <w:tcPr>
            <w:tcW w:w="3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Mladá Boleslav</w:t>
            </w:r>
          </w:p>
        </w:tc>
        <w:tc>
          <w:tcPr>
            <w:tcW w:w="3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Praha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021" w:type="dxa"/>
            </w:tcMar>
            <w:vAlign w:val="bottom"/>
            <w:hideMark/>
          </w:tcPr>
          <w:p w:rsidR="00B62000" w:rsidRPr="00B62000" w:rsidRDefault="00B62000" w:rsidP="00B62000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62000">
              <w:rPr>
                <w:rFonts w:cs="Arial"/>
                <w:sz w:val="16"/>
                <w:szCs w:val="16"/>
              </w:rPr>
              <w:t>5 261</w:t>
            </w:r>
          </w:p>
        </w:tc>
      </w:tr>
    </w:tbl>
    <w:p w:rsidR="00B62000" w:rsidRDefault="00B62000" w:rsidP="000A1EC4">
      <w:pPr>
        <w:spacing w:after="0"/>
        <w:rPr>
          <w:rFonts w:cs="Arial"/>
          <w:b/>
          <w:szCs w:val="20"/>
        </w:rPr>
      </w:pPr>
    </w:p>
    <w:p w:rsidR="00EB3D95" w:rsidRDefault="00EB3D95" w:rsidP="00EB3D95">
      <w:pPr>
        <w:pStyle w:val="Nadpis1"/>
      </w:pPr>
    </w:p>
    <w:p w:rsidR="00EB3D95" w:rsidRDefault="00EB3D95" w:rsidP="00EB3D95">
      <w:pPr>
        <w:pStyle w:val="Nadpis1"/>
      </w:pPr>
    </w:p>
    <w:p w:rsidR="00EB3D95" w:rsidRDefault="00EB3D95" w:rsidP="00EB3D95">
      <w:pPr>
        <w:pStyle w:val="Nadpis1"/>
      </w:pPr>
    </w:p>
    <w:p w:rsidR="00EB3D95" w:rsidRDefault="00EB3D95" w:rsidP="00EB3D95">
      <w:pPr>
        <w:pStyle w:val="Nadpis1"/>
      </w:pPr>
    </w:p>
    <w:p w:rsidR="00EB3D95" w:rsidRDefault="00EB3D95" w:rsidP="00EB3D95">
      <w:pPr>
        <w:pStyle w:val="Nadpis1"/>
      </w:pPr>
    </w:p>
    <w:p w:rsidR="00EB3D95" w:rsidRDefault="00EB3D95" w:rsidP="00EB3D95">
      <w:pPr>
        <w:pStyle w:val="Nadpis1"/>
      </w:pPr>
    </w:p>
    <w:p w:rsidR="00EB3D95" w:rsidRDefault="00EB3D95" w:rsidP="00EB3D95">
      <w:pPr>
        <w:pStyle w:val="Nadpis1"/>
      </w:pPr>
      <w:bookmarkStart w:id="10" w:name="_Toc531859780"/>
      <w:r>
        <w:lastRenderedPageBreak/>
        <w:t xml:space="preserve">7. </w:t>
      </w:r>
      <w:proofErr w:type="spellStart"/>
      <w:r>
        <w:t>Meziobecní</w:t>
      </w:r>
      <w:proofErr w:type="spellEnd"/>
      <w:r>
        <w:t xml:space="preserve"> stěhování</w:t>
      </w:r>
      <w:bookmarkEnd w:id="10"/>
    </w:p>
    <w:p w:rsidR="00EB3D95" w:rsidRDefault="007022B1" w:rsidP="000A1EC4">
      <w:pPr>
        <w:spacing w:after="0"/>
        <w:rPr>
          <w:rFonts w:cs="Arial"/>
          <w:szCs w:val="20"/>
        </w:rPr>
      </w:pPr>
      <w:r>
        <w:rPr>
          <w:rFonts w:cs="Arial"/>
          <w:szCs w:val="20"/>
        </w:rPr>
        <w:t xml:space="preserve">Obce s nejvyššími počty přistěhovalých a vystěhovalých se v podstatě shodují s obcemi podle jejich populační velikosti. Nejvyšší počet přistěhovalých v období 2005–2017 byl proto v Praze (262 757; Přílohová tabulka 40), Brně (70 114), Ostravě (41 879) a Plzni (39 357). Nejčastěji se obyvatelé vystěhovávali také z Prahy (281 886; Přílohová tabulka 42), Brna (94 071), Ostravy (64 819) a Plzně (41 341).   </w:t>
      </w:r>
    </w:p>
    <w:p w:rsidR="001C36AD" w:rsidRDefault="001C36AD" w:rsidP="000A1EC4">
      <w:pPr>
        <w:spacing w:after="0"/>
        <w:rPr>
          <w:rFonts w:cs="Arial"/>
          <w:szCs w:val="20"/>
        </w:rPr>
      </w:pPr>
    </w:p>
    <w:p w:rsidR="007022B1" w:rsidRDefault="000D41E8" w:rsidP="000A1EC4">
      <w:pPr>
        <w:spacing w:after="0"/>
        <w:rPr>
          <w:rFonts w:cs="Arial"/>
          <w:szCs w:val="20"/>
        </w:rPr>
      </w:pPr>
      <w:r>
        <w:rPr>
          <w:rFonts w:cs="Arial"/>
          <w:szCs w:val="20"/>
        </w:rPr>
        <w:t>Z prvních deseti obcí s nejvyšším saldem vnitřní migrace mezi roky 2005 a 2017 jsou všechny ze Středočeského kraje, osm z nich z okresů Praha-východ nebo Praha-západ, pouze Milovice jsou v okrese Nymburk a Králův Dvůr v okrese Beroun (Tab. 11).</w:t>
      </w:r>
      <w:r w:rsidR="001C6796">
        <w:rPr>
          <w:rFonts w:cs="Arial"/>
          <w:szCs w:val="20"/>
        </w:rPr>
        <w:t xml:space="preserve"> Populačně nejziskovější byla Jesenice (3 751 osob), následovaná Milovicemi (3 086 osob) a Říčany (2 794 obyvatel). </w:t>
      </w:r>
      <w:r w:rsidR="004B591E">
        <w:rPr>
          <w:rFonts w:cs="Arial"/>
          <w:szCs w:val="20"/>
        </w:rPr>
        <w:t xml:space="preserve">Nejztrátovější byla v období 2005 až 2017 velká města – Brno (-23 957), Ostrava (-22 940) a Praha (-19 129). </w:t>
      </w:r>
      <w:r w:rsidR="001C6796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  </w:t>
      </w:r>
    </w:p>
    <w:p w:rsidR="007022B1" w:rsidRPr="001C36AD" w:rsidRDefault="007022B1" w:rsidP="000A1EC4">
      <w:pPr>
        <w:spacing w:after="0"/>
        <w:rPr>
          <w:rFonts w:cs="Arial"/>
          <w:szCs w:val="20"/>
        </w:rPr>
      </w:pPr>
    </w:p>
    <w:p w:rsidR="00EB3D95" w:rsidRDefault="009F49E6" w:rsidP="009F49E6">
      <w:pPr>
        <w:spacing w:after="60"/>
        <w:rPr>
          <w:rFonts w:cs="Arial"/>
          <w:b/>
          <w:szCs w:val="20"/>
        </w:rPr>
      </w:pPr>
      <w:r>
        <w:rPr>
          <w:rFonts w:cs="Arial"/>
          <w:b/>
          <w:szCs w:val="20"/>
        </w:rPr>
        <w:t xml:space="preserve">Tab. 11 </w:t>
      </w:r>
      <w:r w:rsidRPr="009F49E6">
        <w:rPr>
          <w:rFonts w:cs="Arial"/>
          <w:b/>
          <w:szCs w:val="20"/>
        </w:rPr>
        <w:t>Saldo stěhování</w:t>
      </w:r>
      <w:r w:rsidR="001C17C6">
        <w:rPr>
          <w:rFonts w:cs="Arial"/>
          <w:b/>
          <w:szCs w:val="20"/>
        </w:rPr>
        <w:t xml:space="preserve"> podle obcí</w:t>
      </w:r>
      <w:r w:rsidRPr="009F49E6">
        <w:rPr>
          <w:rFonts w:cs="Arial"/>
          <w:b/>
          <w:szCs w:val="20"/>
        </w:rPr>
        <w:t xml:space="preserve"> za období 2005–2017</w:t>
      </w:r>
    </w:p>
    <w:tbl>
      <w:tblPr>
        <w:tblW w:w="85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74"/>
        <w:gridCol w:w="1479"/>
        <w:gridCol w:w="2773"/>
        <w:gridCol w:w="1479"/>
      </w:tblGrid>
      <w:tr w:rsidR="009F49E6" w:rsidRPr="009F49E6" w:rsidTr="009F49E6">
        <w:trPr>
          <w:trHeight w:val="263"/>
        </w:trPr>
        <w:tc>
          <w:tcPr>
            <w:tcW w:w="41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5DADD"/>
            <w:vAlign w:val="center"/>
            <w:hideMark/>
          </w:tcPr>
          <w:p w:rsidR="009F49E6" w:rsidRPr="009F49E6" w:rsidRDefault="009F49E6" w:rsidP="009F49E6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9F49E6">
              <w:rPr>
                <w:rFonts w:cs="Arial"/>
                <w:b/>
                <w:bCs/>
                <w:sz w:val="16"/>
                <w:szCs w:val="16"/>
              </w:rPr>
              <w:t>Obce s nejvyšším saldem</w:t>
            </w:r>
          </w:p>
        </w:tc>
        <w:tc>
          <w:tcPr>
            <w:tcW w:w="41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FFFFFF" w:fill="F5DADD"/>
            <w:vAlign w:val="center"/>
            <w:hideMark/>
          </w:tcPr>
          <w:p w:rsidR="009F49E6" w:rsidRPr="009F49E6" w:rsidRDefault="009F49E6" w:rsidP="009F49E6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9F49E6">
              <w:rPr>
                <w:rFonts w:cs="Arial"/>
                <w:b/>
                <w:bCs/>
                <w:sz w:val="16"/>
                <w:szCs w:val="16"/>
              </w:rPr>
              <w:t>Obce s nejnižším saldem</w:t>
            </w:r>
          </w:p>
        </w:tc>
      </w:tr>
      <w:tr w:rsidR="009F49E6" w:rsidRPr="009F49E6" w:rsidTr="009F49E6">
        <w:trPr>
          <w:trHeight w:val="263"/>
        </w:trPr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5DADD"/>
            <w:vAlign w:val="center"/>
            <w:hideMark/>
          </w:tcPr>
          <w:p w:rsidR="009F49E6" w:rsidRPr="009F49E6" w:rsidRDefault="009F49E6" w:rsidP="009F49E6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9F49E6">
              <w:rPr>
                <w:rFonts w:cs="Arial"/>
                <w:b/>
                <w:bCs/>
                <w:sz w:val="16"/>
                <w:szCs w:val="16"/>
              </w:rPr>
              <w:t>Obec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5DADD"/>
            <w:vAlign w:val="center"/>
            <w:hideMark/>
          </w:tcPr>
          <w:p w:rsidR="009F49E6" w:rsidRPr="009F49E6" w:rsidRDefault="009F49E6" w:rsidP="009F49E6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9F49E6">
              <w:rPr>
                <w:rFonts w:cs="Arial"/>
                <w:b/>
                <w:bCs/>
                <w:sz w:val="16"/>
                <w:szCs w:val="16"/>
              </w:rPr>
              <w:t>Saldo stěhování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5DADD"/>
            <w:vAlign w:val="center"/>
            <w:hideMark/>
          </w:tcPr>
          <w:p w:rsidR="009F49E6" w:rsidRPr="009F49E6" w:rsidRDefault="009F49E6" w:rsidP="009F49E6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9F49E6">
              <w:rPr>
                <w:rFonts w:cs="Arial"/>
                <w:b/>
                <w:bCs/>
                <w:sz w:val="16"/>
                <w:szCs w:val="16"/>
              </w:rPr>
              <w:t>Obec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FFFFFF" w:fill="F5DADD"/>
            <w:vAlign w:val="center"/>
            <w:hideMark/>
          </w:tcPr>
          <w:p w:rsidR="009F49E6" w:rsidRPr="009F49E6" w:rsidRDefault="009F49E6" w:rsidP="009F49E6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9F49E6">
              <w:rPr>
                <w:rFonts w:cs="Arial"/>
                <w:b/>
                <w:bCs/>
                <w:sz w:val="16"/>
                <w:szCs w:val="16"/>
              </w:rPr>
              <w:t>Saldo stěhování</w:t>
            </w:r>
          </w:p>
        </w:tc>
      </w:tr>
      <w:tr w:rsidR="009F49E6" w:rsidRPr="009F49E6" w:rsidTr="009F49E6">
        <w:trPr>
          <w:trHeight w:val="255"/>
        </w:trPr>
        <w:tc>
          <w:tcPr>
            <w:tcW w:w="2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F49E6" w:rsidRPr="009F49E6" w:rsidRDefault="009F49E6" w:rsidP="009F49E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F49E6">
              <w:rPr>
                <w:rFonts w:cs="Arial"/>
                <w:sz w:val="16"/>
                <w:szCs w:val="16"/>
              </w:rPr>
              <w:t>Jesenice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F49E6" w:rsidRPr="009F49E6" w:rsidRDefault="009F49E6" w:rsidP="009F49E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F49E6">
              <w:rPr>
                <w:rFonts w:cs="Arial"/>
                <w:sz w:val="16"/>
                <w:szCs w:val="16"/>
              </w:rPr>
              <w:t>3 751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F49E6" w:rsidRPr="009F49E6" w:rsidRDefault="009F49E6" w:rsidP="009F49E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F49E6">
              <w:rPr>
                <w:rFonts w:cs="Arial"/>
                <w:sz w:val="16"/>
                <w:szCs w:val="16"/>
              </w:rPr>
              <w:t>Brno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397" w:type="dxa"/>
            </w:tcMar>
            <w:vAlign w:val="bottom"/>
            <w:hideMark/>
          </w:tcPr>
          <w:p w:rsidR="009F49E6" w:rsidRPr="009F49E6" w:rsidRDefault="009F49E6" w:rsidP="009F49E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F49E6">
              <w:rPr>
                <w:rFonts w:cs="Arial"/>
                <w:sz w:val="16"/>
                <w:szCs w:val="16"/>
              </w:rPr>
              <w:t>-23 957</w:t>
            </w:r>
          </w:p>
        </w:tc>
      </w:tr>
      <w:tr w:rsidR="009F49E6" w:rsidRPr="009F49E6" w:rsidTr="009F49E6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F49E6" w:rsidRPr="009F49E6" w:rsidRDefault="009F49E6" w:rsidP="009F49E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F49E6">
              <w:rPr>
                <w:rFonts w:cs="Arial"/>
                <w:sz w:val="16"/>
                <w:szCs w:val="16"/>
              </w:rPr>
              <w:t>Milovice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F49E6" w:rsidRPr="009F49E6" w:rsidRDefault="009F49E6" w:rsidP="009F49E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F49E6">
              <w:rPr>
                <w:rFonts w:cs="Arial"/>
                <w:sz w:val="16"/>
                <w:szCs w:val="16"/>
              </w:rPr>
              <w:t>3 086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F49E6" w:rsidRPr="009F49E6" w:rsidRDefault="009F49E6" w:rsidP="009F49E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F49E6">
              <w:rPr>
                <w:rFonts w:cs="Arial"/>
                <w:sz w:val="16"/>
                <w:szCs w:val="16"/>
              </w:rPr>
              <w:t>Ostrava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397" w:type="dxa"/>
            </w:tcMar>
            <w:vAlign w:val="bottom"/>
            <w:hideMark/>
          </w:tcPr>
          <w:p w:rsidR="009F49E6" w:rsidRPr="009F49E6" w:rsidRDefault="009F49E6" w:rsidP="009F49E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F49E6">
              <w:rPr>
                <w:rFonts w:cs="Arial"/>
                <w:sz w:val="16"/>
                <w:szCs w:val="16"/>
              </w:rPr>
              <w:t>-22 940</w:t>
            </w:r>
          </w:p>
        </w:tc>
      </w:tr>
      <w:tr w:rsidR="009F49E6" w:rsidRPr="009F49E6" w:rsidTr="009F49E6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F49E6" w:rsidRPr="009F49E6" w:rsidRDefault="009F49E6" w:rsidP="009F49E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F49E6">
              <w:rPr>
                <w:rFonts w:cs="Arial"/>
                <w:sz w:val="16"/>
                <w:szCs w:val="16"/>
              </w:rPr>
              <w:t>Říčany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F49E6" w:rsidRPr="009F49E6" w:rsidRDefault="009F49E6" w:rsidP="009F49E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F49E6">
              <w:rPr>
                <w:rFonts w:cs="Arial"/>
                <w:sz w:val="16"/>
                <w:szCs w:val="16"/>
              </w:rPr>
              <w:t>2 794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F49E6" w:rsidRPr="009F49E6" w:rsidRDefault="009F49E6" w:rsidP="009F49E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F49E6">
              <w:rPr>
                <w:rFonts w:cs="Arial"/>
                <w:sz w:val="16"/>
                <w:szCs w:val="16"/>
              </w:rPr>
              <w:t>Praha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397" w:type="dxa"/>
            </w:tcMar>
            <w:vAlign w:val="bottom"/>
            <w:hideMark/>
          </w:tcPr>
          <w:p w:rsidR="009F49E6" w:rsidRPr="009F49E6" w:rsidRDefault="009F49E6" w:rsidP="009F49E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F49E6">
              <w:rPr>
                <w:rFonts w:cs="Arial"/>
                <w:sz w:val="16"/>
                <w:szCs w:val="16"/>
              </w:rPr>
              <w:t>-19 129</w:t>
            </w:r>
          </w:p>
        </w:tc>
      </w:tr>
      <w:tr w:rsidR="009F49E6" w:rsidRPr="009F49E6" w:rsidTr="009F49E6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F49E6" w:rsidRPr="009F49E6" w:rsidRDefault="009F49E6" w:rsidP="009F49E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F49E6">
              <w:rPr>
                <w:rFonts w:cs="Arial"/>
                <w:sz w:val="16"/>
                <w:szCs w:val="16"/>
              </w:rPr>
              <w:t>Hostivice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F49E6" w:rsidRPr="009F49E6" w:rsidRDefault="009F49E6" w:rsidP="009F49E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F49E6">
              <w:rPr>
                <w:rFonts w:cs="Arial"/>
                <w:sz w:val="16"/>
                <w:szCs w:val="16"/>
              </w:rPr>
              <w:t>2 219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F49E6" w:rsidRPr="009F49E6" w:rsidRDefault="009F49E6" w:rsidP="009F49E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F49E6">
              <w:rPr>
                <w:rFonts w:cs="Arial"/>
                <w:sz w:val="16"/>
                <w:szCs w:val="16"/>
              </w:rPr>
              <w:t>Havířov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397" w:type="dxa"/>
            </w:tcMar>
            <w:vAlign w:val="bottom"/>
            <w:hideMark/>
          </w:tcPr>
          <w:p w:rsidR="009F49E6" w:rsidRPr="009F49E6" w:rsidRDefault="009F49E6" w:rsidP="009F49E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F49E6">
              <w:rPr>
                <w:rFonts w:cs="Arial"/>
                <w:sz w:val="16"/>
                <w:szCs w:val="16"/>
              </w:rPr>
              <w:t>-9 004</w:t>
            </w:r>
          </w:p>
        </w:tc>
      </w:tr>
      <w:tr w:rsidR="009F49E6" w:rsidRPr="009F49E6" w:rsidTr="009F49E6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F49E6" w:rsidRPr="009F49E6" w:rsidRDefault="009F49E6" w:rsidP="009F49E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F49E6">
              <w:rPr>
                <w:rFonts w:cs="Arial"/>
                <w:sz w:val="16"/>
                <w:szCs w:val="16"/>
              </w:rPr>
              <w:t>Králův Dvůr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F49E6" w:rsidRPr="009F49E6" w:rsidRDefault="009F49E6" w:rsidP="009F49E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F49E6">
              <w:rPr>
                <w:rFonts w:cs="Arial"/>
                <w:sz w:val="16"/>
                <w:szCs w:val="16"/>
              </w:rPr>
              <w:t>2 189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F49E6" w:rsidRPr="009F49E6" w:rsidRDefault="009F49E6" w:rsidP="009F49E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F49E6">
              <w:rPr>
                <w:rFonts w:cs="Arial"/>
                <w:sz w:val="16"/>
                <w:szCs w:val="16"/>
              </w:rPr>
              <w:t>Karviná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397" w:type="dxa"/>
            </w:tcMar>
            <w:vAlign w:val="bottom"/>
            <w:hideMark/>
          </w:tcPr>
          <w:p w:rsidR="009F49E6" w:rsidRPr="009F49E6" w:rsidRDefault="009F49E6" w:rsidP="009F49E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F49E6">
              <w:rPr>
                <w:rFonts w:cs="Arial"/>
                <w:sz w:val="16"/>
                <w:szCs w:val="16"/>
              </w:rPr>
              <w:t>-7 189</w:t>
            </w:r>
          </w:p>
        </w:tc>
      </w:tr>
      <w:tr w:rsidR="009F49E6" w:rsidRPr="009F49E6" w:rsidTr="009F49E6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F49E6" w:rsidRPr="009F49E6" w:rsidRDefault="009F49E6" w:rsidP="009F49E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F49E6">
              <w:rPr>
                <w:rFonts w:cs="Arial"/>
                <w:sz w:val="16"/>
                <w:szCs w:val="16"/>
              </w:rPr>
              <w:t>Chýně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F49E6" w:rsidRPr="009F49E6" w:rsidRDefault="009F49E6" w:rsidP="009F49E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F49E6">
              <w:rPr>
                <w:rFonts w:cs="Arial"/>
                <w:sz w:val="16"/>
                <w:szCs w:val="16"/>
              </w:rPr>
              <w:t>1 746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F49E6" w:rsidRPr="009F49E6" w:rsidRDefault="009F49E6" w:rsidP="009F49E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F49E6">
              <w:rPr>
                <w:rFonts w:cs="Arial"/>
                <w:sz w:val="16"/>
                <w:szCs w:val="16"/>
              </w:rPr>
              <w:t>Mladá Boleslav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397" w:type="dxa"/>
            </w:tcMar>
            <w:vAlign w:val="bottom"/>
            <w:hideMark/>
          </w:tcPr>
          <w:p w:rsidR="009F49E6" w:rsidRPr="009F49E6" w:rsidRDefault="009F49E6" w:rsidP="009F49E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F49E6">
              <w:rPr>
                <w:rFonts w:cs="Arial"/>
                <w:sz w:val="16"/>
                <w:szCs w:val="16"/>
              </w:rPr>
              <w:t>-6 604</w:t>
            </w:r>
          </w:p>
        </w:tc>
      </w:tr>
      <w:tr w:rsidR="009F49E6" w:rsidRPr="009F49E6" w:rsidTr="009F49E6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F49E6" w:rsidRPr="009F49E6" w:rsidRDefault="009F49E6" w:rsidP="009F49E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F49E6">
              <w:rPr>
                <w:rFonts w:cs="Arial"/>
                <w:sz w:val="16"/>
                <w:szCs w:val="16"/>
              </w:rPr>
              <w:t>Šestajovice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F49E6" w:rsidRPr="009F49E6" w:rsidRDefault="009F49E6" w:rsidP="009F49E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F49E6">
              <w:rPr>
                <w:rFonts w:cs="Arial"/>
                <w:sz w:val="16"/>
                <w:szCs w:val="16"/>
              </w:rPr>
              <w:t>1 662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F49E6" w:rsidRPr="009F49E6" w:rsidRDefault="009F49E6" w:rsidP="009F49E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F49E6">
              <w:rPr>
                <w:rFonts w:cs="Arial"/>
                <w:sz w:val="16"/>
                <w:szCs w:val="16"/>
              </w:rPr>
              <w:t>Hradec Králové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397" w:type="dxa"/>
            </w:tcMar>
            <w:vAlign w:val="bottom"/>
            <w:hideMark/>
          </w:tcPr>
          <w:p w:rsidR="009F49E6" w:rsidRPr="009F49E6" w:rsidRDefault="009F49E6" w:rsidP="009F49E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F49E6">
              <w:rPr>
                <w:rFonts w:cs="Arial"/>
                <w:sz w:val="16"/>
                <w:szCs w:val="16"/>
              </w:rPr>
              <w:t>-4 995</w:t>
            </w:r>
          </w:p>
        </w:tc>
      </w:tr>
      <w:tr w:rsidR="009F49E6" w:rsidRPr="009F49E6" w:rsidTr="009F49E6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F49E6" w:rsidRPr="009F49E6" w:rsidRDefault="009F49E6" w:rsidP="009F49E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F49E6">
              <w:rPr>
                <w:rFonts w:cs="Arial"/>
                <w:sz w:val="16"/>
                <w:szCs w:val="16"/>
              </w:rPr>
              <w:t>Zdiby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F49E6" w:rsidRPr="009F49E6" w:rsidRDefault="009F49E6" w:rsidP="009F49E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F49E6">
              <w:rPr>
                <w:rFonts w:cs="Arial"/>
                <w:sz w:val="16"/>
                <w:szCs w:val="16"/>
              </w:rPr>
              <w:t>1 608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F49E6" w:rsidRPr="009F49E6" w:rsidRDefault="009F49E6" w:rsidP="009F49E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F49E6">
              <w:rPr>
                <w:rFonts w:cs="Arial"/>
                <w:sz w:val="16"/>
                <w:szCs w:val="16"/>
              </w:rPr>
              <w:t>Ústí nad Labem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397" w:type="dxa"/>
            </w:tcMar>
            <w:vAlign w:val="bottom"/>
            <w:hideMark/>
          </w:tcPr>
          <w:p w:rsidR="009F49E6" w:rsidRPr="009F49E6" w:rsidRDefault="009F49E6" w:rsidP="009F49E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F49E6">
              <w:rPr>
                <w:rFonts w:cs="Arial"/>
                <w:sz w:val="16"/>
                <w:szCs w:val="16"/>
              </w:rPr>
              <w:t>-4 909</w:t>
            </w:r>
          </w:p>
        </w:tc>
      </w:tr>
      <w:tr w:rsidR="009F49E6" w:rsidRPr="009F49E6" w:rsidTr="009F49E6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F49E6" w:rsidRPr="009F49E6" w:rsidRDefault="009F49E6" w:rsidP="009F49E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F49E6">
              <w:rPr>
                <w:rFonts w:cs="Arial"/>
                <w:sz w:val="16"/>
                <w:szCs w:val="16"/>
              </w:rPr>
              <w:t>Bašť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F49E6" w:rsidRPr="009F49E6" w:rsidRDefault="009F49E6" w:rsidP="009F49E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F49E6">
              <w:rPr>
                <w:rFonts w:cs="Arial"/>
                <w:sz w:val="16"/>
                <w:szCs w:val="16"/>
              </w:rPr>
              <w:t>1 538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F49E6" w:rsidRPr="009F49E6" w:rsidRDefault="009F49E6" w:rsidP="009F49E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F49E6">
              <w:rPr>
                <w:rFonts w:cs="Arial"/>
                <w:sz w:val="16"/>
                <w:szCs w:val="16"/>
              </w:rPr>
              <w:t>Frýdek-Místek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397" w:type="dxa"/>
            </w:tcMar>
            <w:vAlign w:val="bottom"/>
            <w:hideMark/>
          </w:tcPr>
          <w:p w:rsidR="009F49E6" w:rsidRPr="009F49E6" w:rsidRDefault="009F49E6" w:rsidP="009F49E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F49E6">
              <w:rPr>
                <w:rFonts w:cs="Arial"/>
                <w:sz w:val="16"/>
                <w:szCs w:val="16"/>
              </w:rPr>
              <w:t>-4 746</w:t>
            </w:r>
          </w:p>
        </w:tc>
      </w:tr>
      <w:tr w:rsidR="009F49E6" w:rsidRPr="009F49E6" w:rsidTr="009F49E6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F49E6" w:rsidRPr="009F49E6" w:rsidRDefault="009F49E6" w:rsidP="009F49E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F49E6">
              <w:rPr>
                <w:rFonts w:cs="Arial"/>
                <w:sz w:val="16"/>
                <w:szCs w:val="16"/>
              </w:rPr>
              <w:t>Nehvizdy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F49E6" w:rsidRPr="009F49E6" w:rsidRDefault="009F49E6" w:rsidP="009F49E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F49E6">
              <w:rPr>
                <w:rFonts w:cs="Arial"/>
                <w:sz w:val="16"/>
                <w:szCs w:val="16"/>
              </w:rPr>
              <w:t>1 503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9F49E6" w:rsidRPr="009F49E6" w:rsidRDefault="009F49E6" w:rsidP="009F49E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9F49E6">
              <w:rPr>
                <w:rFonts w:cs="Arial"/>
                <w:sz w:val="16"/>
                <w:szCs w:val="16"/>
              </w:rPr>
              <w:t>Karlovy Vary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397" w:type="dxa"/>
            </w:tcMar>
            <w:vAlign w:val="bottom"/>
            <w:hideMark/>
          </w:tcPr>
          <w:p w:rsidR="009F49E6" w:rsidRPr="009F49E6" w:rsidRDefault="009F49E6" w:rsidP="009F49E6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F49E6">
              <w:rPr>
                <w:rFonts w:cs="Arial"/>
                <w:sz w:val="16"/>
                <w:szCs w:val="16"/>
              </w:rPr>
              <w:t>-4 508</w:t>
            </w:r>
          </w:p>
        </w:tc>
      </w:tr>
    </w:tbl>
    <w:p w:rsidR="009F49E6" w:rsidRDefault="009F49E6" w:rsidP="006E08A2">
      <w:pPr>
        <w:spacing w:after="0"/>
        <w:rPr>
          <w:rFonts w:cs="Arial"/>
          <w:b/>
          <w:szCs w:val="20"/>
        </w:rPr>
      </w:pPr>
    </w:p>
    <w:p w:rsidR="00CA0E5E" w:rsidRDefault="00CA0E5E" w:rsidP="00CA0E5E">
      <w:pPr>
        <w:spacing w:after="0"/>
        <w:rPr>
          <w:rFonts w:cs="Arial"/>
          <w:b/>
          <w:szCs w:val="20"/>
        </w:rPr>
      </w:pPr>
      <w:r>
        <w:rPr>
          <w:rFonts w:cs="Arial"/>
          <w:b/>
          <w:szCs w:val="20"/>
        </w:rPr>
        <w:t xml:space="preserve">Tab. 12 </w:t>
      </w:r>
      <w:proofErr w:type="spellStart"/>
      <w:r>
        <w:rPr>
          <w:rFonts w:cs="Arial"/>
          <w:b/>
          <w:szCs w:val="20"/>
        </w:rPr>
        <w:t>Meziobecní</w:t>
      </w:r>
      <w:proofErr w:type="spellEnd"/>
      <w:r>
        <w:rPr>
          <w:rFonts w:cs="Arial"/>
          <w:b/>
          <w:szCs w:val="20"/>
        </w:rPr>
        <w:t xml:space="preserve"> proudy stěhování</w:t>
      </w:r>
      <w:r w:rsidRPr="000A1EC4">
        <w:rPr>
          <w:rFonts w:cs="Arial"/>
          <w:b/>
          <w:szCs w:val="20"/>
        </w:rPr>
        <w:t xml:space="preserve"> za období 2005–2017</w:t>
      </w:r>
    </w:p>
    <w:tbl>
      <w:tblPr>
        <w:tblW w:w="85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51"/>
        <w:gridCol w:w="2952"/>
        <w:gridCol w:w="2602"/>
      </w:tblGrid>
      <w:tr w:rsidR="00D27E08" w:rsidRPr="00D27E08" w:rsidTr="00D27E08">
        <w:trPr>
          <w:trHeight w:val="263"/>
        </w:trPr>
        <w:tc>
          <w:tcPr>
            <w:tcW w:w="2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5DADD"/>
            <w:vAlign w:val="center"/>
            <w:hideMark/>
          </w:tcPr>
          <w:p w:rsidR="00D27E08" w:rsidRPr="00D27E08" w:rsidRDefault="00D27E08" w:rsidP="00D27E08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D27E08">
              <w:rPr>
                <w:rFonts w:cs="Arial"/>
                <w:b/>
                <w:bCs/>
                <w:sz w:val="16"/>
                <w:szCs w:val="16"/>
              </w:rPr>
              <w:t>Obec vystěhování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5DADD"/>
            <w:vAlign w:val="center"/>
            <w:hideMark/>
          </w:tcPr>
          <w:p w:rsidR="00D27E08" w:rsidRPr="00D27E08" w:rsidRDefault="00D27E08" w:rsidP="00D27E08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D27E08">
              <w:rPr>
                <w:rFonts w:cs="Arial"/>
                <w:b/>
                <w:bCs/>
                <w:sz w:val="16"/>
                <w:szCs w:val="16"/>
              </w:rPr>
              <w:t>Obec přistěhování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FF" w:fill="F5DADD"/>
            <w:vAlign w:val="center"/>
            <w:hideMark/>
          </w:tcPr>
          <w:p w:rsidR="00D27E08" w:rsidRPr="00D27E08" w:rsidRDefault="00D27E08" w:rsidP="00D27E08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D27E08">
              <w:rPr>
                <w:rFonts w:cs="Arial"/>
                <w:b/>
                <w:bCs/>
                <w:sz w:val="16"/>
                <w:szCs w:val="16"/>
              </w:rPr>
              <w:t>Počet migrantů</w:t>
            </w:r>
          </w:p>
        </w:tc>
      </w:tr>
      <w:tr w:rsidR="00D27E08" w:rsidRPr="00D27E08" w:rsidTr="00D64A65">
        <w:trPr>
          <w:trHeight w:val="255"/>
        </w:trPr>
        <w:tc>
          <w:tcPr>
            <w:tcW w:w="2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Brno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Praha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134" w:type="dxa"/>
            </w:tcMar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10 242</w:t>
            </w:r>
          </w:p>
        </w:tc>
      </w:tr>
      <w:tr w:rsidR="00D27E08" w:rsidRPr="00D27E08" w:rsidTr="00D64A65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Ostrava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Praha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134" w:type="dxa"/>
            </w:tcMar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6 649</w:t>
            </w:r>
          </w:p>
        </w:tc>
      </w:tr>
      <w:tr w:rsidR="00D27E08" w:rsidRPr="00D27E08" w:rsidTr="00D64A65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Praha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Kladno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134" w:type="dxa"/>
            </w:tcMar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5 251</w:t>
            </w:r>
          </w:p>
        </w:tc>
      </w:tr>
      <w:tr w:rsidR="00D27E08" w:rsidRPr="00D27E08" w:rsidTr="00D64A65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Plzeň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Praha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134" w:type="dxa"/>
            </w:tcMar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4 885</w:t>
            </w:r>
          </w:p>
        </w:tc>
      </w:tr>
      <w:tr w:rsidR="00D27E08" w:rsidRPr="00D27E08" w:rsidTr="00D64A65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Jirkov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Chomutov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134" w:type="dxa"/>
            </w:tcMar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4 758</w:t>
            </w:r>
          </w:p>
        </w:tc>
      </w:tr>
      <w:tr w:rsidR="00D27E08" w:rsidRPr="00D27E08" w:rsidTr="00D64A65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Chomutov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Jirkov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134" w:type="dxa"/>
            </w:tcMar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4 556</w:t>
            </w:r>
          </w:p>
        </w:tc>
      </w:tr>
      <w:tr w:rsidR="00D27E08" w:rsidRPr="00D27E08" w:rsidTr="00D64A65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Praha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Jesenice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134" w:type="dxa"/>
            </w:tcMar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4 360</w:t>
            </w:r>
          </w:p>
        </w:tc>
      </w:tr>
      <w:tr w:rsidR="00D27E08" w:rsidRPr="00D27E08" w:rsidTr="00D64A65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Kladno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Praha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134" w:type="dxa"/>
            </w:tcMar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4 357</w:t>
            </w:r>
          </w:p>
        </w:tc>
      </w:tr>
      <w:tr w:rsidR="00D27E08" w:rsidRPr="00D27E08" w:rsidTr="00D64A65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Praha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Říčany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134" w:type="dxa"/>
            </w:tcMar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4 047</w:t>
            </w:r>
          </w:p>
        </w:tc>
      </w:tr>
      <w:tr w:rsidR="00D27E08" w:rsidRPr="00D27E08" w:rsidTr="00D64A65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Liberec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Praha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134" w:type="dxa"/>
            </w:tcMar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3 820</w:t>
            </w:r>
          </w:p>
        </w:tc>
      </w:tr>
      <w:tr w:rsidR="00D27E08" w:rsidRPr="00D27E08" w:rsidTr="00D64A65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Praha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Brno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134" w:type="dxa"/>
            </w:tcMar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3 579</w:t>
            </w:r>
          </w:p>
        </w:tc>
      </w:tr>
      <w:tr w:rsidR="00D27E08" w:rsidRPr="00D27E08" w:rsidTr="00D64A65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Havířov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Ostrava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134" w:type="dxa"/>
            </w:tcMar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3 543</w:t>
            </w:r>
          </w:p>
        </w:tc>
      </w:tr>
      <w:tr w:rsidR="00D27E08" w:rsidRPr="00D27E08" w:rsidTr="00D64A65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Praha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Plzeň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134" w:type="dxa"/>
            </w:tcMar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3 487</w:t>
            </w:r>
          </w:p>
        </w:tc>
      </w:tr>
      <w:tr w:rsidR="00D27E08" w:rsidRPr="00D27E08" w:rsidTr="00D64A65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Praha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Hostivice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134" w:type="dxa"/>
            </w:tcMar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3 348</w:t>
            </w:r>
          </w:p>
        </w:tc>
      </w:tr>
      <w:tr w:rsidR="00D27E08" w:rsidRPr="00D27E08" w:rsidTr="00D64A65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Praha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 xml:space="preserve">Brandýs nad </w:t>
            </w:r>
            <w:proofErr w:type="gramStart"/>
            <w:r w:rsidRPr="00D27E08">
              <w:rPr>
                <w:rFonts w:cs="Arial"/>
                <w:sz w:val="16"/>
                <w:szCs w:val="16"/>
              </w:rPr>
              <w:t>Labem-Stará</w:t>
            </w:r>
            <w:proofErr w:type="gramEnd"/>
            <w:r w:rsidRPr="00D27E08">
              <w:rPr>
                <w:rFonts w:cs="Arial"/>
                <w:sz w:val="16"/>
                <w:szCs w:val="16"/>
              </w:rPr>
              <w:t xml:space="preserve"> Boleslav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134" w:type="dxa"/>
            </w:tcMar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3 242</w:t>
            </w:r>
          </w:p>
        </w:tc>
      </w:tr>
      <w:tr w:rsidR="00D27E08" w:rsidRPr="00D27E08" w:rsidTr="00D64A65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Ústí nad Labem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Praha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134" w:type="dxa"/>
            </w:tcMar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3 239</w:t>
            </w:r>
          </w:p>
        </w:tc>
      </w:tr>
      <w:tr w:rsidR="00D27E08" w:rsidRPr="00D27E08" w:rsidTr="00D64A65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Hradec Králové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Praha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134" w:type="dxa"/>
            </w:tcMar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3 179</w:t>
            </w:r>
          </w:p>
        </w:tc>
      </w:tr>
      <w:tr w:rsidR="00D27E08" w:rsidRPr="00D27E08" w:rsidTr="00D64A65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Ostrava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Havířov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134" w:type="dxa"/>
            </w:tcMar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2 768</w:t>
            </w:r>
          </w:p>
        </w:tc>
      </w:tr>
      <w:tr w:rsidR="00D27E08" w:rsidRPr="00D27E08" w:rsidTr="00D64A65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Praha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Milovice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134" w:type="dxa"/>
            </w:tcMar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2 758</w:t>
            </w:r>
          </w:p>
        </w:tc>
      </w:tr>
      <w:tr w:rsidR="00D27E08" w:rsidRPr="00D27E08" w:rsidTr="00D64A65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Mladá Boleslav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noWrap/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Praha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tcMar>
              <w:right w:w="1134" w:type="dxa"/>
            </w:tcMar>
            <w:vAlign w:val="bottom"/>
            <w:hideMark/>
          </w:tcPr>
          <w:p w:rsidR="00D27E08" w:rsidRPr="00D27E08" w:rsidRDefault="00D27E08" w:rsidP="00D27E0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D27E08">
              <w:rPr>
                <w:rFonts w:cs="Arial"/>
                <w:sz w:val="16"/>
                <w:szCs w:val="16"/>
              </w:rPr>
              <w:t>2 678</w:t>
            </w:r>
          </w:p>
        </w:tc>
      </w:tr>
    </w:tbl>
    <w:p w:rsidR="00400ECE" w:rsidRDefault="00400ECE" w:rsidP="006E08A2">
      <w:pPr>
        <w:spacing w:after="0"/>
        <w:rPr>
          <w:rFonts w:cs="Arial"/>
          <w:b/>
          <w:szCs w:val="20"/>
        </w:rPr>
      </w:pPr>
    </w:p>
    <w:p w:rsidR="00400ECE" w:rsidRPr="00722C5D" w:rsidRDefault="00722C5D" w:rsidP="009F49E6">
      <w:pPr>
        <w:spacing w:after="60"/>
        <w:rPr>
          <w:rFonts w:cs="Arial"/>
          <w:szCs w:val="20"/>
        </w:rPr>
      </w:pPr>
      <w:r>
        <w:rPr>
          <w:rFonts w:cs="Arial"/>
          <w:szCs w:val="20"/>
        </w:rPr>
        <w:t xml:space="preserve">U </w:t>
      </w:r>
      <w:proofErr w:type="spellStart"/>
      <w:r>
        <w:rPr>
          <w:rFonts w:cs="Arial"/>
          <w:szCs w:val="20"/>
        </w:rPr>
        <w:t>meziobecních</w:t>
      </w:r>
      <w:proofErr w:type="spellEnd"/>
      <w:r>
        <w:rPr>
          <w:rFonts w:cs="Arial"/>
          <w:szCs w:val="20"/>
        </w:rPr>
        <w:t xml:space="preserve"> proudů stěhování dominoval</w:t>
      </w:r>
      <w:r w:rsidR="00D76936">
        <w:rPr>
          <w:rFonts w:cs="Arial"/>
          <w:szCs w:val="20"/>
        </w:rPr>
        <w:t>y většinou</w:t>
      </w:r>
      <w:r>
        <w:rPr>
          <w:rFonts w:cs="Arial"/>
          <w:szCs w:val="20"/>
        </w:rPr>
        <w:t xml:space="preserve"> proud</w:t>
      </w:r>
      <w:r w:rsidR="00D76936">
        <w:rPr>
          <w:rFonts w:cs="Arial"/>
          <w:szCs w:val="20"/>
        </w:rPr>
        <w:t>y mezi velkými městy. Nejpočetnější byl proud</w:t>
      </w:r>
      <w:r>
        <w:rPr>
          <w:rFonts w:cs="Arial"/>
          <w:szCs w:val="20"/>
        </w:rPr>
        <w:t xml:space="preserve"> mezi Prahou a Brnem (Tab. 12)</w:t>
      </w:r>
      <w:r w:rsidR="008F42B7">
        <w:rPr>
          <w:rFonts w:cs="Arial"/>
          <w:szCs w:val="20"/>
        </w:rPr>
        <w:t>. Ve směru do</w:t>
      </w:r>
      <w:r>
        <w:rPr>
          <w:rFonts w:cs="Arial"/>
          <w:szCs w:val="20"/>
        </w:rPr>
        <w:t> hlavního města se v období 2005–2017 přestěhovalo 10 242 osob, opačně směrem zamířilo 3 579 osob.</w:t>
      </w:r>
      <w:r w:rsidR="007956AD">
        <w:rPr>
          <w:rFonts w:cs="Arial"/>
          <w:szCs w:val="20"/>
        </w:rPr>
        <w:t xml:space="preserve"> Obousměrně silné proudy byly ještě mezi Prahou a Kladnem </w:t>
      </w:r>
      <w:r w:rsidR="007956AD">
        <w:rPr>
          <w:rFonts w:cs="Arial"/>
          <w:szCs w:val="20"/>
        </w:rPr>
        <w:lastRenderedPageBreak/>
        <w:t>(5 252 obyvatel z Prahy a 4 357 do Prahy)</w:t>
      </w:r>
      <w:r w:rsidR="00632216">
        <w:rPr>
          <w:rFonts w:cs="Arial"/>
          <w:szCs w:val="20"/>
        </w:rPr>
        <w:t xml:space="preserve">, </w:t>
      </w:r>
      <w:r w:rsidR="007956AD">
        <w:rPr>
          <w:rFonts w:cs="Arial"/>
          <w:szCs w:val="20"/>
        </w:rPr>
        <w:t>Prahou a Plzní (4 885 osob do Prahy a 3 487 z Prahy)</w:t>
      </w:r>
      <w:r w:rsidR="003658E1">
        <w:rPr>
          <w:rFonts w:cs="Arial"/>
          <w:szCs w:val="20"/>
        </w:rPr>
        <w:t xml:space="preserve"> a </w:t>
      </w:r>
      <w:r w:rsidR="00632216">
        <w:rPr>
          <w:rFonts w:cs="Arial"/>
          <w:szCs w:val="20"/>
        </w:rPr>
        <w:t>Jirkovem s Chomutovem (4 758 přistěhovalých do Chomutova a 4 556 vystěhovalých z Chomutova).</w:t>
      </w:r>
      <w:r w:rsidR="008F42B7">
        <w:rPr>
          <w:rFonts w:cs="Arial"/>
          <w:szCs w:val="20"/>
        </w:rPr>
        <w:t xml:space="preserve"> V jednom směru výrazně silnější byly proudy z Ostravy do Prahy (6 649 osob a 1 907 zpět), z Prahy do Jesenice (4 360 a 1 377 opačným směrem) a z Prahy do Říčan (4 047 a 1 766 opačně). </w:t>
      </w:r>
    </w:p>
    <w:p w:rsidR="00EB3D95" w:rsidRDefault="00EB3D95" w:rsidP="00EB3D95"/>
    <w:p w:rsidR="00EB3D95" w:rsidRDefault="00EB3D95" w:rsidP="000A1EC4">
      <w:pPr>
        <w:spacing w:after="0"/>
        <w:rPr>
          <w:rFonts w:cs="Arial"/>
          <w:b/>
          <w:szCs w:val="20"/>
        </w:rPr>
      </w:pPr>
    </w:p>
    <w:p w:rsidR="00A9687B" w:rsidRDefault="00A9687B" w:rsidP="000A1EC4">
      <w:pPr>
        <w:spacing w:after="0"/>
        <w:rPr>
          <w:rFonts w:cs="Arial"/>
          <w:b/>
          <w:szCs w:val="20"/>
        </w:rPr>
      </w:pPr>
    </w:p>
    <w:p w:rsidR="00A9687B" w:rsidRDefault="00A9687B" w:rsidP="000A1EC4">
      <w:pPr>
        <w:spacing w:after="0"/>
        <w:rPr>
          <w:rFonts w:cs="Arial"/>
          <w:b/>
          <w:szCs w:val="20"/>
        </w:rPr>
      </w:pPr>
    </w:p>
    <w:p w:rsidR="00A9687B" w:rsidRDefault="00A9687B" w:rsidP="000A1EC4">
      <w:pPr>
        <w:spacing w:after="0"/>
        <w:rPr>
          <w:rFonts w:cs="Arial"/>
          <w:b/>
          <w:szCs w:val="20"/>
        </w:rPr>
      </w:pPr>
    </w:p>
    <w:p w:rsidR="00A9687B" w:rsidRDefault="00A9687B" w:rsidP="000A1EC4">
      <w:pPr>
        <w:spacing w:after="0"/>
        <w:rPr>
          <w:rFonts w:cs="Arial"/>
          <w:b/>
          <w:szCs w:val="20"/>
        </w:rPr>
      </w:pPr>
    </w:p>
    <w:p w:rsidR="00A9687B" w:rsidRDefault="00A9687B" w:rsidP="000A1EC4">
      <w:pPr>
        <w:spacing w:after="0"/>
        <w:rPr>
          <w:rFonts w:cs="Arial"/>
          <w:b/>
          <w:szCs w:val="20"/>
        </w:rPr>
      </w:pPr>
    </w:p>
    <w:p w:rsidR="00A9687B" w:rsidRDefault="00A9687B" w:rsidP="000A1EC4">
      <w:pPr>
        <w:spacing w:after="0"/>
        <w:rPr>
          <w:rFonts w:cs="Arial"/>
          <w:b/>
          <w:szCs w:val="20"/>
        </w:rPr>
      </w:pPr>
    </w:p>
    <w:p w:rsidR="00A9687B" w:rsidRDefault="00A9687B" w:rsidP="000A1EC4">
      <w:pPr>
        <w:spacing w:after="0"/>
        <w:rPr>
          <w:rFonts w:cs="Arial"/>
          <w:b/>
          <w:szCs w:val="20"/>
        </w:rPr>
      </w:pPr>
    </w:p>
    <w:p w:rsidR="00ED597A" w:rsidRDefault="00ED597A" w:rsidP="00A9687B">
      <w:pPr>
        <w:pStyle w:val="Nadpis1"/>
      </w:pPr>
    </w:p>
    <w:p w:rsidR="00ED597A" w:rsidRDefault="00ED597A" w:rsidP="00A9687B">
      <w:pPr>
        <w:pStyle w:val="Nadpis1"/>
      </w:pPr>
    </w:p>
    <w:p w:rsidR="00ED597A" w:rsidRDefault="00ED597A" w:rsidP="00A9687B">
      <w:pPr>
        <w:pStyle w:val="Nadpis1"/>
      </w:pPr>
    </w:p>
    <w:p w:rsidR="00ED597A" w:rsidRDefault="00ED597A" w:rsidP="00A9687B">
      <w:pPr>
        <w:pStyle w:val="Nadpis1"/>
      </w:pPr>
    </w:p>
    <w:p w:rsidR="00ED597A" w:rsidRDefault="00ED597A" w:rsidP="00A9687B">
      <w:pPr>
        <w:pStyle w:val="Nadpis1"/>
      </w:pPr>
    </w:p>
    <w:p w:rsidR="00ED597A" w:rsidRDefault="00ED597A" w:rsidP="00A9687B">
      <w:pPr>
        <w:pStyle w:val="Nadpis1"/>
      </w:pPr>
    </w:p>
    <w:p w:rsidR="00ED597A" w:rsidRDefault="00ED597A" w:rsidP="00A9687B">
      <w:pPr>
        <w:pStyle w:val="Nadpis1"/>
      </w:pPr>
    </w:p>
    <w:p w:rsidR="00ED597A" w:rsidRDefault="00ED597A" w:rsidP="00A9687B">
      <w:pPr>
        <w:pStyle w:val="Nadpis1"/>
      </w:pPr>
    </w:p>
    <w:p w:rsidR="00ED597A" w:rsidRDefault="00ED597A" w:rsidP="00A9687B">
      <w:pPr>
        <w:pStyle w:val="Nadpis1"/>
      </w:pPr>
    </w:p>
    <w:p w:rsidR="00ED597A" w:rsidRDefault="00ED597A" w:rsidP="00A9687B">
      <w:pPr>
        <w:pStyle w:val="Nadpis1"/>
      </w:pPr>
    </w:p>
    <w:p w:rsidR="00ED597A" w:rsidRDefault="00ED597A" w:rsidP="00A9687B">
      <w:pPr>
        <w:pStyle w:val="Nadpis1"/>
      </w:pPr>
    </w:p>
    <w:p w:rsidR="00A52D43" w:rsidRDefault="00A52D43" w:rsidP="00A9687B">
      <w:pPr>
        <w:pStyle w:val="Nadpis1"/>
      </w:pPr>
    </w:p>
    <w:p w:rsidR="00A52D43" w:rsidRDefault="00A52D43" w:rsidP="00A9687B">
      <w:pPr>
        <w:pStyle w:val="Nadpis1"/>
      </w:pPr>
    </w:p>
    <w:p w:rsidR="00A52D43" w:rsidRDefault="00A52D43" w:rsidP="00A9687B">
      <w:pPr>
        <w:pStyle w:val="Nadpis1"/>
      </w:pPr>
    </w:p>
    <w:p w:rsidR="00A52D43" w:rsidRDefault="00A52D43" w:rsidP="00A9687B">
      <w:pPr>
        <w:pStyle w:val="Nadpis1"/>
      </w:pPr>
    </w:p>
    <w:p w:rsidR="00A52D43" w:rsidRDefault="00A52D43" w:rsidP="00A9687B">
      <w:pPr>
        <w:pStyle w:val="Nadpis1"/>
      </w:pPr>
    </w:p>
    <w:p w:rsidR="00A52D43" w:rsidRDefault="00A52D43" w:rsidP="00A9687B">
      <w:pPr>
        <w:pStyle w:val="Nadpis1"/>
      </w:pPr>
    </w:p>
    <w:p w:rsidR="00A52D43" w:rsidRDefault="00A52D43" w:rsidP="00A9687B">
      <w:pPr>
        <w:pStyle w:val="Nadpis1"/>
      </w:pPr>
    </w:p>
    <w:p w:rsidR="00A52D43" w:rsidRDefault="00A52D43" w:rsidP="00A9687B">
      <w:pPr>
        <w:pStyle w:val="Nadpis1"/>
      </w:pPr>
    </w:p>
    <w:p w:rsidR="00A52D43" w:rsidRDefault="00A52D43" w:rsidP="00A9687B">
      <w:pPr>
        <w:pStyle w:val="Nadpis1"/>
      </w:pPr>
    </w:p>
    <w:p w:rsidR="00A52D43" w:rsidRDefault="00A52D43" w:rsidP="00A9687B">
      <w:pPr>
        <w:pStyle w:val="Nadpis1"/>
      </w:pPr>
    </w:p>
    <w:p w:rsidR="00A52D43" w:rsidRDefault="00A52D43" w:rsidP="00A9687B">
      <w:pPr>
        <w:pStyle w:val="Nadpis1"/>
      </w:pPr>
    </w:p>
    <w:p w:rsidR="00A52D43" w:rsidRDefault="00A52D43" w:rsidP="00A9687B">
      <w:pPr>
        <w:pStyle w:val="Nadpis1"/>
      </w:pPr>
    </w:p>
    <w:p w:rsidR="00A9687B" w:rsidRDefault="00A9687B" w:rsidP="00A9687B">
      <w:pPr>
        <w:pStyle w:val="Nadpis1"/>
      </w:pPr>
      <w:bookmarkStart w:id="11" w:name="_Toc531859781"/>
      <w:r>
        <w:lastRenderedPageBreak/>
        <w:t>8. Stěhování mezi velikostními skupinami obcí</w:t>
      </w:r>
      <w:bookmarkEnd w:id="11"/>
    </w:p>
    <w:p w:rsidR="00DB4667" w:rsidRPr="00B91EEF" w:rsidRDefault="00BF5686" w:rsidP="00FD3663">
      <w:pPr>
        <w:rPr>
          <w:rFonts w:cs="Arial"/>
          <w:szCs w:val="20"/>
        </w:rPr>
      </w:pPr>
      <w:r>
        <w:rPr>
          <w:rFonts w:cs="Arial"/>
          <w:szCs w:val="20"/>
        </w:rPr>
        <w:t>Stěhování z jedné velikostní skupiny obce do jiné se dlouhodobě týkalo zhruba 90 %</w:t>
      </w:r>
      <w:r w:rsidR="00512C38">
        <w:rPr>
          <w:rFonts w:cs="Arial"/>
          <w:szCs w:val="20"/>
        </w:rPr>
        <w:t xml:space="preserve"> ze</w:t>
      </w:r>
      <w:r>
        <w:rPr>
          <w:rFonts w:cs="Arial"/>
          <w:szCs w:val="20"/>
        </w:rPr>
        <w:t xml:space="preserve"> všech případů vnitřní migrace. Nejvíce se v období 2005–2017 obyvatelé ČR přistěhovali do obcí s počtem obyvatel 100 000 a více </w:t>
      </w:r>
      <w:r w:rsidR="0035326A">
        <w:rPr>
          <w:rFonts w:cs="Arial"/>
          <w:szCs w:val="20"/>
        </w:rPr>
        <w:t>(405 342 přistěhovalých; Graf 22</w:t>
      </w:r>
      <w:r>
        <w:rPr>
          <w:rFonts w:cs="Arial"/>
          <w:szCs w:val="20"/>
        </w:rPr>
        <w:t>) a obcí ve velikostní skupině 2 000–4 999 obyvatel (381 617). Nejmenší počet přistěhovalých se týkal měs</w:t>
      </w:r>
      <w:r w:rsidR="00EB4118">
        <w:rPr>
          <w:rFonts w:cs="Arial"/>
          <w:szCs w:val="20"/>
        </w:rPr>
        <w:t>t s populací 50 000–99 9999 (219 311</w:t>
      </w:r>
      <w:r>
        <w:rPr>
          <w:rFonts w:cs="Arial"/>
          <w:szCs w:val="20"/>
        </w:rPr>
        <w:t>).</w:t>
      </w:r>
      <w:r w:rsidR="00FD3663">
        <w:rPr>
          <w:rFonts w:cs="Arial"/>
          <w:szCs w:val="20"/>
        </w:rPr>
        <w:t xml:space="preserve"> Z pohledu počtu vystěhovalých dominovala města se 100 000 a více obyvateli (478 146 vystěhovalých) a </w:t>
      </w:r>
      <w:r w:rsidR="00512C38">
        <w:rPr>
          <w:rFonts w:cs="Arial"/>
          <w:szCs w:val="20"/>
        </w:rPr>
        <w:t xml:space="preserve">nejméně měly </w:t>
      </w:r>
      <w:r w:rsidR="00FD3663">
        <w:rPr>
          <w:rFonts w:cs="Arial"/>
          <w:szCs w:val="20"/>
        </w:rPr>
        <w:t>nejmenší obce do 499 obyvatel (243 957).</w:t>
      </w:r>
      <w:r w:rsidR="00A71BEA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 </w:t>
      </w:r>
    </w:p>
    <w:p w:rsidR="00DB4667" w:rsidRDefault="00501671" w:rsidP="00DB4667">
      <w:pPr>
        <w:spacing w:after="0"/>
        <w:rPr>
          <w:rFonts w:cs="Arial"/>
          <w:b/>
          <w:szCs w:val="20"/>
        </w:rPr>
      </w:pPr>
      <w:r>
        <w:rPr>
          <w:rFonts w:cs="Arial"/>
          <w:b/>
          <w:szCs w:val="20"/>
        </w:rPr>
        <w:t>Graf 22</w:t>
      </w:r>
      <w:r w:rsidR="00DB4667">
        <w:rPr>
          <w:rFonts w:cs="Arial"/>
          <w:b/>
          <w:szCs w:val="20"/>
        </w:rPr>
        <w:t xml:space="preserve"> </w:t>
      </w:r>
      <w:r w:rsidR="00DB4667" w:rsidRPr="00DB4667">
        <w:rPr>
          <w:rFonts w:cs="Arial"/>
          <w:b/>
          <w:szCs w:val="20"/>
        </w:rPr>
        <w:t>Přistěho</w:t>
      </w:r>
      <w:r w:rsidR="00ED597A">
        <w:rPr>
          <w:rFonts w:cs="Arial"/>
          <w:b/>
          <w:szCs w:val="20"/>
        </w:rPr>
        <w:t>valí a vystěhovalí podle</w:t>
      </w:r>
      <w:r w:rsidR="00DB4667">
        <w:rPr>
          <w:rFonts w:cs="Arial"/>
          <w:b/>
          <w:szCs w:val="20"/>
        </w:rPr>
        <w:t xml:space="preserve"> </w:t>
      </w:r>
      <w:r w:rsidR="00ED597A">
        <w:rPr>
          <w:rFonts w:cs="Arial"/>
          <w:b/>
          <w:szCs w:val="20"/>
        </w:rPr>
        <w:t>velikostních skupin</w:t>
      </w:r>
      <w:r w:rsidR="00DB4667" w:rsidRPr="00DB4667">
        <w:rPr>
          <w:rFonts w:cs="Arial"/>
          <w:b/>
          <w:szCs w:val="20"/>
        </w:rPr>
        <w:t xml:space="preserve"> obcí za období 2005–2017</w:t>
      </w:r>
    </w:p>
    <w:p w:rsidR="00510BE4" w:rsidRDefault="004B30DC" w:rsidP="00DB4667">
      <w:r w:rsidRPr="004B30DC">
        <w:rPr>
          <w:noProof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1270</wp:posOffset>
            </wp:positionV>
            <wp:extent cx="5400675" cy="2886075"/>
            <wp:effectExtent l="0" t="0" r="9525" b="9525"/>
            <wp:wrapNone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BE4" w:rsidRPr="00510BE4" w:rsidRDefault="00510BE4" w:rsidP="00510BE4"/>
    <w:p w:rsidR="00510BE4" w:rsidRPr="00510BE4" w:rsidRDefault="00510BE4" w:rsidP="00510BE4"/>
    <w:p w:rsidR="00510BE4" w:rsidRPr="00510BE4" w:rsidRDefault="00510BE4" w:rsidP="00510BE4"/>
    <w:p w:rsidR="00510BE4" w:rsidRPr="00510BE4" w:rsidRDefault="00510BE4" w:rsidP="00510BE4"/>
    <w:p w:rsidR="00510BE4" w:rsidRPr="00510BE4" w:rsidRDefault="00510BE4" w:rsidP="00510BE4"/>
    <w:p w:rsidR="00510BE4" w:rsidRPr="00510BE4" w:rsidRDefault="00510BE4" w:rsidP="00510BE4"/>
    <w:p w:rsidR="00510BE4" w:rsidRPr="00510BE4" w:rsidRDefault="00510BE4" w:rsidP="00510BE4"/>
    <w:p w:rsidR="00510BE4" w:rsidRDefault="00510BE4" w:rsidP="00510BE4"/>
    <w:p w:rsidR="00510BE4" w:rsidRDefault="00510BE4" w:rsidP="00FD3663">
      <w:pPr>
        <w:spacing w:after="0"/>
      </w:pPr>
    </w:p>
    <w:p w:rsidR="00510BE4" w:rsidRDefault="00501671" w:rsidP="00510BE4">
      <w:pPr>
        <w:spacing w:after="0"/>
      </w:pPr>
      <w:r>
        <w:rPr>
          <w:rFonts w:cs="Arial"/>
          <w:b/>
          <w:szCs w:val="20"/>
        </w:rPr>
        <w:t>Graf 23</w:t>
      </w:r>
      <w:r w:rsidR="00510BE4">
        <w:rPr>
          <w:rFonts w:cs="Arial"/>
          <w:b/>
          <w:szCs w:val="20"/>
        </w:rPr>
        <w:t xml:space="preserve"> </w:t>
      </w:r>
      <w:r w:rsidR="00510BE4" w:rsidRPr="00510BE4">
        <w:rPr>
          <w:rFonts w:cs="Arial"/>
          <w:b/>
          <w:szCs w:val="20"/>
        </w:rPr>
        <w:t xml:space="preserve">Saldo stěhování </w:t>
      </w:r>
      <w:r w:rsidR="00ED597A">
        <w:rPr>
          <w:rFonts w:cs="Arial"/>
          <w:b/>
          <w:szCs w:val="20"/>
        </w:rPr>
        <w:t>podle velikostních skupin</w:t>
      </w:r>
      <w:r w:rsidR="00510BE4" w:rsidRPr="00510BE4">
        <w:rPr>
          <w:rFonts w:cs="Arial"/>
          <w:b/>
          <w:szCs w:val="20"/>
        </w:rPr>
        <w:t xml:space="preserve"> obcí za období 2005–2017</w:t>
      </w:r>
      <w:r w:rsidR="00510BE4">
        <w:tab/>
      </w:r>
    </w:p>
    <w:p w:rsidR="00904983" w:rsidRDefault="006B07E5" w:rsidP="00510BE4">
      <w:pPr>
        <w:tabs>
          <w:tab w:val="left" w:pos="4200"/>
        </w:tabs>
      </w:pPr>
      <w:r w:rsidRPr="006B07E5">
        <w:rPr>
          <w:noProof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1270</wp:posOffset>
            </wp:positionV>
            <wp:extent cx="5400675" cy="3248025"/>
            <wp:effectExtent l="0" t="0" r="9525" b="9525"/>
            <wp:wrapNone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983" w:rsidRPr="00904983" w:rsidRDefault="00904983" w:rsidP="00904983"/>
    <w:p w:rsidR="00904983" w:rsidRPr="00904983" w:rsidRDefault="00904983" w:rsidP="00904983"/>
    <w:p w:rsidR="00904983" w:rsidRPr="00904983" w:rsidRDefault="00904983" w:rsidP="00904983"/>
    <w:p w:rsidR="00904983" w:rsidRPr="00904983" w:rsidRDefault="00904983" w:rsidP="00904983"/>
    <w:p w:rsidR="00904983" w:rsidRPr="00904983" w:rsidRDefault="00904983" w:rsidP="00904983"/>
    <w:p w:rsidR="00904983" w:rsidRPr="00904983" w:rsidRDefault="00904983" w:rsidP="00904983"/>
    <w:p w:rsidR="00904983" w:rsidRPr="00904983" w:rsidRDefault="00904983" w:rsidP="00904983"/>
    <w:p w:rsidR="00904983" w:rsidRPr="00904983" w:rsidRDefault="00904983" w:rsidP="00904983"/>
    <w:p w:rsidR="00904983" w:rsidRPr="00904983" w:rsidRDefault="00904983" w:rsidP="00904983"/>
    <w:p w:rsidR="00C83A7B" w:rsidRDefault="00C83A7B" w:rsidP="00C83A7B">
      <w:pPr>
        <w:spacing w:after="0"/>
      </w:pPr>
    </w:p>
    <w:p w:rsidR="00C83A7B" w:rsidRDefault="00C83A7B" w:rsidP="0040483F">
      <w:pPr>
        <w:spacing w:after="0"/>
      </w:pPr>
      <w:r>
        <w:t>Populačně ziskové vnitřní migrací byly v analyzovaném období zejména malé obce – 80 019 obyvatel získaly obce ve velikostní skupině 500–999, 75 457 obyvatel přibylo mezi o</w:t>
      </w:r>
      <w:r w:rsidR="003658E1">
        <w:t>bcemi s 1 000–1 999 obyvateli a </w:t>
      </w:r>
      <w:r>
        <w:t xml:space="preserve">70 175 u velikostní </w:t>
      </w:r>
      <w:r w:rsidR="0035326A">
        <w:t>skupiny do 499 obyvatel (Graf 23</w:t>
      </w:r>
      <w:r>
        <w:t xml:space="preserve">). Kladné saldo vnitřní migrací měly i obce v kategorii </w:t>
      </w:r>
      <w:r>
        <w:lastRenderedPageBreak/>
        <w:t xml:space="preserve">2 000–4 999. </w:t>
      </w:r>
      <w:r w:rsidR="00593E54">
        <w:t>Od hranice 5 000 obyvatel obce vnitřní migrací ztrácely, nejvíce ve velikostní skupině 20 000–49 999 (-84 772 obyvatel).</w:t>
      </w:r>
      <w:r w:rsidR="0040775F">
        <w:t xml:space="preserve"> </w:t>
      </w:r>
      <w:r w:rsidR="008F004C">
        <w:t>Stejné velikostní skupiny obcí, které byly populačně ziskové vnitřní migrací za celé období, měly kladné saldo i v každém sledovaném roce (Přílohová tabulka 48). To samé platilo i pro ztrátové obce.</w:t>
      </w:r>
      <w:r w:rsidR="0071158F">
        <w:t xml:space="preserve"> Pokud se sečtou všechna kladná salda vnitřního stěhování u velikostních skupin obcí v jednotlivých letech, tak nejvyšší hodnota byla v roce 2008 (31 562), naopak nejnižší v roce 2014 (12 420).</w:t>
      </w:r>
      <w:r w:rsidR="0040483F">
        <w:t xml:space="preserve"> </w:t>
      </w:r>
      <w:r w:rsidR="00512C38">
        <w:t>V</w:t>
      </w:r>
      <w:r w:rsidR="0040483F">
        <w:t xml:space="preserve">nitřní migrací </w:t>
      </w:r>
      <w:r w:rsidR="00512C38">
        <w:t xml:space="preserve">tak </w:t>
      </w:r>
      <w:r w:rsidR="0040483F">
        <w:t>nejvíce získaly velikostní skupiny obcí, které měly k</w:t>
      </w:r>
      <w:r w:rsidR="00512C38">
        <w:t>ladné saldo vnitřním stěhováním v roce 2008.</w:t>
      </w:r>
      <w:r w:rsidR="0040483F">
        <w:t xml:space="preserve"> </w:t>
      </w:r>
      <w:r w:rsidR="0071158F">
        <w:t xml:space="preserve">  </w:t>
      </w:r>
      <w:r w:rsidR="00C602C4">
        <w:t xml:space="preserve"> </w:t>
      </w:r>
      <w:r w:rsidR="008F004C">
        <w:t xml:space="preserve">   </w:t>
      </w:r>
      <w:r w:rsidR="0040775F">
        <w:t xml:space="preserve"> </w:t>
      </w:r>
    </w:p>
    <w:p w:rsidR="00904983" w:rsidRDefault="00904983" w:rsidP="0040483F">
      <w:pPr>
        <w:spacing w:after="0"/>
      </w:pPr>
    </w:p>
    <w:p w:rsidR="0040483F" w:rsidRDefault="006D3CAD" w:rsidP="00512C38">
      <w:pPr>
        <w:spacing w:after="0"/>
      </w:pPr>
      <w:r>
        <w:t xml:space="preserve">Saldo stěhování na 1 000 obyvatel bylo ve sledovaném období nejvyšší u velikostních skupin s 500–999 obyvateli (6,5 </w:t>
      </w:r>
      <w:r>
        <w:rPr>
          <w:rFonts w:cs="Arial"/>
        </w:rPr>
        <w:t>‰</w:t>
      </w:r>
      <w:r>
        <w:t xml:space="preserve">), do 499 obyvatel (6,4 </w:t>
      </w:r>
      <w:r>
        <w:rPr>
          <w:rFonts w:cs="Arial"/>
        </w:rPr>
        <w:t>‰) a s 1 000–1 999 obyvateli (5,8 ‰).</w:t>
      </w:r>
      <w:r w:rsidR="00A862C3">
        <w:rPr>
          <w:rFonts w:cs="Arial"/>
        </w:rPr>
        <w:t xml:space="preserve"> Relativně nejvíce populačně ztrátové vnitřní migrací byly kategorie velikostních</w:t>
      </w:r>
      <w:r w:rsidR="00A823F2">
        <w:rPr>
          <w:rFonts w:cs="Arial"/>
        </w:rPr>
        <w:t xml:space="preserve"> skupin</w:t>
      </w:r>
      <w:r w:rsidR="00A862C3">
        <w:rPr>
          <w:rFonts w:cs="Arial"/>
        </w:rPr>
        <w:t xml:space="preserve"> obcí 20 000–49 999 (-5,2 ‰) a 50 000–99 999 </w:t>
      </w:r>
      <w:r w:rsidR="00A862C3">
        <w:rPr>
          <w:rFonts w:cs="Arial"/>
        </w:rPr>
        <w:br/>
        <w:t xml:space="preserve">(-4,6 ‰).   </w:t>
      </w:r>
      <w:r>
        <w:rPr>
          <w:rFonts w:cs="Arial"/>
        </w:rPr>
        <w:t xml:space="preserve">  </w:t>
      </w:r>
      <w:r>
        <w:t xml:space="preserve">  </w:t>
      </w:r>
    </w:p>
    <w:p w:rsidR="00A52D43" w:rsidRDefault="00A52D43" w:rsidP="00512C38">
      <w:pPr>
        <w:spacing w:after="0"/>
      </w:pPr>
    </w:p>
    <w:p w:rsidR="008010C3" w:rsidRDefault="00EB2E8C" w:rsidP="008010C3">
      <w:pPr>
        <w:tabs>
          <w:tab w:val="left" w:pos="3885"/>
        </w:tabs>
        <w:spacing w:after="0"/>
      </w:pPr>
      <w:r>
        <w:t>Nejsilnější proud mezi velikostními skupinami obcí byl zaznamenán mezi kategoriemi 100 000 a více a 2 000–4 999, když se z největší měst za období 2005–2017 vystěhovalo 97 262 obyvatel do obcí s 2 000–4 999 obyvateli a opačným směrem 66 514 osob</w:t>
      </w:r>
      <w:r w:rsidR="00C85154">
        <w:t xml:space="preserve"> (Přílohová tabulka 50)</w:t>
      </w:r>
      <w:r>
        <w:t>.</w:t>
      </w:r>
      <w:r w:rsidR="007C72C1">
        <w:t xml:space="preserve"> O něco slabší proud byl mezi městy s alespoň 100 000 obyvateli a obcemi s populační velikostí 1 000–1 99</w:t>
      </w:r>
      <w:r w:rsidR="003658E1">
        <w:t>9 (83 194 osob z velkých měst a </w:t>
      </w:r>
      <w:r w:rsidR="007C72C1">
        <w:t>48 233 opačně).</w:t>
      </w:r>
    </w:p>
    <w:p w:rsidR="00A52D43" w:rsidRDefault="00EB2E8C" w:rsidP="008010C3">
      <w:pPr>
        <w:spacing w:after="0"/>
      </w:pPr>
      <w:r>
        <w:t xml:space="preserve">  </w:t>
      </w:r>
    </w:p>
    <w:p w:rsidR="00A52D43" w:rsidRDefault="00DD3D3E" w:rsidP="00904983">
      <w:pPr>
        <w:tabs>
          <w:tab w:val="left" w:pos="3885"/>
        </w:tabs>
      </w:pPr>
      <w:r>
        <w:t>Největší města se 100 000 a více obyvateli vnitřní migrací získávala za období 2005 až 2017 hlavně na úkor měst s 20 000–49 999 obyvateli (28 660 obyvatel), ale i s dalšími kategoriemi nad 10 000 obyvatel</w:t>
      </w:r>
      <w:r w:rsidR="00FB02A6">
        <w:t xml:space="preserve"> (Přílohová tabulka 51)</w:t>
      </w:r>
      <w:r>
        <w:t xml:space="preserve">. </w:t>
      </w:r>
      <w:r w:rsidR="00FB02A6">
        <w:t xml:space="preserve">Naopak značně ztrátová byla s obcemi s 1 000–1 999 (-34 961) a 500–999 obyvateli (-34 152) a navíc s dalšími skupinami obcí do 9 999 obyvatel. </w:t>
      </w:r>
      <w:r w:rsidR="0064494D">
        <w:t xml:space="preserve">Populačně nejmenší obce do 499 obyvatel byly ziskové se všemi velikostními skupinami obcí. Naopak nejhůře na tom byly obce s 10 000–19 999 obyvateli, které byly ztrátové se všemi dalšími kategoriemi obcí podle populační velikosti.    </w:t>
      </w:r>
      <w:r w:rsidR="00FB02A6">
        <w:t xml:space="preserve">  </w:t>
      </w:r>
      <w:r>
        <w:t xml:space="preserve"> </w:t>
      </w:r>
    </w:p>
    <w:p w:rsidR="00512C38" w:rsidRDefault="00512C38" w:rsidP="00A52D43">
      <w:pPr>
        <w:pStyle w:val="Nadpis1"/>
      </w:pPr>
    </w:p>
    <w:p w:rsidR="00512C38" w:rsidRDefault="00512C38" w:rsidP="00A52D43">
      <w:pPr>
        <w:pStyle w:val="Nadpis1"/>
      </w:pPr>
    </w:p>
    <w:p w:rsidR="00512C38" w:rsidRDefault="00512C38" w:rsidP="00A52D43">
      <w:pPr>
        <w:pStyle w:val="Nadpis1"/>
      </w:pPr>
    </w:p>
    <w:p w:rsidR="00512C38" w:rsidRDefault="00512C38" w:rsidP="00A52D43">
      <w:pPr>
        <w:pStyle w:val="Nadpis1"/>
      </w:pPr>
    </w:p>
    <w:p w:rsidR="00512C38" w:rsidRDefault="00512C38" w:rsidP="00A52D43">
      <w:pPr>
        <w:pStyle w:val="Nadpis1"/>
      </w:pPr>
    </w:p>
    <w:p w:rsidR="00512C38" w:rsidRDefault="00512C38" w:rsidP="00A52D43">
      <w:pPr>
        <w:pStyle w:val="Nadpis1"/>
      </w:pPr>
    </w:p>
    <w:p w:rsidR="00512C38" w:rsidRDefault="00512C38" w:rsidP="00A52D43">
      <w:pPr>
        <w:pStyle w:val="Nadpis1"/>
      </w:pPr>
    </w:p>
    <w:p w:rsidR="00512C38" w:rsidRDefault="00512C38" w:rsidP="00A52D43">
      <w:pPr>
        <w:pStyle w:val="Nadpis1"/>
      </w:pPr>
    </w:p>
    <w:p w:rsidR="00512C38" w:rsidRDefault="00512C38" w:rsidP="00A52D43">
      <w:pPr>
        <w:pStyle w:val="Nadpis1"/>
      </w:pPr>
    </w:p>
    <w:p w:rsidR="00512C38" w:rsidRDefault="00512C38" w:rsidP="00A52D43">
      <w:pPr>
        <w:pStyle w:val="Nadpis1"/>
      </w:pPr>
    </w:p>
    <w:p w:rsidR="00512C38" w:rsidRDefault="00512C38" w:rsidP="00A52D43">
      <w:pPr>
        <w:pStyle w:val="Nadpis1"/>
      </w:pPr>
    </w:p>
    <w:p w:rsidR="00512C38" w:rsidRDefault="00512C38" w:rsidP="00A52D43">
      <w:pPr>
        <w:pStyle w:val="Nadpis1"/>
      </w:pPr>
    </w:p>
    <w:p w:rsidR="00512C38" w:rsidRDefault="00512C38" w:rsidP="00A52D43">
      <w:pPr>
        <w:pStyle w:val="Nadpis1"/>
      </w:pPr>
    </w:p>
    <w:p w:rsidR="00512C38" w:rsidRDefault="00512C38" w:rsidP="00A52D43">
      <w:pPr>
        <w:pStyle w:val="Nadpis1"/>
      </w:pPr>
    </w:p>
    <w:p w:rsidR="00512C38" w:rsidRDefault="00512C38" w:rsidP="00A52D43">
      <w:pPr>
        <w:pStyle w:val="Nadpis1"/>
      </w:pPr>
    </w:p>
    <w:p w:rsidR="00512C38" w:rsidRDefault="00512C38" w:rsidP="00A52D43">
      <w:pPr>
        <w:pStyle w:val="Nadpis1"/>
      </w:pPr>
    </w:p>
    <w:p w:rsidR="00A52D43" w:rsidRDefault="00A52D43" w:rsidP="00A52D43">
      <w:pPr>
        <w:pStyle w:val="Nadpis1"/>
      </w:pPr>
      <w:bookmarkStart w:id="12" w:name="_Toc531859782"/>
      <w:r>
        <w:lastRenderedPageBreak/>
        <w:t>9. Závěr</w:t>
      </w:r>
      <w:bookmarkEnd w:id="12"/>
    </w:p>
    <w:p w:rsidR="00EE2F87" w:rsidRDefault="00FE4DAD" w:rsidP="00EE2F87">
      <w:pPr>
        <w:tabs>
          <w:tab w:val="left" w:pos="3885"/>
        </w:tabs>
        <w:spacing w:after="0"/>
      </w:pPr>
      <w:r>
        <w:t xml:space="preserve">Vývoj celkového objemu vnitřní migrace v České republice nebyl jednoznačný. Období růstu bylo mezi roky 2005 až 2007 s maximem právě </w:t>
      </w:r>
      <w:r w:rsidR="00424FA6">
        <w:t xml:space="preserve">v </w:t>
      </w:r>
      <w:r>
        <w:t>roce 2007</w:t>
      </w:r>
      <w:r w:rsidR="00CC166A">
        <w:t xml:space="preserve"> (256 tis.)</w:t>
      </w:r>
      <w:r>
        <w:t>, následoval spíše pokles až na minimální hodnoty ve sledovaném období v roce 2011</w:t>
      </w:r>
      <w:r w:rsidR="00CC166A">
        <w:t xml:space="preserve"> (232 tis.)</w:t>
      </w:r>
      <w:r>
        <w:t>. Od roku 2012 počet případů vnitřního stěhování opět rostl s výjimkou poklesu v roce 2017.</w:t>
      </w:r>
      <w:r w:rsidR="00295C22">
        <w:t xml:space="preserve"> Z dostupných dat byla patrná mírná feminizace vnitřní migrace, když podíl žen na objemu vnitřního</w:t>
      </w:r>
      <w:r w:rsidR="009964D1">
        <w:t xml:space="preserve"> stěhování byl vždy nadpoloviční</w:t>
      </w:r>
      <w:r w:rsidR="00295C22">
        <w:t xml:space="preserve"> a v čase rostl. Intenzita stěhování byla do roku 2010 u mužů i žen velmi podobná, ale od roku 2011 měly ženy vyšší intenzitu. V rozlišení podle věku byla intenzita vnitřní migrace nejvyšší v prvních letech života (stěhování malých dětí s rodiči), a pak ve věkové skupině 25 až 30 let</w:t>
      </w:r>
      <w:r w:rsidR="00BB6D19">
        <w:t xml:space="preserve"> (v souvislosti se stěhování</w:t>
      </w:r>
      <w:r w:rsidR="00EE2F87">
        <w:t>m</w:t>
      </w:r>
      <w:r w:rsidR="00BB6D19">
        <w:t xml:space="preserve"> za prací, nebo s rodinou).</w:t>
      </w:r>
      <w:r w:rsidR="00EE2F87">
        <w:t xml:space="preserve"> Průměrný věk migranta se výrazně neměnil a pohyboval se okolo 31 let, přičemž mírně vyšší byl u žen. </w:t>
      </w:r>
    </w:p>
    <w:p w:rsidR="00EE2F87" w:rsidRDefault="00EE2F87" w:rsidP="00EE2F87">
      <w:pPr>
        <w:tabs>
          <w:tab w:val="left" w:pos="3885"/>
        </w:tabs>
        <w:spacing w:after="0"/>
      </w:pPr>
    </w:p>
    <w:p w:rsidR="006370E8" w:rsidRDefault="00EE2F87" w:rsidP="006370E8">
      <w:pPr>
        <w:tabs>
          <w:tab w:val="left" w:pos="3885"/>
        </w:tabs>
        <w:spacing w:after="0"/>
      </w:pPr>
      <w:r>
        <w:t xml:space="preserve">Podíl cizinců na vnitřním stěhování byl nejvyšší v letech 2007–2009, kdy se pohyboval okolo 17 %. Na začátku a na konci sledovaného období to bylo okolo 8 %. </w:t>
      </w:r>
      <w:r w:rsidR="00BD7B58">
        <w:t>Nárůst celkového objemu vnitřního stěhování mezi roky 2005 až 2007 byl z větší části způsoben růstem počtu případů stěhování u cizinců. Nejvíce se mezi cizími státními příslušníky stěhovali Ukrajinci</w:t>
      </w:r>
      <w:r w:rsidR="0073791B">
        <w:t>.</w:t>
      </w:r>
    </w:p>
    <w:p w:rsidR="006370E8" w:rsidRDefault="006370E8" w:rsidP="006370E8">
      <w:pPr>
        <w:tabs>
          <w:tab w:val="left" w:pos="3885"/>
        </w:tabs>
        <w:spacing w:after="0"/>
      </w:pPr>
    </w:p>
    <w:p w:rsidR="009964D1" w:rsidRDefault="008B2202" w:rsidP="009964D1">
      <w:pPr>
        <w:tabs>
          <w:tab w:val="left" w:pos="3885"/>
        </w:tabs>
        <w:spacing w:after="0"/>
      </w:pPr>
      <w:r>
        <w:t>Objem vnitřního stěhování rozlišený podle jeho druhu se výrazně v období 2005–2017 neměnil. Nejčastější bylo stěhování mezi obcemi v rámci okresu (zhruba 45 % ze všech případů vnitřního stěhování), následovalo mezikrajské stěhování (35 %) a nejméně časté bylo stěhování mezi okresy v rámci krajů (20 %).</w:t>
      </w:r>
      <w:r w:rsidR="00345CEA">
        <w:t xml:space="preserve"> Na mezikrajském stěhování se relativně více (ve srovnání se všemi případy vnitřního stěhování) podílely muži a cizinci, průměrný věk migrantů byl mírně vyšší.  </w:t>
      </w:r>
    </w:p>
    <w:p w:rsidR="009964D1" w:rsidRDefault="009964D1" w:rsidP="009964D1">
      <w:pPr>
        <w:tabs>
          <w:tab w:val="left" w:pos="3885"/>
        </w:tabs>
        <w:spacing w:after="0"/>
      </w:pPr>
    </w:p>
    <w:p w:rsidR="002B2DCF" w:rsidRDefault="00901D86" w:rsidP="009964D1">
      <w:pPr>
        <w:tabs>
          <w:tab w:val="left" w:pos="3885"/>
        </w:tabs>
        <w:spacing w:after="0"/>
      </w:pPr>
      <w:r>
        <w:t>Nejvíce obyvatel vnitřním stěhování získal v období 2005–2017 Středočeský kraj (130 tis.). Další dva kraje s mírně kladným saldem byly Plzeňský a Jihočeský. Z ostatních krajů se více obyvatel vystěhovalo, než se do nich přistěhovalo. Nejvýraznějšímu absolutnímu úbytku čelil Moravskoslezský kraj (- 39 tis.), v přepočtu na počet obyvatel Karlovarský kraj</w:t>
      </w:r>
      <w:r w:rsidR="008C6728">
        <w:t>.</w:t>
      </w:r>
      <w:r w:rsidR="00CC166A">
        <w:t xml:space="preserve"> Nejsilnější proud byl mezi Prahou a Středočeským krajem, přičemž do Středočeského kraje se z Prahy vystěhovalo za období 2005–2017 o téměř 100 tis. obyvatel více než</w:t>
      </w:r>
      <w:r w:rsidR="005306D0">
        <w:t xml:space="preserve"> se</w:t>
      </w:r>
      <w:r w:rsidR="00CC166A">
        <w:t xml:space="preserve"> stěhovalo opačným směrem. </w:t>
      </w:r>
    </w:p>
    <w:p w:rsidR="002B2DCF" w:rsidRDefault="002B2DCF" w:rsidP="009964D1">
      <w:pPr>
        <w:tabs>
          <w:tab w:val="left" w:pos="3885"/>
        </w:tabs>
        <w:spacing w:after="0"/>
      </w:pPr>
    </w:p>
    <w:p w:rsidR="00FE240F" w:rsidRDefault="004E2C63" w:rsidP="009964D1">
      <w:pPr>
        <w:tabs>
          <w:tab w:val="left" w:pos="3885"/>
        </w:tabs>
        <w:spacing w:after="0"/>
      </w:pPr>
      <w:proofErr w:type="spellStart"/>
      <w:r>
        <w:t>Vnitrokrajské</w:t>
      </w:r>
      <w:proofErr w:type="spellEnd"/>
      <w:r>
        <w:t xml:space="preserve"> stěhování bylo </w:t>
      </w:r>
      <w:r w:rsidR="005306D0">
        <w:t>nejčastější</w:t>
      </w:r>
      <w:r>
        <w:t xml:space="preserve"> ve Středočeském kraji, ale po přepočtu na počet obyvatel kraje měl nejvyšší hodnoty Ústecký kraj. </w:t>
      </w:r>
      <w:proofErr w:type="spellStart"/>
      <w:r>
        <w:t>Vnitrokrajské</w:t>
      </w:r>
      <w:proofErr w:type="spellEnd"/>
      <w:r>
        <w:t xml:space="preserve"> stěhování lze dále rozdělit</w:t>
      </w:r>
      <w:r w:rsidR="003658E1">
        <w:t xml:space="preserve"> na meziokresní v rámci kraje a </w:t>
      </w:r>
      <w:proofErr w:type="spellStart"/>
      <w:r>
        <w:t>meziobecní</w:t>
      </w:r>
      <w:proofErr w:type="spellEnd"/>
      <w:r>
        <w:t xml:space="preserve"> uvnitř okresu. U prvního jmenovaného byly zaznamenány nejsilnější proudy mezi okresy Brno-město a Brno-venkov a Plzeň-město a Plzeň-sever (početnější byly </w:t>
      </w:r>
      <w:proofErr w:type="spellStart"/>
      <w:r>
        <w:t>suburbanizační</w:t>
      </w:r>
      <w:proofErr w:type="spellEnd"/>
      <w:r>
        <w:t xml:space="preserve"> proudy). Velmi početné byly i migrační proudy z okresu Ostrava-město do sousedních okresů (Frýdek-Místek, Karviná nebo Opava).</w:t>
      </w:r>
      <w:r w:rsidR="00CD2DBC">
        <w:t xml:space="preserve"> </w:t>
      </w:r>
      <w:proofErr w:type="spellStart"/>
      <w:r w:rsidR="00CD2DBC">
        <w:t>Meziobecní</w:t>
      </w:r>
      <w:proofErr w:type="spellEnd"/>
      <w:r w:rsidR="00CD2DBC">
        <w:t xml:space="preserve"> proudy v rámci okresu byly nejpočetnější mezi Jirkovem a Chomutovem a Litvínovem a Mostem (obousměrně podobně silné).  </w:t>
      </w:r>
    </w:p>
    <w:p w:rsidR="00FE240F" w:rsidRDefault="00FE240F" w:rsidP="009964D1">
      <w:pPr>
        <w:tabs>
          <w:tab w:val="left" w:pos="3885"/>
        </w:tabs>
        <w:spacing w:after="0"/>
      </w:pPr>
    </w:p>
    <w:p w:rsidR="00762603" w:rsidRDefault="00035BAC" w:rsidP="009964D1">
      <w:pPr>
        <w:tabs>
          <w:tab w:val="left" w:pos="3885"/>
        </w:tabs>
        <w:spacing w:after="0"/>
      </w:pPr>
      <w:r>
        <w:t>Na okresní úrovni získaly nejvíce obyvatel vnitřní migrací Praha-vý</w:t>
      </w:r>
      <w:r w:rsidR="003658E1">
        <w:t>chod i Praha-západ (absolutně i </w:t>
      </w:r>
      <w:r>
        <w:t>relativně), absolutně nejvíce ztratily okresy Brno-město a Praha a relativně (na počet obyvatel okresu) Jeseník a Karviná. Výrazně nejsilnější proudy byly sledovány mezi Prahou na jedné straně a Prahou-východ a Prahou-západ na straně druhé. Proudy směrem z Prahy vrcholily v roce 2008, opačné (</w:t>
      </w:r>
      <w:proofErr w:type="spellStart"/>
      <w:r>
        <w:t>reurbanizační</w:t>
      </w:r>
      <w:proofErr w:type="spellEnd"/>
      <w:r>
        <w:t>) proudy v čase sílily a na konci sledovaného období dosahovaly dvounásobných hodnot oproti stavu na počátku.</w:t>
      </w:r>
    </w:p>
    <w:p w:rsidR="00762603" w:rsidRDefault="00762603" w:rsidP="009964D1">
      <w:pPr>
        <w:tabs>
          <w:tab w:val="left" w:pos="3885"/>
        </w:tabs>
        <w:spacing w:after="0"/>
      </w:pPr>
    </w:p>
    <w:p w:rsidR="00762603" w:rsidRDefault="00762603" w:rsidP="009964D1">
      <w:pPr>
        <w:tabs>
          <w:tab w:val="left" w:pos="3885"/>
        </w:tabs>
        <w:spacing w:after="0"/>
      </w:pPr>
      <w:r>
        <w:t xml:space="preserve">Na územní úrovni správních obvodů obcí s rozšířenou působností byly nejsilnější proudy z Prahy do jejích zázemí (SO ORP Černošice, </w:t>
      </w:r>
      <w:r w:rsidRPr="00762603">
        <w:t xml:space="preserve">Brandýs nad </w:t>
      </w:r>
      <w:proofErr w:type="gramStart"/>
      <w:r w:rsidRPr="00762603">
        <w:t>Labem-Stará</w:t>
      </w:r>
      <w:proofErr w:type="gramEnd"/>
      <w:r w:rsidRPr="00762603">
        <w:t xml:space="preserve"> Boleslav</w:t>
      </w:r>
      <w:r>
        <w:t xml:space="preserve"> a Říčany). Jednalo se o SO ORP, která vnitřní migrací nejvíce populačně získala. Oproti relativně největší ztráty vnitřním stěhováním postihly SO ORP Ostrov, Kaplice a Orlová. </w:t>
      </w:r>
    </w:p>
    <w:p w:rsidR="00762603" w:rsidRDefault="00762603" w:rsidP="009964D1">
      <w:pPr>
        <w:tabs>
          <w:tab w:val="left" w:pos="3885"/>
        </w:tabs>
        <w:spacing w:after="0"/>
      </w:pPr>
    </w:p>
    <w:p w:rsidR="00C93DB3" w:rsidRDefault="005217C4" w:rsidP="009964D1">
      <w:pPr>
        <w:tabs>
          <w:tab w:val="left" w:pos="3885"/>
        </w:tabs>
        <w:spacing w:after="0"/>
      </w:pPr>
      <w:r>
        <w:lastRenderedPageBreak/>
        <w:t>Vnitřní migrací narostlo obyvatelstvo zejména v obcích Středočeského kraje, n</w:t>
      </w:r>
      <w:r w:rsidR="003658E1">
        <w:t>ejvíce v Jesenici, Milovicích a </w:t>
      </w:r>
      <w:r>
        <w:t>Říčanech. Naopak výrazně záporné saldo vnitřního stěhování měla hlavně velká města (Brno, Ostrava, Praha). V případě</w:t>
      </w:r>
      <w:r w:rsidRPr="005217C4">
        <w:t xml:space="preserve"> </w:t>
      </w:r>
      <w:proofErr w:type="spellStart"/>
      <w:r w:rsidRPr="005217C4">
        <w:t>meziobecních</w:t>
      </w:r>
      <w:proofErr w:type="spellEnd"/>
      <w:r w:rsidRPr="005217C4">
        <w:t xml:space="preserve"> proudů stěhování dominovaly většinou proudy mezi velkými městy.</w:t>
      </w:r>
      <w:r w:rsidR="00C93DB3">
        <w:t xml:space="preserve"> Nejvýraznější byl ten mezi Prahou a Brnem, když se z Brna do hlavního města přestěhovalo v období 2005–2017 10 tis. obyvatel a opačným směrem pouze téměř 4 tis. </w:t>
      </w:r>
      <w:r>
        <w:t xml:space="preserve"> </w:t>
      </w:r>
    </w:p>
    <w:p w:rsidR="00C93DB3" w:rsidRDefault="00C93DB3" w:rsidP="009964D1">
      <w:pPr>
        <w:tabs>
          <w:tab w:val="left" w:pos="3885"/>
        </w:tabs>
        <w:spacing w:after="0"/>
      </w:pPr>
    </w:p>
    <w:p w:rsidR="00A52D43" w:rsidRPr="00904983" w:rsidRDefault="00C93DB3" w:rsidP="009964D1">
      <w:pPr>
        <w:tabs>
          <w:tab w:val="left" w:pos="3885"/>
        </w:tabs>
        <w:spacing w:after="0"/>
      </w:pPr>
      <w:r>
        <w:t>Vývoj vnitřní migrace lze sledovat i podle velikostní skupiny obce. Ve sledovaném období byly populačně ziskové kategorie obcí o velikostní skupině do 4 999 obyvatel, naopak ztrátové od 5 000 obyvatel. Nejvíce obyvatel získaly obce s populací 500–999 obyvat</w:t>
      </w:r>
      <w:r w:rsidR="00D000EE">
        <w:t>el, oproti tomu nejvíce ztratila</w:t>
      </w:r>
      <w:r>
        <w:t xml:space="preserve"> města o velikosti 20 000–49 999 obyvatel (platí v obou případech absolutně i relativně).</w:t>
      </w:r>
      <w:r w:rsidR="00C13F68">
        <w:t xml:space="preserve"> Nejsilnější proud byl z</w:t>
      </w:r>
      <w:r w:rsidR="005905F7">
        <w:t> největších měst</w:t>
      </w:r>
      <w:r w:rsidR="00C13F68">
        <w:t xml:space="preserve"> nad 100 000 obyvatel do obcí ve velikostní skupině 2 000–4 999 obyvatel (164 tis. za celé období).</w:t>
      </w:r>
      <w:r w:rsidR="005905F7">
        <w:t xml:space="preserve"> </w:t>
      </w:r>
      <w:r w:rsidR="00C13F68">
        <w:t xml:space="preserve"> </w:t>
      </w:r>
      <w:r>
        <w:t xml:space="preserve">  </w:t>
      </w:r>
      <w:r w:rsidR="005217C4" w:rsidRPr="005217C4">
        <w:t xml:space="preserve"> </w:t>
      </w:r>
      <w:r w:rsidR="005217C4">
        <w:t xml:space="preserve"> </w:t>
      </w:r>
      <w:r w:rsidR="00762603">
        <w:t xml:space="preserve">   </w:t>
      </w:r>
      <w:r w:rsidR="00035BAC">
        <w:t xml:space="preserve">    </w:t>
      </w:r>
      <w:r w:rsidR="004E2C63">
        <w:t xml:space="preserve">     </w:t>
      </w:r>
      <w:r w:rsidR="008C6728">
        <w:t xml:space="preserve">  </w:t>
      </w:r>
      <w:r w:rsidR="00901D86">
        <w:t xml:space="preserve">    </w:t>
      </w:r>
      <w:r w:rsidR="00345CEA">
        <w:t xml:space="preserve"> </w:t>
      </w:r>
    </w:p>
    <w:sectPr w:rsidR="00A52D43" w:rsidRPr="00904983" w:rsidSect="006F5416">
      <w:headerReference w:type="even" r:id="rId32"/>
      <w:headerReference w:type="default" r:id="rId33"/>
      <w:footerReference w:type="even" r:id="rId34"/>
      <w:footerReference w:type="default" r:id="rId35"/>
      <w:pgSz w:w="11906" w:h="16838" w:code="9"/>
      <w:pgMar w:top="1134" w:right="1134" w:bottom="1418" w:left="1134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5303" w:rsidRDefault="00E75303" w:rsidP="00E71A58">
      <w:r>
        <w:separator/>
      </w:r>
    </w:p>
  </w:endnote>
  <w:endnote w:type="continuationSeparator" w:id="0">
    <w:p w:rsidR="00E75303" w:rsidRDefault="00E75303" w:rsidP="00E71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07D" w:rsidRPr="00932443" w:rsidRDefault="00F8307D" w:rsidP="00A418BC">
    <w:pPr>
      <w:pStyle w:val="Zpat"/>
      <w:rPr>
        <w:szCs w:val="16"/>
      </w:rPr>
    </w:pPr>
    <w:r>
      <w:rPr>
        <w:szCs w:val="16"/>
        <w:lang w:eastAsia="cs-CZ"/>
      </w:rPr>
      <w:drawing>
        <wp:anchor distT="0" distB="0" distL="114300" distR="114300" simplePos="0" relativeHeight="251658240" behindDoc="0" locked="0" layoutInCell="1" allowOverlap="1" wp14:anchorId="309AEED0" wp14:editId="42C860A7">
          <wp:simplePos x="0" y="0"/>
          <wp:positionH relativeFrom="column">
            <wp:align>right</wp:align>
          </wp:positionH>
          <wp:positionV relativeFrom="paragraph">
            <wp:posOffset>-64770</wp:posOffset>
          </wp:positionV>
          <wp:extent cx="428625" cy="201295"/>
          <wp:effectExtent l="0" t="0" r="3175" b="1905"/>
          <wp:wrapNone/>
          <wp:docPr id="14" name="Picture 11" descr="CSU RGB CZ 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SU RGB CZ log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201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2443">
      <w:rPr>
        <w:szCs w:val="16"/>
      </w:rPr>
      <w:fldChar w:fldCharType="begin"/>
    </w:r>
    <w:r w:rsidRPr="00932443">
      <w:rPr>
        <w:szCs w:val="16"/>
      </w:rPr>
      <w:instrText>PAGE   \* MERGEFORMAT</w:instrText>
    </w:r>
    <w:r w:rsidRPr="00932443">
      <w:rPr>
        <w:szCs w:val="16"/>
      </w:rPr>
      <w:fldChar w:fldCharType="separate"/>
    </w:r>
    <w:r w:rsidR="00B3002A">
      <w:rPr>
        <w:szCs w:val="16"/>
      </w:rPr>
      <w:t>28</w:t>
    </w:r>
    <w:r w:rsidRPr="00932443">
      <w:rPr>
        <w:szCs w:val="16"/>
      </w:rPr>
      <w:fldChar w:fldCharType="end"/>
    </w:r>
    <w:r w:rsidRPr="00932443">
      <w:rPr>
        <w:szCs w:val="16"/>
      </w:rPr>
      <w:tab/>
    </w:r>
    <w:r>
      <w:rPr>
        <w:rStyle w:val="ZpatChar"/>
        <w:szCs w:val="16"/>
      </w:rPr>
      <w:t>2005–2017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07D" w:rsidRPr="00932443" w:rsidRDefault="00F8307D" w:rsidP="00A418BC">
    <w:pPr>
      <w:pStyle w:val="Zpat"/>
      <w:rPr>
        <w:szCs w:val="16"/>
      </w:rPr>
    </w:pPr>
    <w:r>
      <w:rPr>
        <w:szCs w:val="16"/>
        <w:lang w:eastAsia="cs-CZ"/>
      </w:rPr>
      <w:drawing>
        <wp:anchor distT="0" distB="0" distL="114300" distR="114300" simplePos="0" relativeHeight="251657216" behindDoc="0" locked="0" layoutInCell="1" allowOverlap="1" wp14:anchorId="1C30BE43" wp14:editId="14FFD0C8">
          <wp:simplePos x="0" y="0"/>
          <wp:positionH relativeFrom="column">
            <wp:align>left</wp:align>
          </wp:positionH>
          <wp:positionV relativeFrom="paragraph">
            <wp:posOffset>-122555</wp:posOffset>
          </wp:positionV>
          <wp:extent cx="510540" cy="272415"/>
          <wp:effectExtent l="0" t="0" r="0" b="6985"/>
          <wp:wrapNone/>
          <wp:docPr id="15" name="Picture 10" descr="CSU RGB CZ log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SU RGB CZ logo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272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2443">
      <w:rPr>
        <w:szCs w:val="16"/>
      </w:rPr>
      <w:tab/>
    </w:r>
    <w:r>
      <w:rPr>
        <w:rStyle w:val="ZpatChar"/>
        <w:szCs w:val="16"/>
      </w:rPr>
      <w:t>2005–2017</w:t>
    </w:r>
    <w:r w:rsidRPr="00932443">
      <w:rPr>
        <w:szCs w:val="16"/>
      </w:rPr>
      <w:tab/>
    </w:r>
    <w:r w:rsidRPr="00932443">
      <w:rPr>
        <w:rStyle w:val="ZpatChar"/>
        <w:szCs w:val="16"/>
      </w:rPr>
      <w:fldChar w:fldCharType="begin"/>
    </w:r>
    <w:r w:rsidRPr="00932443">
      <w:rPr>
        <w:rStyle w:val="ZpatChar"/>
        <w:szCs w:val="16"/>
      </w:rPr>
      <w:instrText>PAGE   \* MERGEFORMAT</w:instrText>
    </w:r>
    <w:r w:rsidRPr="00932443">
      <w:rPr>
        <w:rStyle w:val="ZpatChar"/>
        <w:szCs w:val="16"/>
      </w:rPr>
      <w:fldChar w:fldCharType="separate"/>
    </w:r>
    <w:r w:rsidR="00B3002A">
      <w:rPr>
        <w:rStyle w:val="ZpatChar"/>
        <w:szCs w:val="16"/>
      </w:rPr>
      <w:t>27</w:t>
    </w:r>
    <w:r w:rsidRPr="00932443">
      <w:rPr>
        <w:rStyle w:val="ZpatChar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5303" w:rsidRDefault="00E75303" w:rsidP="00E71A58">
      <w:r>
        <w:separator/>
      </w:r>
    </w:p>
  </w:footnote>
  <w:footnote w:type="continuationSeparator" w:id="0">
    <w:p w:rsidR="00E75303" w:rsidRDefault="00E75303" w:rsidP="00E71A58">
      <w:r>
        <w:continuationSeparator/>
      </w:r>
    </w:p>
  </w:footnote>
  <w:footnote w:id="1">
    <w:p w:rsidR="00F8307D" w:rsidRPr="00EE7A4A" w:rsidRDefault="00F8307D" w:rsidP="00A54058">
      <w:pPr>
        <w:pStyle w:val="Textpoznpodarou"/>
        <w:rPr>
          <w:i/>
          <w:sz w:val="18"/>
          <w:szCs w:val="18"/>
        </w:rPr>
      </w:pPr>
      <w:r w:rsidRPr="00EE7A4A">
        <w:rPr>
          <w:rStyle w:val="Znakapoznpodarou"/>
          <w:i/>
          <w:sz w:val="18"/>
          <w:szCs w:val="18"/>
        </w:rPr>
        <w:footnoteRef/>
      </w:r>
      <w:r w:rsidRPr="00EE7A4A">
        <w:rPr>
          <w:i/>
          <w:sz w:val="18"/>
          <w:szCs w:val="18"/>
        </w:rPr>
        <w:t xml:space="preserve"> Podle § 98 zákona č. 326/1999 Sb., o pobytu cizinců na území České republiky a o změně některých zákonů.</w:t>
      </w:r>
    </w:p>
  </w:footnote>
  <w:footnote w:id="2">
    <w:p w:rsidR="00F8307D" w:rsidRPr="00EE7A4A" w:rsidRDefault="00F8307D">
      <w:pPr>
        <w:pStyle w:val="Textpoznpodarou"/>
        <w:rPr>
          <w:i/>
          <w:sz w:val="18"/>
          <w:szCs w:val="18"/>
        </w:rPr>
      </w:pPr>
      <w:r w:rsidRPr="00EE7A4A">
        <w:rPr>
          <w:rStyle w:val="Znakapoznpodarou"/>
          <w:i/>
          <w:sz w:val="18"/>
          <w:szCs w:val="18"/>
        </w:rPr>
        <w:footnoteRef/>
      </w:r>
      <w:r w:rsidRPr="00EE7A4A">
        <w:rPr>
          <w:i/>
          <w:sz w:val="18"/>
          <w:szCs w:val="18"/>
        </w:rPr>
        <w:t xml:space="preserve"> Na základě vyhlášky č. 513/2006 Sb., kterou se mění vyhláška č. 564/2002 Sb., o stanovení území okresů České republiky a území obvodů hlavního města Prahy, ve znění pozdějších předpisů</w:t>
      </w:r>
      <w:r>
        <w:rPr>
          <w:i/>
          <w:sz w:val="18"/>
          <w:szCs w:val="18"/>
        </w:rPr>
        <w:t>.</w:t>
      </w:r>
    </w:p>
  </w:footnote>
  <w:footnote w:id="3">
    <w:p w:rsidR="00F8307D" w:rsidRDefault="00F8307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EE7A4A">
        <w:rPr>
          <w:i/>
          <w:sz w:val="18"/>
          <w:szCs w:val="18"/>
        </w:rPr>
        <w:t>Na základě vyhlášky č.</w:t>
      </w:r>
      <w:r>
        <w:rPr>
          <w:i/>
          <w:sz w:val="18"/>
          <w:szCs w:val="18"/>
        </w:rPr>
        <w:t xml:space="preserve"> </w:t>
      </w:r>
      <w:r w:rsidRPr="00537378">
        <w:rPr>
          <w:i/>
          <w:sz w:val="18"/>
          <w:szCs w:val="18"/>
        </w:rPr>
        <w:t>440/2011 Sb</w:t>
      </w:r>
      <w:r>
        <w:rPr>
          <w:i/>
          <w:sz w:val="18"/>
          <w:szCs w:val="18"/>
        </w:rPr>
        <w:t xml:space="preserve">., </w:t>
      </w:r>
      <w:r w:rsidRPr="00EE7A4A">
        <w:rPr>
          <w:i/>
          <w:sz w:val="18"/>
          <w:szCs w:val="18"/>
        </w:rPr>
        <w:t>kterou se mění vyhláška č.</w:t>
      </w:r>
      <w:r w:rsidRPr="00537378">
        <w:t xml:space="preserve"> </w:t>
      </w:r>
      <w:r w:rsidRPr="00537378">
        <w:rPr>
          <w:i/>
          <w:sz w:val="18"/>
          <w:szCs w:val="18"/>
        </w:rPr>
        <w:t>388/2002 Sb., o stanovení správních obvodů obcí s pověřeným obecním úřadem a správních obvodů obcí s rozšířenou působností, ve znění pozdějších předpisů</w:t>
      </w:r>
      <w:r>
        <w:rPr>
          <w:i/>
          <w:sz w:val="18"/>
          <w:szCs w:val="18"/>
        </w:rPr>
        <w:t>.</w:t>
      </w:r>
    </w:p>
  </w:footnote>
  <w:footnote w:id="4">
    <w:p w:rsidR="00F8307D" w:rsidRPr="00837D7F" w:rsidRDefault="00F8307D">
      <w:pPr>
        <w:pStyle w:val="Textpoznpodarou"/>
        <w:rPr>
          <w:i/>
          <w:sz w:val="18"/>
          <w:szCs w:val="18"/>
        </w:rPr>
      </w:pPr>
      <w:r w:rsidRPr="00837D7F">
        <w:rPr>
          <w:rStyle w:val="Znakapoznpodarou"/>
          <w:i/>
          <w:sz w:val="18"/>
          <w:szCs w:val="18"/>
        </w:rPr>
        <w:footnoteRef/>
      </w:r>
      <w:r w:rsidRPr="00837D7F"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Stěhování je tak evidováno </w:t>
      </w:r>
      <w:r w:rsidRPr="00837D7F">
        <w:rPr>
          <w:i/>
          <w:sz w:val="18"/>
          <w:szCs w:val="18"/>
        </w:rPr>
        <w:t>mezi první obcí vystěhování v průběhu roku a poslední obcí přistěhování.</w:t>
      </w:r>
    </w:p>
  </w:footnote>
  <w:footnote w:id="5">
    <w:p w:rsidR="00F8307D" w:rsidRDefault="00F8307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i/>
          <w:sz w:val="18"/>
          <w:szCs w:val="18"/>
        </w:rPr>
        <w:t xml:space="preserve">Hlavním důvodem byl poklesu objemu vnitřního stěhování u cizinců mužského pohlaví  </w:t>
      </w:r>
    </w:p>
  </w:footnote>
  <w:footnote w:id="6">
    <w:p w:rsidR="00F8307D" w:rsidRPr="008B21CB" w:rsidRDefault="00F8307D">
      <w:pPr>
        <w:pStyle w:val="Textpoznpodarou"/>
        <w:rPr>
          <w:i/>
          <w:sz w:val="18"/>
          <w:szCs w:val="18"/>
        </w:rPr>
      </w:pPr>
      <w:r w:rsidRPr="008B21CB">
        <w:rPr>
          <w:rStyle w:val="Znakapoznpodarou"/>
          <w:i/>
          <w:sz w:val="18"/>
          <w:szCs w:val="18"/>
        </w:rPr>
        <w:footnoteRef/>
      </w:r>
      <w:r w:rsidRPr="008B21CB"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Změny jsou ovlivněny vývojem věkové struktury obyvatelstva České republiky, podrobněji viz </w:t>
      </w:r>
      <w:r w:rsidRPr="008B21CB">
        <w:rPr>
          <w:i/>
          <w:sz w:val="18"/>
          <w:szCs w:val="18"/>
        </w:rPr>
        <w:t>https://www.czso.cz/documents/10180/61565976/1300691801.pdf/1cce4610-d412-4d04-994e-dbf5a16386e4?version=1.2</w:t>
      </w:r>
    </w:p>
  </w:footnote>
  <w:footnote w:id="7">
    <w:p w:rsidR="00F8307D" w:rsidRPr="00C753DE" w:rsidRDefault="00F8307D">
      <w:pPr>
        <w:pStyle w:val="Textpoznpodarou"/>
        <w:rPr>
          <w:i/>
          <w:sz w:val="18"/>
          <w:szCs w:val="18"/>
        </w:rPr>
      </w:pPr>
      <w:r w:rsidRPr="00C753DE">
        <w:rPr>
          <w:rStyle w:val="Znakapoznpodarou"/>
          <w:i/>
          <w:sz w:val="18"/>
          <w:szCs w:val="18"/>
        </w:rPr>
        <w:footnoteRef/>
      </w:r>
      <w:r>
        <w:rPr>
          <w:i/>
          <w:sz w:val="18"/>
          <w:szCs w:val="18"/>
        </w:rPr>
        <w:t xml:space="preserve"> Kraj Hlavní město Praha</w:t>
      </w:r>
      <w:r w:rsidRPr="00C753DE">
        <w:rPr>
          <w:i/>
          <w:sz w:val="18"/>
          <w:szCs w:val="18"/>
        </w:rPr>
        <w:t xml:space="preserve"> je vymezen totožně jako okres a obec, proto není meziokresní migrace v rámci kraje možná. </w:t>
      </w:r>
    </w:p>
  </w:footnote>
  <w:footnote w:id="8">
    <w:p w:rsidR="00F8307D" w:rsidRPr="006260B9" w:rsidRDefault="00F8307D">
      <w:pPr>
        <w:pStyle w:val="Textpoznpodarou"/>
        <w:rPr>
          <w:i/>
          <w:sz w:val="18"/>
          <w:szCs w:val="18"/>
        </w:rPr>
      </w:pPr>
      <w:r w:rsidRPr="006260B9">
        <w:rPr>
          <w:rStyle w:val="Znakapoznpodarou"/>
          <w:i/>
          <w:sz w:val="18"/>
          <w:szCs w:val="18"/>
        </w:rPr>
        <w:footnoteRef/>
      </w:r>
      <w:r w:rsidRPr="006260B9">
        <w:rPr>
          <w:i/>
          <w:sz w:val="18"/>
          <w:szCs w:val="18"/>
        </w:rPr>
        <w:t xml:space="preserve"> Praha jako okres je vymezena totožně jako obec tudíž není </w:t>
      </w:r>
      <w:proofErr w:type="spellStart"/>
      <w:r w:rsidRPr="006260B9">
        <w:rPr>
          <w:i/>
          <w:sz w:val="18"/>
          <w:szCs w:val="18"/>
        </w:rPr>
        <w:t>meziobecní</w:t>
      </w:r>
      <w:proofErr w:type="spellEnd"/>
      <w:r w:rsidRPr="006260B9">
        <w:rPr>
          <w:i/>
          <w:sz w:val="18"/>
          <w:szCs w:val="18"/>
        </w:rPr>
        <w:t xml:space="preserve"> migrace v rámci okresu možná</w:t>
      </w:r>
      <w:r>
        <w:rPr>
          <w:i/>
          <w:sz w:val="18"/>
          <w:szCs w:val="18"/>
        </w:rPr>
        <w:t xml:space="preserve">. Totéž platí pro okres Brno-město a obec Brno. </w:t>
      </w:r>
    </w:p>
  </w:footnote>
  <w:footnote w:id="9">
    <w:p w:rsidR="00F8307D" w:rsidRDefault="00F8307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945D0F">
        <w:rPr>
          <w:i/>
          <w:sz w:val="18"/>
          <w:szCs w:val="18"/>
        </w:rPr>
        <w:t>Praha sice není</w:t>
      </w:r>
      <w:r>
        <w:rPr>
          <w:i/>
          <w:sz w:val="18"/>
          <w:szCs w:val="18"/>
        </w:rPr>
        <w:t xml:space="preserve"> SO ORP, ale z důvodu zachování celistvosti ČR na všech územních úrovních je za něj v této kapitole považován.</w:t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07D" w:rsidRPr="006F5416" w:rsidRDefault="00F8307D" w:rsidP="00900550">
    <w:pPr>
      <w:pStyle w:val="Zhlav"/>
    </w:pPr>
    <w:r>
      <w:t>Vnitřní migrace v České republice 2005–2017</w:t>
    </w:r>
  </w:p>
  <w:p w:rsidR="00F8307D" w:rsidRPr="00900550" w:rsidRDefault="00F8307D" w:rsidP="00900550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07D" w:rsidRPr="006F5416" w:rsidRDefault="00F8307D" w:rsidP="00937AE2">
    <w:pPr>
      <w:pStyle w:val="Zhlav"/>
    </w:pPr>
    <w:r>
      <w:t>Vnitřní migrace v České republice 2005–2017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11.25pt;height:11.25pt" o:bullet="t">
        <v:imagedata r:id="rId1" o:title="msoFAAF"/>
      </v:shape>
    </w:pict>
  </w:numPicBullet>
  <w:abstractNum w:abstractNumId="0">
    <w:nsid w:val="FFFFFF7C"/>
    <w:multiLevelType w:val="singleLevel"/>
    <w:tmpl w:val="49CEEC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EC69A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37A1C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B7623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6965B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0DE27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C7AE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68C5B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7C8EE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18AD8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58473A1"/>
    <w:multiLevelType w:val="hybridMultilevel"/>
    <w:tmpl w:val="7984410C"/>
    <w:lvl w:ilvl="0" w:tplc="371200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384A27"/>
    <w:multiLevelType w:val="hybridMultilevel"/>
    <w:tmpl w:val="105050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581760"/>
    <w:multiLevelType w:val="hybridMultilevel"/>
    <w:tmpl w:val="CFEE97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>
      <o:colormru v:ext="edit" colors="#ecf4dd,#eaecee,#fcec0a,#fcecdb,#f1daf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AD0"/>
    <w:rsid w:val="00001AEF"/>
    <w:rsid w:val="0000209D"/>
    <w:rsid w:val="000023DC"/>
    <w:rsid w:val="00003075"/>
    <w:rsid w:val="000035CB"/>
    <w:rsid w:val="00004D5A"/>
    <w:rsid w:val="000056D5"/>
    <w:rsid w:val="00005A0B"/>
    <w:rsid w:val="00005DDC"/>
    <w:rsid w:val="00006B6F"/>
    <w:rsid w:val="00007445"/>
    <w:rsid w:val="0000767A"/>
    <w:rsid w:val="00007A03"/>
    <w:rsid w:val="00007F75"/>
    <w:rsid w:val="00010702"/>
    <w:rsid w:val="00010DD8"/>
    <w:rsid w:val="000119F9"/>
    <w:rsid w:val="00012BA6"/>
    <w:rsid w:val="0001365E"/>
    <w:rsid w:val="00013A18"/>
    <w:rsid w:val="0001432B"/>
    <w:rsid w:val="000153A0"/>
    <w:rsid w:val="00016930"/>
    <w:rsid w:val="00016992"/>
    <w:rsid w:val="00017347"/>
    <w:rsid w:val="00021BA9"/>
    <w:rsid w:val="000234D6"/>
    <w:rsid w:val="00023D29"/>
    <w:rsid w:val="00026389"/>
    <w:rsid w:val="00027325"/>
    <w:rsid w:val="00030D3C"/>
    <w:rsid w:val="0003153B"/>
    <w:rsid w:val="00031AE0"/>
    <w:rsid w:val="000322EF"/>
    <w:rsid w:val="00032D27"/>
    <w:rsid w:val="00033FCD"/>
    <w:rsid w:val="000351D8"/>
    <w:rsid w:val="00035BAC"/>
    <w:rsid w:val="00035FEE"/>
    <w:rsid w:val="00036A91"/>
    <w:rsid w:val="00036F27"/>
    <w:rsid w:val="000402D0"/>
    <w:rsid w:val="000402D2"/>
    <w:rsid w:val="000419F3"/>
    <w:rsid w:val="00041CEC"/>
    <w:rsid w:val="00043274"/>
    <w:rsid w:val="00044043"/>
    <w:rsid w:val="00044538"/>
    <w:rsid w:val="00044BAE"/>
    <w:rsid w:val="00045131"/>
    <w:rsid w:val="0004694F"/>
    <w:rsid w:val="000469B3"/>
    <w:rsid w:val="000473E5"/>
    <w:rsid w:val="00050751"/>
    <w:rsid w:val="00050A0A"/>
    <w:rsid w:val="00051BE1"/>
    <w:rsid w:val="000522E4"/>
    <w:rsid w:val="0005470D"/>
    <w:rsid w:val="00054A4E"/>
    <w:rsid w:val="00054F7C"/>
    <w:rsid w:val="0005721A"/>
    <w:rsid w:val="00057D39"/>
    <w:rsid w:val="00060983"/>
    <w:rsid w:val="000610E1"/>
    <w:rsid w:val="00062176"/>
    <w:rsid w:val="00062907"/>
    <w:rsid w:val="00062BCA"/>
    <w:rsid w:val="00062EC5"/>
    <w:rsid w:val="00062F22"/>
    <w:rsid w:val="00064369"/>
    <w:rsid w:val="00067A09"/>
    <w:rsid w:val="0007054F"/>
    <w:rsid w:val="00070974"/>
    <w:rsid w:val="0007121D"/>
    <w:rsid w:val="000712B3"/>
    <w:rsid w:val="000745E7"/>
    <w:rsid w:val="00077EC8"/>
    <w:rsid w:val="00080569"/>
    <w:rsid w:val="0008263E"/>
    <w:rsid w:val="00082C19"/>
    <w:rsid w:val="00083E73"/>
    <w:rsid w:val="00085395"/>
    <w:rsid w:val="00086604"/>
    <w:rsid w:val="00087634"/>
    <w:rsid w:val="00087F2B"/>
    <w:rsid w:val="00090433"/>
    <w:rsid w:val="000933B5"/>
    <w:rsid w:val="00094E75"/>
    <w:rsid w:val="00097168"/>
    <w:rsid w:val="00097282"/>
    <w:rsid w:val="000974D1"/>
    <w:rsid w:val="0009799E"/>
    <w:rsid w:val="000A0195"/>
    <w:rsid w:val="000A1183"/>
    <w:rsid w:val="000A16E1"/>
    <w:rsid w:val="000A1EC4"/>
    <w:rsid w:val="000A256D"/>
    <w:rsid w:val="000A3A2C"/>
    <w:rsid w:val="000A41DC"/>
    <w:rsid w:val="000A53C4"/>
    <w:rsid w:val="000A7FFB"/>
    <w:rsid w:val="000B0BB6"/>
    <w:rsid w:val="000B11A5"/>
    <w:rsid w:val="000B30FA"/>
    <w:rsid w:val="000B40F1"/>
    <w:rsid w:val="000B4E56"/>
    <w:rsid w:val="000B6C64"/>
    <w:rsid w:val="000B7A13"/>
    <w:rsid w:val="000C029F"/>
    <w:rsid w:val="000C0C6D"/>
    <w:rsid w:val="000C2060"/>
    <w:rsid w:val="000C2284"/>
    <w:rsid w:val="000C3408"/>
    <w:rsid w:val="000C4F06"/>
    <w:rsid w:val="000C5535"/>
    <w:rsid w:val="000C58BE"/>
    <w:rsid w:val="000C58C7"/>
    <w:rsid w:val="000C5FFA"/>
    <w:rsid w:val="000C6AFD"/>
    <w:rsid w:val="000C7561"/>
    <w:rsid w:val="000C7EDF"/>
    <w:rsid w:val="000D06FE"/>
    <w:rsid w:val="000D182C"/>
    <w:rsid w:val="000D41E8"/>
    <w:rsid w:val="000D53BE"/>
    <w:rsid w:val="000D5597"/>
    <w:rsid w:val="000D5637"/>
    <w:rsid w:val="000D583A"/>
    <w:rsid w:val="000D5FC1"/>
    <w:rsid w:val="000D6EB5"/>
    <w:rsid w:val="000D6FD3"/>
    <w:rsid w:val="000D73F0"/>
    <w:rsid w:val="000D7F83"/>
    <w:rsid w:val="000E1193"/>
    <w:rsid w:val="000E156B"/>
    <w:rsid w:val="000E1B49"/>
    <w:rsid w:val="000E1BDD"/>
    <w:rsid w:val="000E269A"/>
    <w:rsid w:val="000E2F16"/>
    <w:rsid w:val="000E5D21"/>
    <w:rsid w:val="000E6FBD"/>
    <w:rsid w:val="000F02F0"/>
    <w:rsid w:val="000F2EC6"/>
    <w:rsid w:val="000F2F65"/>
    <w:rsid w:val="000F4337"/>
    <w:rsid w:val="000F5EE7"/>
    <w:rsid w:val="000F6824"/>
    <w:rsid w:val="000F706B"/>
    <w:rsid w:val="000F797F"/>
    <w:rsid w:val="00100F5C"/>
    <w:rsid w:val="00101CDC"/>
    <w:rsid w:val="00102DFC"/>
    <w:rsid w:val="0010437D"/>
    <w:rsid w:val="00104C4C"/>
    <w:rsid w:val="00106D41"/>
    <w:rsid w:val="00107089"/>
    <w:rsid w:val="00111FCC"/>
    <w:rsid w:val="00113327"/>
    <w:rsid w:val="00113522"/>
    <w:rsid w:val="001167E0"/>
    <w:rsid w:val="00117400"/>
    <w:rsid w:val="001179DA"/>
    <w:rsid w:val="0012103B"/>
    <w:rsid w:val="001211CE"/>
    <w:rsid w:val="0012192F"/>
    <w:rsid w:val="00122C48"/>
    <w:rsid w:val="00123381"/>
    <w:rsid w:val="00124BA1"/>
    <w:rsid w:val="001258DC"/>
    <w:rsid w:val="00125D69"/>
    <w:rsid w:val="00127A36"/>
    <w:rsid w:val="00131836"/>
    <w:rsid w:val="00133A83"/>
    <w:rsid w:val="001405FA"/>
    <w:rsid w:val="001425C3"/>
    <w:rsid w:val="00142701"/>
    <w:rsid w:val="00142E55"/>
    <w:rsid w:val="00145EA6"/>
    <w:rsid w:val="001462B0"/>
    <w:rsid w:val="001514A8"/>
    <w:rsid w:val="00152B67"/>
    <w:rsid w:val="001566B6"/>
    <w:rsid w:val="00160656"/>
    <w:rsid w:val="0016134C"/>
    <w:rsid w:val="0016256B"/>
    <w:rsid w:val="0016352B"/>
    <w:rsid w:val="00163793"/>
    <w:rsid w:val="001670D2"/>
    <w:rsid w:val="001678EC"/>
    <w:rsid w:val="00167F47"/>
    <w:rsid w:val="00170457"/>
    <w:rsid w:val="001706D6"/>
    <w:rsid w:val="00170831"/>
    <w:rsid w:val="001714F2"/>
    <w:rsid w:val="00172BA8"/>
    <w:rsid w:val="00172D31"/>
    <w:rsid w:val="00175F52"/>
    <w:rsid w:val="001779CE"/>
    <w:rsid w:val="001811DD"/>
    <w:rsid w:val="00182959"/>
    <w:rsid w:val="00183CA7"/>
    <w:rsid w:val="0018474A"/>
    <w:rsid w:val="00184B08"/>
    <w:rsid w:val="00185010"/>
    <w:rsid w:val="00185614"/>
    <w:rsid w:val="00185DE9"/>
    <w:rsid w:val="00186466"/>
    <w:rsid w:val="00187AD0"/>
    <w:rsid w:val="0019067C"/>
    <w:rsid w:val="0019613F"/>
    <w:rsid w:val="001A04FC"/>
    <w:rsid w:val="001A1C96"/>
    <w:rsid w:val="001A3896"/>
    <w:rsid w:val="001A552F"/>
    <w:rsid w:val="001A65C0"/>
    <w:rsid w:val="001A7029"/>
    <w:rsid w:val="001A7117"/>
    <w:rsid w:val="001B20A4"/>
    <w:rsid w:val="001B2CA9"/>
    <w:rsid w:val="001B2FD9"/>
    <w:rsid w:val="001B3110"/>
    <w:rsid w:val="001B3BD9"/>
    <w:rsid w:val="001B4729"/>
    <w:rsid w:val="001B6C09"/>
    <w:rsid w:val="001B72EF"/>
    <w:rsid w:val="001B7EEF"/>
    <w:rsid w:val="001C05CD"/>
    <w:rsid w:val="001C07E8"/>
    <w:rsid w:val="001C09CB"/>
    <w:rsid w:val="001C17C6"/>
    <w:rsid w:val="001C2992"/>
    <w:rsid w:val="001C36AD"/>
    <w:rsid w:val="001C6049"/>
    <w:rsid w:val="001C63DE"/>
    <w:rsid w:val="001C6796"/>
    <w:rsid w:val="001C7409"/>
    <w:rsid w:val="001C7FBA"/>
    <w:rsid w:val="001D0FEE"/>
    <w:rsid w:val="001D3DA3"/>
    <w:rsid w:val="001D5D5C"/>
    <w:rsid w:val="001D6209"/>
    <w:rsid w:val="001D62EB"/>
    <w:rsid w:val="001D68B2"/>
    <w:rsid w:val="001D7A0D"/>
    <w:rsid w:val="001D7DA1"/>
    <w:rsid w:val="001D7DD3"/>
    <w:rsid w:val="001E0717"/>
    <w:rsid w:val="001E0A38"/>
    <w:rsid w:val="001E1DD5"/>
    <w:rsid w:val="001E238C"/>
    <w:rsid w:val="001E4123"/>
    <w:rsid w:val="001E544C"/>
    <w:rsid w:val="001E5820"/>
    <w:rsid w:val="001E71E0"/>
    <w:rsid w:val="001E7E74"/>
    <w:rsid w:val="001F2346"/>
    <w:rsid w:val="001F3D79"/>
    <w:rsid w:val="001F4597"/>
    <w:rsid w:val="001F4608"/>
    <w:rsid w:val="001F461A"/>
    <w:rsid w:val="002015D5"/>
    <w:rsid w:val="00201642"/>
    <w:rsid w:val="00203BB2"/>
    <w:rsid w:val="00203F13"/>
    <w:rsid w:val="002118B9"/>
    <w:rsid w:val="00214045"/>
    <w:rsid w:val="00216E1A"/>
    <w:rsid w:val="002174E0"/>
    <w:rsid w:val="00217B77"/>
    <w:rsid w:val="00217C5B"/>
    <w:rsid w:val="00220391"/>
    <w:rsid w:val="00220916"/>
    <w:rsid w:val="00220CAE"/>
    <w:rsid w:val="0022139E"/>
    <w:rsid w:val="0022195A"/>
    <w:rsid w:val="00222683"/>
    <w:rsid w:val="0022486F"/>
    <w:rsid w:val="002252E0"/>
    <w:rsid w:val="002255F6"/>
    <w:rsid w:val="00227850"/>
    <w:rsid w:val="00227A53"/>
    <w:rsid w:val="00230C6E"/>
    <w:rsid w:val="00231140"/>
    <w:rsid w:val="002323BD"/>
    <w:rsid w:val="002332AC"/>
    <w:rsid w:val="00233FCA"/>
    <w:rsid w:val="00235807"/>
    <w:rsid w:val="0023600E"/>
    <w:rsid w:val="00236443"/>
    <w:rsid w:val="00237BEB"/>
    <w:rsid w:val="00240EDD"/>
    <w:rsid w:val="002419A4"/>
    <w:rsid w:val="002420F6"/>
    <w:rsid w:val="002436BA"/>
    <w:rsid w:val="0024443E"/>
    <w:rsid w:val="00244A15"/>
    <w:rsid w:val="00245AD7"/>
    <w:rsid w:val="00247319"/>
    <w:rsid w:val="00247859"/>
    <w:rsid w:val="0024799E"/>
    <w:rsid w:val="00250AB6"/>
    <w:rsid w:val="00250F55"/>
    <w:rsid w:val="0025143C"/>
    <w:rsid w:val="002518A4"/>
    <w:rsid w:val="00252106"/>
    <w:rsid w:val="00252B6C"/>
    <w:rsid w:val="002530EF"/>
    <w:rsid w:val="00253C0F"/>
    <w:rsid w:val="002571C4"/>
    <w:rsid w:val="00257684"/>
    <w:rsid w:val="0026019F"/>
    <w:rsid w:val="0026130C"/>
    <w:rsid w:val="0026666A"/>
    <w:rsid w:val="002667E3"/>
    <w:rsid w:val="00270419"/>
    <w:rsid w:val="00270E3A"/>
    <w:rsid w:val="00271465"/>
    <w:rsid w:val="0027207C"/>
    <w:rsid w:val="00273A0A"/>
    <w:rsid w:val="002760AB"/>
    <w:rsid w:val="00276FDC"/>
    <w:rsid w:val="00277CEA"/>
    <w:rsid w:val="00280325"/>
    <w:rsid w:val="002838E0"/>
    <w:rsid w:val="00283B35"/>
    <w:rsid w:val="00284DE4"/>
    <w:rsid w:val="00285412"/>
    <w:rsid w:val="00286992"/>
    <w:rsid w:val="00290E11"/>
    <w:rsid w:val="002930BF"/>
    <w:rsid w:val="00293B0F"/>
    <w:rsid w:val="00293ECA"/>
    <w:rsid w:val="0029467D"/>
    <w:rsid w:val="00295C22"/>
    <w:rsid w:val="002974FF"/>
    <w:rsid w:val="00297F1B"/>
    <w:rsid w:val="002A00BE"/>
    <w:rsid w:val="002A091C"/>
    <w:rsid w:val="002A09CF"/>
    <w:rsid w:val="002A16D4"/>
    <w:rsid w:val="002A1822"/>
    <w:rsid w:val="002A230C"/>
    <w:rsid w:val="002A2421"/>
    <w:rsid w:val="002A393C"/>
    <w:rsid w:val="002A3994"/>
    <w:rsid w:val="002A5EE7"/>
    <w:rsid w:val="002B0C83"/>
    <w:rsid w:val="002B1658"/>
    <w:rsid w:val="002B2DCF"/>
    <w:rsid w:val="002B47F8"/>
    <w:rsid w:val="002B5D25"/>
    <w:rsid w:val="002C034B"/>
    <w:rsid w:val="002C1249"/>
    <w:rsid w:val="002C1D2A"/>
    <w:rsid w:val="002C36E6"/>
    <w:rsid w:val="002C43BD"/>
    <w:rsid w:val="002C4ACB"/>
    <w:rsid w:val="002C4F90"/>
    <w:rsid w:val="002C6E3A"/>
    <w:rsid w:val="002C774A"/>
    <w:rsid w:val="002C7B4E"/>
    <w:rsid w:val="002D0E59"/>
    <w:rsid w:val="002D10D2"/>
    <w:rsid w:val="002D1C35"/>
    <w:rsid w:val="002D505E"/>
    <w:rsid w:val="002D50E0"/>
    <w:rsid w:val="002D79AD"/>
    <w:rsid w:val="002E02A1"/>
    <w:rsid w:val="002E4E4C"/>
    <w:rsid w:val="002E5641"/>
    <w:rsid w:val="002E60EE"/>
    <w:rsid w:val="002E6125"/>
    <w:rsid w:val="002E6A2F"/>
    <w:rsid w:val="002F08F3"/>
    <w:rsid w:val="002F26F5"/>
    <w:rsid w:val="002F2803"/>
    <w:rsid w:val="002F3423"/>
    <w:rsid w:val="002F37F1"/>
    <w:rsid w:val="00301442"/>
    <w:rsid w:val="0030171D"/>
    <w:rsid w:val="00304343"/>
    <w:rsid w:val="00304771"/>
    <w:rsid w:val="003052D4"/>
    <w:rsid w:val="00306C5B"/>
    <w:rsid w:val="00312241"/>
    <w:rsid w:val="00312FD4"/>
    <w:rsid w:val="00313C82"/>
    <w:rsid w:val="003150F3"/>
    <w:rsid w:val="0031510D"/>
    <w:rsid w:val="00316A2C"/>
    <w:rsid w:val="0032013E"/>
    <w:rsid w:val="003209D6"/>
    <w:rsid w:val="003213EC"/>
    <w:rsid w:val="00321924"/>
    <w:rsid w:val="00321C7E"/>
    <w:rsid w:val="003254E4"/>
    <w:rsid w:val="00325CB0"/>
    <w:rsid w:val="0032656E"/>
    <w:rsid w:val="00326B49"/>
    <w:rsid w:val="00326D8C"/>
    <w:rsid w:val="00327911"/>
    <w:rsid w:val="00327D45"/>
    <w:rsid w:val="003319A7"/>
    <w:rsid w:val="00332190"/>
    <w:rsid w:val="0033235D"/>
    <w:rsid w:val="00334BA2"/>
    <w:rsid w:val="003400E3"/>
    <w:rsid w:val="0034015C"/>
    <w:rsid w:val="0034021F"/>
    <w:rsid w:val="0034109E"/>
    <w:rsid w:val="003415A9"/>
    <w:rsid w:val="00343544"/>
    <w:rsid w:val="00344668"/>
    <w:rsid w:val="00345CEA"/>
    <w:rsid w:val="003462D9"/>
    <w:rsid w:val="003479F4"/>
    <w:rsid w:val="00350712"/>
    <w:rsid w:val="00351207"/>
    <w:rsid w:val="0035145A"/>
    <w:rsid w:val="00351FD4"/>
    <w:rsid w:val="00352D1C"/>
    <w:rsid w:val="0035326A"/>
    <w:rsid w:val="003545E9"/>
    <w:rsid w:val="00354632"/>
    <w:rsid w:val="00356BA0"/>
    <w:rsid w:val="00360C86"/>
    <w:rsid w:val="0036174E"/>
    <w:rsid w:val="00362295"/>
    <w:rsid w:val="00362C8E"/>
    <w:rsid w:val="00363D5E"/>
    <w:rsid w:val="00364E9E"/>
    <w:rsid w:val="003657F3"/>
    <w:rsid w:val="003658E1"/>
    <w:rsid w:val="00366058"/>
    <w:rsid w:val="003677AA"/>
    <w:rsid w:val="00367E8A"/>
    <w:rsid w:val="003712DF"/>
    <w:rsid w:val="003719F6"/>
    <w:rsid w:val="003730B7"/>
    <w:rsid w:val="003739F1"/>
    <w:rsid w:val="00375E9F"/>
    <w:rsid w:val="0037676E"/>
    <w:rsid w:val="003809CC"/>
    <w:rsid w:val="003811FB"/>
    <w:rsid w:val="003818DC"/>
    <w:rsid w:val="00382770"/>
    <w:rsid w:val="003837AC"/>
    <w:rsid w:val="00383DA1"/>
    <w:rsid w:val="00384327"/>
    <w:rsid w:val="00385D98"/>
    <w:rsid w:val="00386284"/>
    <w:rsid w:val="00386FA6"/>
    <w:rsid w:val="0039267A"/>
    <w:rsid w:val="00394E37"/>
    <w:rsid w:val="003957BD"/>
    <w:rsid w:val="003969F2"/>
    <w:rsid w:val="003A1179"/>
    <w:rsid w:val="003A199F"/>
    <w:rsid w:val="003A2B4D"/>
    <w:rsid w:val="003A3182"/>
    <w:rsid w:val="003A3A22"/>
    <w:rsid w:val="003A44A7"/>
    <w:rsid w:val="003A478C"/>
    <w:rsid w:val="003A5525"/>
    <w:rsid w:val="003A6B38"/>
    <w:rsid w:val="003A7A92"/>
    <w:rsid w:val="003B4C02"/>
    <w:rsid w:val="003B5A32"/>
    <w:rsid w:val="003B6020"/>
    <w:rsid w:val="003C1DD0"/>
    <w:rsid w:val="003C24A4"/>
    <w:rsid w:val="003C3390"/>
    <w:rsid w:val="003C3490"/>
    <w:rsid w:val="003C3B69"/>
    <w:rsid w:val="003C592E"/>
    <w:rsid w:val="003C59EE"/>
    <w:rsid w:val="003C6360"/>
    <w:rsid w:val="003C7966"/>
    <w:rsid w:val="003C7F25"/>
    <w:rsid w:val="003D09AA"/>
    <w:rsid w:val="003D3708"/>
    <w:rsid w:val="003D3F98"/>
    <w:rsid w:val="003D6920"/>
    <w:rsid w:val="003D699F"/>
    <w:rsid w:val="003D7B16"/>
    <w:rsid w:val="003E02BA"/>
    <w:rsid w:val="003E0A39"/>
    <w:rsid w:val="003E0E3A"/>
    <w:rsid w:val="003E3B90"/>
    <w:rsid w:val="003E44F7"/>
    <w:rsid w:val="003E4C91"/>
    <w:rsid w:val="003E7B37"/>
    <w:rsid w:val="003F313C"/>
    <w:rsid w:val="003F4B2C"/>
    <w:rsid w:val="003F551C"/>
    <w:rsid w:val="003F7445"/>
    <w:rsid w:val="003F7D23"/>
    <w:rsid w:val="00400443"/>
    <w:rsid w:val="00400ECE"/>
    <w:rsid w:val="00402C39"/>
    <w:rsid w:val="004031AC"/>
    <w:rsid w:val="0040463D"/>
    <w:rsid w:val="0040483F"/>
    <w:rsid w:val="00405EBE"/>
    <w:rsid w:val="00406F16"/>
    <w:rsid w:val="0040775F"/>
    <w:rsid w:val="00407C13"/>
    <w:rsid w:val="0041048E"/>
    <w:rsid w:val="00410638"/>
    <w:rsid w:val="00410F63"/>
    <w:rsid w:val="0041108E"/>
    <w:rsid w:val="0041187E"/>
    <w:rsid w:val="004136B5"/>
    <w:rsid w:val="004168A2"/>
    <w:rsid w:val="00416CCB"/>
    <w:rsid w:val="004209BC"/>
    <w:rsid w:val="00420B40"/>
    <w:rsid w:val="00424FA6"/>
    <w:rsid w:val="0043110C"/>
    <w:rsid w:val="00432A58"/>
    <w:rsid w:val="004333FA"/>
    <w:rsid w:val="00434617"/>
    <w:rsid w:val="0043641D"/>
    <w:rsid w:val="004401A4"/>
    <w:rsid w:val="00440535"/>
    <w:rsid w:val="00440900"/>
    <w:rsid w:val="00442727"/>
    <w:rsid w:val="00442BC0"/>
    <w:rsid w:val="004441A0"/>
    <w:rsid w:val="00445339"/>
    <w:rsid w:val="00445923"/>
    <w:rsid w:val="0044729A"/>
    <w:rsid w:val="004475A6"/>
    <w:rsid w:val="0045030B"/>
    <w:rsid w:val="004531E0"/>
    <w:rsid w:val="0045498A"/>
    <w:rsid w:val="0045617F"/>
    <w:rsid w:val="0045642F"/>
    <w:rsid w:val="00460FB3"/>
    <w:rsid w:val="00462D3F"/>
    <w:rsid w:val="004633E1"/>
    <w:rsid w:val="00465114"/>
    <w:rsid w:val="004662BB"/>
    <w:rsid w:val="00466C24"/>
    <w:rsid w:val="00467DBD"/>
    <w:rsid w:val="004703BD"/>
    <w:rsid w:val="004759D8"/>
    <w:rsid w:val="00476240"/>
    <w:rsid w:val="00476439"/>
    <w:rsid w:val="0047735C"/>
    <w:rsid w:val="004776BC"/>
    <w:rsid w:val="0048139F"/>
    <w:rsid w:val="0048148E"/>
    <w:rsid w:val="0048162D"/>
    <w:rsid w:val="00481E40"/>
    <w:rsid w:val="004830BC"/>
    <w:rsid w:val="00483994"/>
    <w:rsid w:val="00484EA3"/>
    <w:rsid w:val="00484ECE"/>
    <w:rsid w:val="004857DE"/>
    <w:rsid w:val="00485AF7"/>
    <w:rsid w:val="00486AF0"/>
    <w:rsid w:val="004900FF"/>
    <w:rsid w:val="004915CB"/>
    <w:rsid w:val="004924DC"/>
    <w:rsid w:val="00492CA7"/>
    <w:rsid w:val="0049318C"/>
    <w:rsid w:val="00495B68"/>
    <w:rsid w:val="004A021E"/>
    <w:rsid w:val="004A0CA5"/>
    <w:rsid w:val="004A0CE0"/>
    <w:rsid w:val="004A0DF8"/>
    <w:rsid w:val="004A14E4"/>
    <w:rsid w:val="004A2A36"/>
    <w:rsid w:val="004A2A54"/>
    <w:rsid w:val="004A3212"/>
    <w:rsid w:val="004A35FF"/>
    <w:rsid w:val="004A4D1F"/>
    <w:rsid w:val="004A61C5"/>
    <w:rsid w:val="004A6347"/>
    <w:rsid w:val="004A77DF"/>
    <w:rsid w:val="004B05B7"/>
    <w:rsid w:val="004B0A4B"/>
    <w:rsid w:val="004B1417"/>
    <w:rsid w:val="004B15A2"/>
    <w:rsid w:val="004B2DAB"/>
    <w:rsid w:val="004B30DC"/>
    <w:rsid w:val="004B3334"/>
    <w:rsid w:val="004B46FB"/>
    <w:rsid w:val="004B55B7"/>
    <w:rsid w:val="004B591E"/>
    <w:rsid w:val="004B5D6E"/>
    <w:rsid w:val="004B5E29"/>
    <w:rsid w:val="004B6468"/>
    <w:rsid w:val="004C1E70"/>
    <w:rsid w:val="004C384C"/>
    <w:rsid w:val="004C3867"/>
    <w:rsid w:val="004C3968"/>
    <w:rsid w:val="004C3D5A"/>
    <w:rsid w:val="004C4CD0"/>
    <w:rsid w:val="004C514B"/>
    <w:rsid w:val="004C5254"/>
    <w:rsid w:val="004C70DC"/>
    <w:rsid w:val="004C714D"/>
    <w:rsid w:val="004C78A6"/>
    <w:rsid w:val="004C7F81"/>
    <w:rsid w:val="004D0211"/>
    <w:rsid w:val="004D032D"/>
    <w:rsid w:val="004D0794"/>
    <w:rsid w:val="004D08F9"/>
    <w:rsid w:val="004D0DF1"/>
    <w:rsid w:val="004D2293"/>
    <w:rsid w:val="004D4523"/>
    <w:rsid w:val="004D6C61"/>
    <w:rsid w:val="004D71F8"/>
    <w:rsid w:val="004D7AC6"/>
    <w:rsid w:val="004E2C63"/>
    <w:rsid w:val="004E2DE3"/>
    <w:rsid w:val="004E2FD2"/>
    <w:rsid w:val="004E46CF"/>
    <w:rsid w:val="004E4A71"/>
    <w:rsid w:val="004E5BDF"/>
    <w:rsid w:val="004E68A9"/>
    <w:rsid w:val="004E6B8D"/>
    <w:rsid w:val="004E73B2"/>
    <w:rsid w:val="004F06F5"/>
    <w:rsid w:val="004F1746"/>
    <w:rsid w:val="004F33A0"/>
    <w:rsid w:val="004F4D3E"/>
    <w:rsid w:val="004F526C"/>
    <w:rsid w:val="004F6BEF"/>
    <w:rsid w:val="00500A8A"/>
    <w:rsid w:val="00500E0E"/>
    <w:rsid w:val="005015F6"/>
    <w:rsid w:val="00501671"/>
    <w:rsid w:val="00505225"/>
    <w:rsid w:val="005058E5"/>
    <w:rsid w:val="00505A03"/>
    <w:rsid w:val="00506052"/>
    <w:rsid w:val="00507DEE"/>
    <w:rsid w:val="005108C0"/>
    <w:rsid w:val="00510BE4"/>
    <w:rsid w:val="00511873"/>
    <w:rsid w:val="00511C34"/>
    <w:rsid w:val="005125B8"/>
    <w:rsid w:val="00512A2F"/>
    <w:rsid w:val="00512C38"/>
    <w:rsid w:val="00513B7E"/>
    <w:rsid w:val="00515C74"/>
    <w:rsid w:val="00515CC3"/>
    <w:rsid w:val="005167DE"/>
    <w:rsid w:val="0052007E"/>
    <w:rsid w:val="005217C4"/>
    <w:rsid w:val="0052180A"/>
    <w:rsid w:val="005219C5"/>
    <w:rsid w:val="0052337A"/>
    <w:rsid w:val="00524E7C"/>
    <w:rsid w:val="00525137"/>
    <w:rsid w:val="005251DD"/>
    <w:rsid w:val="005306D0"/>
    <w:rsid w:val="00530875"/>
    <w:rsid w:val="00530A00"/>
    <w:rsid w:val="005311E6"/>
    <w:rsid w:val="00532280"/>
    <w:rsid w:val="00532371"/>
    <w:rsid w:val="0053261A"/>
    <w:rsid w:val="00532CE7"/>
    <w:rsid w:val="0053324C"/>
    <w:rsid w:val="00534A28"/>
    <w:rsid w:val="00537378"/>
    <w:rsid w:val="00537904"/>
    <w:rsid w:val="00537A98"/>
    <w:rsid w:val="00537AF9"/>
    <w:rsid w:val="00540478"/>
    <w:rsid w:val="00541508"/>
    <w:rsid w:val="0054598A"/>
    <w:rsid w:val="00545C4C"/>
    <w:rsid w:val="005502B1"/>
    <w:rsid w:val="00551ECE"/>
    <w:rsid w:val="00553864"/>
    <w:rsid w:val="00554CEE"/>
    <w:rsid w:val="0055599F"/>
    <w:rsid w:val="00556D68"/>
    <w:rsid w:val="0056308C"/>
    <w:rsid w:val="00563783"/>
    <w:rsid w:val="005647BF"/>
    <w:rsid w:val="00566A8E"/>
    <w:rsid w:val="00566B9A"/>
    <w:rsid w:val="0056726D"/>
    <w:rsid w:val="005712C3"/>
    <w:rsid w:val="005726CA"/>
    <w:rsid w:val="005728E1"/>
    <w:rsid w:val="0057364B"/>
    <w:rsid w:val="00574773"/>
    <w:rsid w:val="00577EFA"/>
    <w:rsid w:val="00581958"/>
    <w:rsid w:val="005827EA"/>
    <w:rsid w:val="00583FFD"/>
    <w:rsid w:val="00584628"/>
    <w:rsid w:val="00584E79"/>
    <w:rsid w:val="00585C80"/>
    <w:rsid w:val="00585F09"/>
    <w:rsid w:val="00587DCF"/>
    <w:rsid w:val="005905F7"/>
    <w:rsid w:val="00590985"/>
    <w:rsid w:val="00590F4F"/>
    <w:rsid w:val="005911BE"/>
    <w:rsid w:val="005926DB"/>
    <w:rsid w:val="00593152"/>
    <w:rsid w:val="005932CF"/>
    <w:rsid w:val="00593E54"/>
    <w:rsid w:val="00594124"/>
    <w:rsid w:val="00594A48"/>
    <w:rsid w:val="005A0C68"/>
    <w:rsid w:val="005A10F2"/>
    <w:rsid w:val="005A2091"/>
    <w:rsid w:val="005A21E0"/>
    <w:rsid w:val="005A269D"/>
    <w:rsid w:val="005A28FF"/>
    <w:rsid w:val="005A3C74"/>
    <w:rsid w:val="005A3DF8"/>
    <w:rsid w:val="005A5549"/>
    <w:rsid w:val="005B040B"/>
    <w:rsid w:val="005B121D"/>
    <w:rsid w:val="005B2831"/>
    <w:rsid w:val="005B2D78"/>
    <w:rsid w:val="005B5D92"/>
    <w:rsid w:val="005B7B34"/>
    <w:rsid w:val="005C05F5"/>
    <w:rsid w:val="005C06B9"/>
    <w:rsid w:val="005C06ED"/>
    <w:rsid w:val="005C3100"/>
    <w:rsid w:val="005C36B0"/>
    <w:rsid w:val="005C4919"/>
    <w:rsid w:val="005C75D7"/>
    <w:rsid w:val="005D060F"/>
    <w:rsid w:val="005D069F"/>
    <w:rsid w:val="005D128B"/>
    <w:rsid w:val="005D176B"/>
    <w:rsid w:val="005D26A0"/>
    <w:rsid w:val="005D4AC1"/>
    <w:rsid w:val="005D5802"/>
    <w:rsid w:val="005D606B"/>
    <w:rsid w:val="005D7890"/>
    <w:rsid w:val="005E0344"/>
    <w:rsid w:val="005E08A9"/>
    <w:rsid w:val="005E3857"/>
    <w:rsid w:val="005E3DC5"/>
    <w:rsid w:val="005E4DA5"/>
    <w:rsid w:val="005E5335"/>
    <w:rsid w:val="005E6219"/>
    <w:rsid w:val="005E69C5"/>
    <w:rsid w:val="005E6C62"/>
    <w:rsid w:val="005E7A5A"/>
    <w:rsid w:val="005E7C78"/>
    <w:rsid w:val="005F062B"/>
    <w:rsid w:val="005F06B5"/>
    <w:rsid w:val="005F3EB1"/>
    <w:rsid w:val="005F3EF0"/>
    <w:rsid w:val="005F4D6C"/>
    <w:rsid w:val="005F5469"/>
    <w:rsid w:val="005F6395"/>
    <w:rsid w:val="00601252"/>
    <w:rsid w:val="00604307"/>
    <w:rsid w:val="0060487F"/>
    <w:rsid w:val="00604A2A"/>
    <w:rsid w:val="00604EAD"/>
    <w:rsid w:val="006053AA"/>
    <w:rsid w:val="00606566"/>
    <w:rsid w:val="0060771A"/>
    <w:rsid w:val="00610236"/>
    <w:rsid w:val="006104FB"/>
    <w:rsid w:val="00610799"/>
    <w:rsid w:val="00610BDC"/>
    <w:rsid w:val="0061160A"/>
    <w:rsid w:val="00611FF8"/>
    <w:rsid w:val="00612A2F"/>
    <w:rsid w:val="00614990"/>
    <w:rsid w:val="006167B8"/>
    <w:rsid w:val="00616E05"/>
    <w:rsid w:val="00617038"/>
    <w:rsid w:val="00617D08"/>
    <w:rsid w:val="006201D8"/>
    <w:rsid w:val="006220BE"/>
    <w:rsid w:val="006234A1"/>
    <w:rsid w:val="00624093"/>
    <w:rsid w:val="00624621"/>
    <w:rsid w:val="006260B9"/>
    <w:rsid w:val="0062641F"/>
    <w:rsid w:val="006268DB"/>
    <w:rsid w:val="0063164C"/>
    <w:rsid w:val="00632216"/>
    <w:rsid w:val="00632E9D"/>
    <w:rsid w:val="00632ED0"/>
    <w:rsid w:val="00633439"/>
    <w:rsid w:val="00633C4B"/>
    <w:rsid w:val="00633FC5"/>
    <w:rsid w:val="00634060"/>
    <w:rsid w:val="0063504A"/>
    <w:rsid w:val="00635B85"/>
    <w:rsid w:val="006364D7"/>
    <w:rsid w:val="0063677B"/>
    <w:rsid w:val="006370E8"/>
    <w:rsid w:val="006404A7"/>
    <w:rsid w:val="006407C4"/>
    <w:rsid w:val="00642376"/>
    <w:rsid w:val="0064336E"/>
    <w:rsid w:val="006433C0"/>
    <w:rsid w:val="00643DF7"/>
    <w:rsid w:val="0064494D"/>
    <w:rsid w:val="006451E4"/>
    <w:rsid w:val="0064527C"/>
    <w:rsid w:val="006454B0"/>
    <w:rsid w:val="00645B33"/>
    <w:rsid w:val="00646F09"/>
    <w:rsid w:val="006516CB"/>
    <w:rsid w:val="00651DA4"/>
    <w:rsid w:val="00652B1A"/>
    <w:rsid w:val="0065312D"/>
    <w:rsid w:val="00654CDD"/>
    <w:rsid w:val="00654FD7"/>
    <w:rsid w:val="006553A9"/>
    <w:rsid w:val="00655AD6"/>
    <w:rsid w:val="006570DB"/>
    <w:rsid w:val="00657E87"/>
    <w:rsid w:val="00661F18"/>
    <w:rsid w:val="00664803"/>
    <w:rsid w:val="00664A70"/>
    <w:rsid w:val="006658C3"/>
    <w:rsid w:val="00665BA4"/>
    <w:rsid w:val="00666303"/>
    <w:rsid w:val="006666EE"/>
    <w:rsid w:val="00666A0D"/>
    <w:rsid w:val="006673EA"/>
    <w:rsid w:val="00667AF2"/>
    <w:rsid w:val="00670F9F"/>
    <w:rsid w:val="006710C9"/>
    <w:rsid w:val="00672B6F"/>
    <w:rsid w:val="00674B82"/>
    <w:rsid w:val="00674D89"/>
    <w:rsid w:val="00675E37"/>
    <w:rsid w:val="00677BF0"/>
    <w:rsid w:val="00677C8F"/>
    <w:rsid w:val="006807E2"/>
    <w:rsid w:val="0068174E"/>
    <w:rsid w:val="00681DCE"/>
    <w:rsid w:val="0068260E"/>
    <w:rsid w:val="00682F63"/>
    <w:rsid w:val="00684182"/>
    <w:rsid w:val="006860B7"/>
    <w:rsid w:val="006923C8"/>
    <w:rsid w:val="00692BD9"/>
    <w:rsid w:val="0069379F"/>
    <w:rsid w:val="00695BEF"/>
    <w:rsid w:val="00695F6F"/>
    <w:rsid w:val="0069614B"/>
    <w:rsid w:val="006977F6"/>
    <w:rsid w:val="00697A13"/>
    <w:rsid w:val="00697B57"/>
    <w:rsid w:val="006A09EC"/>
    <w:rsid w:val="006A109C"/>
    <w:rsid w:val="006A2FAF"/>
    <w:rsid w:val="006A34A6"/>
    <w:rsid w:val="006A3A94"/>
    <w:rsid w:val="006A3B27"/>
    <w:rsid w:val="006A3C5F"/>
    <w:rsid w:val="006A5C9F"/>
    <w:rsid w:val="006A6CAF"/>
    <w:rsid w:val="006A6E68"/>
    <w:rsid w:val="006A7CA1"/>
    <w:rsid w:val="006B04CE"/>
    <w:rsid w:val="006B07E5"/>
    <w:rsid w:val="006B344A"/>
    <w:rsid w:val="006B3E2B"/>
    <w:rsid w:val="006B3F74"/>
    <w:rsid w:val="006B4638"/>
    <w:rsid w:val="006B5824"/>
    <w:rsid w:val="006B587B"/>
    <w:rsid w:val="006B5E3E"/>
    <w:rsid w:val="006B62C7"/>
    <w:rsid w:val="006B662B"/>
    <w:rsid w:val="006B6814"/>
    <w:rsid w:val="006B7191"/>
    <w:rsid w:val="006B7663"/>
    <w:rsid w:val="006B76D8"/>
    <w:rsid w:val="006B7835"/>
    <w:rsid w:val="006B78D8"/>
    <w:rsid w:val="006C0FD2"/>
    <w:rsid w:val="006C113F"/>
    <w:rsid w:val="006C123E"/>
    <w:rsid w:val="006C4CE3"/>
    <w:rsid w:val="006C4EB1"/>
    <w:rsid w:val="006C56D4"/>
    <w:rsid w:val="006C6924"/>
    <w:rsid w:val="006C7CA6"/>
    <w:rsid w:val="006D13B3"/>
    <w:rsid w:val="006D239F"/>
    <w:rsid w:val="006D3CAD"/>
    <w:rsid w:val="006D3E8A"/>
    <w:rsid w:val="006D61F6"/>
    <w:rsid w:val="006D62A4"/>
    <w:rsid w:val="006D6949"/>
    <w:rsid w:val="006D7729"/>
    <w:rsid w:val="006D7BE4"/>
    <w:rsid w:val="006E0015"/>
    <w:rsid w:val="006E08A2"/>
    <w:rsid w:val="006E279A"/>
    <w:rsid w:val="006E30E8"/>
    <w:rsid w:val="006E313B"/>
    <w:rsid w:val="006E373D"/>
    <w:rsid w:val="006E3A47"/>
    <w:rsid w:val="006E3DD1"/>
    <w:rsid w:val="006E54D9"/>
    <w:rsid w:val="006E5FB9"/>
    <w:rsid w:val="006E6E30"/>
    <w:rsid w:val="006F1785"/>
    <w:rsid w:val="006F301A"/>
    <w:rsid w:val="006F3AA7"/>
    <w:rsid w:val="006F4367"/>
    <w:rsid w:val="006F5297"/>
    <w:rsid w:val="006F5416"/>
    <w:rsid w:val="006F552E"/>
    <w:rsid w:val="006F699B"/>
    <w:rsid w:val="006F7137"/>
    <w:rsid w:val="006F77D2"/>
    <w:rsid w:val="006F7905"/>
    <w:rsid w:val="0070026E"/>
    <w:rsid w:val="00700957"/>
    <w:rsid w:val="00701C4D"/>
    <w:rsid w:val="00701C87"/>
    <w:rsid w:val="007022B1"/>
    <w:rsid w:val="00702898"/>
    <w:rsid w:val="00706AD4"/>
    <w:rsid w:val="0071105F"/>
    <w:rsid w:val="0071158F"/>
    <w:rsid w:val="00713981"/>
    <w:rsid w:val="00713F05"/>
    <w:rsid w:val="007140BE"/>
    <w:rsid w:val="007154FE"/>
    <w:rsid w:val="00715E9E"/>
    <w:rsid w:val="00717956"/>
    <w:rsid w:val="00720D36"/>
    <w:rsid w:val="007211F5"/>
    <w:rsid w:val="0072146A"/>
    <w:rsid w:val="007222D7"/>
    <w:rsid w:val="00722415"/>
    <w:rsid w:val="00722C5D"/>
    <w:rsid w:val="00725AC6"/>
    <w:rsid w:val="00725BB5"/>
    <w:rsid w:val="0073087E"/>
    <w:rsid w:val="00730AE8"/>
    <w:rsid w:val="00731340"/>
    <w:rsid w:val="00731A06"/>
    <w:rsid w:val="00731B32"/>
    <w:rsid w:val="00732921"/>
    <w:rsid w:val="0073395D"/>
    <w:rsid w:val="0073433F"/>
    <w:rsid w:val="00735379"/>
    <w:rsid w:val="00735AB8"/>
    <w:rsid w:val="0073791B"/>
    <w:rsid w:val="0074004B"/>
    <w:rsid w:val="007405F4"/>
    <w:rsid w:val="00740C84"/>
    <w:rsid w:val="00741493"/>
    <w:rsid w:val="00741A72"/>
    <w:rsid w:val="00742447"/>
    <w:rsid w:val="00742BD7"/>
    <w:rsid w:val="007501EE"/>
    <w:rsid w:val="00751E0A"/>
    <w:rsid w:val="00752180"/>
    <w:rsid w:val="0075221A"/>
    <w:rsid w:val="00753751"/>
    <w:rsid w:val="00755202"/>
    <w:rsid w:val="00755D3A"/>
    <w:rsid w:val="00756AE1"/>
    <w:rsid w:val="007578D3"/>
    <w:rsid w:val="0076070B"/>
    <w:rsid w:val="007609C6"/>
    <w:rsid w:val="0076126C"/>
    <w:rsid w:val="0076175D"/>
    <w:rsid w:val="00762603"/>
    <w:rsid w:val="0076310A"/>
    <w:rsid w:val="007633CC"/>
    <w:rsid w:val="0076521E"/>
    <w:rsid w:val="0076529D"/>
    <w:rsid w:val="00765793"/>
    <w:rsid w:val="007659ED"/>
    <w:rsid w:val="00765B47"/>
    <w:rsid w:val="00765BA7"/>
    <w:rsid w:val="00765F04"/>
    <w:rsid w:val="007661E9"/>
    <w:rsid w:val="00767B3C"/>
    <w:rsid w:val="00770DD4"/>
    <w:rsid w:val="00771D95"/>
    <w:rsid w:val="00773379"/>
    <w:rsid w:val="00776169"/>
    <w:rsid w:val="00776527"/>
    <w:rsid w:val="00776F31"/>
    <w:rsid w:val="00780EF1"/>
    <w:rsid w:val="00781745"/>
    <w:rsid w:val="00782784"/>
    <w:rsid w:val="007831E0"/>
    <w:rsid w:val="007841B6"/>
    <w:rsid w:val="00784B84"/>
    <w:rsid w:val="007903A3"/>
    <w:rsid w:val="00790764"/>
    <w:rsid w:val="00790972"/>
    <w:rsid w:val="00792EB2"/>
    <w:rsid w:val="00793419"/>
    <w:rsid w:val="007938D3"/>
    <w:rsid w:val="0079453C"/>
    <w:rsid w:val="00794677"/>
    <w:rsid w:val="007956AD"/>
    <w:rsid w:val="007956EF"/>
    <w:rsid w:val="007A16C8"/>
    <w:rsid w:val="007A1B32"/>
    <w:rsid w:val="007A3022"/>
    <w:rsid w:val="007A30FB"/>
    <w:rsid w:val="007A34B4"/>
    <w:rsid w:val="007A4E6F"/>
    <w:rsid w:val="007A54FF"/>
    <w:rsid w:val="007B01D8"/>
    <w:rsid w:val="007B2668"/>
    <w:rsid w:val="007B5B0F"/>
    <w:rsid w:val="007B604A"/>
    <w:rsid w:val="007B6689"/>
    <w:rsid w:val="007B733B"/>
    <w:rsid w:val="007B74A0"/>
    <w:rsid w:val="007C0AA1"/>
    <w:rsid w:val="007C22C3"/>
    <w:rsid w:val="007C6B44"/>
    <w:rsid w:val="007C72C1"/>
    <w:rsid w:val="007D125D"/>
    <w:rsid w:val="007D1B7E"/>
    <w:rsid w:val="007D21F0"/>
    <w:rsid w:val="007D3B04"/>
    <w:rsid w:val="007D40DF"/>
    <w:rsid w:val="007D612B"/>
    <w:rsid w:val="007E23ED"/>
    <w:rsid w:val="007E2727"/>
    <w:rsid w:val="007E58B7"/>
    <w:rsid w:val="007E7243"/>
    <w:rsid w:val="007E7E61"/>
    <w:rsid w:val="007F0845"/>
    <w:rsid w:val="007F194B"/>
    <w:rsid w:val="007F4C97"/>
    <w:rsid w:val="007F6A83"/>
    <w:rsid w:val="00800DB2"/>
    <w:rsid w:val="008010C3"/>
    <w:rsid w:val="00802B6D"/>
    <w:rsid w:val="00804B19"/>
    <w:rsid w:val="008059F2"/>
    <w:rsid w:val="00807654"/>
    <w:rsid w:val="00807C82"/>
    <w:rsid w:val="0081263C"/>
    <w:rsid w:val="00812684"/>
    <w:rsid w:val="00813938"/>
    <w:rsid w:val="00815403"/>
    <w:rsid w:val="00815477"/>
    <w:rsid w:val="00815FEC"/>
    <w:rsid w:val="00816905"/>
    <w:rsid w:val="00817A1B"/>
    <w:rsid w:val="00821884"/>
    <w:rsid w:val="00821FF6"/>
    <w:rsid w:val="00824DB9"/>
    <w:rsid w:val="00825C4D"/>
    <w:rsid w:val="00827100"/>
    <w:rsid w:val="00830044"/>
    <w:rsid w:val="0083143E"/>
    <w:rsid w:val="00831CDE"/>
    <w:rsid w:val="00834304"/>
    <w:rsid w:val="00834CD6"/>
    <w:rsid w:val="00834F4F"/>
    <w:rsid w:val="00834FAA"/>
    <w:rsid w:val="00836086"/>
    <w:rsid w:val="008360C2"/>
    <w:rsid w:val="008366E2"/>
    <w:rsid w:val="00836895"/>
    <w:rsid w:val="00836E97"/>
    <w:rsid w:val="00837D7F"/>
    <w:rsid w:val="0084142F"/>
    <w:rsid w:val="00841E1A"/>
    <w:rsid w:val="00843064"/>
    <w:rsid w:val="0084708F"/>
    <w:rsid w:val="008477C8"/>
    <w:rsid w:val="00847E93"/>
    <w:rsid w:val="0085114D"/>
    <w:rsid w:val="00852217"/>
    <w:rsid w:val="00854339"/>
    <w:rsid w:val="00855408"/>
    <w:rsid w:val="00856D65"/>
    <w:rsid w:val="00860C80"/>
    <w:rsid w:val="00861B41"/>
    <w:rsid w:val="00862220"/>
    <w:rsid w:val="0086313E"/>
    <w:rsid w:val="0086319A"/>
    <w:rsid w:val="00863434"/>
    <w:rsid w:val="00864C0B"/>
    <w:rsid w:val="00864F46"/>
    <w:rsid w:val="00865E4C"/>
    <w:rsid w:val="008701E4"/>
    <w:rsid w:val="00871103"/>
    <w:rsid w:val="0087240B"/>
    <w:rsid w:val="00873935"/>
    <w:rsid w:val="00873994"/>
    <w:rsid w:val="00875A32"/>
    <w:rsid w:val="00875FFA"/>
    <w:rsid w:val="00876086"/>
    <w:rsid w:val="00877979"/>
    <w:rsid w:val="008807E3"/>
    <w:rsid w:val="00880A35"/>
    <w:rsid w:val="00882B1B"/>
    <w:rsid w:val="00882BF5"/>
    <w:rsid w:val="00884775"/>
    <w:rsid w:val="008852CE"/>
    <w:rsid w:val="00885CEB"/>
    <w:rsid w:val="00886579"/>
    <w:rsid w:val="008873D4"/>
    <w:rsid w:val="0088772F"/>
    <w:rsid w:val="00887B74"/>
    <w:rsid w:val="00890D10"/>
    <w:rsid w:val="00892666"/>
    <w:rsid w:val="00893536"/>
    <w:rsid w:val="0089366C"/>
    <w:rsid w:val="00893B21"/>
    <w:rsid w:val="00893E85"/>
    <w:rsid w:val="00894031"/>
    <w:rsid w:val="00894870"/>
    <w:rsid w:val="008963FC"/>
    <w:rsid w:val="00897C20"/>
    <w:rsid w:val="008A13EC"/>
    <w:rsid w:val="008A25CE"/>
    <w:rsid w:val="008A2A8C"/>
    <w:rsid w:val="008A5644"/>
    <w:rsid w:val="008A6526"/>
    <w:rsid w:val="008A6EE5"/>
    <w:rsid w:val="008B0A24"/>
    <w:rsid w:val="008B21CB"/>
    <w:rsid w:val="008B2202"/>
    <w:rsid w:val="008B365B"/>
    <w:rsid w:val="008B4863"/>
    <w:rsid w:val="008B7C02"/>
    <w:rsid w:val="008B7D2B"/>
    <w:rsid w:val="008C0049"/>
    <w:rsid w:val="008C0A7B"/>
    <w:rsid w:val="008C0E88"/>
    <w:rsid w:val="008C52BF"/>
    <w:rsid w:val="008C549D"/>
    <w:rsid w:val="008C6728"/>
    <w:rsid w:val="008C7D37"/>
    <w:rsid w:val="008D18E2"/>
    <w:rsid w:val="008D1E6A"/>
    <w:rsid w:val="008D2A16"/>
    <w:rsid w:val="008D31F0"/>
    <w:rsid w:val="008D3516"/>
    <w:rsid w:val="008D6FD8"/>
    <w:rsid w:val="008E023A"/>
    <w:rsid w:val="008E05FD"/>
    <w:rsid w:val="008E12DF"/>
    <w:rsid w:val="008E2C57"/>
    <w:rsid w:val="008E31FF"/>
    <w:rsid w:val="008E3235"/>
    <w:rsid w:val="008E3CB1"/>
    <w:rsid w:val="008E5CFB"/>
    <w:rsid w:val="008E6F06"/>
    <w:rsid w:val="008E705E"/>
    <w:rsid w:val="008E754A"/>
    <w:rsid w:val="008E7D85"/>
    <w:rsid w:val="008F004C"/>
    <w:rsid w:val="008F029B"/>
    <w:rsid w:val="008F3FC9"/>
    <w:rsid w:val="008F42B7"/>
    <w:rsid w:val="008F47E2"/>
    <w:rsid w:val="008F585B"/>
    <w:rsid w:val="008F6367"/>
    <w:rsid w:val="008F780E"/>
    <w:rsid w:val="008F7E24"/>
    <w:rsid w:val="009003A8"/>
    <w:rsid w:val="00900550"/>
    <w:rsid w:val="00901D86"/>
    <w:rsid w:val="00902500"/>
    <w:rsid w:val="00902EFF"/>
    <w:rsid w:val="00904983"/>
    <w:rsid w:val="00904E72"/>
    <w:rsid w:val="00906401"/>
    <w:rsid w:val="009074E8"/>
    <w:rsid w:val="009075C8"/>
    <w:rsid w:val="0091155E"/>
    <w:rsid w:val="00912A92"/>
    <w:rsid w:val="00912AD6"/>
    <w:rsid w:val="0091466D"/>
    <w:rsid w:val="00916EE4"/>
    <w:rsid w:val="0091728D"/>
    <w:rsid w:val="009174F7"/>
    <w:rsid w:val="0092180B"/>
    <w:rsid w:val="00921F14"/>
    <w:rsid w:val="00923EA3"/>
    <w:rsid w:val="00924AC8"/>
    <w:rsid w:val="0092597A"/>
    <w:rsid w:val="009259F5"/>
    <w:rsid w:val="00925C1C"/>
    <w:rsid w:val="0092600D"/>
    <w:rsid w:val="00930BC3"/>
    <w:rsid w:val="00931C19"/>
    <w:rsid w:val="00932443"/>
    <w:rsid w:val="0093382F"/>
    <w:rsid w:val="00934D79"/>
    <w:rsid w:val="00935421"/>
    <w:rsid w:val="00937AE2"/>
    <w:rsid w:val="0094189C"/>
    <w:rsid w:val="00941CE5"/>
    <w:rsid w:val="0094280E"/>
    <w:rsid w:val="0094410E"/>
    <w:rsid w:val="0094427A"/>
    <w:rsid w:val="00944573"/>
    <w:rsid w:val="0094522B"/>
    <w:rsid w:val="00945D0F"/>
    <w:rsid w:val="00951581"/>
    <w:rsid w:val="00952599"/>
    <w:rsid w:val="00953C4E"/>
    <w:rsid w:val="00954BA2"/>
    <w:rsid w:val="009556DE"/>
    <w:rsid w:val="00960808"/>
    <w:rsid w:val="00963892"/>
    <w:rsid w:val="009645CE"/>
    <w:rsid w:val="0096493A"/>
    <w:rsid w:val="009711BA"/>
    <w:rsid w:val="009733DC"/>
    <w:rsid w:val="00974923"/>
    <w:rsid w:val="00975656"/>
    <w:rsid w:val="00977C97"/>
    <w:rsid w:val="00977F66"/>
    <w:rsid w:val="00980D3D"/>
    <w:rsid w:val="0098262F"/>
    <w:rsid w:val="00986F1E"/>
    <w:rsid w:val="0098750E"/>
    <w:rsid w:val="00987A30"/>
    <w:rsid w:val="009917A8"/>
    <w:rsid w:val="00992CC8"/>
    <w:rsid w:val="00992CF3"/>
    <w:rsid w:val="00994FCD"/>
    <w:rsid w:val="009964D1"/>
    <w:rsid w:val="00996564"/>
    <w:rsid w:val="009968D6"/>
    <w:rsid w:val="00997355"/>
    <w:rsid w:val="009974DB"/>
    <w:rsid w:val="009A1CAB"/>
    <w:rsid w:val="009A3659"/>
    <w:rsid w:val="009A53E6"/>
    <w:rsid w:val="009A599D"/>
    <w:rsid w:val="009A5B97"/>
    <w:rsid w:val="009A60D1"/>
    <w:rsid w:val="009A621A"/>
    <w:rsid w:val="009B07FE"/>
    <w:rsid w:val="009B0CED"/>
    <w:rsid w:val="009B1533"/>
    <w:rsid w:val="009B4BBB"/>
    <w:rsid w:val="009B6FD3"/>
    <w:rsid w:val="009C0110"/>
    <w:rsid w:val="009C05F0"/>
    <w:rsid w:val="009C0823"/>
    <w:rsid w:val="009C12E0"/>
    <w:rsid w:val="009C146C"/>
    <w:rsid w:val="009C1750"/>
    <w:rsid w:val="009C2E29"/>
    <w:rsid w:val="009C2FCC"/>
    <w:rsid w:val="009C44E8"/>
    <w:rsid w:val="009C4D89"/>
    <w:rsid w:val="009C516F"/>
    <w:rsid w:val="009C554B"/>
    <w:rsid w:val="009C622B"/>
    <w:rsid w:val="009C719E"/>
    <w:rsid w:val="009D27B3"/>
    <w:rsid w:val="009D3ACD"/>
    <w:rsid w:val="009D4DBD"/>
    <w:rsid w:val="009D72E8"/>
    <w:rsid w:val="009E13D0"/>
    <w:rsid w:val="009E31A6"/>
    <w:rsid w:val="009E48A6"/>
    <w:rsid w:val="009E5273"/>
    <w:rsid w:val="009E55DB"/>
    <w:rsid w:val="009E5DDB"/>
    <w:rsid w:val="009E7A45"/>
    <w:rsid w:val="009F2832"/>
    <w:rsid w:val="009F30F9"/>
    <w:rsid w:val="009F37AD"/>
    <w:rsid w:val="009F49E6"/>
    <w:rsid w:val="009F4CA7"/>
    <w:rsid w:val="009F588A"/>
    <w:rsid w:val="009F5C7F"/>
    <w:rsid w:val="009F5E33"/>
    <w:rsid w:val="009F7847"/>
    <w:rsid w:val="009F7BB7"/>
    <w:rsid w:val="00A004E5"/>
    <w:rsid w:val="00A00AC9"/>
    <w:rsid w:val="00A00CF7"/>
    <w:rsid w:val="00A018F8"/>
    <w:rsid w:val="00A02710"/>
    <w:rsid w:val="00A0280F"/>
    <w:rsid w:val="00A06181"/>
    <w:rsid w:val="00A10D66"/>
    <w:rsid w:val="00A112A7"/>
    <w:rsid w:val="00A12E2A"/>
    <w:rsid w:val="00A14114"/>
    <w:rsid w:val="00A14E31"/>
    <w:rsid w:val="00A1585F"/>
    <w:rsid w:val="00A16413"/>
    <w:rsid w:val="00A16C53"/>
    <w:rsid w:val="00A16CE7"/>
    <w:rsid w:val="00A2193F"/>
    <w:rsid w:val="00A23E43"/>
    <w:rsid w:val="00A27910"/>
    <w:rsid w:val="00A30E5C"/>
    <w:rsid w:val="00A30F65"/>
    <w:rsid w:val="00A3383C"/>
    <w:rsid w:val="00A33F18"/>
    <w:rsid w:val="00A3441E"/>
    <w:rsid w:val="00A35EF2"/>
    <w:rsid w:val="00A3710B"/>
    <w:rsid w:val="00A37FEA"/>
    <w:rsid w:val="00A40B86"/>
    <w:rsid w:val="00A414C4"/>
    <w:rsid w:val="00A41848"/>
    <w:rsid w:val="00A418BC"/>
    <w:rsid w:val="00A4294E"/>
    <w:rsid w:val="00A42DB6"/>
    <w:rsid w:val="00A435EE"/>
    <w:rsid w:val="00A4423A"/>
    <w:rsid w:val="00A44369"/>
    <w:rsid w:val="00A4652F"/>
    <w:rsid w:val="00A46DE0"/>
    <w:rsid w:val="00A50C94"/>
    <w:rsid w:val="00A50D73"/>
    <w:rsid w:val="00A51DDF"/>
    <w:rsid w:val="00A52712"/>
    <w:rsid w:val="00A52CAD"/>
    <w:rsid w:val="00A52D43"/>
    <w:rsid w:val="00A53FC7"/>
    <w:rsid w:val="00A54058"/>
    <w:rsid w:val="00A548CB"/>
    <w:rsid w:val="00A550B2"/>
    <w:rsid w:val="00A55EC9"/>
    <w:rsid w:val="00A561D9"/>
    <w:rsid w:val="00A60720"/>
    <w:rsid w:val="00A61485"/>
    <w:rsid w:val="00A6284F"/>
    <w:rsid w:val="00A62CE1"/>
    <w:rsid w:val="00A67066"/>
    <w:rsid w:val="00A6741E"/>
    <w:rsid w:val="00A67DC7"/>
    <w:rsid w:val="00A70738"/>
    <w:rsid w:val="00A70C57"/>
    <w:rsid w:val="00A71BEA"/>
    <w:rsid w:val="00A71D1D"/>
    <w:rsid w:val="00A73293"/>
    <w:rsid w:val="00A75E40"/>
    <w:rsid w:val="00A76BED"/>
    <w:rsid w:val="00A77D1D"/>
    <w:rsid w:val="00A8020D"/>
    <w:rsid w:val="00A805BF"/>
    <w:rsid w:val="00A823F2"/>
    <w:rsid w:val="00A839FC"/>
    <w:rsid w:val="00A83A03"/>
    <w:rsid w:val="00A857C0"/>
    <w:rsid w:val="00A861EB"/>
    <w:rsid w:val="00A862C3"/>
    <w:rsid w:val="00A902A5"/>
    <w:rsid w:val="00A90356"/>
    <w:rsid w:val="00A93898"/>
    <w:rsid w:val="00A93D98"/>
    <w:rsid w:val="00A948B0"/>
    <w:rsid w:val="00A950DD"/>
    <w:rsid w:val="00A9687B"/>
    <w:rsid w:val="00A971C9"/>
    <w:rsid w:val="00AA1911"/>
    <w:rsid w:val="00AA2996"/>
    <w:rsid w:val="00AA2AA4"/>
    <w:rsid w:val="00AA3E75"/>
    <w:rsid w:val="00AA4630"/>
    <w:rsid w:val="00AA52BF"/>
    <w:rsid w:val="00AA559A"/>
    <w:rsid w:val="00AA5DB4"/>
    <w:rsid w:val="00AA6579"/>
    <w:rsid w:val="00AA693E"/>
    <w:rsid w:val="00AB0923"/>
    <w:rsid w:val="00AB0A00"/>
    <w:rsid w:val="00AB143F"/>
    <w:rsid w:val="00AB1F3F"/>
    <w:rsid w:val="00AB2AF1"/>
    <w:rsid w:val="00AB4358"/>
    <w:rsid w:val="00AB51F2"/>
    <w:rsid w:val="00AB6286"/>
    <w:rsid w:val="00AB62D3"/>
    <w:rsid w:val="00AB7033"/>
    <w:rsid w:val="00AB7B84"/>
    <w:rsid w:val="00AB7BBF"/>
    <w:rsid w:val="00AB7D65"/>
    <w:rsid w:val="00AC0616"/>
    <w:rsid w:val="00AC294B"/>
    <w:rsid w:val="00AC4C86"/>
    <w:rsid w:val="00AC754C"/>
    <w:rsid w:val="00AD1C15"/>
    <w:rsid w:val="00AD209E"/>
    <w:rsid w:val="00AD2D2E"/>
    <w:rsid w:val="00AD306C"/>
    <w:rsid w:val="00AD6DBB"/>
    <w:rsid w:val="00AD768A"/>
    <w:rsid w:val="00AE09B3"/>
    <w:rsid w:val="00AE0A8B"/>
    <w:rsid w:val="00AE1A83"/>
    <w:rsid w:val="00AE5B3C"/>
    <w:rsid w:val="00AE7D84"/>
    <w:rsid w:val="00AF0950"/>
    <w:rsid w:val="00AF17BA"/>
    <w:rsid w:val="00AF1DF8"/>
    <w:rsid w:val="00AF39B8"/>
    <w:rsid w:val="00AF3DA5"/>
    <w:rsid w:val="00AF6965"/>
    <w:rsid w:val="00AF7A0F"/>
    <w:rsid w:val="00B0058E"/>
    <w:rsid w:val="00B00913"/>
    <w:rsid w:val="00B01593"/>
    <w:rsid w:val="00B01C79"/>
    <w:rsid w:val="00B0348D"/>
    <w:rsid w:val="00B037DA"/>
    <w:rsid w:val="00B038AF"/>
    <w:rsid w:val="00B052AA"/>
    <w:rsid w:val="00B0562E"/>
    <w:rsid w:val="00B056AD"/>
    <w:rsid w:val="00B108BA"/>
    <w:rsid w:val="00B10A4D"/>
    <w:rsid w:val="00B1498C"/>
    <w:rsid w:val="00B175A0"/>
    <w:rsid w:val="00B17E52"/>
    <w:rsid w:val="00B17E71"/>
    <w:rsid w:val="00B17F98"/>
    <w:rsid w:val="00B17FDE"/>
    <w:rsid w:val="00B203DF"/>
    <w:rsid w:val="00B20D47"/>
    <w:rsid w:val="00B21F69"/>
    <w:rsid w:val="00B22990"/>
    <w:rsid w:val="00B2379C"/>
    <w:rsid w:val="00B2687D"/>
    <w:rsid w:val="00B3002A"/>
    <w:rsid w:val="00B3088D"/>
    <w:rsid w:val="00B32DDB"/>
    <w:rsid w:val="00B34272"/>
    <w:rsid w:val="00B34528"/>
    <w:rsid w:val="00B34C2E"/>
    <w:rsid w:val="00B35F0D"/>
    <w:rsid w:val="00B3602C"/>
    <w:rsid w:val="00B362F8"/>
    <w:rsid w:val="00B36DE0"/>
    <w:rsid w:val="00B37B1B"/>
    <w:rsid w:val="00B402FC"/>
    <w:rsid w:val="00B41620"/>
    <w:rsid w:val="00B42173"/>
    <w:rsid w:val="00B42E53"/>
    <w:rsid w:val="00B4343C"/>
    <w:rsid w:val="00B449F2"/>
    <w:rsid w:val="00B44A02"/>
    <w:rsid w:val="00B45140"/>
    <w:rsid w:val="00B46604"/>
    <w:rsid w:val="00B46EC3"/>
    <w:rsid w:val="00B50DE2"/>
    <w:rsid w:val="00B530CD"/>
    <w:rsid w:val="00B54C6A"/>
    <w:rsid w:val="00B55E92"/>
    <w:rsid w:val="00B55F5E"/>
    <w:rsid w:val="00B56086"/>
    <w:rsid w:val="00B56FAD"/>
    <w:rsid w:val="00B5752D"/>
    <w:rsid w:val="00B5752E"/>
    <w:rsid w:val="00B57558"/>
    <w:rsid w:val="00B62000"/>
    <w:rsid w:val="00B63A11"/>
    <w:rsid w:val="00B64A44"/>
    <w:rsid w:val="00B64C24"/>
    <w:rsid w:val="00B6547C"/>
    <w:rsid w:val="00B6608F"/>
    <w:rsid w:val="00B679FB"/>
    <w:rsid w:val="00B718A3"/>
    <w:rsid w:val="00B71E9B"/>
    <w:rsid w:val="00B72730"/>
    <w:rsid w:val="00B7353E"/>
    <w:rsid w:val="00B73D62"/>
    <w:rsid w:val="00B748F9"/>
    <w:rsid w:val="00B75DBF"/>
    <w:rsid w:val="00B76476"/>
    <w:rsid w:val="00B76D1E"/>
    <w:rsid w:val="00B76D76"/>
    <w:rsid w:val="00B80EC6"/>
    <w:rsid w:val="00B82514"/>
    <w:rsid w:val="00B83E01"/>
    <w:rsid w:val="00B860E7"/>
    <w:rsid w:val="00B86F2B"/>
    <w:rsid w:val="00B87F80"/>
    <w:rsid w:val="00B90C1A"/>
    <w:rsid w:val="00B91EEF"/>
    <w:rsid w:val="00B91EFB"/>
    <w:rsid w:val="00B92D1D"/>
    <w:rsid w:val="00B938AC"/>
    <w:rsid w:val="00B938C5"/>
    <w:rsid w:val="00B93C8E"/>
    <w:rsid w:val="00B94565"/>
    <w:rsid w:val="00B95334"/>
    <w:rsid w:val="00B956EF"/>
    <w:rsid w:val="00B95940"/>
    <w:rsid w:val="00B96687"/>
    <w:rsid w:val="00B96D9F"/>
    <w:rsid w:val="00B96F73"/>
    <w:rsid w:val="00BA04B8"/>
    <w:rsid w:val="00BA25BE"/>
    <w:rsid w:val="00BA336D"/>
    <w:rsid w:val="00BA3A9F"/>
    <w:rsid w:val="00BA425D"/>
    <w:rsid w:val="00BA6A30"/>
    <w:rsid w:val="00BA7826"/>
    <w:rsid w:val="00BA7A5D"/>
    <w:rsid w:val="00BB0623"/>
    <w:rsid w:val="00BB39CA"/>
    <w:rsid w:val="00BB3AC4"/>
    <w:rsid w:val="00BB46F3"/>
    <w:rsid w:val="00BB4CB1"/>
    <w:rsid w:val="00BB4F98"/>
    <w:rsid w:val="00BB5AAD"/>
    <w:rsid w:val="00BB6D19"/>
    <w:rsid w:val="00BC17A1"/>
    <w:rsid w:val="00BC2A0F"/>
    <w:rsid w:val="00BC3A81"/>
    <w:rsid w:val="00BC7154"/>
    <w:rsid w:val="00BD0254"/>
    <w:rsid w:val="00BD0958"/>
    <w:rsid w:val="00BD13E9"/>
    <w:rsid w:val="00BD14F7"/>
    <w:rsid w:val="00BD366B"/>
    <w:rsid w:val="00BD3D11"/>
    <w:rsid w:val="00BD3F9D"/>
    <w:rsid w:val="00BD5301"/>
    <w:rsid w:val="00BD6D50"/>
    <w:rsid w:val="00BD78B2"/>
    <w:rsid w:val="00BD7B58"/>
    <w:rsid w:val="00BE0554"/>
    <w:rsid w:val="00BE18B9"/>
    <w:rsid w:val="00BE1F6D"/>
    <w:rsid w:val="00BE2495"/>
    <w:rsid w:val="00BE3CF1"/>
    <w:rsid w:val="00BE4469"/>
    <w:rsid w:val="00BE6192"/>
    <w:rsid w:val="00BE71D0"/>
    <w:rsid w:val="00BF1578"/>
    <w:rsid w:val="00BF24D8"/>
    <w:rsid w:val="00BF30FB"/>
    <w:rsid w:val="00BF5686"/>
    <w:rsid w:val="00BF65FD"/>
    <w:rsid w:val="00BF72ED"/>
    <w:rsid w:val="00C00E4B"/>
    <w:rsid w:val="00C0393B"/>
    <w:rsid w:val="00C1028C"/>
    <w:rsid w:val="00C1067B"/>
    <w:rsid w:val="00C1290C"/>
    <w:rsid w:val="00C12942"/>
    <w:rsid w:val="00C12B2C"/>
    <w:rsid w:val="00C12EB3"/>
    <w:rsid w:val="00C1308B"/>
    <w:rsid w:val="00C13F68"/>
    <w:rsid w:val="00C141A2"/>
    <w:rsid w:val="00C14A11"/>
    <w:rsid w:val="00C16185"/>
    <w:rsid w:val="00C1637D"/>
    <w:rsid w:val="00C1743E"/>
    <w:rsid w:val="00C21F94"/>
    <w:rsid w:val="00C235DF"/>
    <w:rsid w:val="00C24EDC"/>
    <w:rsid w:val="00C2528B"/>
    <w:rsid w:val="00C25A7D"/>
    <w:rsid w:val="00C25ABA"/>
    <w:rsid w:val="00C26006"/>
    <w:rsid w:val="00C277EA"/>
    <w:rsid w:val="00C27913"/>
    <w:rsid w:val="00C27ECC"/>
    <w:rsid w:val="00C27F43"/>
    <w:rsid w:val="00C30C9D"/>
    <w:rsid w:val="00C327E3"/>
    <w:rsid w:val="00C33B68"/>
    <w:rsid w:val="00C341B5"/>
    <w:rsid w:val="00C3437B"/>
    <w:rsid w:val="00C36A79"/>
    <w:rsid w:val="00C405D4"/>
    <w:rsid w:val="00C4513B"/>
    <w:rsid w:val="00C47FFB"/>
    <w:rsid w:val="00C52E8D"/>
    <w:rsid w:val="00C54118"/>
    <w:rsid w:val="00C54697"/>
    <w:rsid w:val="00C555EF"/>
    <w:rsid w:val="00C55875"/>
    <w:rsid w:val="00C55E1D"/>
    <w:rsid w:val="00C57FFE"/>
    <w:rsid w:val="00C602C4"/>
    <w:rsid w:val="00C60A2C"/>
    <w:rsid w:val="00C6193F"/>
    <w:rsid w:val="00C631B7"/>
    <w:rsid w:val="00C63857"/>
    <w:rsid w:val="00C6626E"/>
    <w:rsid w:val="00C66410"/>
    <w:rsid w:val="00C67120"/>
    <w:rsid w:val="00C701FD"/>
    <w:rsid w:val="00C71935"/>
    <w:rsid w:val="00C73885"/>
    <w:rsid w:val="00C747B1"/>
    <w:rsid w:val="00C753DE"/>
    <w:rsid w:val="00C77051"/>
    <w:rsid w:val="00C807F4"/>
    <w:rsid w:val="00C81D34"/>
    <w:rsid w:val="00C82191"/>
    <w:rsid w:val="00C8365E"/>
    <w:rsid w:val="00C83A7B"/>
    <w:rsid w:val="00C85053"/>
    <w:rsid w:val="00C85154"/>
    <w:rsid w:val="00C853C0"/>
    <w:rsid w:val="00C8621D"/>
    <w:rsid w:val="00C86793"/>
    <w:rsid w:val="00C86C17"/>
    <w:rsid w:val="00C87668"/>
    <w:rsid w:val="00C90CF4"/>
    <w:rsid w:val="00C9146E"/>
    <w:rsid w:val="00C91685"/>
    <w:rsid w:val="00C92EB6"/>
    <w:rsid w:val="00C93389"/>
    <w:rsid w:val="00C93DB3"/>
    <w:rsid w:val="00C93F25"/>
    <w:rsid w:val="00C95684"/>
    <w:rsid w:val="00CA0E5E"/>
    <w:rsid w:val="00CA3288"/>
    <w:rsid w:val="00CA39BB"/>
    <w:rsid w:val="00CA445F"/>
    <w:rsid w:val="00CA69A1"/>
    <w:rsid w:val="00CA6A30"/>
    <w:rsid w:val="00CB070D"/>
    <w:rsid w:val="00CB2EAF"/>
    <w:rsid w:val="00CB30FE"/>
    <w:rsid w:val="00CB3490"/>
    <w:rsid w:val="00CB4223"/>
    <w:rsid w:val="00CB4930"/>
    <w:rsid w:val="00CB4EE3"/>
    <w:rsid w:val="00CB7286"/>
    <w:rsid w:val="00CB7AE5"/>
    <w:rsid w:val="00CC010E"/>
    <w:rsid w:val="00CC166A"/>
    <w:rsid w:val="00CC19EA"/>
    <w:rsid w:val="00CC22F6"/>
    <w:rsid w:val="00CC2555"/>
    <w:rsid w:val="00CC274B"/>
    <w:rsid w:val="00CC2E7D"/>
    <w:rsid w:val="00CC5498"/>
    <w:rsid w:val="00CD10A5"/>
    <w:rsid w:val="00CD1F1A"/>
    <w:rsid w:val="00CD2076"/>
    <w:rsid w:val="00CD2DBC"/>
    <w:rsid w:val="00CD3E9D"/>
    <w:rsid w:val="00CD4296"/>
    <w:rsid w:val="00CD4E99"/>
    <w:rsid w:val="00CD72E6"/>
    <w:rsid w:val="00CD778A"/>
    <w:rsid w:val="00CE2B5A"/>
    <w:rsid w:val="00CE6417"/>
    <w:rsid w:val="00CE670B"/>
    <w:rsid w:val="00CE7911"/>
    <w:rsid w:val="00CF10C5"/>
    <w:rsid w:val="00CF173F"/>
    <w:rsid w:val="00CF325A"/>
    <w:rsid w:val="00CF51EC"/>
    <w:rsid w:val="00CF73AE"/>
    <w:rsid w:val="00CF7F05"/>
    <w:rsid w:val="00D000EE"/>
    <w:rsid w:val="00D010F2"/>
    <w:rsid w:val="00D01D45"/>
    <w:rsid w:val="00D040DD"/>
    <w:rsid w:val="00D06904"/>
    <w:rsid w:val="00D1124E"/>
    <w:rsid w:val="00D112F4"/>
    <w:rsid w:val="00D12FE0"/>
    <w:rsid w:val="00D13986"/>
    <w:rsid w:val="00D13C4B"/>
    <w:rsid w:val="00D1542B"/>
    <w:rsid w:val="00D168DC"/>
    <w:rsid w:val="00D1757E"/>
    <w:rsid w:val="00D17E09"/>
    <w:rsid w:val="00D2125D"/>
    <w:rsid w:val="00D22DF5"/>
    <w:rsid w:val="00D235B7"/>
    <w:rsid w:val="00D25F28"/>
    <w:rsid w:val="00D260E0"/>
    <w:rsid w:val="00D27973"/>
    <w:rsid w:val="00D27E08"/>
    <w:rsid w:val="00D325AC"/>
    <w:rsid w:val="00D33D44"/>
    <w:rsid w:val="00D33FAD"/>
    <w:rsid w:val="00D36B85"/>
    <w:rsid w:val="00D37826"/>
    <w:rsid w:val="00D41AEB"/>
    <w:rsid w:val="00D44E70"/>
    <w:rsid w:val="00D46B17"/>
    <w:rsid w:val="00D47267"/>
    <w:rsid w:val="00D47C38"/>
    <w:rsid w:val="00D47C4B"/>
    <w:rsid w:val="00D47C99"/>
    <w:rsid w:val="00D50A15"/>
    <w:rsid w:val="00D50F46"/>
    <w:rsid w:val="00D50F93"/>
    <w:rsid w:val="00D52644"/>
    <w:rsid w:val="00D527C9"/>
    <w:rsid w:val="00D563AC"/>
    <w:rsid w:val="00D56612"/>
    <w:rsid w:val="00D57D09"/>
    <w:rsid w:val="00D6180C"/>
    <w:rsid w:val="00D61A66"/>
    <w:rsid w:val="00D61D28"/>
    <w:rsid w:val="00D62193"/>
    <w:rsid w:val="00D637CE"/>
    <w:rsid w:val="00D63D46"/>
    <w:rsid w:val="00D63E61"/>
    <w:rsid w:val="00D64A65"/>
    <w:rsid w:val="00D64C05"/>
    <w:rsid w:val="00D66223"/>
    <w:rsid w:val="00D71877"/>
    <w:rsid w:val="00D724DA"/>
    <w:rsid w:val="00D73EA2"/>
    <w:rsid w:val="00D7584B"/>
    <w:rsid w:val="00D76936"/>
    <w:rsid w:val="00D771F6"/>
    <w:rsid w:val="00D8084C"/>
    <w:rsid w:val="00D834AE"/>
    <w:rsid w:val="00D83CE7"/>
    <w:rsid w:val="00D83E86"/>
    <w:rsid w:val="00D86A4E"/>
    <w:rsid w:val="00D92055"/>
    <w:rsid w:val="00D94A6D"/>
    <w:rsid w:val="00D969B7"/>
    <w:rsid w:val="00D976F7"/>
    <w:rsid w:val="00D97D7F"/>
    <w:rsid w:val="00DA0EDA"/>
    <w:rsid w:val="00DA2E0F"/>
    <w:rsid w:val="00DA40D8"/>
    <w:rsid w:val="00DA77A0"/>
    <w:rsid w:val="00DA7C0C"/>
    <w:rsid w:val="00DB16C8"/>
    <w:rsid w:val="00DB22D1"/>
    <w:rsid w:val="00DB2EC8"/>
    <w:rsid w:val="00DB4667"/>
    <w:rsid w:val="00DB704C"/>
    <w:rsid w:val="00DC000D"/>
    <w:rsid w:val="00DC022B"/>
    <w:rsid w:val="00DC05DD"/>
    <w:rsid w:val="00DC09A9"/>
    <w:rsid w:val="00DC3A0E"/>
    <w:rsid w:val="00DC5B3B"/>
    <w:rsid w:val="00DC6E5A"/>
    <w:rsid w:val="00DD11ED"/>
    <w:rsid w:val="00DD129F"/>
    <w:rsid w:val="00DD2F82"/>
    <w:rsid w:val="00DD3D3E"/>
    <w:rsid w:val="00DD45F6"/>
    <w:rsid w:val="00DD488F"/>
    <w:rsid w:val="00DD6484"/>
    <w:rsid w:val="00DD6BF7"/>
    <w:rsid w:val="00DD7862"/>
    <w:rsid w:val="00DE3C36"/>
    <w:rsid w:val="00DE48EF"/>
    <w:rsid w:val="00DE4E5C"/>
    <w:rsid w:val="00DF3E4D"/>
    <w:rsid w:val="00DF42FF"/>
    <w:rsid w:val="00DF58C0"/>
    <w:rsid w:val="00DF5D37"/>
    <w:rsid w:val="00E00351"/>
    <w:rsid w:val="00E00A33"/>
    <w:rsid w:val="00E01C0E"/>
    <w:rsid w:val="00E03F9A"/>
    <w:rsid w:val="00E04694"/>
    <w:rsid w:val="00E04D7F"/>
    <w:rsid w:val="00E05CAF"/>
    <w:rsid w:val="00E06123"/>
    <w:rsid w:val="00E06DF1"/>
    <w:rsid w:val="00E11205"/>
    <w:rsid w:val="00E11D1F"/>
    <w:rsid w:val="00E12B1E"/>
    <w:rsid w:val="00E12B86"/>
    <w:rsid w:val="00E13F3E"/>
    <w:rsid w:val="00E15A9E"/>
    <w:rsid w:val="00E1696B"/>
    <w:rsid w:val="00E16A91"/>
    <w:rsid w:val="00E17262"/>
    <w:rsid w:val="00E17962"/>
    <w:rsid w:val="00E17F0C"/>
    <w:rsid w:val="00E20872"/>
    <w:rsid w:val="00E21EC7"/>
    <w:rsid w:val="00E2436F"/>
    <w:rsid w:val="00E253A2"/>
    <w:rsid w:val="00E2652C"/>
    <w:rsid w:val="00E3309D"/>
    <w:rsid w:val="00E332A1"/>
    <w:rsid w:val="00E336D8"/>
    <w:rsid w:val="00E35989"/>
    <w:rsid w:val="00E35BDC"/>
    <w:rsid w:val="00E430A1"/>
    <w:rsid w:val="00E44BD5"/>
    <w:rsid w:val="00E45E61"/>
    <w:rsid w:val="00E50156"/>
    <w:rsid w:val="00E5207B"/>
    <w:rsid w:val="00E53470"/>
    <w:rsid w:val="00E539F6"/>
    <w:rsid w:val="00E54F8E"/>
    <w:rsid w:val="00E5547C"/>
    <w:rsid w:val="00E56953"/>
    <w:rsid w:val="00E6110C"/>
    <w:rsid w:val="00E6133E"/>
    <w:rsid w:val="00E6402C"/>
    <w:rsid w:val="00E64504"/>
    <w:rsid w:val="00E6519D"/>
    <w:rsid w:val="00E661F7"/>
    <w:rsid w:val="00E669C7"/>
    <w:rsid w:val="00E67696"/>
    <w:rsid w:val="00E71A58"/>
    <w:rsid w:val="00E7225D"/>
    <w:rsid w:val="00E72A7A"/>
    <w:rsid w:val="00E73FC4"/>
    <w:rsid w:val="00E74D0F"/>
    <w:rsid w:val="00E74D2B"/>
    <w:rsid w:val="00E75303"/>
    <w:rsid w:val="00E757DE"/>
    <w:rsid w:val="00E75C94"/>
    <w:rsid w:val="00E76931"/>
    <w:rsid w:val="00E80347"/>
    <w:rsid w:val="00E81580"/>
    <w:rsid w:val="00E817C3"/>
    <w:rsid w:val="00E81FCE"/>
    <w:rsid w:val="00E8347D"/>
    <w:rsid w:val="00E838EA"/>
    <w:rsid w:val="00E865AD"/>
    <w:rsid w:val="00E915A3"/>
    <w:rsid w:val="00E91941"/>
    <w:rsid w:val="00E9248D"/>
    <w:rsid w:val="00E93820"/>
    <w:rsid w:val="00E94E42"/>
    <w:rsid w:val="00E969CA"/>
    <w:rsid w:val="00EA0C68"/>
    <w:rsid w:val="00EA1CAF"/>
    <w:rsid w:val="00EA2D04"/>
    <w:rsid w:val="00EA2FBD"/>
    <w:rsid w:val="00EA32BC"/>
    <w:rsid w:val="00EA39E4"/>
    <w:rsid w:val="00EA7058"/>
    <w:rsid w:val="00EA7BF4"/>
    <w:rsid w:val="00EB2E8C"/>
    <w:rsid w:val="00EB37C9"/>
    <w:rsid w:val="00EB3D95"/>
    <w:rsid w:val="00EB4118"/>
    <w:rsid w:val="00EB4511"/>
    <w:rsid w:val="00EC03D7"/>
    <w:rsid w:val="00EC31E7"/>
    <w:rsid w:val="00EC36B3"/>
    <w:rsid w:val="00EC45B9"/>
    <w:rsid w:val="00EC50FE"/>
    <w:rsid w:val="00EC6BC9"/>
    <w:rsid w:val="00ED2A87"/>
    <w:rsid w:val="00ED2ABF"/>
    <w:rsid w:val="00ED3B8D"/>
    <w:rsid w:val="00ED597A"/>
    <w:rsid w:val="00ED62C6"/>
    <w:rsid w:val="00ED64C1"/>
    <w:rsid w:val="00EE2F87"/>
    <w:rsid w:val="00EE31C4"/>
    <w:rsid w:val="00EE3446"/>
    <w:rsid w:val="00EE3E78"/>
    <w:rsid w:val="00EE4B1B"/>
    <w:rsid w:val="00EE4EE1"/>
    <w:rsid w:val="00EE656A"/>
    <w:rsid w:val="00EE7A4A"/>
    <w:rsid w:val="00EE7B85"/>
    <w:rsid w:val="00EF0591"/>
    <w:rsid w:val="00EF0956"/>
    <w:rsid w:val="00EF0984"/>
    <w:rsid w:val="00EF150D"/>
    <w:rsid w:val="00EF17BF"/>
    <w:rsid w:val="00EF1F5A"/>
    <w:rsid w:val="00EF4629"/>
    <w:rsid w:val="00EF47BF"/>
    <w:rsid w:val="00EF6EA3"/>
    <w:rsid w:val="00F01A2B"/>
    <w:rsid w:val="00F021D4"/>
    <w:rsid w:val="00F03F4E"/>
    <w:rsid w:val="00F03FE3"/>
    <w:rsid w:val="00F04811"/>
    <w:rsid w:val="00F0488C"/>
    <w:rsid w:val="00F04AD5"/>
    <w:rsid w:val="00F04E3A"/>
    <w:rsid w:val="00F05332"/>
    <w:rsid w:val="00F05F5E"/>
    <w:rsid w:val="00F07248"/>
    <w:rsid w:val="00F07E4B"/>
    <w:rsid w:val="00F07F8A"/>
    <w:rsid w:val="00F10620"/>
    <w:rsid w:val="00F10F11"/>
    <w:rsid w:val="00F1444D"/>
    <w:rsid w:val="00F14E8C"/>
    <w:rsid w:val="00F15AAA"/>
    <w:rsid w:val="00F15BEF"/>
    <w:rsid w:val="00F164BE"/>
    <w:rsid w:val="00F17974"/>
    <w:rsid w:val="00F23EEC"/>
    <w:rsid w:val="00F24407"/>
    <w:rsid w:val="00F24FAA"/>
    <w:rsid w:val="00F26541"/>
    <w:rsid w:val="00F27411"/>
    <w:rsid w:val="00F31B73"/>
    <w:rsid w:val="00F334DE"/>
    <w:rsid w:val="00F3364D"/>
    <w:rsid w:val="00F3461A"/>
    <w:rsid w:val="00F34DF4"/>
    <w:rsid w:val="00F359D4"/>
    <w:rsid w:val="00F377AC"/>
    <w:rsid w:val="00F4050C"/>
    <w:rsid w:val="00F40DC7"/>
    <w:rsid w:val="00F42EFA"/>
    <w:rsid w:val="00F437CC"/>
    <w:rsid w:val="00F45BF4"/>
    <w:rsid w:val="00F45EFF"/>
    <w:rsid w:val="00F461F9"/>
    <w:rsid w:val="00F47067"/>
    <w:rsid w:val="00F47258"/>
    <w:rsid w:val="00F47867"/>
    <w:rsid w:val="00F525EB"/>
    <w:rsid w:val="00F54375"/>
    <w:rsid w:val="00F54740"/>
    <w:rsid w:val="00F54B0E"/>
    <w:rsid w:val="00F54DAE"/>
    <w:rsid w:val="00F6043F"/>
    <w:rsid w:val="00F61F91"/>
    <w:rsid w:val="00F62215"/>
    <w:rsid w:val="00F62A5E"/>
    <w:rsid w:val="00F62CED"/>
    <w:rsid w:val="00F63845"/>
    <w:rsid w:val="00F63DDE"/>
    <w:rsid w:val="00F63FB7"/>
    <w:rsid w:val="00F64276"/>
    <w:rsid w:val="00F649D2"/>
    <w:rsid w:val="00F65378"/>
    <w:rsid w:val="00F6563E"/>
    <w:rsid w:val="00F6602B"/>
    <w:rsid w:val="00F66264"/>
    <w:rsid w:val="00F70816"/>
    <w:rsid w:val="00F71A56"/>
    <w:rsid w:val="00F71ADC"/>
    <w:rsid w:val="00F7260E"/>
    <w:rsid w:val="00F73A0C"/>
    <w:rsid w:val="00F756DB"/>
    <w:rsid w:val="00F77390"/>
    <w:rsid w:val="00F821AB"/>
    <w:rsid w:val="00F8307D"/>
    <w:rsid w:val="00F8368E"/>
    <w:rsid w:val="00F85066"/>
    <w:rsid w:val="00F858E3"/>
    <w:rsid w:val="00F875FC"/>
    <w:rsid w:val="00F9190C"/>
    <w:rsid w:val="00F924EA"/>
    <w:rsid w:val="00F92944"/>
    <w:rsid w:val="00F92B12"/>
    <w:rsid w:val="00F943DB"/>
    <w:rsid w:val="00F946B3"/>
    <w:rsid w:val="00F96911"/>
    <w:rsid w:val="00FA08E5"/>
    <w:rsid w:val="00FA2558"/>
    <w:rsid w:val="00FA2684"/>
    <w:rsid w:val="00FA2ED9"/>
    <w:rsid w:val="00FA3CE7"/>
    <w:rsid w:val="00FA5CA6"/>
    <w:rsid w:val="00FA5D4D"/>
    <w:rsid w:val="00FA777B"/>
    <w:rsid w:val="00FB02A6"/>
    <w:rsid w:val="00FB0EE2"/>
    <w:rsid w:val="00FB2027"/>
    <w:rsid w:val="00FB3D2D"/>
    <w:rsid w:val="00FB4F1F"/>
    <w:rsid w:val="00FB542E"/>
    <w:rsid w:val="00FB78B6"/>
    <w:rsid w:val="00FB78DC"/>
    <w:rsid w:val="00FB7D0A"/>
    <w:rsid w:val="00FC0650"/>
    <w:rsid w:val="00FC0E5F"/>
    <w:rsid w:val="00FC1A95"/>
    <w:rsid w:val="00FC3975"/>
    <w:rsid w:val="00FC4217"/>
    <w:rsid w:val="00FC5283"/>
    <w:rsid w:val="00FC56DE"/>
    <w:rsid w:val="00FC684B"/>
    <w:rsid w:val="00FC730C"/>
    <w:rsid w:val="00FC75C9"/>
    <w:rsid w:val="00FD20A6"/>
    <w:rsid w:val="00FD2457"/>
    <w:rsid w:val="00FD279C"/>
    <w:rsid w:val="00FD3265"/>
    <w:rsid w:val="00FD3663"/>
    <w:rsid w:val="00FD3E18"/>
    <w:rsid w:val="00FD4F8F"/>
    <w:rsid w:val="00FD528A"/>
    <w:rsid w:val="00FD5632"/>
    <w:rsid w:val="00FD62B2"/>
    <w:rsid w:val="00FD779A"/>
    <w:rsid w:val="00FD7986"/>
    <w:rsid w:val="00FE0981"/>
    <w:rsid w:val="00FE240F"/>
    <w:rsid w:val="00FE2F78"/>
    <w:rsid w:val="00FE45EF"/>
    <w:rsid w:val="00FE4DAD"/>
    <w:rsid w:val="00FF0A52"/>
    <w:rsid w:val="00FF1A0F"/>
    <w:rsid w:val="00FF4791"/>
    <w:rsid w:val="00FF4D2C"/>
    <w:rsid w:val="00FF718E"/>
    <w:rsid w:val="00FF7835"/>
    <w:rsid w:val="00FF7B96"/>
    <w:rsid w:val="00FF7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ecf4dd,#eaecee,#fcec0a,#fcecdb,#f1daf5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Lis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F42FF"/>
    <w:pPr>
      <w:spacing w:after="240" w:line="288" w:lineRule="auto"/>
    </w:pPr>
    <w:rPr>
      <w:rFonts w:ascii="Arial" w:eastAsia="Times New Roman" w:hAnsi="Arial"/>
      <w:szCs w:val="24"/>
      <w:lang w:eastAsia="cs-CZ"/>
    </w:rPr>
  </w:style>
  <w:style w:type="paragraph" w:styleId="Nadpis1">
    <w:name w:val="heading 1"/>
    <w:next w:val="Normln"/>
    <w:link w:val="Nadpis1Char"/>
    <w:uiPriority w:val="9"/>
    <w:qFormat/>
    <w:rsid w:val="00FF1A0F"/>
    <w:pPr>
      <w:keepLines/>
      <w:spacing w:after="100" w:line="288" w:lineRule="auto"/>
      <w:contextualSpacing/>
      <w:outlineLvl w:val="0"/>
    </w:pPr>
    <w:rPr>
      <w:rFonts w:ascii="Arial" w:eastAsia="MS Gothic" w:hAnsi="Arial"/>
      <w:b/>
      <w:bCs/>
      <w:color w:val="C00000"/>
      <w:sz w:val="32"/>
      <w:szCs w:val="28"/>
      <w:lang w:eastAsia="cs-CZ"/>
    </w:rPr>
  </w:style>
  <w:style w:type="paragraph" w:styleId="Nadpis2">
    <w:name w:val="heading 2"/>
    <w:next w:val="Normln"/>
    <w:link w:val="Nadpis2Char"/>
    <w:uiPriority w:val="9"/>
    <w:qFormat/>
    <w:rsid w:val="00F62A5E"/>
    <w:pPr>
      <w:spacing w:line="288" w:lineRule="auto"/>
      <w:outlineLvl w:val="1"/>
    </w:pPr>
    <w:rPr>
      <w:rFonts w:ascii="Arial" w:eastAsia="MS Gothic" w:hAnsi="Arial"/>
      <w:b/>
      <w:bCs/>
      <w:color w:val="BC091B"/>
      <w:sz w:val="28"/>
      <w:szCs w:val="26"/>
      <w:lang w:eastAsia="cs-CZ"/>
    </w:rPr>
  </w:style>
  <w:style w:type="paragraph" w:styleId="Nadpis3">
    <w:name w:val="heading 3"/>
    <w:next w:val="Normln"/>
    <w:link w:val="Nadpis3Char"/>
    <w:uiPriority w:val="9"/>
    <w:qFormat/>
    <w:rsid w:val="004900FF"/>
    <w:pPr>
      <w:keepNext/>
      <w:keepLines/>
      <w:spacing w:line="288" w:lineRule="auto"/>
      <w:outlineLvl w:val="2"/>
    </w:pPr>
    <w:rPr>
      <w:rFonts w:ascii="Arial" w:eastAsia="MS Gothic" w:hAnsi="Arial"/>
      <w:b/>
      <w:bCs/>
      <w:color w:val="BC091B"/>
      <w:sz w:val="24"/>
      <w:szCs w:val="24"/>
      <w:lang w:eastAsia="cs-CZ"/>
    </w:rPr>
  </w:style>
  <w:style w:type="paragraph" w:styleId="Nadpis4">
    <w:name w:val="heading 4"/>
    <w:next w:val="Normln"/>
    <w:link w:val="Nadpis4Char"/>
    <w:uiPriority w:val="9"/>
    <w:qFormat/>
    <w:rsid w:val="004900FF"/>
    <w:pPr>
      <w:keepNext/>
      <w:keepLines/>
      <w:spacing w:line="288" w:lineRule="auto"/>
      <w:outlineLvl w:val="3"/>
    </w:pPr>
    <w:rPr>
      <w:rFonts w:ascii="Arial" w:eastAsia="MS Gothic" w:hAnsi="Arial"/>
      <w:b/>
      <w:bCs/>
      <w:iCs/>
      <w:color w:val="BC091B"/>
      <w:szCs w:val="24"/>
      <w:lang w:eastAsia="cs-CZ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30F65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FF1A0F"/>
    <w:rPr>
      <w:rFonts w:ascii="Arial" w:eastAsia="MS Gothic" w:hAnsi="Arial"/>
      <w:b/>
      <w:bCs/>
      <w:color w:val="C00000"/>
      <w:sz w:val="32"/>
      <w:szCs w:val="28"/>
      <w:lang w:eastAsia="cs-CZ"/>
    </w:rPr>
  </w:style>
  <w:style w:type="character" w:customStyle="1" w:styleId="Nadpis2Char">
    <w:name w:val="Nadpis 2 Char"/>
    <w:link w:val="Nadpis2"/>
    <w:uiPriority w:val="9"/>
    <w:rsid w:val="00F62A5E"/>
    <w:rPr>
      <w:rFonts w:ascii="Arial" w:eastAsia="MS Gothic" w:hAnsi="Arial"/>
      <w:b/>
      <w:bCs/>
      <w:color w:val="BC091B"/>
      <w:sz w:val="28"/>
      <w:szCs w:val="26"/>
      <w:lang w:eastAsia="cs-CZ"/>
    </w:rPr>
  </w:style>
  <w:style w:type="character" w:customStyle="1" w:styleId="Nadpis3Char">
    <w:name w:val="Nadpis 3 Char"/>
    <w:link w:val="Nadpis3"/>
    <w:uiPriority w:val="9"/>
    <w:rsid w:val="004900FF"/>
    <w:rPr>
      <w:rFonts w:ascii="Arial" w:eastAsia="MS Gothic" w:hAnsi="Arial"/>
      <w:b/>
      <w:bCs/>
      <w:color w:val="BC091B"/>
      <w:sz w:val="24"/>
      <w:szCs w:val="24"/>
    </w:rPr>
  </w:style>
  <w:style w:type="character" w:customStyle="1" w:styleId="Nadpis4Char">
    <w:name w:val="Nadpis 4 Char"/>
    <w:link w:val="Nadpis4"/>
    <w:uiPriority w:val="9"/>
    <w:rsid w:val="004900FF"/>
    <w:rPr>
      <w:rFonts w:ascii="Arial" w:eastAsia="MS Gothic" w:hAnsi="Arial"/>
      <w:b/>
      <w:bCs/>
      <w:iCs/>
      <w:color w:val="BC091B"/>
      <w:szCs w:val="24"/>
    </w:rPr>
  </w:style>
  <w:style w:type="character" w:customStyle="1" w:styleId="Nadpis9Char">
    <w:name w:val="Nadpis 9 Char"/>
    <w:link w:val="Nadpis9"/>
    <w:uiPriority w:val="9"/>
    <w:semiHidden/>
    <w:rsid w:val="00A30F65"/>
    <w:rPr>
      <w:rFonts w:ascii="Cambria" w:eastAsia="Times New Roman" w:hAnsi="Cambria" w:cs="Times New Roman"/>
      <w:sz w:val="22"/>
      <w:szCs w:val="22"/>
    </w:rPr>
  </w:style>
  <w:style w:type="character" w:styleId="Hypertextovodkaz">
    <w:name w:val="Hyperlink"/>
    <w:uiPriority w:val="99"/>
    <w:rsid w:val="00E71A58"/>
    <w:rPr>
      <w:color w:val="0000FF"/>
      <w:u w:val="single"/>
    </w:rPr>
  </w:style>
  <w:style w:type="paragraph" w:styleId="Zhlav">
    <w:name w:val="header"/>
    <w:link w:val="ZhlavChar"/>
    <w:uiPriority w:val="99"/>
    <w:unhideWhenUsed/>
    <w:qFormat/>
    <w:rsid w:val="00A418BC"/>
    <w:pPr>
      <w:spacing w:line="288" w:lineRule="auto"/>
    </w:pPr>
    <w:rPr>
      <w:rFonts w:ascii="Arial" w:hAnsi="Arial"/>
      <w:sz w:val="16"/>
      <w:szCs w:val="22"/>
    </w:rPr>
  </w:style>
  <w:style w:type="character" w:customStyle="1" w:styleId="ZhlavChar">
    <w:name w:val="Záhlaví Char"/>
    <w:link w:val="Zhlav"/>
    <w:uiPriority w:val="99"/>
    <w:rsid w:val="00A418BC"/>
    <w:rPr>
      <w:rFonts w:ascii="Arial" w:hAnsi="Arial"/>
      <w:sz w:val="16"/>
      <w:szCs w:val="22"/>
      <w:lang w:eastAsia="en-US"/>
    </w:rPr>
  </w:style>
  <w:style w:type="paragraph" w:styleId="Zpat">
    <w:name w:val="footer"/>
    <w:link w:val="ZpatChar"/>
    <w:uiPriority w:val="99"/>
    <w:unhideWhenUsed/>
    <w:qFormat/>
    <w:rsid w:val="00031AE0"/>
    <w:pPr>
      <w:tabs>
        <w:tab w:val="center" w:pos="4820"/>
        <w:tab w:val="right" w:pos="9639"/>
      </w:tabs>
    </w:pPr>
    <w:rPr>
      <w:rFonts w:ascii="Arial" w:hAnsi="Arial" w:cs="Arial"/>
      <w:noProof/>
      <w:sz w:val="16"/>
    </w:rPr>
  </w:style>
  <w:style w:type="character" w:customStyle="1" w:styleId="ZpatChar">
    <w:name w:val="Zápatí Char"/>
    <w:link w:val="Zpat"/>
    <w:uiPriority w:val="99"/>
    <w:rsid w:val="00031AE0"/>
    <w:rPr>
      <w:rFonts w:ascii="Arial" w:hAnsi="Arial" w:cs="Arial"/>
      <w:noProof/>
      <w:sz w:val="16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71A58"/>
    <w:rPr>
      <w:rFonts w:ascii="Tahoma" w:eastAsia="Calibri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E71A58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link w:val="ZkladnodstavecChar"/>
    <w:uiPriority w:val="99"/>
    <w:rsid w:val="0008263E"/>
    <w:pPr>
      <w:autoSpaceDE w:val="0"/>
      <w:autoSpaceDN w:val="0"/>
      <w:adjustRightInd w:val="0"/>
      <w:spacing w:line="276" w:lineRule="auto"/>
      <w:textAlignment w:val="center"/>
    </w:pPr>
    <w:rPr>
      <w:rFonts w:ascii="Arial" w:hAnsi="Arial" w:cs="Minion Pro"/>
      <w:color w:val="000000"/>
      <w:szCs w:val="24"/>
      <w:lang w:eastAsia="cs-CZ"/>
    </w:rPr>
  </w:style>
  <w:style w:type="character" w:customStyle="1" w:styleId="ZkladnodstavecChar">
    <w:name w:val="[Základní odstavec] Char"/>
    <w:link w:val="Zkladnodstavec"/>
    <w:uiPriority w:val="99"/>
    <w:rsid w:val="0008263E"/>
    <w:rPr>
      <w:rFonts w:ascii="Arial" w:hAnsi="Arial" w:cs="Minion Pro"/>
      <w:color w:val="000000"/>
      <w:szCs w:val="24"/>
    </w:rPr>
  </w:style>
  <w:style w:type="paragraph" w:styleId="Obsah1">
    <w:name w:val="toc 1"/>
    <w:basedOn w:val="Obsahpoloky"/>
    <w:next w:val="Obsahpoloky"/>
    <w:autoRedefine/>
    <w:uiPriority w:val="39"/>
    <w:unhideWhenUsed/>
    <w:rsid w:val="00FC1A95"/>
  </w:style>
  <w:style w:type="paragraph" w:customStyle="1" w:styleId="TLIdentifikace-sted">
    <w:name w:val="TL Identifikace - střed"/>
    <w:qFormat/>
    <w:rsid w:val="009A60D1"/>
    <w:pPr>
      <w:spacing w:after="200" w:line="288" w:lineRule="auto"/>
    </w:pPr>
    <w:rPr>
      <w:rFonts w:ascii="Arial" w:eastAsia="Times New Roman" w:hAnsi="Arial"/>
      <w:sz w:val="24"/>
      <w:szCs w:val="24"/>
      <w:lang w:eastAsia="cs-CZ"/>
    </w:rPr>
  </w:style>
  <w:style w:type="paragraph" w:customStyle="1" w:styleId="Obsah">
    <w:name w:val="Obsah"/>
    <w:next w:val="Normln"/>
    <w:qFormat/>
    <w:rsid w:val="004900FF"/>
    <w:pPr>
      <w:spacing w:after="80" w:line="288" w:lineRule="auto"/>
    </w:pPr>
    <w:rPr>
      <w:rFonts w:ascii="Arial" w:eastAsia="Times New Roman" w:hAnsi="Arial"/>
      <w:b/>
      <w:color w:val="BC091B"/>
      <w:sz w:val="32"/>
      <w:szCs w:val="24"/>
      <w:lang w:eastAsia="cs-CZ"/>
    </w:rPr>
  </w:style>
  <w:style w:type="paragraph" w:customStyle="1" w:styleId="Obsahpoloky">
    <w:name w:val="Obsah položky"/>
    <w:qFormat/>
    <w:rsid w:val="00616E05"/>
    <w:pPr>
      <w:tabs>
        <w:tab w:val="right" w:leader="dot" w:pos="9639"/>
      </w:tabs>
      <w:spacing w:line="288" w:lineRule="auto"/>
    </w:pPr>
    <w:rPr>
      <w:rFonts w:ascii="Arial" w:eastAsia="Times New Roman" w:hAnsi="Arial"/>
      <w:szCs w:val="24"/>
      <w:lang w:eastAsia="cs-CZ"/>
    </w:rPr>
  </w:style>
  <w:style w:type="paragraph" w:customStyle="1" w:styleId="Box1">
    <w:name w:val="Box 1"/>
    <w:next w:val="Normln"/>
    <w:qFormat/>
    <w:rsid w:val="004900FF"/>
    <w:pPr>
      <w:shd w:val="clear" w:color="auto" w:fill="F5DADD"/>
      <w:spacing w:before="240" w:after="240" w:line="288" w:lineRule="auto"/>
      <w:ind w:left="709"/>
      <w:contextualSpacing/>
    </w:pPr>
    <w:rPr>
      <w:rFonts w:ascii="Arial" w:hAnsi="Arial" w:cs="Arial"/>
      <w:lang w:eastAsia="cs-CZ"/>
    </w:rPr>
  </w:style>
  <w:style w:type="paragraph" w:customStyle="1" w:styleId="Box2">
    <w:name w:val="Box 2"/>
    <w:qFormat/>
    <w:rsid w:val="004900FF"/>
    <w:pPr>
      <w:spacing w:before="240" w:after="240" w:line="288" w:lineRule="auto"/>
      <w:ind w:left="709"/>
      <w:contextualSpacing/>
    </w:pPr>
    <w:rPr>
      <w:rFonts w:ascii="Arial" w:hAnsi="Arial" w:cs="Arial"/>
      <w:color w:val="BC091B"/>
      <w:lang w:eastAsia="cs-CZ"/>
    </w:rPr>
  </w:style>
  <w:style w:type="paragraph" w:styleId="Seznam">
    <w:name w:val="List"/>
    <w:basedOn w:val="Normln"/>
    <w:uiPriority w:val="99"/>
    <w:unhideWhenUsed/>
    <w:qFormat/>
    <w:rsid w:val="00481E40"/>
    <w:pPr>
      <w:contextualSpacing/>
    </w:pPr>
  </w:style>
  <w:style w:type="character" w:styleId="Siln">
    <w:name w:val="Strong"/>
    <w:aliases w:val="Tučné"/>
    <w:uiPriority w:val="22"/>
    <w:qFormat/>
    <w:rsid w:val="00EC03D7"/>
    <w:rPr>
      <w:rFonts w:ascii="Arial" w:hAnsi="Arial"/>
      <w:b/>
      <w:bCs/>
      <w:sz w:val="20"/>
    </w:rPr>
  </w:style>
  <w:style w:type="paragraph" w:customStyle="1" w:styleId="TLKontaktyerven">
    <w:name w:val="TL Kontakty červené"/>
    <w:basedOn w:val="Normln"/>
    <w:qFormat/>
    <w:rsid w:val="00104C4C"/>
    <w:pPr>
      <w:spacing w:after="40"/>
      <w:contextualSpacing/>
    </w:pPr>
    <w:rPr>
      <w:b/>
      <w:caps/>
      <w:color w:val="BD1B21"/>
      <w:sz w:val="24"/>
    </w:rPr>
  </w:style>
  <w:style w:type="paragraph" w:customStyle="1" w:styleId="TLKontakty">
    <w:name w:val="TL Kontakty"/>
    <w:qFormat/>
    <w:rsid w:val="008E6F06"/>
    <w:pPr>
      <w:spacing w:after="160" w:line="259" w:lineRule="auto"/>
      <w:contextualSpacing/>
    </w:pPr>
    <w:rPr>
      <w:rFonts w:ascii="Arial" w:eastAsia="Times New Roman" w:hAnsi="Arial"/>
      <w:b/>
      <w:color w:val="0071BC"/>
      <w:lang w:eastAsia="cs-CZ"/>
    </w:rPr>
  </w:style>
  <w:style w:type="paragraph" w:styleId="Nzev">
    <w:name w:val="Title"/>
    <w:link w:val="NzevChar"/>
    <w:uiPriority w:val="10"/>
    <w:qFormat/>
    <w:rsid w:val="004900FF"/>
    <w:pPr>
      <w:spacing w:line="288" w:lineRule="auto"/>
    </w:pPr>
    <w:rPr>
      <w:rFonts w:ascii="Arial" w:eastAsia="Times New Roman" w:hAnsi="Arial"/>
      <w:b/>
      <w:bCs/>
      <w:caps/>
      <w:color w:val="BC091B"/>
      <w:kern w:val="28"/>
      <w:sz w:val="56"/>
      <w:szCs w:val="32"/>
      <w:lang w:eastAsia="cs-CZ"/>
    </w:rPr>
  </w:style>
  <w:style w:type="character" w:customStyle="1" w:styleId="NzevChar">
    <w:name w:val="Název Char"/>
    <w:link w:val="Nzev"/>
    <w:uiPriority w:val="10"/>
    <w:rsid w:val="004900FF"/>
    <w:rPr>
      <w:rFonts w:ascii="Arial" w:eastAsia="Times New Roman" w:hAnsi="Arial"/>
      <w:b/>
      <w:bCs/>
      <w:caps/>
      <w:color w:val="BC091B"/>
      <w:kern w:val="28"/>
      <w:sz w:val="56"/>
      <w:szCs w:val="32"/>
    </w:rPr>
  </w:style>
  <w:style w:type="paragraph" w:styleId="Podtitul">
    <w:name w:val="Subtitle"/>
    <w:link w:val="PodtitulChar"/>
    <w:uiPriority w:val="11"/>
    <w:qFormat/>
    <w:rsid w:val="004900FF"/>
    <w:pPr>
      <w:spacing w:line="288" w:lineRule="auto"/>
    </w:pPr>
    <w:rPr>
      <w:rFonts w:ascii="Arial" w:eastAsia="Times New Roman" w:hAnsi="Arial" w:cs="Arial"/>
      <w:b/>
      <w:color w:val="BC091B"/>
      <w:sz w:val="28"/>
      <w:szCs w:val="24"/>
      <w:lang w:eastAsia="cs-CZ"/>
    </w:rPr>
  </w:style>
  <w:style w:type="character" w:customStyle="1" w:styleId="PodtitulChar">
    <w:name w:val="Podtitul Char"/>
    <w:link w:val="Podtitul"/>
    <w:uiPriority w:val="11"/>
    <w:rsid w:val="004900FF"/>
    <w:rPr>
      <w:rFonts w:ascii="Arial" w:eastAsia="Times New Roman" w:hAnsi="Arial" w:cs="Arial"/>
      <w:b/>
      <w:color w:val="BC091B"/>
      <w:sz w:val="28"/>
      <w:szCs w:val="24"/>
    </w:rPr>
  </w:style>
  <w:style w:type="paragraph" w:styleId="Obsah2">
    <w:name w:val="toc 2"/>
    <w:basedOn w:val="Obsahpoloky"/>
    <w:next w:val="Obsahpoloky"/>
    <w:autoRedefine/>
    <w:uiPriority w:val="39"/>
    <w:unhideWhenUsed/>
    <w:rsid w:val="00FC1A95"/>
    <w:pPr>
      <w:ind w:left="200"/>
    </w:pPr>
  </w:style>
  <w:style w:type="paragraph" w:styleId="Obsah3">
    <w:name w:val="toc 3"/>
    <w:basedOn w:val="Obsahpoloky"/>
    <w:next w:val="Obsahpoloky"/>
    <w:autoRedefine/>
    <w:uiPriority w:val="39"/>
    <w:unhideWhenUsed/>
    <w:rsid w:val="00FC1A95"/>
    <w:pPr>
      <w:ind w:left="400"/>
    </w:pPr>
  </w:style>
  <w:style w:type="paragraph" w:styleId="Obsah4">
    <w:name w:val="toc 4"/>
    <w:basedOn w:val="Obsahpoloky"/>
    <w:next w:val="Obsahpoloky"/>
    <w:autoRedefine/>
    <w:uiPriority w:val="39"/>
    <w:unhideWhenUsed/>
    <w:rsid w:val="00FC1A95"/>
    <w:pPr>
      <w:ind w:left="600"/>
    </w:pPr>
  </w:style>
  <w:style w:type="paragraph" w:styleId="Obsah5">
    <w:name w:val="toc 5"/>
    <w:basedOn w:val="Obsahpoloky"/>
    <w:next w:val="Obsahpoloky"/>
    <w:autoRedefine/>
    <w:uiPriority w:val="39"/>
    <w:semiHidden/>
    <w:unhideWhenUsed/>
    <w:rsid w:val="00FC1A95"/>
    <w:pPr>
      <w:ind w:left="800"/>
    </w:pPr>
  </w:style>
  <w:style w:type="paragraph" w:styleId="Obsah6">
    <w:name w:val="toc 6"/>
    <w:basedOn w:val="Obsahpoloky"/>
    <w:next w:val="Obsahpoloky"/>
    <w:autoRedefine/>
    <w:uiPriority w:val="39"/>
    <w:semiHidden/>
    <w:unhideWhenUsed/>
    <w:rsid w:val="00FC1A95"/>
    <w:pPr>
      <w:ind w:left="1000"/>
    </w:pPr>
  </w:style>
  <w:style w:type="paragraph" w:styleId="Obsah7">
    <w:name w:val="toc 7"/>
    <w:basedOn w:val="Obsahpoloky"/>
    <w:next w:val="Obsahpoloky"/>
    <w:autoRedefine/>
    <w:uiPriority w:val="39"/>
    <w:semiHidden/>
    <w:unhideWhenUsed/>
    <w:rsid w:val="00FC1A95"/>
    <w:pPr>
      <w:ind w:left="1200"/>
    </w:pPr>
  </w:style>
  <w:style w:type="paragraph" w:styleId="Obsah8">
    <w:name w:val="toc 8"/>
    <w:basedOn w:val="Obsahpoloky"/>
    <w:next w:val="Obsahpoloky"/>
    <w:autoRedefine/>
    <w:uiPriority w:val="39"/>
    <w:semiHidden/>
    <w:unhideWhenUsed/>
    <w:rsid w:val="00FC1A95"/>
    <w:pPr>
      <w:ind w:left="1400"/>
    </w:pPr>
  </w:style>
  <w:style w:type="paragraph" w:styleId="Obsah9">
    <w:name w:val="toc 9"/>
    <w:basedOn w:val="Obsahpoloky"/>
    <w:next w:val="Obsahpoloky"/>
    <w:autoRedefine/>
    <w:uiPriority w:val="39"/>
    <w:semiHidden/>
    <w:unhideWhenUsed/>
    <w:rsid w:val="00924AC8"/>
    <w:pPr>
      <w:ind w:left="1600"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A2558"/>
    <w:pPr>
      <w:keepLines w:val="0"/>
      <w:widowControl w:val="0"/>
      <w:spacing w:before="480" w:after="0" w:line="276" w:lineRule="auto"/>
      <w:contextualSpacing w:val="0"/>
      <w:outlineLvl w:val="9"/>
    </w:pPr>
    <w:rPr>
      <w:rFonts w:ascii="Cambria" w:eastAsia="Times New Roman" w:hAnsi="Cambria"/>
      <w:color w:val="365F91"/>
      <w:sz w:val="28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11FF8"/>
    <w:pPr>
      <w:spacing w:after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11FF8"/>
    <w:rPr>
      <w:rFonts w:ascii="Arial" w:eastAsia="Times New Roman" w:hAnsi="Arial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611FF8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312FD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12FD4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12FD4"/>
    <w:rPr>
      <w:rFonts w:ascii="Arial" w:eastAsia="Times New Roman" w:hAnsi="Arial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12FD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12FD4"/>
    <w:rPr>
      <w:rFonts w:ascii="Arial" w:eastAsia="Times New Roman" w:hAnsi="Arial"/>
      <w:b/>
      <w:bCs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Lis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F42FF"/>
    <w:pPr>
      <w:spacing w:after="240" w:line="288" w:lineRule="auto"/>
    </w:pPr>
    <w:rPr>
      <w:rFonts w:ascii="Arial" w:eastAsia="Times New Roman" w:hAnsi="Arial"/>
      <w:szCs w:val="24"/>
      <w:lang w:eastAsia="cs-CZ"/>
    </w:rPr>
  </w:style>
  <w:style w:type="paragraph" w:styleId="Nadpis1">
    <w:name w:val="heading 1"/>
    <w:next w:val="Normln"/>
    <w:link w:val="Nadpis1Char"/>
    <w:uiPriority w:val="9"/>
    <w:qFormat/>
    <w:rsid w:val="00FF1A0F"/>
    <w:pPr>
      <w:keepLines/>
      <w:spacing w:after="100" w:line="288" w:lineRule="auto"/>
      <w:contextualSpacing/>
      <w:outlineLvl w:val="0"/>
    </w:pPr>
    <w:rPr>
      <w:rFonts w:ascii="Arial" w:eastAsia="MS Gothic" w:hAnsi="Arial"/>
      <w:b/>
      <w:bCs/>
      <w:color w:val="C00000"/>
      <w:sz w:val="32"/>
      <w:szCs w:val="28"/>
      <w:lang w:eastAsia="cs-CZ"/>
    </w:rPr>
  </w:style>
  <w:style w:type="paragraph" w:styleId="Nadpis2">
    <w:name w:val="heading 2"/>
    <w:next w:val="Normln"/>
    <w:link w:val="Nadpis2Char"/>
    <w:uiPriority w:val="9"/>
    <w:qFormat/>
    <w:rsid w:val="00F62A5E"/>
    <w:pPr>
      <w:spacing w:line="288" w:lineRule="auto"/>
      <w:outlineLvl w:val="1"/>
    </w:pPr>
    <w:rPr>
      <w:rFonts w:ascii="Arial" w:eastAsia="MS Gothic" w:hAnsi="Arial"/>
      <w:b/>
      <w:bCs/>
      <w:color w:val="BC091B"/>
      <w:sz w:val="28"/>
      <w:szCs w:val="26"/>
      <w:lang w:eastAsia="cs-CZ"/>
    </w:rPr>
  </w:style>
  <w:style w:type="paragraph" w:styleId="Nadpis3">
    <w:name w:val="heading 3"/>
    <w:next w:val="Normln"/>
    <w:link w:val="Nadpis3Char"/>
    <w:uiPriority w:val="9"/>
    <w:qFormat/>
    <w:rsid w:val="004900FF"/>
    <w:pPr>
      <w:keepNext/>
      <w:keepLines/>
      <w:spacing w:line="288" w:lineRule="auto"/>
      <w:outlineLvl w:val="2"/>
    </w:pPr>
    <w:rPr>
      <w:rFonts w:ascii="Arial" w:eastAsia="MS Gothic" w:hAnsi="Arial"/>
      <w:b/>
      <w:bCs/>
      <w:color w:val="BC091B"/>
      <w:sz w:val="24"/>
      <w:szCs w:val="24"/>
      <w:lang w:eastAsia="cs-CZ"/>
    </w:rPr>
  </w:style>
  <w:style w:type="paragraph" w:styleId="Nadpis4">
    <w:name w:val="heading 4"/>
    <w:next w:val="Normln"/>
    <w:link w:val="Nadpis4Char"/>
    <w:uiPriority w:val="9"/>
    <w:qFormat/>
    <w:rsid w:val="004900FF"/>
    <w:pPr>
      <w:keepNext/>
      <w:keepLines/>
      <w:spacing w:line="288" w:lineRule="auto"/>
      <w:outlineLvl w:val="3"/>
    </w:pPr>
    <w:rPr>
      <w:rFonts w:ascii="Arial" w:eastAsia="MS Gothic" w:hAnsi="Arial"/>
      <w:b/>
      <w:bCs/>
      <w:iCs/>
      <w:color w:val="BC091B"/>
      <w:szCs w:val="24"/>
      <w:lang w:eastAsia="cs-CZ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30F65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FF1A0F"/>
    <w:rPr>
      <w:rFonts w:ascii="Arial" w:eastAsia="MS Gothic" w:hAnsi="Arial"/>
      <w:b/>
      <w:bCs/>
      <w:color w:val="C00000"/>
      <w:sz w:val="32"/>
      <w:szCs w:val="28"/>
      <w:lang w:eastAsia="cs-CZ"/>
    </w:rPr>
  </w:style>
  <w:style w:type="character" w:customStyle="1" w:styleId="Nadpis2Char">
    <w:name w:val="Nadpis 2 Char"/>
    <w:link w:val="Nadpis2"/>
    <w:uiPriority w:val="9"/>
    <w:rsid w:val="00F62A5E"/>
    <w:rPr>
      <w:rFonts w:ascii="Arial" w:eastAsia="MS Gothic" w:hAnsi="Arial"/>
      <w:b/>
      <w:bCs/>
      <w:color w:val="BC091B"/>
      <w:sz w:val="28"/>
      <w:szCs w:val="26"/>
      <w:lang w:eastAsia="cs-CZ"/>
    </w:rPr>
  </w:style>
  <w:style w:type="character" w:customStyle="1" w:styleId="Nadpis3Char">
    <w:name w:val="Nadpis 3 Char"/>
    <w:link w:val="Nadpis3"/>
    <w:uiPriority w:val="9"/>
    <w:rsid w:val="004900FF"/>
    <w:rPr>
      <w:rFonts w:ascii="Arial" w:eastAsia="MS Gothic" w:hAnsi="Arial"/>
      <w:b/>
      <w:bCs/>
      <w:color w:val="BC091B"/>
      <w:sz w:val="24"/>
      <w:szCs w:val="24"/>
    </w:rPr>
  </w:style>
  <w:style w:type="character" w:customStyle="1" w:styleId="Nadpis4Char">
    <w:name w:val="Nadpis 4 Char"/>
    <w:link w:val="Nadpis4"/>
    <w:uiPriority w:val="9"/>
    <w:rsid w:val="004900FF"/>
    <w:rPr>
      <w:rFonts w:ascii="Arial" w:eastAsia="MS Gothic" w:hAnsi="Arial"/>
      <w:b/>
      <w:bCs/>
      <w:iCs/>
      <w:color w:val="BC091B"/>
      <w:szCs w:val="24"/>
    </w:rPr>
  </w:style>
  <w:style w:type="character" w:customStyle="1" w:styleId="Nadpis9Char">
    <w:name w:val="Nadpis 9 Char"/>
    <w:link w:val="Nadpis9"/>
    <w:uiPriority w:val="9"/>
    <w:semiHidden/>
    <w:rsid w:val="00A30F65"/>
    <w:rPr>
      <w:rFonts w:ascii="Cambria" w:eastAsia="Times New Roman" w:hAnsi="Cambria" w:cs="Times New Roman"/>
      <w:sz w:val="22"/>
      <w:szCs w:val="22"/>
    </w:rPr>
  </w:style>
  <w:style w:type="character" w:styleId="Hypertextovodkaz">
    <w:name w:val="Hyperlink"/>
    <w:uiPriority w:val="99"/>
    <w:rsid w:val="00E71A58"/>
    <w:rPr>
      <w:color w:val="0000FF"/>
      <w:u w:val="single"/>
    </w:rPr>
  </w:style>
  <w:style w:type="paragraph" w:styleId="Zhlav">
    <w:name w:val="header"/>
    <w:link w:val="ZhlavChar"/>
    <w:uiPriority w:val="99"/>
    <w:unhideWhenUsed/>
    <w:qFormat/>
    <w:rsid w:val="00A418BC"/>
    <w:pPr>
      <w:spacing w:line="288" w:lineRule="auto"/>
    </w:pPr>
    <w:rPr>
      <w:rFonts w:ascii="Arial" w:hAnsi="Arial"/>
      <w:sz w:val="16"/>
      <w:szCs w:val="22"/>
    </w:rPr>
  </w:style>
  <w:style w:type="character" w:customStyle="1" w:styleId="ZhlavChar">
    <w:name w:val="Záhlaví Char"/>
    <w:link w:val="Zhlav"/>
    <w:uiPriority w:val="99"/>
    <w:rsid w:val="00A418BC"/>
    <w:rPr>
      <w:rFonts w:ascii="Arial" w:hAnsi="Arial"/>
      <w:sz w:val="16"/>
      <w:szCs w:val="22"/>
      <w:lang w:eastAsia="en-US"/>
    </w:rPr>
  </w:style>
  <w:style w:type="paragraph" w:styleId="Zpat">
    <w:name w:val="footer"/>
    <w:link w:val="ZpatChar"/>
    <w:uiPriority w:val="99"/>
    <w:unhideWhenUsed/>
    <w:qFormat/>
    <w:rsid w:val="00031AE0"/>
    <w:pPr>
      <w:tabs>
        <w:tab w:val="center" w:pos="4820"/>
        <w:tab w:val="right" w:pos="9639"/>
      </w:tabs>
    </w:pPr>
    <w:rPr>
      <w:rFonts w:ascii="Arial" w:hAnsi="Arial" w:cs="Arial"/>
      <w:noProof/>
      <w:sz w:val="16"/>
    </w:rPr>
  </w:style>
  <w:style w:type="character" w:customStyle="1" w:styleId="ZpatChar">
    <w:name w:val="Zápatí Char"/>
    <w:link w:val="Zpat"/>
    <w:uiPriority w:val="99"/>
    <w:rsid w:val="00031AE0"/>
    <w:rPr>
      <w:rFonts w:ascii="Arial" w:hAnsi="Arial" w:cs="Arial"/>
      <w:noProof/>
      <w:sz w:val="16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71A58"/>
    <w:rPr>
      <w:rFonts w:ascii="Tahoma" w:eastAsia="Calibri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E71A58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link w:val="ZkladnodstavecChar"/>
    <w:uiPriority w:val="99"/>
    <w:rsid w:val="0008263E"/>
    <w:pPr>
      <w:autoSpaceDE w:val="0"/>
      <w:autoSpaceDN w:val="0"/>
      <w:adjustRightInd w:val="0"/>
      <w:spacing w:line="276" w:lineRule="auto"/>
      <w:textAlignment w:val="center"/>
    </w:pPr>
    <w:rPr>
      <w:rFonts w:ascii="Arial" w:hAnsi="Arial" w:cs="Minion Pro"/>
      <w:color w:val="000000"/>
      <w:szCs w:val="24"/>
      <w:lang w:eastAsia="cs-CZ"/>
    </w:rPr>
  </w:style>
  <w:style w:type="character" w:customStyle="1" w:styleId="ZkladnodstavecChar">
    <w:name w:val="[Základní odstavec] Char"/>
    <w:link w:val="Zkladnodstavec"/>
    <w:uiPriority w:val="99"/>
    <w:rsid w:val="0008263E"/>
    <w:rPr>
      <w:rFonts w:ascii="Arial" w:hAnsi="Arial" w:cs="Minion Pro"/>
      <w:color w:val="000000"/>
      <w:szCs w:val="24"/>
    </w:rPr>
  </w:style>
  <w:style w:type="paragraph" w:styleId="Obsah1">
    <w:name w:val="toc 1"/>
    <w:basedOn w:val="Obsahpoloky"/>
    <w:next w:val="Obsahpoloky"/>
    <w:autoRedefine/>
    <w:uiPriority w:val="39"/>
    <w:unhideWhenUsed/>
    <w:rsid w:val="00FC1A95"/>
  </w:style>
  <w:style w:type="paragraph" w:customStyle="1" w:styleId="TLIdentifikace-sted">
    <w:name w:val="TL Identifikace - střed"/>
    <w:qFormat/>
    <w:rsid w:val="009A60D1"/>
    <w:pPr>
      <w:spacing w:after="200" w:line="288" w:lineRule="auto"/>
    </w:pPr>
    <w:rPr>
      <w:rFonts w:ascii="Arial" w:eastAsia="Times New Roman" w:hAnsi="Arial"/>
      <w:sz w:val="24"/>
      <w:szCs w:val="24"/>
      <w:lang w:eastAsia="cs-CZ"/>
    </w:rPr>
  </w:style>
  <w:style w:type="paragraph" w:customStyle="1" w:styleId="Obsah">
    <w:name w:val="Obsah"/>
    <w:next w:val="Normln"/>
    <w:qFormat/>
    <w:rsid w:val="004900FF"/>
    <w:pPr>
      <w:spacing w:after="80" w:line="288" w:lineRule="auto"/>
    </w:pPr>
    <w:rPr>
      <w:rFonts w:ascii="Arial" w:eastAsia="Times New Roman" w:hAnsi="Arial"/>
      <w:b/>
      <w:color w:val="BC091B"/>
      <w:sz w:val="32"/>
      <w:szCs w:val="24"/>
      <w:lang w:eastAsia="cs-CZ"/>
    </w:rPr>
  </w:style>
  <w:style w:type="paragraph" w:customStyle="1" w:styleId="Obsahpoloky">
    <w:name w:val="Obsah položky"/>
    <w:qFormat/>
    <w:rsid w:val="00616E05"/>
    <w:pPr>
      <w:tabs>
        <w:tab w:val="right" w:leader="dot" w:pos="9639"/>
      </w:tabs>
      <w:spacing w:line="288" w:lineRule="auto"/>
    </w:pPr>
    <w:rPr>
      <w:rFonts w:ascii="Arial" w:eastAsia="Times New Roman" w:hAnsi="Arial"/>
      <w:szCs w:val="24"/>
      <w:lang w:eastAsia="cs-CZ"/>
    </w:rPr>
  </w:style>
  <w:style w:type="paragraph" w:customStyle="1" w:styleId="Box1">
    <w:name w:val="Box 1"/>
    <w:next w:val="Normln"/>
    <w:qFormat/>
    <w:rsid w:val="004900FF"/>
    <w:pPr>
      <w:shd w:val="clear" w:color="auto" w:fill="F5DADD"/>
      <w:spacing w:before="240" w:after="240" w:line="288" w:lineRule="auto"/>
      <w:ind w:left="709"/>
      <w:contextualSpacing/>
    </w:pPr>
    <w:rPr>
      <w:rFonts w:ascii="Arial" w:hAnsi="Arial" w:cs="Arial"/>
      <w:lang w:eastAsia="cs-CZ"/>
    </w:rPr>
  </w:style>
  <w:style w:type="paragraph" w:customStyle="1" w:styleId="Box2">
    <w:name w:val="Box 2"/>
    <w:qFormat/>
    <w:rsid w:val="004900FF"/>
    <w:pPr>
      <w:spacing w:before="240" w:after="240" w:line="288" w:lineRule="auto"/>
      <w:ind w:left="709"/>
      <w:contextualSpacing/>
    </w:pPr>
    <w:rPr>
      <w:rFonts w:ascii="Arial" w:hAnsi="Arial" w:cs="Arial"/>
      <w:color w:val="BC091B"/>
      <w:lang w:eastAsia="cs-CZ"/>
    </w:rPr>
  </w:style>
  <w:style w:type="paragraph" w:styleId="Seznam">
    <w:name w:val="List"/>
    <w:basedOn w:val="Normln"/>
    <w:uiPriority w:val="99"/>
    <w:unhideWhenUsed/>
    <w:qFormat/>
    <w:rsid w:val="00481E40"/>
    <w:pPr>
      <w:contextualSpacing/>
    </w:pPr>
  </w:style>
  <w:style w:type="character" w:styleId="Siln">
    <w:name w:val="Strong"/>
    <w:aliases w:val="Tučné"/>
    <w:uiPriority w:val="22"/>
    <w:qFormat/>
    <w:rsid w:val="00EC03D7"/>
    <w:rPr>
      <w:rFonts w:ascii="Arial" w:hAnsi="Arial"/>
      <w:b/>
      <w:bCs/>
      <w:sz w:val="20"/>
    </w:rPr>
  </w:style>
  <w:style w:type="paragraph" w:customStyle="1" w:styleId="TLKontaktyerven">
    <w:name w:val="TL Kontakty červené"/>
    <w:basedOn w:val="Normln"/>
    <w:qFormat/>
    <w:rsid w:val="00104C4C"/>
    <w:pPr>
      <w:spacing w:after="40"/>
      <w:contextualSpacing/>
    </w:pPr>
    <w:rPr>
      <w:b/>
      <w:caps/>
      <w:color w:val="BD1B21"/>
      <w:sz w:val="24"/>
    </w:rPr>
  </w:style>
  <w:style w:type="paragraph" w:customStyle="1" w:styleId="TLKontakty">
    <w:name w:val="TL Kontakty"/>
    <w:qFormat/>
    <w:rsid w:val="008E6F06"/>
    <w:pPr>
      <w:spacing w:after="160" w:line="259" w:lineRule="auto"/>
      <w:contextualSpacing/>
    </w:pPr>
    <w:rPr>
      <w:rFonts w:ascii="Arial" w:eastAsia="Times New Roman" w:hAnsi="Arial"/>
      <w:b/>
      <w:color w:val="0071BC"/>
      <w:lang w:eastAsia="cs-CZ"/>
    </w:rPr>
  </w:style>
  <w:style w:type="paragraph" w:styleId="Nzev">
    <w:name w:val="Title"/>
    <w:link w:val="NzevChar"/>
    <w:uiPriority w:val="10"/>
    <w:qFormat/>
    <w:rsid w:val="004900FF"/>
    <w:pPr>
      <w:spacing w:line="288" w:lineRule="auto"/>
    </w:pPr>
    <w:rPr>
      <w:rFonts w:ascii="Arial" w:eastAsia="Times New Roman" w:hAnsi="Arial"/>
      <w:b/>
      <w:bCs/>
      <w:caps/>
      <w:color w:val="BC091B"/>
      <w:kern w:val="28"/>
      <w:sz w:val="56"/>
      <w:szCs w:val="32"/>
      <w:lang w:eastAsia="cs-CZ"/>
    </w:rPr>
  </w:style>
  <w:style w:type="character" w:customStyle="1" w:styleId="NzevChar">
    <w:name w:val="Název Char"/>
    <w:link w:val="Nzev"/>
    <w:uiPriority w:val="10"/>
    <w:rsid w:val="004900FF"/>
    <w:rPr>
      <w:rFonts w:ascii="Arial" w:eastAsia="Times New Roman" w:hAnsi="Arial"/>
      <w:b/>
      <w:bCs/>
      <w:caps/>
      <w:color w:val="BC091B"/>
      <w:kern w:val="28"/>
      <w:sz w:val="56"/>
      <w:szCs w:val="32"/>
    </w:rPr>
  </w:style>
  <w:style w:type="paragraph" w:styleId="Podtitul">
    <w:name w:val="Subtitle"/>
    <w:link w:val="PodtitulChar"/>
    <w:uiPriority w:val="11"/>
    <w:qFormat/>
    <w:rsid w:val="004900FF"/>
    <w:pPr>
      <w:spacing w:line="288" w:lineRule="auto"/>
    </w:pPr>
    <w:rPr>
      <w:rFonts w:ascii="Arial" w:eastAsia="Times New Roman" w:hAnsi="Arial" w:cs="Arial"/>
      <w:b/>
      <w:color w:val="BC091B"/>
      <w:sz w:val="28"/>
      <w:szCs w:val="24"/>
      <w:lang w:eastAsia="cs-CZ"/>
    </w:rPr>
  </w:style>
  <w:style w:type="character" w:customStyle="1" w:styleId="PodtitulChar">
    <w:name w:val="Podtitul Char"/>
    <w:link w:val="Podtitul"/>
    <w:uiPriority w:val="11"/>
    <w:rsid w:val="004900FF"/>
    <w:rPr>
      <w:rFonts w:ascii="Arial" w:eastAsia="Times New Roman" w:hAnsi="Arial" w:cs="Arial"/>
      <w:b/>
      <w:color w:val="BC091B"/>
      <w:sz w:val="28"/>
      <w:szCs w:val="24"/>
    </w:rPr>
  </w:style>
  <w:style w:type="paragraph" w:styleId="Obsah2">
    <w:name w:val="toc 2"/>
    <w:basedOn w:val="Obsahpoloky"/>
    <w:next w:val="Obsahpoloky"/>
    <w:autoRedefine/>
    <w:uiPriority w:val="39"/>
    <w:unhideWhenUsed/>
    <w:rsid w:val="00FC1A95"/>
    <w:pPr>
      <w:ind w:left="200"/>
    </w:pPr>
  </w:style>
  <w:style w:type="paragraph" w:styleId="Obsah3">
    <w:name w:val="toc 3"/>
    <w:basedOn w:val="Obsahpoloky"/>
    <w:next w:val="Obsahpoloky"/>
    <w:autoRedefine/>
    <w:uiPriority w:val="39"/>
    <w:unhideWhenUsed/>
    <w:rsid w:val="00FC1A95"/>
    <w:pPr>
      <w:ind w:left="400"/>
    </w:pPr>
  </w:style>
  <w:style w:type="paragraph" w:styleId="Obsah4">
    <w:name w:val="toc 4"/>
    <w:basedOn w:val="Obsahpoloky"/>
    <w:next w:val="Obsahpoloky"/>
    <w:autoRedefine/>
    <w:uiPriority w:val="39"/>
    <w:unhideWhenUsed/>
    <w:rsid w:val="00FC1A95"/>
    <w:pPr>
      <w:ind w:left="600"/>
    </w:pPr>
  </w:style>
  <w:style w:type="paragraph" w:styleId="Obsah5">
    <w:name w:val="toc 5"/>
    <w:basedOn w:val="Obsahpoloky"/>
    <w:next w:val="Obsahpoloky"/>
    <w:autoRedefine/>
    <w:uiPriority w:val="39"/>
    <w:semiHidden/>
    <w:unhideWhenUsed/>
    <w:rsid w:val="00FC1A95"/>
    <w:pPr>
      <w:ind w:left="800"/>
    </w:pPr>
  </w:style>
  <w:style w:type="paragraph" w:styleId="Obsah6">
    <w:name w:val="toc 6"/>
    <w:basedOn w:val="Obsahpoloky"/>
    <w:next w:val="Obsahpoloky"/>
    <w:autoRedefine/>
    <w:uiPriority w:val="39"/>
    <w:semiHidden/>
    <w:unhideWhenUsed/>
    <w:rsid w:val="00FC1A95"/>
    <w:pPr>
      <w:ind w:left="1000"/>
    </w:pPr>
  </w:style>
  <w:style w:type="paragraph" w:styleId="Obsah7">
    <w:name w:val="toc 7"/>
    <w:basedOn w:val="Obsahpoloky"/>
    <w:next w:val="Obsahpoloky"/>
    <w:autoRedefine/>
    <w:uiPriority w:val="39"/>
    <w:semiHidden/>
    <w:unhideWhenUsed/>
    <w:rsid w:val="00FC1A95"/>
    <w:pPr>
      <w:ind w:left="1200"/>
    </w:pPr>
  </w:style>
  <w:style w:type="paragraph" w:styleId="Obsah8">
    <w:name w:val="toc 8"/>
    <w:basedOn w:val="Obsahpoloky"/>
    <w:next w:val="Obsahpoloky"/>
    <w:autoRedefine/>
    <w:uiPriority w:val="39"/>
    <w:semiHidden/>
    <w:unhideWhenUsed/>
    <w:rsid w:val="00FC1A95"/>
    <w:pPr>
      <w:ind w:left="1400"/>
    </w:pPr>
  </w:style>
  <w:style w:type="paragraph" w:styleId="Obsah9">
    <w:name w:val="toc 9"/>
    <w:basedOn w:val="Obsahpoloky"/>
    <w:next w:val="Obsahpoloky"/>
    <w:autoRedefine/>
    <w:uiPriority w:val="39"/>
    <w:semiHidden/>
    <w:unhideWhenUsed/>
    <w:rsid w:val="00924AC8"/>
    <w:pPr>
      <w:ind w:left="1600"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A2558"/>
    <w:pPr>
      <w:keepLines w:val="0"/>
      <w:widowControl w:val="0"/>
      <w:spacing w:before="480" w:after="0" w:line="276" w:lineRule="auto"/>
      <w:contextualSpacing w:val="0"/>
      <w:outlineLvl w:val="9"/>
    </w:pPr>
    <w:rPr>
      <w:rFonts w:ascii="Cambria" w:eastAsia="Times New Roman" w:hAnsi="Cambria"/>
      <w:color w:val="365F91"/>
      <w:sz w:val="28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11FF8"/>
    <w:pPr>
      <w:spacing w:after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11FF8"/>
    <w:rPr>
      <w:rFonts w:ascii="Arial" w:eastAsia="Times New Roman" w:hAnsi="Arial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611FF8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312FD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12FD4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12FD4"/>
    <w:rPr>
      <w:rFonts w:ascii="Arial" w:eastAsia="Times New Roman" w:hAnsi="Arial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12FD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12FD4"/>
    <w:rPr>
      <w:rFonts w:ascii="Arial" w:eastAsia="Times New Roman" w:hAnsi="Arial"/>
      <w:b/>
      <w:bCs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kumenty\Demografie\Anal&#253;za%20&#250;mrtnosti\Publikace%20bar%20CZ_lide%20a%20spolecnost_2017-08-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3F8E56-F8A9-4575-B6BD-1943D0118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Publikace bar CZ_lide a spolecnost_2017-08-14.dotx</Template>
  <TotalTime>171</TotalTime>
  <Pages>30</Pages>
  <Words>7156</Words>
  <Characters>42222</Characters>
  <Application>Microsoft Office Word</Application>
  <DocSecurity>0</DocSecurity>
  <Lines>351</Lines>
  <Paragraphs>98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0" baseType="lpstr">
      <vt:lpstr/>
      <vt:lpstr/>
      <vt:lpstr>Styl: Nadpis 1</vt:lpstr>
      <vt:lpstr>    Styl: Nadpis 2</vt:lpstr>
      <vt:lpstr>        Styl: Nadpis 3</vt:lpstr>
      <vt:lpstr>        Styl: Nadpis 3</vt:lpstr>
      <vt:lpstr>    Styl: Nadpis 2</vt:lpstr>
      <vt:lpstr>        Styl: Nadpis 3</vt:lpstr>
      <vt:lpstr>    Styl: Nadpis 2</vt:lpstr>
      <vt:lpstr>        Styl: Nadpis 3</vt:lpstr>
    </vt:vector>
  </TitlesOfParts>
  <Company>CSU</Company>
  <LinksUpToDate>false</LinksUpToDate>
  <CharactersWithSpaces>49280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kurkin4488</dc:creator>
  <cp:lastModifiedBy>kurkin4488</cp:lastModifiedBy>
  <cp:revision>14</cp:revision>
  <cp:lastPrinted>2018-11-27T15:18:00Z</cp:lastPrinted>
  <dcterms:created xsi:type="dcterms:W3CDTF">2018-11-30T08:30:00Z</dcterms:created>
  <dcterms:modified xsi:type="dcterms:W3CDTF">2018-12-06T11:01:00Z</dcterms:modified>
</cp:coreProperties>
</file>