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0" w:rsidRPr="009110F7" w:rsidRDefault="00FC3BEC" w:rsidP="00E67696">
      <w:pPr>
        <w:rPr>
          <w:lang w:eastAsia="ar-SA"/>
        </w:rPr>
        <w:sectPr w:rsidR="00A75E40" w:rsidRPr="009110F7" w:rsidSect="0085114D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pict>
          <v:group id="Group 24" o:spid="_x0000_s1030" style="position:absolute;left:0;text-align:left;margin-left:45pt;margin-top:36.75pt;width:177.15pt;height:43.65pt;z-index:251657728;mso-position-horizontal-relative:page;mso-position-vertical-relative:page" coordorigin="567,851" coordsize="2714,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">
            <o:lock v:ext="edit" aspectratio="t"/>
            <v:rect id="Rectangle 9" o:spid="_x0000_s1031" style="position:absolute;left:1215;top:901;width:676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iyUwgAA&#10;ANoAAAAPAAAAZHJzL2Rvd25yZXYueG1sRI9Ba8JAFITvgv9heYXezKY9RImuIkqh0HpoFHJ9Zp/J&#10;YvZtyK5J+u+7hUKPw8x8w2x2k23FQL03jhW8JCkI4sppw7WCy/ltsQLhA7LG1jEp+CYPu+18tsFc&#10;u5G/aChCLSKEfY4KmhC6XEpfNWTRJ64jjt7N9RZDlH0tdY9jhNtWvqZpJi0ajgsNdnRoqLoXD6vA&#10;yM/RFqfy6NJHdzbl8rry4UOp56dpvwYRaAr/4b/2u1aQwe+VeAP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SLJTCAAAA2gAAAA8AAAAAAAAAAAAAAAAAlwIAAGRycy9kb3du&#10;cmV2LnhtbFBLBQYAAAAABAAEAPUAAACGAwAAAAA=&#10;" fillcolor="#0071bc" stroked="f">
              <o:lock v:ext="edit" aspectratio="t"/>
            </v:rect>
            <v:rect id="Rectangle 10" o:spid="_x0000_s1032" style="position:absolute;left:567;top:1131;width:1324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okPwQAA&#10;ANoAAAAPAAAAZHJzL2Rvd25yZXYueG1sRI9Bi8IwFITvgv8hPMGbpnpQqUZZVoSFXQ+2gtdn87YN&#10;27yUJtruvzeC4HGYmW+Yza63tbhT641jBbNpAoK4cNpwqeCcHyYrED4ga6wdk4J/8rDbDgcbTLXr&#10;+ET3LJQiQtinqKAKoUml9EVFFv3UNcTR+3WtxRBlW0rdYhfhtpbzJFlIi4bjQoUNfVZU/GU3q8DI&#10;n85mx8veJbcmN5fldeXDt1LjUf+xBhGoD+/wq/2lFSzheSXeAL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l6JD8EAAADaAAAADwAAAAAAAAAAAAAAAACXAgAAZHJzL2Rvd25y&#10;ZXYueG1sUEsFBgAAAAAEAAQA9QAAAIUDAAAAAA==&#10;" fillcolor="#0071bc" stroked="f">
              <o:lock v:ext="edit" aspectratio="t"/>
            </v:rect>
            <v:rect id="Rectangle 11" o:spid="_x0000_s1033" style="position:absolute;left:1288;top:1361;width:603;height:1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R19vgAA&#10;ANoAAAAPAAAAZHJzL2Rvd25yZXYueG1sRE9Ni8IwEL0v+B/CCN7WVA+uVNMiiiC4HrYKXsdmbIPN&#10;pDTRdv+9OSzs8fG+1/lgG/GizhvHCmbTBARx6bThSsHlvP9cgvABWWPjmBT8koc8G32sMdWu5x96&#10;FaESMYR9igrqENpUSl/WZNFPXUscubvrLIYIu0rqDvsYbhs5T5KFtGg4NtTY0ram8lE8rQIjv3tb&#10;nK47lzzbs7l+3ZY+HJWajIfNCkSgIfyL/9wHrSBujVfiDZDZ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8Edfb4AAADaAAAADwAAAAAAAAAAAAAAAACXAgAAZHJzL2Rvd25yZXYu&#10;eG1sUEsFBgAAAAAEAAQA9QAAAIIDAAAAAA==&#10;" fillcolor="#0071bc" stroked="f">
              <o:lock v:ext="edit" aspectratio="t"/>
            </v:rect>
            <v:shape id="Freeform 12" o:spid="_x0000_s1034" style="position:absolute;left:1969;top:1311;width:600;height:207;visibility:visible;mso-wrap-style:square;v-text-anchor:top" coordsize="1200,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0F73wQAA&#10;ANoAAAAPAAAAZHJzL2Rvd25yZXYueG1sRI9Ba8JAFITvBf/D8oTe6kYPpUbXEIKlDZ6Men9kn9lg&#10;9m3Ibk38926h0OMwM98w22yynbjT4FvHCpaLBARx7XTLjYLz6fPtA4QPyBo7x6TgQR6y3exli6l2&#10;Ix/pXoVGRAj7FBWYEPpUSl8bsugXrieO3tUNFkOUQyP1gGOE206ukuRdWmw5LhjsqTBU36ofq2Cf&#10;k6H83BcVl93l63I7rNryoNTrfMo3IAJN4T/81/7WCtbweyXeALl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dBe98EAAADaAAAADwAAAAAAAAAAAAAAAACX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260,42;269,44;275,50;279,57;280,65;277,73;272,80;265,84;253,85;270,101;284,95;294,84;300,71;300,55;294,42;284,31;270,25;233,102;194,73;197,25;172,88;129,9;87,9;108,40;116,44;118,52;113,58;102,59;129,67;136,60;138,51;138,41;133,33;126,27;116,25;102,102;122,70;34,21;0,69;2,83;6,92;17,100;34,103;48,101;60,93;66,83;67,69;48,71;45,81;39,85;32,86;26,84;21,78;20,25" o:connectangles="0,0,0,0,0,0,0,0,0,0,0,0,0,0,0,0,0,0,0,0,0,0,0,0,0,0,0,0,0,0,0,0,0,0,0,0,0,0,0,0,0,0,0,0,0,0,0,0,0,0,0,0,0,0"/>
              <o:lock v:ext="edit" aspectratio="t" verticies="t"/>
            </v:shape>
            <v:shape id="Freeform 13" o:spid="_x0000_s1035" style="position:absolute;left:1962;top:1081;width:1319;height:208;visibility:visible;mso-wrap-style:square;v-text-anchor:top" coordsize="2637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75a+xAAA&#10;ANsAAAAPAAAAZHJzL2Rvd25yZXYueG1sRE9Na8JAEL0X+h+WKfQidVMFKdFNKJaCaAU1evA2ZKdJ&#10;aHY27G5N/PddQehtHu9zFvlgWnEh5xvLCl7HCQji0uqGKwXH4vPlDYQPyBpby6TgSh7y7PFhgam2&#10;Pe/pcgiViCHsU1RQh9ClUvqyJoN+bDviyH1bZzBE6CqpHfYx3LRykiQzabDh2FBjR8uayp/Dr1Gw&#10;LNqTm371m70bfazW520li+1Oqeen4X0OItAQ/sV390rH+RO4/RIPk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+WvsQAAADbAAAADwAAAAAAAAAAAAAAAACXAgAAZHJzL2Rv&#10;d25yZXYueG1sUEsFBgAAAAAEAAQA9QAAAIgD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611,102;583,25;536,69;502,27;472,26;450,41;444,68;454,91;480,104;500,79;485,85;473,81;465,69;467,54;477,45;492,44;432,25;401,25;340,30;319,23;301,27;291,41;292,58;305,69;322,77;319,86;304,85;293,99;317,104;336,97;344,80;339,63;319,54;311,47;318,40;333,45;226,42;226,102;172,102;167,89;79,102;42,25;21,24;7,34;3,52;10,64;32,74;36,83;24,87;9,79;20,104;42,101;55,88;55,68;47,59;25,50;27,42;38,4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36" style="position:absolute;left:1962;top:851;width:679;height:208;visibility:visible;mso-wrap-style:square;v-text-anchor:top" coordsize="1358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/+kwgAA&#10;ANsAAAAPAAAAZHJzL2Rvd25yZXYueG1sRE9Na8JAEL0X/A/LCF5EN1qQEl2lKlFvpSqex+yYhGZn&#10;4+5q0n/fLRR6m8f7nMWqM7V4kvOVZQWTcQKCOLe64kLB+ZSN3kD4gKyxtkwKvsnDatl7WWCqbcuf&#10;9DyGQsQQ9ikqKENoUil9XpJBP7YNceRu1hkMEbpCaodtDDe1nCbJTBqsODaU2NCmpPzr+DAKprPL&#10;dZ8divVHvbsPnb5ts2G7VWrQ797nIAJ14V/85z7oOP8Vfn+JB8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f/6TCAAAA2wAAAA8AAAAAAAAAAAAAAAAAlw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321,9;340,25;291,65;216,102;265,25;175,27;159,23;145,25;136,32;131,44;131,56;136,65;154,72;162,77;161,84;153,87;142,84;130,98;147,104;163,103;176,97;183,86;183,69;178,62;165,56;152,50;152,44;158,40;166,41;116,25;93,85;93,42;53,1;54,26;33,24;15,33;3,48;0,68;6,85;21,99;41,104;59,77;49,84;38,84;30,81;23,73;21,62;25,52;32,46;42,43;54,46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  <w10:anchorlock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left:0;text-align:left;margin-left:134.3pt;margin-top:643.55pt;width:403.95pt;height:72.85pt;z-index:251656704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" filled="f" stroked="f">
            <v:textbox inset="0,0,0,0">
              <w:txbxContent>
                <w:p w:rsidR="00077FF0" w:rsidRPr="006C5577" w:rsidRDefault="00077FF0" w:rsidP="004924DC">
                  <w:r>
                    <w:t>Z</w:t>
                  </w:r>
                  <w:r w:rsidRPr="006C5577">
                    <w:t xml:space="preserve">pracoval: </w:t>
                  </w:r>
                  <w:r>
                    <w:t>o</w:t>
                  </w:r>
                  <w:r w:rsidRPr="006C5577">
                    <w:t>dbor</w:t>
                  </w:r>
                  <w:r>
                    <w:t xml:space="preserve"> Kancelář předsedy, oddělení svodných analýz</w:t>
                  </w:r>
                  <w:r w:rsidRPr="006C5577">
                    <w:t xml:space="preserve"> </w:t>
                  </w:r>
                </w:p>
                <w:p w:rsidR="00077FF0" w:rsidRPr="006C5577" w:rsidRDefault="00077FF0" w:rsidP="004924DC">
                  <w:r w:rsidRPr="006C5577">
                    <w:t xml:space="preserve">Ředitel odboru: </w:t>
                  </w:r>
                  <w:r>
                    <w:t>Egor Sidorov, Ph.D.</w:t>
                  </w:r>
                </w:p>
                <w:p w:rsidR="00077FF0" w:rsidRPr="006C5577" w:rsidRDefault="00077FF0" w:rsidP="004924DC">
                  <w:r w:rsidRPr="006C5577">
                    <w:t xml:space="preserve">Kontaktní osoba: </w:t>
                  </w:r>
                  <w:r>
                    <w:t>Karolína Súkupová</w:t>
                  </w:r>
                  <w:r w:rsidRPr="006C5577">
                    <w:t>,</w:t>
                  </w:r>
                  <w:r>
                    <w:t xml:space="preserve"> e-mail: karolina.sukupova@czso.cz</w:t>
                  </w:r>
                </w:p>
              </w:txbxContent>
            </v:textbox>
            <w10:wrap anchorx="page" anchory="page"/>
            <w10:anchorlock/>
          </v:shape>
        </w:pict>
      </w:r>
      <w:r>
        <w:pict>
          <v:shape id="_x0000_s1028" type="#_x0000_t202" style="position:absolute;left:0;text-align:left;margin-left:134.65pt;margin-top:368.55pt;width:403.9pt;height:132.8pt;z-index:25165568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" filled="f" stroked="f">
            <v:textbox style="mso-fit-shape-to-text:t" inset="0,0,0,0">
              <w:txbxContent>
                <w:p w:rsidR="00077FF0" w:rsidRPr="004924DC" w:rsidRDefault="00077FF0" w:rsidP="004924DC">
                  <w:pPr>
                    <w:pStyle w:val="TLIdentifikace-sted"/>
                  </w:pPr>
                  <w:r>
                    <w:t>souhrnná data o České republice</w:t>
                  </w:r>
                </w:p>
                <w:p w:rsidR="00077FF0" w:rsidRPr="004924DC" w:rsidRDefault="00077FF0" w:rsidP="004924DC">
                  <w:pPr>
                    <w:pStyle w:val="TLIdentifikace-sted"/>
                  </w:pPr>
                  <w:r>
                    <w:t>Praha, 20. 9. 2018</w:t>
                  </w:r>
                </w:p>
                <w:p w:rsidR="00077FF0" w:rsidRPr="004924DC" w:rsidRDefault="00077FF0" w:rsidP="004924DC">
                  <w:pPr>
                    <w:pStyle w:val="TLIdentifikace-sted"/>
                  </w:pPr>
                  <w:r w:rsidRPr="004924DC">
                    <w:t xml:space="preserve">Kód publikace: </w:t>
                  </w:r>
                  <w:r>
                    <w:t>320193-18</w:t>
                  </w:r>
                </w:p>
                <w:p w:rsidR="00077FF0" w:rsidRPr="004924DC" w:rsidRDefault="00077FF0" w:rsidP="004924DC">
                  <w:pPr>
                    <w:pStyle w:val="TLIdentifikace-sted"/>
                  </w:pPr>
                  <w:r w:rsidRPr="004924DC">
                    <w:t>Č.</w:t>
                  </w:r>
                  <w:r>
                    <w:t> </w:t>
                  </w:r>
                  <w:r w:rsidRPr="004924DC">
                    <w:t xml:space="preserve">j.: </w:t>
                  </w:r>
                  <w:r>
                    <w:t>CSU – 02744/2018-01</w:t>
                  </w:r>
                </w:p>
                <w:p w:rsidR="00077FF0" w:rsidRPr="004924DC" w:rsidRDefault="00077FF0" w:rsidP="004924DC">
                  <w:pPr>
                    <w:pStyle w:val="TLIdentifikace-sted"/>
                  </w:pPr>
                  <w:r w:rsidRPr="004924DC">
                    <w:t>Pořadové číslo v</w:t>
                  </w:r>
                  <w:r>
                    <w:t> </w:t>
                  </w:r>
                  <w:r w:rsidRPr="004924DC">
                    <w:t xml:space="preserve">roce: </w:t>
                  </w:r>
                  <w:r>
                    <w:t>2</w:t>
                  </w:r>
                </w:p>
              </w:txbxContent>
            </v:textbox>
            <w10:wrap anchorx="page" anchory="page"/>
            <w10:anchorlock/>
          </v:shape>
        </w:pict>
      </w:r>
      <w:r>
        <w:pict>
          <v:shape id="_x0000_s1027" type="#_x0000_t202" style="position:absolute;left:0;text-align:left;margin-left:134.65pt;margin-top:116.25pt;width:403.9pt;height:173.85pt;z-index:251654656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" filled="f" stroked="f">
            <v:textbox style="mso-fit-shape-to-text:t" inset="0,0,0,0">
              <w:txbxContent>
                <w:p w:rsidR="00077FF0" w:rsidRPr="000E6FBD" w:rsidRDefault="00077FF0" w:rsidP="000E6FBD">
                  <w:pPr>
                    <w:pStyle w:val="Nzev"/>
                  </w:pPr>
                  <w:r>
                    <w:t>Vývoj ekonomiky české republiky</w:t>
                  </w:r>
                </w:p>
                <w:p w:rsidR="00077FF0" w:rsidRPr="0012192F" w:rsidRDefault="00077FF0" w:rsidP="0012192F">
                  <w:pPr>
                    <w:pStyle w:val="Podtitul"/>
                  </w:pPr>
                </w:p>
                <w:p w:rsidR="00077FF0" w:rsidRPr="0012192F" w:rsidRDefault="00077FF0" w:rsidP="0012192F">
                  <w:pPr>
                    <w:pStyle w:val="Podtitul"/>
                  </w:pPr>
                  <w:r>
                    <w:t>1. pololetí 2018</w:t>
                  </w:r>
                </w:p>
              </w:txbxContent>
            </v:textbox>
            <w10:wrap anchorx="page" anchory="page"/>
            <w10:anchorlock/>
          </v:shape>
        </w:pict>
      </w:r>
      <w:r>
        <w:pict>
          <v:shape id="_x0000_s1037" type="#_x0000_t202" style="position:absolute;left:0;text-align:left;margin-left:134.65pt;margin-top:759.8pt;width:403.95pt;height:14.15pt;z-index:25165875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" filled="f" stroked="f">
            <v:textbox inset="0,0,0,0">
              <w:txbxContent>
                <w:p w:rsidR="00077FF0" w:rsidRPr="004924DC" w:rsidRDefault="00077FF0" w:rsidP="004924DC">
                  <w:r w:rsidRPr="004924DC">
                    <w:t xml:space="preserve">© Český statistický úřad, </w:t>
                  </w:r>
                  <w:r>
                    <w:t>Praha</w:t>
                  </w:r>
                  <w:r w:rsidRPr="004924DC">
                    <w:t xml:space="preserve">, </w:t>
                  </w:r>
                  <w:r>
                    <w:t>2018</w:t>
                  </w:r>
                </w:p>
                <w:p w:rsidR="00077FF0" w:rsidRPr="005251DD" w:rsidRDefault="00077FF0" w:rsidP="00665BA4"/>
                <w:p w:rsidR="00077FF0" w:rsidRPr="005251DD" w:rsidRDefault="00077FF0" w:rsidP="00FC684B"/>
                <w:p w:rsidR="00077FF0" w:rsidRDefault="00077FF0"/>
                <w:p w:rsidR="00077FF0" w:rsidRPr="00097407" w:rsidRDefault="00077FF0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 xml:space="preserve">Czech </w:t>
                  </w:r>
                  <w:r w:rsidRPr="009A1902">
                    <w:rPr>
                      <w:rFonts w:cs="Arial"/>
                      <w:i/>
                      <w:szCs w:val="20"/>
                    </w:rPr>
                    <w:t>Statistical Office</w:t>
                  </w:r>
                  <w:r w:rsidRPr="00097407">
                    <w:t>, místo, rok vydání</w:t>
                  </w:r>
                </w:p>
                <w:p w:rsidR="00077FF0" w:rsidRPr="005251DD" w:rsidRDefault="00077FF0" w:rsidP="00665BA4"/>
                <w:p w:rsidR="00077FF0" w:rsidRPr="005251DD" w:rsidRDefault="00077FF0" w:rsidP="00FC684B"/>
              </w:txbxContent>
            </v:textbox>
            <w10:wrap anchorx="page" anchory="page"/>
            <w10:anchorlock/>
          </v:shape>
        </w:pict>
      </w:r>
      <w:r>
        <w:pict>
          <v:line id="Přímá spojnice 33" o:spid="_x0000_s1026" style="position:absolute;left:0;text-align:left;z-index:251653632;visibility:visible;mso-wrap-distance-top:-6e-5mm;mso-wrap-distance-bottom:-6e-5mm;mso-position-horizontal-relative:page;mso-position-vertical-relative:page;mso-width-relative:margin;mso-height-relative:margin" from="134.65pt,737.1pt" to="538.6pt,73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" o:allowincell="f" strokecolor="windowText" strokeweight="1pt">
            <o:lock v:ext="edit" shapetype="f"/>
            <w10:wrap anchorx="page" anchory="page"/>
            <w10:anchorlock/>
          </v:line>
        </w:pict>
      </w:r>
      <w:r w:rsidR="00F63FB7" w:rsidRPr="009110F7">
        <w:br w:type="page"/>
      </w:r>
      <w:r w:rsidR="00D57677" w:rsidRPr="009110F7">
        <w:lastRenderedPageBreak/>
        <w:br w:type="page"/>
      </w:r>
      <w:r>
        <w:pict>
          <v:shape id="_x0000_s1038" type="#_x0000_t202" style="position:absolute;left:0;text-align:left;margin-left:57pt;margin-top:113.4pt;width:481.85pt;height:604.2pt;z-index:251659776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" filled="f" stroked="f">
            <v:textbox style="mso-fit-shape-to-text:t" inset="0,0,0,0">
              <w:txbxContent>
                <w:p w:rsidR="00077FF0" w:rsidRPr="006F5416" w:rsidRDefault="00077FF0" w:rsidP="006F5416">
                  <w:pPr>
                    <w:pStyle w:val="TLKontaktyerven"/>
                  </w:pPr>
                  <w:r w:rsidRPr="006F5416">
                    <w:t>KONTAKTY V ÚSTŘEDÍ</w:t>
                  </w:r>
                </w:p>
                <w:p w:rsidR="00077FF0" w:rsidRPr="007D40DF" w:rsidRDefault="00077FF0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66223">
                    <w:t>Český statistický úřad</w:t>
                  </w:r>
                  <w:r w:rsidRPr="007D40DF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 81, 100 82 Praha</w:t>
                  </w:r>
                  <w:r w:rsidRPr="007D40DF">
                    <w:rPr>
                      <w:b w:val="0"/>
                      <w:color w:val="auto"/>
                    </w:rPr>
                    <w:t> </w:t>
                  </w:r>
                  <w:r>
                    <w:rPr>
                      <w:b w:val="0"/>
                      <w:color w:val="auto"/>
                    </w:rPr>
                    <w:t xml:space="preserve">10, </w:t>
                  </w:r>
                  <w:r w:rsidRPr="007D40DF">
                    <w:rPr>
                      <w:b w:val="0"/>
                      <w:color w:val="auto"/>
                    </w:rPr>
                    <w:t xml:space="preserve">tel.: 274 051 111 | </w:t>
                  </w:r>
                  <w:r w:rsidRPr="007D40DF">
                    <w:rPr>
                      <w:color w:val="auto"/>
                    </w:rPr>
                    <w:t>www.czso.cz</w:t>
                  </w:r>
                </w:p>
                <w:p w:rsidR="00077FF0" w:rsidRPr="00D235B7" w:rsidRDefault="00077FF0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Oddělení informačních služeb</w:t>
                  </w:r>
                  <w:r w:rsidRPr="00D235B7">
                    <w:rPr>
                      <w:b w:val="0"/>
                      <w:color w:val="auto"/>
                    </w:rPr>
                    <w:t xml:space="preserve"> | tel.: 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052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304, 274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052 451 | e-mail: infoservis@czso.cz</w:t>
                  </w:r>
                </w:p>
                <w:p w:rsidR="00077FF0" w:rsidRPr="00D235B7" w:rsidRDefault="00077FF0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Prodejna publikací ČSÚ</w:t>
                  </w:r>
                  <w:r w:rsidRPr="00D235B7">
                    <w:rPr>
                      <w:b w:val="0"/>
                      <w:color w:val="auto"/>
                    </w:rPr>
                    <w:t xml:space="preserve"> | tel.: 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052 361 | e-mail: prodejna@czso.cz</w:t>
                  </w:r>
                </w:p>
                <w:p w:rsidR="00077FF0" w:rsidRPr="00D235B7" w:rsidRDefault="00077FF0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Evropská data (ESDS), mezinárodní srovnání</w:t>
                  </w:r>
                  <w:r w:rsidRPr="00D235B7">
                    <w:rPr>
                      <w:b w:val="0"/>
                      <w:color w:val="auto"/>
                    </w:rPr>
                    <w:t xml:space="preserve"> | tel.: 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052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347, 274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052 757 | e-mail: esds@czso.cz</w:t>
                  </w:r>
                </w:p>
                <w:p w:rsidR="00077FF0" w:rsidRPr="00D235B7" w:rsidRDefault="00077FF0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Ústřední statistická knihovna</w:t>
                  </w:r>
                  <w:r w:rsidRPr="00D235B7">
                    <w:rPr>
                      <w:b w:val="0"/>
                      <w:color w:val="auto"/>
                    </w:rPr>
                    <w:t xml:space="preserve"> | tel.: 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D235B7">
                    <w:rPr>
                      <w:b w:val="0"/>
                      <w:color w:val="auto"/>
                    </w:rPr>
                    <w:t>052 361 | e-mail: knihovna@czso.cz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color w:val="auto"/>
                    </w:rPr>
                  </w:pPr>
                </w:p>
                <w:p w:rsidR="00077FF0" w:rsidRPr="00D66223" w:rsidRDefault="00077FF0" w:rsidP="00D66223">
                  <w:pPr>
                    <w:pStyle w:val="TLKontaktyerven"/>
                  </w:pPr>
                  <w:r w:rsidRPr="00D66223">
                    <w:t>INFORMAČNÍ SLUŽBY V REGIONECH</w:t>
                  </w:r>
                </w:p>
                <w:p w:rsidR="00077FF0" w:rsidRPr="00992CF3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Hl. m. Praha</w:t>
                  </w:r>
                  <w:r w:rsidRPr="00992CF3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 81, 100 82 Praha 10,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274 052 673, </w:t>
                  </w:r>
                  <w:r w:rsidRPr="00992CF3">
                    <w:rPr>
                      <w:b w:val="0"/>
                      <w:color w:val="auto"/>
                    </w:rPr>
                    <w:t>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054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223</w:t>
                  </w:r>
                </w:p>
                <w:p w:rsidR="00077FF0" w:rsidRPr="00992CF3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infoservispraha@czso.cz | </w:t>
                  </w:r>
                  <w:r w:rsidRPr="00992CF3">
                    <w:rPr>
                      <w:color w:val="auto"/>
                    </w:rPr>
                    <w:t>www.praha.czso.cz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77FF0" w:rsidRPr="00992CF3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Středočeský kraj</w:t>
                  </w:r>
                  <w:r w:rsidRPr="00992CF3">
                    <w:rPr>
                      <w:b w:val="0"/>
                      <w:color w:val="auto"/>
                    </w:rPr>
                    <w:t xml:space="preserve"> | Na padesátém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81, 100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82 Praha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10,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274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054 175</w:t>
                  </w:r>
                </w:p>
                <w:p w:rsidR="00077FF0" w:rsidRPr="00992CF3" w:rsidRDefault="00077FF0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infoservisstc@czso.cz | </w:t>
                  </w:r>
                  <w:r w:rsidRPr="00992CF3">
                    <w:rPr>
                      <w:color w:val="auto"/>
                    </w:rPr>
                    <w:t>www.stredocesky.czso.cz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77FF0" w:rsidRPr="00992CF3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České Budějovice</w:t>
                  </w:r>
                  <w:r w:rsidRPr="00992CF3">
                    <w:rPr>
                      <w:b w:val="0"/>
                      <w:color w:val="auto"/>
                    </w:rPr>
                    <w:t xml:space="preserve"> | Žižkova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1, 370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77 České Budějovice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386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992CF3">
                    <w:rPr>
                      <w:b w:val="0"/>
                      <w:color w:val="auto"/>
                    </w:rPr>
                    <w:t>718 440</w:t>
                  </w:r>
                </w:p>
                <w:p w:rsidR="00077FF0" w:rsidRPr="00992CF3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infoserviscb@czso.cz | </w:t>
                  </w:r>
                  <w:r w:rsidRPr="00992CF3">
                    <w:rPr>
                      <w:color w:val="auto"/>
                    </w:rPr>
                    <w:t>www.cbudejovice.czso.cz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77FF0" w:rsidRPr="00BC731E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Plzeň</w:t>
                  </w:r>
                  <w:r w:rsidRPr="004A61C5">
                    <w:rPr>
                      <w:b w:val="0"/>
                      <w:color w:val="auto"/>
                    </w:rPr>
                    <w:t xml:space="preserve"> | Slovanská alej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36, 326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64 Plzeň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377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612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108</w:t>
                  </w:r>
                  <w:r w:rsidRPr="00BC731E">
                    <w:rPr>
                      <w:b w:val="0"/>
                      <w:color w:val="auto"/>
                    </w:rPr>
                    <w:t>, 377 612 145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infoservisplzen@czso.cz | </w:t>
                  </w:r>
                  <w:r w:rsidRPr="004A61C5">
                    <w:rPr>
                      <w:color w:val="auto"/>
                    </w:rPr>
                    <w:t>www.plzen.czso.cz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Karlovy Vary</w:t>
                  </w:r>
                  <w:r w:rsidRPr="004A61C5">
                    <w:rPr>
                      <w:b w:val="0"/>
                      <w:color w:val="auto"/>
                    </w:rPr>
                    <w:t xml:space="preserve"> | </w:t>
                  </w:r>
                  <w:r w:rsidRPr="00095135">
                    <w:rPr>
                      <w:b w:val="0"/>
                      <w:color w:val="auto"/>
                    </w:rPr>
                    <w:t>Závodní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095135">
                    <w:rPr>
                      <w:b w:val="0"/>
                      <w:color w:val="auto"/>
                    </w:rPr>
                    <w:t>360/94, 360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095135">
                    <w:rPr>
                      <w:b w:val="0"/>
                      <w:color w:val="auto"/>
                    </w:rPr>
                    <w:t>06 Karlovy Vary</w:t>
                  </w:r>
                  <w:r w:rsidRPr="004A61C5">
                    <w:rPr>
                      <w:b w:val="0"/>
                      <w:color w:val="auto"/>
                    </w:rPr>
                    <w:t>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353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114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529, 353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114 525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infoserviskv@czso.cz | </w:t>
                  </w:r>
                  <w:r w:rsidRPr="004A61C5">
                    <w:rPr>
                      <w:color w:val="auto"/>
                    </w:rPr>
                    <w:t>www.kvary.czso.cz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Ústí nad Labem</w:t>
                  </w:r>
                  <w:r w:rsidRPr="004A61C5">
                    <w:rPr>
                      <w:b w:val="0"/>
                      <w:color w:val="auto"/>
                    </w:rPr>
                    <w:t xml:space="preserve"> | Špálova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2684, 400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11 Ústí nad Labem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472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706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176,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472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706 121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infoservisul@czso.cz | </w:t>
                  </w:r>
                  <w:r w:rsidRPr="004A61C5">
                    <w:rPr>
                      <w:color w:val="auto"/>
                    </w:rPr>
                    <w:t>www.ustinadlabem.czso.cz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Liberec</w:t>
                  </w:r>
                  <w:r w:rsidRPr="004A61C5">
                    <w:rPr>
                      <w:b w:val="0"/>
                      <w:color w:val="auto"/>
                    </w:rPr>
                    <w:t xml:space="preserve"> | </w:t>
                  </w:r>
                  <w:r>
                    <w:rPr>
                      <w:b w:val="0"/>
                      <w:color w:val="auto"/>
                    </w:rPr>
                    <w:t>n</w:t>
                  </w:r>
                  <w:r w:rsidRPr="004A61C5">
                    <w:rPr>
                      <w:b w:val="0"/>
                      <w:color w:val="auto"/>
                    </w:rPr>
                    <w:t>ám. Dr.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Edvarda Beneše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585/26, 460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01 Liberec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485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238 811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infoservislbc@czso.cz | </w:t>
                  </w:r>
                  <w:r w:rsidRPr="004A61C5">
                    <w:rPr>
                      <w:color w:val="auto"/>
                    </w:rPr>
                    <w:t>www.liberec.czso.cz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Hradec Králové</w:t>
                  </w:r>
                  <w:r w:rsidRPr="004A61C5">
                    <w:rPr>
                      <w:b w:val="0"/>
                      <w:color w:val="auto"/>
                    </w:rPr>
                    <w:t xml:space="preserve"> | Myslivečkova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914, 500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03 Hradec Králové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 xml:space="preserve">3, </w:t>
                  </w:r>
                  <w:r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762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322,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762 317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infoservishk@czso.cz | </w:t>
                  </w:r>
                  <w:r w:rsidRPr="004A61C5">
                    <w:rPr>
                      <w:color w:val="auto"/>
                    </w:rPr>
                    <w:t>www.hradeckralove.czso.cz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Pardubice</w:t>
                  </w:r>
                  <w:r w:rsidRPr="004A61C5">
                    <w:rPr>
                      <w:b w:val="0"/>
                      <w:color w:val="auto"/>
                    </w:rPr>
                    <w:t xml:space="preserve"> | V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Ráji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872, 531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53 Pardubice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>:</w:t>
                  </w:r>
                  <w:r w:rsidRPr="004A61C5">
                    <w:rPr>
                      <w:b w:val="0"/>
                      <w:color w:val="auto"/>
                    </w:rPr>
                    <w:t xml:space="preserve"> 466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743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480, 466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743 418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infoservispa@czso.cz | </w:t>
                  </w:r>
                  <w:r w:rsidRPr="004A61C5">
                    <w:rPr>
                      <w:color w:val="auto"/>
                    </w:rPr>
                    <w:t>www.pardubice.czso.cz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Jihlava</w:t>
                  </w:r>
                  <w:r w:rsidRPr="004A61C5">
                    <w:rPr>
                      <w:b w:val="0"/>
                      <w:color w:val="auto"/>
                    </w:rPr>
                    <w:t xml:space="preserve"> | Ke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Skalce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30,</w:t>
                  </w:r>
                  <w:r>
                    <w:rPr>
                      <w:b w:val="0"/>
                      <w:color w:val="auto"/>
                    </w:rPr>
                    <w:t xml:space="preserve"> 586 01 Jihlava, tel.: </w:t>
                  </w:r>
                  <w:r w:rsidRPr="004A61C5">
                    <w:rPr>
                      <w:b w:val="0"/>
                      <w:color w:val="auto"/>
                    </w:rPr>
                    <w:t>567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109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062, 567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109 073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infoservisvys@czso.cz | </w:t>
                  </w:r>
                  <w:r w:rsidRPr="004A61C5">
                    <w:rPr>
                      <w:color w:val="auto"/>
                    </w:rPr>
                    <w:t>www.jihlava.czso.cz</w:t>
                  </w:r>
                </w:p>
                <w:p w:rsidR="00077FF0" w:rsidRDefault="00077FF0" w:rsidP="00825C4D">
                  <w:pPr>
                    <w:pStyle w:val="TLKontakty"/>
                    <w:spacing w:after="80" w:line="240" w:lineRule="auto"/>
                  </w:pPr>
                </w:p>
                <w:p w:rsidR="00077FF0" w:rsidRPr="00BC731E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Brno</w:t>
                  </w:r>
                  <w:r w:rsidRPr="004A61C5">
                    <w:rPr>
                      <w:b w:val="0"/>
                      <w:color w:val="auto"/>
                    </w:rPr>
                    <w:t xml:space="preserve"> | Jezuitská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2, 601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 xml:space="preserve">59 Brno, </w:t>
                  </w:r>
                  <w:r>
                    <w:rPr>
                      <w:b w:val="0"/>
                      <w:color w:val="auto"/>
                    </w:rPr>
                    <w:t xml:space="preserve">tel: </w:t>
                  </w:r>
                  <w:r w:rsidRPr="004A61C5">
                    <w:rPr>
                      <w:b w:val="0"/>
                      <w:color w:val="auto"/>
                    </w:rPr>
                    <w:t>542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4A61C5">
                    <w:rPr>
                      <w:b w:val="0"/>
                      <w:color w:val="auto"/>
                    </w:rPr>
                    <w:t>528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115, 542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528 200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infoservisbrno@czso.cz | </w:t>
                  </w:r>
                  <w:r w:rsidRPr="004A61C5">
                    <w:rPr>
                      <w:color w:val="auto"/>
                    </w:rPr>
                    <w:t>www.brno.czso.cz</w:t>
                  </w:r>
                </w:p>
                <w:p w:rsidR="00077FF0" w:rsidRPr="004A61C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077FF0" w:rsidRPr="005E7C78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Olomouc</w:t>
                  </w:r>
                  <w:r w:rsidRPr="005E7C78">
                    <w:rPr>
                      <w:b w:val="0"/>
                      <w:color w:val="auto"/>
                    </w:rPr>
                    <w:t xml:space="preserve"> | Jeremenkova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1142/42, 772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 xml:space="preserve">11 Olomouc, </w:t>
                  </w:r>
                  <w:r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585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731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516, 585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731 511</w:t>
                  </w:r>
                </w:p>
                <w:p w:rsidR="00077FF0" w:rsidRPr="005E7C78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infoservisolom@czso.cz | </w:t>
                  </w:r>
                  <w:r w:rsidRPr="005E7C78">
                    <w:rPr>
                      <w:color w:val="auto"/>
                    </w:rPr>
                    <w:t>www.olomouc.czso.cz</w:t>
                  </w:r>
                </w:p>
                <w:p w:rsidR="00077FF0" w:rsidRPr="005E7C78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077FF0" w:rsidRPr="005E7C78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Zlín</w:t>
                  </w:r>
                  <w:r w:rsidRPr="005E7C78">
                    <w:rPr>
                      <w:b w:val="0"/>
                      <w:color w:val="auto"/>
                    </w:rPr>
                    <w:t xml:space="preserve"> | tř.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Tomáše Bati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1565, 761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 xml:space="preserve">76 Zlín, </w:t>
                  </w:r>
                  <w:r w:rsidRPr="00BC731E">
                    <w:rPr>
                      <w:b w:val="0"/>
                      <w:color w:val="auto"/>
                    </w:rPr>
                    <w:t>tel.: 577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BC731E">
                    <w:rPr>
                      <w:b w:val="0"/>
                      <w:color w:val="auto"/>
                    </w:rPr>
                    <w:t>004 932, 5</w:t>
                  </w:r>
                  <w:r w:rsidRPr="005E7C78">
                    <w:rPr>
                      <w:b w:val="0"/>
                      <w:color w:val="auto"/>
                    </w:rPr>
                    <w:t>77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004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935</w:t>
                  </w:r>
                </w:p>
                <w:p w:rsidR="00077FF0" w:rsidRDefault="00077FF0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infoservis-zl@czso.cz | </w:t>
                  </w:r>
                  <w:r w:rsidRPr="00227A53">
                    <w:rPr>
                      <w:color w:val="auto"/>
                    </w:rPr>
                    <w:t>www.zlin.czso.cz</w:t>
                  </w:r>
                </w:p>
                <w:p w:rsidR="00077FF0" w:rsidRPr="005E7C78" w:rsidRDefault="00077FF0" w:rsidP="00095135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077FF0" w:rsidRPr="005E7C78" w:rsidRDefault="00077FF0" w:rsidP="00095135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Ostrava</w:t>
                  </w:r>
                  <w:r w:rsidRPr="005E7C78">
                    <w:rPr>
                      <w:b w:val="0"/>
                      <w:color w:val="auto"/>
                    </w:rPr>
                    <w:t xml:space="preserve"> | Repinova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17, 702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03 Ostrava,</w:t>
                  </w:r>
                  <w:r>
                    <w:rPr>
                      <w:b w:val="0"/>
                      <w:color w:val="auto"/>
                    </w:rPr>
                    <w:t xml:space="preserve"> tel.: </w:t>
                  </w:r>
                  <w:r w:rsidRPr="005E7C78">
                    <w:rPr>
                      <w:b w:val="0"/>
                      <w:color w:val="auto"/>
                    </w:rPr>
                    <w:t>595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131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230, 595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131</w:t>
                  </w:r>
                  <w:r>
                    <w:rPr>
                      <w:b w:val="0"/>
                      <w:color w:val="auto"/>
                    </w:rPr>
                    <w:t> </w:t>
                  </w:r>
                  <w:r w:rsidRPr="005E7C78">
                    <w:rPr>
                      <w:b w:val="0"/>
                      <w:color w:val="auto"/>
                    </w:rPr>
                    <w:t>232</w:t>
                  </w:r>
                </w:p>
                <w:p w:rsidR="00077FF0" w:rsidRPr="00095135" w:rsidRDefault="00077FF0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infoservis_ov@czso.cz | </w:t>
                  </w:r>
                  <w:r w:rsidRPr="005E7C78">
                    <w:rPr>
                      <w:color w:val="auto"/>
                    </w:rPr>
                    <w:t>www.ostrava.czso.cz</w:t>
                  </w:r>
                </w:p>
              </w:txbxContent>
            </v:textbox>
            <w10:wrap anchorx="page" anchory="page"/>
            <w10:anchorlock/>
          </v:shape>
        </w:pict>
      </w:r>
      <w:r>
        <w:pict>
          <v:shape id="_x0000_s1040" type="#_x0000_t202" style="position:absolute;left:0;text-align:left;margin-left:56.7pt;margin-top:747pt;width:481.9pt;height:28.35pt;z-index:251661824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" filled="f" stroked="f">
            <v:textbox inset="0,0,0,0">
              <w:txbxContent>
                <w:p w:rsidR="00077FF0" w:rsidRPr="00321924" w:rsidRDefault="00077FF0" w:rsidP="00A16E1D">
                  <w:pPr>
                    <w:jc w:val="left"/>
                  </w:pPr>
                  <w:r w:rsidRPr="00321924">
                    <w:br/>
                    <w:t xml:space="preserve">© Český statistický úřad, </w:t>
                  </w:r>
                  <w:r>
                    <w:t>Praha, 2018</w:t>
                  </w:r>
                </w:p>
                <w:p w:rsidR="00077FF0" w:rsidRDefault="00077FF0"/>
                <w:p w:rsidR="00077FF0" w:rsidRPr="00841D9F" w:rsidRDefault="00077FF0" w:rsidP="000A3A2C">
                  <w:r w:rsidRPr="00841D9F">
                    <w:rPr>
                      <w:szCs w:val="26"/>
                    </w:rPr>
                    <w:t>ISBN XX-XXXX-XXX-X</w:t>
                  </w:r>
                  <w:r>
                    <w:rPr>
                      <w:szCs w:val="26"/>
                    </w:rPr>
                    <w:t> </w:t>
                  </w:r>
                  <w:r w:rsidRPr="00841D9F">
                    <w:rPr>
                      <w:szCs w:val="26"/>
                    </w:rPr>
                    <w:t xml:space="preserve"> </w:t>
                  </w:r>
                  <w:r w:rsidRPr="00841D9F">
                    <w:t>(pouze u</w:t>
                  </w:r>
                  <w:r>
                    <w:t> </w:t>
                  </w:r>
                  <w:r w:rsidRPr="00841D9F">
                    <w:t>nepravidelných a ročních publikací)</w:t>
                  </w:r>
                </w:p>
                <w:p w:rsidR="00077FF0" w:rsidRPr="00AF2852" w:rsidRDefault="00077FF0" w:rsidP="000A3A2C">
                  <w:r w:rsidRPr="00841D9F">
                    <w:t>© Český sta</w:t>
                  </w:r>
                  <w:r>
                    <w:t xml:space="preserve">tistický úřad / </w:t>
                  </w:r>
                  <w:r w:rsidRPr="009A1902">
                    <w:rPr>
                      <w:i/>
                    </w:rPr>
                    <w:t xml:space="preserve">Czech </w:t>
                  </w:r>
                  <w:r w:rsidRPr="009A1902">
                    <w:rPr>
                      <w:rFonts w:cs="Arial"/>
                      <w:i/>
                      <w:szCs w:val="20"/>
                    </w:rPr>
                    <w:t>Statistical Office</w:t>
                  </w:r>
                  <w:r>
                    <w:t>, místo, rok vydání</w:t>
                  </w:r>
                </w:p>
              </w:txbxContent>
            </v:textbox>
            <w10:wrap anchorx="page" anchory="page"/>
            <w10:anchorlock/>
          </v:shape>
        </w:pict>
      </w:r>
      <w:r>
        <w:pict>
          <v:shape id="_x0000_s1039" type="#_x0000_t202" style="position:absolute;left:0;text-align:left;margin-left:56.95pt;margin-top:56.95pt;width:481.85pt;height:43.75pt;z-index:25166080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" filled="f" stroked="f">
            <v:textbox style="mso-fit-shape-to-text:t" inset="0,0,0,0">
              <w:txbxContent>
                <w:p w:rsidR="00077FF0" w:rsidRPr="009A1902" w:rsidRDefault="00077FF0" w:rsidP="000A3A2C">
                  <w:pPr>
                    <w:rPr>
                      <w:b/>
                      <w:bCs/>
                      <w:i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>Zajímají Vás nejnovější údaje o</w:t>
                  </w:r>
                  <w:r>
                    <w:rPr>
                      <w:b/>
                      <w:color w:val="0071BC"/>
                      <w:sz w:val="24"/>
                    </w:rPr>
                    <w:t> </w:t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inflaci, HDP, obyvatelstvu, průměrných mzdách </w:t>
                  </w:r>
                  <w:r>
                    <w:rPr>
                      <w:b/>
                      <w:color w:val="0071BC"/>
                      <w:sz w:val="24"/>
                    </w:rPr>
                    <w:br/>
                  </w:r>
                  <w:r w:rsidRPr="00B95F50">
                    <w:rPr>
                      <w:b/>
                      <w:color w:val="0071BC"/>
                      <w:sz w:val="24"/>
                    </w:rPr>
                    <w:t>a</w:t>
                  </w:r>
                  <w:r>
                    <w:rPr>
                      <w:b/>
                      <w:color w:val="0071BC"/>
                      <w:sz w:val="24"/>
                    </w:rPr>
                    <w:t> </w:t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mnohé další? Najdete je na stránkách ČSÚ na internetu: </w:t>
                  </w:r>
                  <w:r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</w:p>
    <w:sdt>
      <w:sdtPr>
        <w:rPr>
          <w:b w:val="0"/>
          <w:color w:val="auto"/>
          <w:sz w:val="20"/>
        </w:rPr>
        <w:id w:val="5357999"/>
        <w:docPartObj>
          <w:docPartGallery w:val="Table of Contents"/>
          <w:docPartUnique/>
        </w:docPartObj>
      </w:sdtPr>
      <w:sdtContent>
        <w:p w:rsidR="00867DAB" w:rsidRPr="009110F7" w:rsidRDefault="00867DAB" w:rsidP="00867DAB">
          <w:pPr>
            <w:pStyle w:val="Obsah"/>
          </w:pPr>
          <w:r w:rsidRPr="009110F7">
            <w:t>Obsah</w:t>
          </w:r>
        </w:p>
        <w:p w:rsidR="00A445A8" w:rsidRDefault="00FC3BE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110F7">
            <w:fldChar w:fldCharType="begin"/>
          </w:r>
          <w:r w:rsidR="00867DAB" w:rsidRPr="009110F7">
            <w:instrText xml:space="preserve"> TOC \o "1-3" \h \z \u </w:instrText>
          </w:r>
          <w:r w:rsidRPr="009110F7">
            <w:fldChar w:fldCharType="separate"/>
          </w:r>
          <w:hyperlink w:anchor="_Toc525046020" w:history="1">
            <w:r w:rsidR="00A445A8" w:rsidRPr="00281815">
              <w:rPr>
                <w:rStyle w:val="Hypertextovodkaz"/>
                <w:noProof/>
              </w:rPr>
              <w:t>1. Shrnutí</w:t>
            </w:r>
            <w:r w:rsidR="00A445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45A8">
              <w:rPr>
                <w:noProof/>
                <w:webHidden/>
              </w:rPr>
              <w:instrText xml:space="preserve"> PAGEREF _Toc525046020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5A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45A8" w:rsidRDefault="00FC3BE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6021" w:history="1">
            <w:r w:rsidR="00A445A8" w:rsidRPr="00281815">
              <w:rPr>
                <w:rStyle w:val="Hypertextovodkaz"/>
                <w:noProof/>
              </w:rPr>
              <w:t>2. Souhrnná výkonnost</w:t>
            </w:r>
            <w:r w:rsidR="00A445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45A8">
              <w:rPr>
                <w:noProof/>
                <w:webHidden/>
              </w:rPr>
              <w:instrText xml:space="preserve"> PAGEREF _Toc525046021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5A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45A8" w:rsidRDefault="00FC3BE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6022" w:history="1">
            <w:r w:rsidR="00A445A8" w:rsidRPr="00281815">
              <w:rPr>
                <w:rStyle w:val="Hypertextovodkaz"/>
                <w:noProof/>
              </w:rPr>
              <w:t>3. Výkonnost odvětví</w:t>
            </w:r>
            <w:r w:rsidR="00A445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45A8">
              <w:rPr>
                <w:noProof/>
                <w:webHidden/>
              </w:rPr>
              <w:instrText xml:space="preserve"> PAGEREF _Toc525046022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5A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45A8" w:rsidRDefault="00FC3BE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6023" w:history="1">
            <w:r w:rsidR="00A445A8" w:rsidRPr="00281815">
              <w:rPr>
                <w:rStyle w:val="Hypertextovodkaz"/>
                <w:noProof/>
              </w:rPr>
              <w:t>4. Vnější vztahy</w:t>
            </w:r>
            <w:r w:rsidR="00A445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45A8">
              <w:rPr>
                <w:noProof/>
                <w:webHidden/>
              </w:rPr>
              <w:instrText xml:space="preserve"> PAGEREF _Toc525046023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5A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45A8" w:rsidRDefault="00FC3BE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6024" w:history="1">
            <w:r w:rsidR="00A445A8" w:rsidRPr="00281815">
              <w:rPr>
                <w:rStyle w:val="Hypertextovodkaz"/>
                <w:noProof/>
              </w:rPr>
              <w:t>5. Ceny</w:t>
            </w:r>
            <w:r w:rsidR="00A445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45A8">
              <w:rPr>
                <w:noProof/>
                <w:webHidden/>
              </w:rPr>
              <w:instrText xml:space="preserve"> PAGEREF _Toc525046024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5A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45A8" w:rsidRDefault="00FC3BE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6025" w:history="1">
            <w:r w:rsidR="00A445A8" w:rsidRPr="00281815">
              <w:rPr>
                <w:rStyle w:val="Hypertextovodkaz"/>
                <w:noProof/>
              </w:rPr>
              <w:t>6. Trh práce</w:t>
            </w:r>
            <w:r w:rsidR="00A445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45A8">
              <w:rPr>
                <w:noProof/>
                <w:webHidden/>
              </w:rPr>
              <w:instrText xml:space="preserve"> PAGEREF _Toc525046025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5A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45A8" w:rsidRDefault="00FC3BE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6026" w:history="1">
            <w:r w:rsidR="00A445A8" w:rsidRPr="00281815">
              <w:rPr>
                <w:rStyle w:val="Hypertextovodkaz"/>
                <w:noProof/>
              </w:rPr>
              <w:t>7. Měnové podmínky</w:t>
            </w:r>
            <w:r w:rsidR="00A445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45A8">
              <w:rPr>
                <w:noProof/>
                <w:webHidden/>
              </w:rPr>
              <w:instrText xml:space="preserve"> PAGEREF _Toc525046026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5A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45A8" w:rsidRDefault="00FC3BE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6027" w:history="1">
            <w:r w:rsidR="00A445A8" w:rsidRPr="00281815">
              <w:rPr>
                <w:rStyle w:val="Hypertextovodkaz"/>
                <w:noProof/>
              </w:rPr>
              <w:t>8. Státní rozpočet</w:t>
            </w:r>
            <w:r w:rsidR="00A445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45A8">
              <w:rPr>
                <w:noProof/>
                <w:webHidden/>
              </w:rPr>
              <w:instrText xml:space="preserve"> PAGEREF _Toc525046027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5A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DAB" w:rsidRPr="009110F7" w:rsidRDefault="00FC3BEC">
          <w:r w:rsidRPr="009110F7">
            <w:fldChar w:fldCharType="end"/>
          </w:r>
        </w:p>
      </w:sdtContent>
    </w:sdt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  <w:r w:rsidRPr="009110F7">
        <w:rPr>
          <w:rFonts w:cs="Arial"/>
          <w:color w:val="000000"/>
        </w:rPr>
        <w:t>Zdroje dat v celé analýze: ČSÚ, MF</w:t>
      </w:r>
      <w:r w:rsidR="00A45489" w:rsidRPr="009110F7">
        <w:rPr>
          <w:rFonts w:cs="Arial"/>
          <w:color w:val="000000"/>
        </w:rPr>
        <w:t> </w:t>
      </w:r>
      <w:r w:rsidRPr="009110F7">
        <w:rPr>
          <w:rFonts w:cs="Arial"/>
          <w:color w:val="000000"/>
        </w:rPr>
        <w:t xml:space="preserve">ČR, ČNB, MPSV, ČSSZ, </w:t>
      </w:r>
      <w:proofErr w:type="spellStart"/>
      <w:r w:rsidRPr="009110F7">
        <w:rPr>
          <w:rFonts w:cs="Arial"/>
          <w:color w:val="000000"/>
        </w:rPr>
        <w:t>Eurostat</w:t>
      </w:r>
      <w:proofErr w:type="spellEnd"/>
      <w:r w:rsidRPr="009110F7">
        <w:rPr>
          <w:rFonts w:cs="Arial"/>
          <w:color w:val="000000"/>
        </w:rPr>
        <w:t>, propočty ČSÚ.</w:t>
      </w:r>
    </w:p>
    <w:p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  <w:r w:rsidRPr="009110F7">
        <w:rPr>
          <w:rFonts w:cs="Arial"/>
          <w:color w:val="000000"/>
        </w:rPr>
        <w:t xml:space="preserve">Poslední informace uváděné v této publikaci pocházejí </w:t>
      </w:r>
      <w:r w:rsidR="00716F48" w:rsidRPr="009110F7">
        <w:rPr>
          <w:rFonts w:cs="Arial"/>
          <w:color w:val="000000"/>
        </w:rPr>
        <w:t>z</w:t>
      </w:r>
      <w:r w:rsidR="00A45489" w:rsidRPr="009110F7">
        <w:rPr>
          <w:rFonts w:cs="Arial"/>
          <w:color w:val="000000"/>
        </w:rPr>
        <w:t>e</w:t>
      </w:r>
      <w:r w:rsidR="00716F48" w:rsidRPr="009110F7">
        <w:rPr>
          <w:rFonts w:cs="Arial"/>
          <w:color w:val="000000"/>
        </w:rPr>
        <w:t> </w:t>
      </w:r>
      <w:r w:rsidRPr="009110F7">
        <w:rPr>
          <w:rFonts w:cs="Arial"/>
          <w:color w:val="000000"/>
        </w:rPr>
        <w:t>1</w:t>
      </w:r>
      <w:r w:rsidR="00716F48" w:rsidRPr="009110F7">
        <w:rPr>
          <w:rFonts w:cs="Arial"/>
          <w:color w:val="000000"/>
        </w:rPr>
        <w:t>4. </w:t>
      </w:r>
      <w:r w:rsidR="00D56FBF">
        <w:rPr>
          <w:rFonts w:cs="Arial"/>
          <w:color w:val="000000"/>
        </w:rPr>
        <w:t>září</w:t>
      </w:r>
      <w:r w:rsidRPr="009110F7">
        <w:rPr>
          <w:rFonts w:cs="Arial"/>
          <w:color w:val="000000"/>
        </w:rPr>
        <w:t xml:space="preserve"> 2018.</w:t>
      </w:r>
    </w:p>
    <w:p w:rsidR="00EE4B1B" w:rsidRPr="009110F7" w:rsidRDefault="00087F2B" w:rsidP="001554C2">
      <w:pPr>
        <w:pStyle w:val="Nadpis11"/>
      </w:pPr>
      <w:r w:rsidRPr="009110F7">
        <w:br w:type="page"/>
      </w:r>
      <w:bookmarkStart w:id="0" w:name="_Toc444112494"/>
      <w:bookmarkStart w:id="1" w:name="_Toc511215208"/>
      <w:r w:rsidR="001554C2" w:rsidRPr="009110F7">
        <w:lastRenderedPageBreak/>
        <w:t xml:space="preserve"> </w:t>
      </w:r>
      <w:bookmarkStart w:id="2" w:name="_Toc525046020"/>
      <w:r w:rsidR="001554C2" w:rsidRPr="009110F7">
        <w:t>1. Shrnutí</w:t>
      </w:r>
      <w:bookmarkEnd w:id="0"/>
      <w:bookmarkEnd w:id="1"/>
      <w:bookmarkEnd w:id="2"/>
    </w:p>
    <w:p w:rsidR="00167CB9" w:rsidRPr="00081A55" w:rsidRDefault="000A7377" w:rsidP="006B0514">
      <w:pPr>
        <w:pStyle w:val="Normalodrka"/>
        <w:spacing w:after="100"/>
      </w:pPr>
      <w:r w:rsidRPr="00081A55">
        <w:t>Meziroční tempo růstu hrubého domácího produktu (HDP) ve 2. čtvrtletí zpomalilo na 2,4</w:t>
      </w:r>
      <w:r w:rsidR="007B0E83">
        <w:t> </w:t>
      </w:r>
      <w:r w:rsidRPr="00081A55">
        <w:t>%</w:t>
      </w:r>
      <w:r w:rsidR="00D43ED2" w:rsidRPr="009110F7">
        <w:rPr>
          <w:rStyle w:val="Znakapoznpodarou"/>
          <w:spacing w:val="-4"/>
          <w:szCs w:val="20"/>
        </w:rPr>
        <w:footnoteReference w:id="1"/>
      </w:r>
      <w:r w:rsidRPr="00081A55">
        <w:t>. Neudržela se totiž vysoká úroveň růstu výdajů na jednotlivé složky HDP. Silně</w:t>
      </w:r>
      <w:r w:rsidR="005856BD">
        <w:t>,</w:t>
      </w:r>
      <w:r w:rsidRPr="00081A55">
        <w:t xml:space="preserve"> i když pomaleji než v minulém roce</w:t>
      </w:r>
      <w:r w:rsidR="007B0E83">
        <w:t>,</w:t>
      </w:r>
      <w:r w:rsidRPr="00081A55">
        <w:t xml:space="preserve"> rostly výdaje na konečnou spotřebu i investiční aktivita. Negativně však zapůsobila změna zásob. Vliv bilance zahraničního obchodu byl pozitivní, ale znatelně slabší než v předchozím roce. Čtvrtletní přírůstek HDP dosáhl 0,7</w:t>
      </w:r>
      <w:r w:rsidR="007B0E83">
        <w:t> %</w:t>
      </w:r>
      <w:r w:rsidRPr="00081A55">
        <w:t>. Z pohledu meziročního růstu se Česko zařadilo těsně nad průměr EU, který činil 2,</w:t>
      </w:r>
      <w:r w:rsidR="00D56FBF">
        <w:t>2</w:t>
      </w:r>
      <w:r w:rsidR="007B0E83">
        <w:t> %</w:t>
      </w:r>
      <w:r w:rsidR="00D56FBF">
        <w:t>.</w:t>
      </w:r>
    </w:p>
    <w:p w:rsidR="004B7125" w:rsidRPr="00C4031A" w:rsidRDefault="003D2A99" w:rsidP="006B0514">
      <w:pPr>
        <w:pStyle w:val="Normalodrka"/>
        <w:spacing w:after="100"/>
        <w:rPr>
          <w:spacing w:val="2"/>
        </w:rPr>
      </w:pPr>
      <w:r w:rsidRPr="00C4031A">
        <w:rPr>
          <w:rFonts w:cs="Arial"/>
          <w:spacing w:val="2"/>
          <w:szCs w:val="20"/>
        </w:rPr>
        <w:t>Hrubá přidaná hodnota (HPH) se ve 2. čtvrtletí meziročně zvýšila o 2,4</w:t>
      </w:r>
      <w:r w:rsidR="007B0E83">
        <w:rPr>
          <w:rFonts w:cs="Arial"/>
          <w:spacing w:val="2"/>
          <w:szCs w:val="20"/>
        </w:rPr>
        <w:t> %</w:t>
      </w:r>
      <w:r w:rsidR="00103DCB" w:rsidRPr="00C4031A">
        <w:rPr>
          <w:rFonts w:cs="Arial"/>
          <w:spacing w:val="2"/>
          <w:szCs w:val="20"/>
        </w:rPr>
        <w:t>.</w:t>
      </w:r>
      <w:r w:rsidRPr="00C4031A">
        <w:rPr>
          <w:rFonts w:cs="Arial"/>
          <w:spacing w:val="2"/>
          <w:szCs w:val="20"/>
        </w:rPr>
        <w:t xml:space="preserve"> </w:t>
      </w:r>
      <w:proofErr w:type="spellStart"/>
      <w:r w:rsidR="00C73C93" w:rsidRPr="00C4031A">
        <w:rPr>
          <w:rFonts w:cs="Arial"/>
          <w:spacing w:val="2"/>
          <w:szCs w:val="20"/>
        </w:rPr>
        <w:t>Mezičtvrtletně</w:t>
      </w:r>
      <w:proofErr w:type="spellEnd"/>
      <w:r w:rsidR="00C73C93" w:rsidRPr="00C4031A">
        <w:rPr>
          <w:rFonts w:cs="Arial"/>
          <w:spacing w:val="2"/>
          <w:szCs w:val="20"/>
        </w:rPr>
        <w:t xml:space="preserve"> HPH vzrostla o 0,5</w:t>
      </w:r>
      <w:r w:rsidR="007B0E83">
        <w:rPr>
          <w:rFonts w:cs="Arial"/>
          <w:spacing w:val="2"/>
          <w:szCs w:val="20"/>
        </w:rPr>
        <w:t> %</w:t>
      </w:r>
      <w:r w:rsidR="00C73C93" w:rsidRPr="00C4031A">
        <w:rPr>
          <w:rFonts w:cs="Arial"/>
          <w:spacing w:val="2"/>
          <w:szCs w:val="20"/>
        </w:rPr>
        <w:t xml:space="preserve"> a mírně překonala tempo EU i sousedního Německa. </w:t>
      </w:r>
      <w:r w:rsidRPr="00C4031A">
        <w:rPr>
          <w:rFonts w:cs="Arial"/>
          <w:spacing w:val="2"/>
          <w:szCs w:val="20"/>
        </w:rPr>
        <w:t xml:space="preserve">Role zpracovatelského průmyslu, který z většiny podporoval růst HPH </w:t>
      </w:r>
      <w:r w:rsidR="00C4031A" w:rsidRPr="00C4031A">
        <w:rPr>
          <w:rFonts w:cs="Arial"/>
          <w:spacing w:val="2"/>
          <w:szCs w:val="20"/>
        </w:rPr>
        <w:t xml:space="preserve">v ČR </w:t>
      </w:r>
      <w:r w:rsidRPr="00C4031A">
        <w:rPr>
          <w:rFonts w:cs="Arial"/>
          <w:spacing w:val="2"/>
          <w:szCs w:val="20"/>
        </w:rPr>
        <w:t>v minulém roce</w:t>
      </w:r>
      <w:r w:rsidR="00C4031A" w:rsidRPr="00C4031A">
        <w:rPr>
          <w:rFonts w:cs="Arial"/>
          <w:spacing w:val="2"/>
          <w:szCs w:val="20"/>
        </w:rPr>
        <w:t>,</w:t>
      </w:r>
      <w:r w:rsidRPr="00C4031A">
        <w:rPr>
          <w:rFonts w:cs="Arial"/>
          <w:spacing w:val="2"/>
          <w:szCs w:val="20"/>
        </w:rPr>
        <w:t xml:space="preserve"> tentokrát oslabila. Klíčový byl příspěvek odvětví služeb. Ty podpořila po</w:t>
      </w:r>
      <w:r w:rsidR="00C73C93" w:rsidRPr="00C4031A">
        <w:rPr>
          <w:rFonts w:cs="Arial"/>
          <w:spacing w:val="2"/>
          <w:szCs w:val="20"/>
        </w:rPr>
        <w:t>ptávka v oblastech</w:t>
      </w:r>
      <w:r w:rsidRPr="00C4031A">
        <w:rPr>
          <w:rFonts w:cs="Arial"/>
          <w:spacing w:val="2"/>
          <w:szCs w:val="20"/>
        </w:rPr>
        <w:t xml:space="preserve"> souvisejících s konjunkturou (doprava, skladování) i stále rostoucí spotřeba domácností.</w:t>
      </w:r>
      <w:r w:rsidR="00A43CF8" w:rsidRPr="00C4031A">
        <w:rPr>
          <w:rFonts w:cs="Arial"/>
          <w:spacing w:val="2"/>
          <w:szCs w:val="20"/>
        </w:rPr>
        <w:t xml:space="preserve"> Dařilo se informačním a komunikačním činnostem i finančnímu sektoru.</w:t>
      </w:r>
      <w:r w:rsidRPr="00C4031A">
        <w:rPr>
          <w:rFonts w:cs="Arial"/>
          <w:spacing w:val="2"/>
          <w:szCs w:val="20"/>
        </w:rPr>
        <w:t xml:space="preserve"> </w:t>
      </w:r>
      <w:r w:rsidR="00C73C93" w:rsidRPr="00C4031A">
        <w:rPr>
          <w:rFonts w:cs="Arial"/>
          <w:spacing w:val="2"/>
        </w:rPr>
        <w:t>Výrazný obrat zaznamenalo stavebnictví, kde meziroční růst HPH o 5,3</w:t>
      </w:r>
      <w:r w:rsidR="007B0E83">
        <w:rPr>
          <w:rFonts w:cs="Arial"/>
          <w:spacing w:val="2"/>
        </w:rPr>
        <w:t> %</w:t>
      </w:r>
      <w:r w:rsidR="00C73C93" w:rsidRPr="00C4031A">
        <w:rPr>
          <w:rFonts w:cs="Arial"/>
          <w:spacing w:val="2"/>
        </w:rPr>
        <w:t xml:space="preserve"> znamenal nejlepší pololetní výsledek od roku 2007. </w:t>
      </w:r>
    </w:p>
    <w:p w:rsidR="00167CB9" w:rsidRPr="00D15FED" w:rsidRDefault="00DE0D8B" w:rsidP="006B0514">
      <w:pPr>
        <w:pStyle w:val="Normalodrka"/>
        <w:spacing w:after="100"/>
      </w:pPr>
      <w:r w:rsidRPr="00D15FED">
        <w:t>Hodnota vývozu zboží se v 1. pololetí 2018 mírně zvýšila oproti stejnému období minulého roku</w:t>
      </w:r>
      <w:r w:rsidR="00B32F57" w:rsidRPr="00D15FED">
        <w:t xml:space="preserve"> (</w:t>
      </w:r>
      <w:r w:rsidR="00D15FED" w:rsidRPr="00D15FED">
        <w:t>0,3</w:t>
      </w:r>
      <w:r w:rsidR="007B0E83">
        <w:t> %</w:t>
      </w:r>
      <w:r w:rsidR="00B32F57" w:rsidRPr="00D15FED">
        <w:t>)</w:t>
      </w:r>
      <w:r w:rsidRPr="00D15FED">
        <w:t>.</w:t>
      </w:r>
      <w:r w:rsidR="00D15FED" w:rsidRPr="00D15FED">
        <w:t xml:space="preserve"> Proti nárůstu však působil vývoz motorových vozidel, který klesl. Ostatním odvětvím se však dařilo. Výjimečných výsledků dosahoval zejména export počítačů, optických a elektronických přístrojů, který se meziročně zvýšil o 21,9 mld. korun. Hodnota dovozu se zvýšila o 1,5</w:t>
      </w:r>
      <w:r w:rsidR="007B0E83">
        <w:t> %</w:t>
      </w:r>
      <w:r w:rsidR="00D15FED" w:rsidRPr="00D15FED">
        <w:t>. Výsledkem byl pokles přebytku bilance o 19,4 mld. korun</w:t>
      </w:r>
      <w:r w:rsidR="00D15FED">
        <w:t xml:space="preserve"> na 105,7 mld</w:t>
      </w:r>
      <w:r w:rsidR="00D15FED" w:rsidRPr="00D15FED">
        <w:t>.</w:t>
      </w:r>
      <w:r w:rsidRPr="00D15FED">
        <w:t xml:space="preserve"> </w:t>
      </w:r>
    </w:p>
    <w:p w:rsidR="00167CB9" w:rsidRPr="005A3778" w:rsidRDefault="00767062" w:rsidP="006B0514">
      <w:pPr>
        <w:pStyle w:val="Normalodrka"/>
        <w:spacing w:after="100"/>
      </w:pPr>
      <w:r w:rsidRPr="005A3778">
        <w:t>Růst spotřebitelských cen se ve 2. čtvrtletí udržel nad úrovní 2</w:t>
      </w:r>
      <w:r w:rsidR="007B0E83">
        <w:t> %</w:t>
      </w:r>
      <w:r w:rsidRPr="005A3778">
        <w:t>. Dále zmírňovala cenová dynamika u</w:t>
      </w:r>
      <w:r w:rsidR="007E4C70">
        <w:t> </w:t>
      </w:r>
      <w:r w:rsidRPr="005A3778">
        <w:t>potravin, které značně ovlivňovaly cenovou hladinu v minulém roce.</w:t>
      </w:r>
      <w:r w:rsidR="005A3778">
        <w:t xml:space="preserve"> Nejvýrazněji tak cenový růst ovlivňovaly ceny bydlení a energií.</w:t>
      </w:r>
      <w:r w:rsidR="00321EB6">
        <w:t xml:space="preserve"> Ty se ve 2. čtvrtletí zvýšily o 2,</w:t>
      </w:r>
      <w:r w:rsidR="000233D1">
        <w:t>6</w:t>
      </w:r>
      <w:r w:rsidR="007B0E83">
        <w:t> %</w:t>
      </w:r>
      <w:r w:rsidR="00321EB6">
        <w:t>.</w:t>
      </w:r>
      <w:r w:rsidR="005A3778">
        <w:t xml:space="preserve"> Projevovalo se jednak zvyšování nájemného z bytů a imputovaného nájemného, vliv však měly i ceny energií, které letos začaly opět růst po </w:t>
      </w:r>
      <w:r w:rsidR="00077FF0">
        <w:t xml:space="preserve">téměř dvouletém </w:t>
      </w:r>
      <w:r w:rsidR="005A3778">
        <w:t>období poklesu. Zejména ceny ropy pak ovlivnily obrat v dynamice cen výrobců</w:t>
      </w:r>
      <w:r w:rsidR="00321EB6">
        <w:t>, které se ve</w:t>
      </w:r>
      <w:r w:rsidR="007E4C70">
        <w:t> </w:t>
      </w:r>
      <w:r w:rsidR="00321EB6">
        <w:t>2.</w:t>
      </w:r>
      <w:r w:rsidR="007E4C70">
        <w:t> </w:t>
      </w:r>
      <w:r w:rsidR="00321EB6">
        <w:t>čtvrtletí zvýšily o 1,5</w:t>
      </w:r>
      <w:r w:rsidR="007B0E83">
        <w:t> %</w:t>
      </w:r>
      <w:r w:rsidR="005A3778">
        <w:t xml:space="preserve">. Zrychlení dynamiky </w:t>
      </w:r>
      <w:r w:rsidR="00321EB6">
        <w:t xml:space="preserve">cen výrobců </w:t>
      </w:r>
      <w:r w:rsidR="005A3778">
        <w:t>se týkalo i zemí EU</w:t>
      </w:r>
      <w:r w:rsidR="00321EB6">
        <w:t>, které byly rovněž ovlivněny globálním posunem cen ropy</w:t>
      </w:r>
      <w:r w:rsidR="005A3778">
        <w:t>.</w:t>
      </w:r>
    </w:p>
    <w:p w:rsidR="004B7125" w:rsidRPr="006B58C9" w:rsidRDefault="009E1922" w:rsidP="006B0514">
      <w:pPr>
        <w:pStyle w:val="Normalodrka"/>
        <w:spacing w:after="100"/>
      </w:pPr>
      <w:r w:rsidRPr="006B58C9">
        <w:rPr>
          <w:spacing w:val="-2"/>
        </w:rPr>
        <w:t xml:space="preserve">Napětí na trhu práce pokračovalo i v 1. pololetí 2018. Poptávka po pracovní síle nepolevovala a dostupné zdroje pracovní síly ji nedokázaly uspokojit, což pociťovaly jako bariéru růstu podniky napříč odvětvími ekonomiky. Počet pracujících dosáhl ve 2. čtvrtletí nového maxima 5,44 </w:t>
      </w:r>
      <w:r w:rsidR="004B339A" w:rsidRPr="006B58C9">
        <w:rPr>
          <w:spacing w:val="-2"/>
        </w:rPr>
        <w:t>milion</w:t>
      </w:r>
      <w:r w:rsidR="004B339A">
        <w:rPr>
          <w:spacing w:val="-2"/>
        </w:rPr>
        <w:t>u</w:t>
      </w:r>
      <w:r w:rsidR="00D43ED2" w:rsidRPr="009110F7">
        <w:rPr>
          <w:rStyle w:val="Znakapoznpodarou"/>
          <w:color w:val="0D0D0D" w:themeColor="text1" w:themeTint="F2"/>
          <w:spacing w:val="-4"/>
        </w:rPr>
        <w:footnoteReference w:id="2"/>
      </w:r>
      <w:r w:rsidRPr="006B58C9">
        <w:rPr>
          <w:spacing w:val="-2"/>
        </w:rPr>
        <w:t xml:space="preserve">, na čemž má podíl zejména sílící ekonomická participace. Obecná míra nezaměstnanosti se v 1. polovině roku </w:t>
      </w:r>
      <w:r w:rsidR="006B58C9" w:rsidRPr="006B58C9">
        <w:rPr>
          <w:spacing w:val="-2"/>
        </w:rPr>
        <w:t>již příliš nesnižovala. Počet vo</w:t>
      </w:r>
      <w:r w:rsidR="00FE634C">
        <w:rPr>
          <w:spacing w:val="-2"/>
        </w:rPr>
        <w:t>lných pracovních míst ale akceleroval</w:t>
      </w:r>
      <w:r w:rsidR="006B58C9" w:rsidRPr="006B58C9">
        <w:rPr>
          <w:spacing w:val="-2"/>
        </w:rPr>
        <w:t>, což ve</w:t>
      </w:r>
      <w:r w:rsidR="00FE634C">
        <w:rPr>
          <w:spacing w:val="-2"/>
        </w:rPr>
        <w:t>dlo k situaci, kdy počet míst převyšoval četnost</w:t>
      </w:r>
      <w:r w:rsidR="006B58C9" w:rsidRPr="006B58C9">
        <w:rPr>
          <w:spacing w:val="-2"/>
        </w:rPr>
        <w:t xml:space="preserve"> nezaměstnaných</w:t>
      </w:r>
      <w:r w:rsidR="00FE634C">
        <w:rPr>
          <w:spacing w:val="-2"/>
        </w:rPr>
        <w:t xml:space="preserve"> uchazečů o práci</w:t>
      </w:r>
      <w:r w:rsidR="006B58C9" w:rsidRPr="006B58C9">
        <w:rPr>
          <w:spacing w:val="-2"/>
        </w:rPr>
        <w:t>. Výsledkem tlaků na trhu práce byl</w:t>
      </w:r>
      <w:r w:rsidR="00133FC1">
        <w:rPr>
          <w:spacing w:val="-2"/>
        </w:rPr>
        <w:t xml:space="preserve"> meziroční růst</w:t>
      </w:r>
      <w:r w:rsidR="006B58C9" w:rsidRPr="006B58C9">
        <w:rPr>
          <w:spacing w:val="-2"/>
        </w:rPr>
        <w:t xml:space="preserve"> </w:t>
      </w:r>
      <w:r w:rsidR="006B58C9">
        <w:rPr>
          <w:spacing w:val="-2"/>
        </w:rPr>
        <w:t>průměrné nominální mzdy o</w:t>
      </w:r>
      <w:r w:rsidR="00133FC1">
        <w:rPr>
          <w:spacing w:val="-2"/>
        </w:rPr>
        <w:t> </w:t>
      </w:r>
      <w:r w:rsidR="006B58C9">
        <w:rPr>
          <w:spacing w:val="-2"/>
        </w:rPr>
        <w:t>8,6</w:t>
      </w:r>
      <w:r w:rsidR="00133FC1">
        <w:rPr>
          <w:spacing w:val="-2"/>
        </w:rPr>
        <w:t> </w:t>
      </w:r>
      <w:r w:rsidR="006B58C9">
        <w:rPr>
          <w:spacing w:val="-2"/>
        </w:rPr>
        <w:t>% v 1. i 2. čtvrtletí.</w:t>
      </w:r>
      <w:r w:rsidR="00133FC1">
        <w:rPr>
          <w:spacing w:val="-2"/>
        </w:rPr>
        <w:t xml:space="preserve"> Reálná kupní síla mezd se v 1. </w:t>
      </w:r>
      <w:r w:rsidR="005246BE">
        <w:rPr>
          <w:spacing w:val="-2"/>
        </w:rPr>
        <w:t>pololetí zvýšila o 6,4</w:t>
      </w:r>
      <w:r w:rsidR="007B0E83">
        <w:rPr>
          <w:spacing w:val="-2"/>
        </w:rPr>
        <w:t> %</w:t>
      </w:r>
      <w:r w:rsidR="005246BE">
        <w:rPr>
          <w:spacing w:val="-2"/>
        </w:rPr>
        <w:t>, což byl</w:t>
      </w:r>
      <w:r w:rsidR="00133FC1">
        <w:rPr>
          <w:spacing w:val="-2"/>
        </w:rPr>
        <w:t xml:space="preserve"> ne</w:t>
      </w:r>
      <w:r w:rsidR="005246BE">
        <w:rPr>
          <w:spacing w:val="-2"/>
        </w:rPr>
        <w:t xml:space="preserve">jlepší výsledek za posledních </w:t>
      </w:r>
      <w:r w:rsidR="00B83E07">
        <w:rPr>
          <w:spacing w:val="-2"/>
        </w:rPr>
        <w:t>15</w:t>
      </w:r>
      <w:r w:rsidR="00133FC1">
        <w:rPr>
          <w:spacing w:val="-2"/>
        </w:rPr>
        <w:t xml:space="preserve"> let.</w:t>
      </w:r>
    </w:p>
    <w:p w:rsidR="004B7125" w:rsidRPr="00321EB6" w:rsidRDefault="005A3778" w:rsidP="006B0514">
      <w:pPr>
        <w:pStyle w:val="Normalodrka"/>
        <w:spacing w:after="100"/>
      </w:pPr>
      <w:r w:rsidRPr="00321EB6">
        <w:t xml:space="preserve">V oblasti měnového vývoje pokračovalo zvyšování </w:t>
      </w:r>
      <w:proofErr w:type="spellStart"/>
      <w:r w:rsidRPr="00321EB6">
        <w:t>měnověpolitických</w:t>
      </w:r>
      <w:proofErr w:type="spellEnd"/>
      <w:r w:rsidRPr="00321EB6">
        <w:t xml:space="preserve"> sazeb. Ty se pak přímo promítaly do růstu mezibankovních úrokových měr, </w:t>
      </w:r>
      <w:r w:rsidR="00771972">
        <w:t xml:space="preserve">vliv na </w:t>
      </w:r>
      <w:r w:rsidRPr="00321EB6">
        <w:t>klientsk</w:t>
      </w:r>
      <w:r w:rsidR="00771972">
        <w:t>é</w:t>
      </w:r>
      <w:r w:rsidRPr="00321EB6">
        <w:t xml:space="preserve"> sazb</w:t>
      </w:r>
      <w:r w:rsidR="00771972">
        <w:t>y</w:t>
      </w:r>
      <w:r w:rsidRPr="00321EB6">
        <w:t xml:space="preserve"> však </w:t>
      </w:r>
      <w:r w:rsidRPr="00771972">
        <w:t xml:space="preserve">nebyl </w:t>
      </w:r>
      <w:r w:rsidR="00771972">
        <w:t>výrazný</w:t>
      </w:r>
      <w:r w:rsidRPr="00321EB6">
        <w:t xml:space="preserve">. Úroky na běžných účtech setrvávají na technické nule a mírné posuny byly patrné jen u některých typů termínovaných vkladů. Úrokové sazby na spotřebních úvěrech pro domácnosti klesaly a ke stagnaci došlo </w:t>
      </w:r>
      <w:r w:rsidR="00321EB6" w:rsidRPr="00321EB6">
        <w:t xml:space="preserve">ve 2. čtvrtletí </w:t>
      </w:r>
      <w:r w:rsidR="00E20016">
        <w:t>u </w:t>
      </w:r>
      <w:r w:rsidR="00321EB6" w:rsidRPr="00321EB6">
        <w:t>hypotečních</w:t>
      </w:r>
      <w:r w:rsidRPr="00321EB6">
        <w:t xml:space="preserve"> sazeb. </w:t>
      </w:r>
    </w:p>
    <w:p w:rsidR="002E37D1" w:rsidRPr="00C4031A" w:rsidRDefault="00034E68" w:rsidP="00C4031A">
      <w:pPr>
        <w:pStyle w:val="Normalodrka"/>
        <w:rPr>
          <w:spacing w:val="-4"/>
        </w:rPr>
      </w:pPr>
      <w:r w:rsidRPr="00C4031A">
        <w:rPr>
          <w:rFonts w:cs="Arial"/>
          <w:spacing w:val="-4"/>
          <w:szCs w:val="20"/>
        </w:rPr>
        <w:t xml:space="preserve">Státní rozpočet </w:t>
      </w:r>
      <w:r w:rsidR="00C4031A" w:rsidRPr="00C4031A">
        <w:rPr>
          <w:rFonts w:cs="Arial"/>
          <w:spacing w:val="-4"/>
          <w:szCs w:val="20"/>
        </w:rPr>
        <w:t xml:space="preserve">(SR) </w:t>
      </w:r>
      <w:r w:rsidRPr="00C4031A">
        <w:rPr>
          <w:rFonts w:cs="Arial"/>
          <w:spacing w:val="-4"/>
          <w:szCs w:val="20"/>
        </w:rPr>
        <w:t>v 1. polovině letošního roku hospodařil s mírným schodkem ve výši 5,9 mld. korun</w:t>
      </w:r>
      <w:r w:rsidR="00C73C93" w:rsidRPr="00C4031A">
        <w:rPr>
          <w:rFonts w:cs="Arial"/>
          <w:spacing w:val="-4"/>
          <w:szCs w:val="20"/>
        </w:rPr>
        <w:t>. Šlo o</w:t>
      </w:r>
      <w:r w:rsidR="00C4031A" w:rsidRPr="00C4031A">
        <w:rPr>
          <w:rFonts w:cs="Arial"/>
          <w:color w:val="000000" w:themeColor="text1"/>
          <w:spacing w:val="-4"/>
        </w:rPr>
        <w:t> </w:t>
      </w:r>
      <w:r w:rsidR="00D43ED2" w:rsidRPr="00C4031A">
        <w:rPr>
          <w:rFonts w:cs="Arial"/>
          <w:spacing w:val="-4"/>
          <w:szCs w:val="20"/>
        </w:rPr>
        <w:t>první deficit v rámci tohoto období za posledních pět let</w:t>
      </w:r>
      <w:r w:rsidRPr="00C4031A">
        <w:rPr>
          <w:rFonts w:cs="Arial"/>
          <w:spacing w:val="-4"/>
          <w:szCs w:val="20"/>
        </w:rPr>
        <w:t>.</w:t>
      </w:r>
      <w:r w:rsidR="00D43ED2" w:rsidRPr="00C4031A">
        <w:rPr>
          <w:rFonts w:cs="Arial"/>
          <w:spacing w:val="-4"/>
          <w:szCs w:val="20"/>
        </w:rPr>
        <w:t xml:space="preserve"> Pokra</w:t>
      </w:r>
      <w:r w:rsidR="00FE634C" w:rsidRPr="00C4031A">
        <w:rPr>
          <w:rFonts w:cs="Arial"/>
          <w:spacing w:val="-4"/>
          <w:szCs w:val="20"/>
        </w:rPr>
        <w:t xml:space="preserve">čující hospodářský růst se </w:t>
      </w:r>
      <w:r w:rsidR="00E20016">
        <w:rPr>
          <w:rFonts w:cs="Arial"/>
          <w:spacing w:val="-4"/>
          <w:szCs w:val="20"/>
        </w:rPr>
        <w:t>promítl do meziročního</w:t>
      </w:r>
      <w:r w:rsidR="00D43ED2" w:rsidRPr="00C4031A">
        <w:rPr>
          <w:rFonts w:cs="Arial"/>
          <w:spacing w:val="-4"/>
          <w:szCs w:val="20"/>
        </w:rPr>
        <w:t xml:space="preserve"> zvýšení </w:t>
      </w:r>
      <w:r w:rsidR="00C73C93" w:rsidRPr="00C4031A">
        <w:rPr>
          <w:rFonts w:cs="Arial"/>
          <w:spacing w:val="-4"/>
          <w:szCs w:val="20"/>
        </w:rPr>
        <w:t>celostátních daňových příjmů (vč. pojistného) o 7,9</w:t>
      </w:r>
      <w:r w:rsidR="007B0E83">
        <w:rPr>
          <w:rFonts w:cs="Arial"/>
          <w:spacing w:val="-4"/>
          <w:szCs w:val="20"/>
        </w:rPr>
        <w:t> %</w:t>
      </w:r>
      <w:r w:rsidR="00C4031A" w:rsidRPr="00C4031A">
        <w:rPr>
          <w:rFonts w:cs="Arial"/>
          <w:spacing w:val="-4"/>
          <w:szCs w:val="20"/>
        </w:rPr>
        <w:t>. Celkové</w:t>
      </w:r>
      <w:r w:rsidR="00C73C93" w:rsidRPr="00C4031A">
        <w:rPr>
          <w:rFonts w:cs="Arial"/>
          <w:spacing w:val="-4"/>
          <w:szCs w:val="20"/>
        </w:rPr>
        <w:t xml:space="preserve"> výdaje</w:t>
      </w:r>
      <w:r w:rsidR="00C4031A" w:rsidRPr="00C4031A">
        <w:rPr>
          <w:rFonts w:cs="Arial"/>
          <w:spacing w:val="-4"/>
          <w:szCs w:val="20"/>
        </w:rPr>
        <w:t xml:space="preserve"> SR</w:t>
      </w:r>
      <w:r w:rsidR="00C73C93" w:rsidRPr="00C4031A">
        <w:rPr>
          <w:rFonts w:cs="Arial"/>
          <w:spacing w:val="-4"/>
          <w:szCs w:val="20"/>
        </w:rPr>
        <w:t xml:space="preserve"> však posílily </w:t>
      </w:r>
      <w:r w:rsidR="00D43ED2" w:rsidRPr="00C4031A">
        <w:rPr>
          <w:rFonts w:cs="Arial"/>
          <w:spacing w:val="-4"/>
          <w:szCs w:val="20"/>
        </w:rPr>
        <w:t>silně</w:t>
      </w:r>
      <w:r w:rsidR="00C73C93" w:rsidRPr="00C4031A">
        <w:rPr>
          <w:rFonts w:cs="Arial"/>
          <w:spacing w:val="-4"/>
          <w:szCs w:val="20"/>
        </w:rPr>
        <w:t>ji (10,2</w:t>
      </w:r>
      <w:r w:rsidR="007B0E83">
        <w:rPr>
          <w:rFonts w:cs="Arial"/>
          <w:spacing w:val="-4"/>
          <w:szCs w:val="20"/>
        </w:rPr>
        <w:t> %</w:t>
      </w:r>
      <w:r w:rsidR="00C4031A" w:rsidRPr="00C4031A">
        <w:rPr>
          <w:rFonts w:cs="Arial"/>
          <w:spacing w:val="-4"/>
          <w:szCs w:val="20"/>
        </w:rPr>
        <w:t>), hlavně</w:t>
      </w:r>
      <w:r w:rsidR="00D43ED2" w:rsidRPr="00C4031A">
        <w:rPr>
          <w:rFonts w:cs="Arial"/>
          <w:spacing w:val="-4"/>
          <w:szCs w:val="20"/>
        </w:rPr>
        <w:t xml:space="preserve"> pod tlakem rostoucích mzdových nákladů</w:t>
      </w:r>
      <w:r w:rsidR="00C73C93" w:rsidRPr="00C4031A">
        <w:rPr>
          <w:rFonts w:cs="Arial"/>
          <w:spacing w:val="-4"/>
          <w:szCs w:val="20"/>
        </w:rPr>
        <w:t xml:space="preserve"> a vyšších výdajů</w:t>
      </w:r>
      <w:r w:rsidR="00FE634C" w:rsidRPr="00C4031A">
        <w:rPr>
          <w:rFonts w:cs="Arial"/>
          <w:spacing w:val="-4"/>
          <w:szCs w:val="20"/>
        </w:rPr>
        <w:t xml:space="preserve"> na důchody. </w:t>
      </w:r>
      <w:r w:rsidR="00C4031A" w:rsidRPr="00C4031A">
        <w:rPr>
          <w:spacing w:val="-4"/>
        </w:rPr>
        <w:t>Rostly však i</w:t>
      </w:r>
      <w:r w:rsidR="00C4031A" w:rsidRPr="00C4031A">
        <w:rPr>
          <w:rFonts w:cs="Arial"/>
          <w:color w:val="000000" w:themeColor="text1"/>
          <w:spacing w:val="-4"/>
        </w:rPr>
        <w:t> </w:t>
      </w:r>
      <w:r w:rsidR="00C4031A" w:rsidRPr="00C4031A">
        <w:rPr>
          <w:spacing w:val="-4"/>
        </w:rPr>
        <w:t xml:space="preserve">kapitálové výdaje, neboť čerpání prostředků z rozpočtu EU zrychlilo. I přesto dosáhl </w:t>
      </w:r>
      <w:r w:rsidR="00C4031A" w:rsidRPr="00C4031A">
        <w:rPr>
          <w:rFonts w:cs="Arial"/>
          <w:color w:val="000000" w:themeColor="text1"/>
          <w:spacing w:val="-4"/>
        </w:rPr>
        <w:t>podíl investic na celkových výdajích SR v 1. pololetí jen 4,8</w:t>
      </w:r>
      <w:r w:rsidR="007B0E83">
        <w:rPr>
          <w:rFonts w:cs="Arial"/>
          <w:color w:val="000000" w:themeColor="text1"/>
          <w:spacing w:val="-4"/>
        </w:rPr>
        <w:t> %</w:t>
      </w:r>
      <w:r w:rsidR="00C4031A" w:rsidRPr="00C4031A">
        <w:rPr>
          <w:rFonts w:cs="Arial"/>
          <w:color w:val="000000" w:themeColor="text1"/>
          <w:spacing w:val="-4"/>
        </w:rPr>
        <w:t>. Šlo o</w:t>
      </w:r>
      <w:r w:rsidR="00C4031A" w:rsidRPr="00C4031A">
        <w:rPr>
          <w:spacing w:val="-4"/>
          <w:szCs w:val="20"/>
        </w:rPr>
        <w:t> </w:t>
      </w:r>
      <w:r w:rsidR="00C4031A" w:rsidRPr="00C4031A">
        <w:rPr>
          <w:rFonts w:cs="Arial"/>
          <w:color w:val="000000" w:themeColor="text1"/>
          <w:spacing w:val="-4"/>
        </w:rPr>
        <w:t>druhý nejnižší podíl</w:t>
      </w:r>
      <w:r w:rsidR="00B83E07">
        <w:rPr>
          <w:rFonts w:cs="Arial"/>
          <w:color w:val="000000" w:themeColor="text1"/>
          <w:spacing w:val="-4"/>
        </w:rPr>
        <w:t xml:space="preserve"> za posledních 14</w:t>
      </w:r>
      <w:r w:rsidR="00C4031A" w:rsidRPr="00C4031A">
        <w:rPr>
          <w:rFonts w:cs="Arial"/>
          <w:color w:val="000000" w:themeColor="text1"/>
          <w:spacing w:val="-4"/>
        </w:rPr>
        <w:t xml:space="preserve"> let.</w:t>
      </w:r>
      <w:r w:rsidR="00464851">
        <w:rPr>
          <w:rFonts w:cs="Arial"/>
          <w:color w:val="000000" w:themeColor="text1"/>
          <w:spacing w:val="-4"/>
        </w:rPr>
        <w:t xml:space="preserve"> Pololetní </w:t>
      </w:r>
      <w:r w:rsidR="00464851">
        <w:rPr>
          <w:rFonts w:cs="Arial"/>
          <w:color w:val="0D0D0D" w:themeColor="text1" w:themeTint="F2"/>
          <w:spacing w:val="-2"/>
        </w:rPr>
        <w:t>saldo důchodového účtu skončilo poprvé za posledních deset let přebytkem.</w:t>
      </w:r>
    </w:p>
    <w:p w:rsidR="00C62828" w:rsidRPr="009110F7" w:rsidRDefault="00C62828" w:rsidP="00C62828">
      <w:pPr>
        <w:pStyle w:val="Nadpis11"/>
      </w:pPr>
      <w:bookmarkStart w:id="3" w:name="_Toc525046021"/>
      <w:r w:rsidRPr="009110F7">
        <w:lastRenderedPageBreak/>
        <w:t>2. Souhrnná výkonnost</w:t>
      </w:r>
      <w:bookmarkEnd w:id="3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FE2C7E" w:rsidRPr="009110F7" w:rsidTr="00FE2C7E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  <w:r>
              <w:t>Meziroční dynamika růst</w:t>
            </w:r>
            <w:r w:rsidR="00677591">
              <w:t>u</w:t>
            </w:r>
            <w:r>
              <w:t xml:space="preserve"> HDP ve 2. čtvrtletí výrazně zpomalila.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B83E07" w:rsidRDefault="00FE2C7E" w:rsidP="00B83E07">
            <w:pPr>
              <w:spacing w:after="220"/>
              <w:rPr>
                <w:spacing w:val="-2"/>
              </w:rPr>
            </w:pPr>
            <w:r w:rsidRPr="00B83E07">
              <w:rPr>
                <w:spacing w:val="-2"/>
              </w:rPr>
              <w:t>Vysoké meziroční tempo hospodářského růstu, které charakterizovalo českou ekonomiku v minulém roce, se</w:t>
            </w:r>
            <w:r w:rsidR="00AA2AF4" w:rsidRPr="00B83E07">
              <w:rPr>
                <w:spacing w:val="-2"/>
              </w:rPr>
              <w:t xml:space="preserve"> v 1. polovině roku 2018</w:t>
            </w:r>
            <w:r w:rsidRPr="00B83E07">
              <w:rPr>
                <w:spacing w:val="-2"/>
              </w:rPr>
              <w:t xml:space="preserve"> neudrželo. Mírné zpomalení přišlo již v 1. čtvrtletí, kdy růst hrubého domácího produktu (HDP) dosáhl 4,1</w:t>
            </w:r>
            <w:r w:rsidR="007B0E83">
              <w:rPr>
                <w:spacing w:val="-2"/>
              </w:rPr>
              <w:t> %</w:t>
            </w:r>
            <w:r w:rsidRPr="00B83E07">
              <w:rPr>
                <w:rStyle w:val="Znakapoznpodarou"/>
                <w:rFonts w:cs="Arial"/>
                <w:spacing w:val="-2"/>
              </w:rPr>
              <w:footnoteReference w:id="3"/>
            </w:r>
            <w:r w:rsidRPr="00B83E07">
              <w:rPr>
                <w:spacing w:val="-2"/>
              </w:rPr>
              <w:t>. Definitivně to potvrdil meziroční přírůstek ve 2. čtvrtletí 2018. Ten dosáhl 2,4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 xml:space="preserve">, což je nejnižší hodnota od konce roku 2016. Pozitivně </w:t>
            </w:r>
            <w:r w:rsidR="00B83E07">
              <w:rPr>
                <w:spacing w:val="-2"/>
              </w:rPr>
              <w:t>na růst HDP působila spotřeba i</w:t>
            </w:r>
            <w:r w:rsidR="00B83E07" w:rsidRPr="00B83E07">
              <w:rPr>
                <w:spacing w:val="-2"/>
              </w:rPr>
              <w:t> </w:t>
            </w:r>
            <w:r w:rsidRPr="00B83E07">
              <w:rPr>
                <w:spacing w:val="-2"/>
              </w:rPr>
              <w:t xml:space="preserve">investiční výdaje, stejně tak bilance zahraničního obchodu. Výrazně se však projevil negativní vliv změny zásob. Mezičtvrtletní dynamika HDP je v posledních čtvrtletích poměrně stabilní. Po mimořádně vysokých čtvrtletních přírůstcích v 1. pololetí 2017, jejichž </w:t>
            </w:r>
            <w:r w:rsidR="00171FEA" w:rsidRPr="00B83E07">
              <w:rPr>
                <w:spacing w:val="-2"/>
              </w:rPr>
              <w:t>impul</w:t>
            </w:r>
            <w:r w:rsidR="00171FEA">
              <w:rPr>
                <w:spacing w:val="-2"/>
              </w:rPr>
              <w:t>z</w:t>
            </w:r>
            <w:r w:rsidR="00171FEA" w:rsidRPr="00B83E07">
              <w:rPr>
                <w:spacing w:val="-2"/>
              </w:rPr>
              <w:t xml:space="preserve"> </w:t>
            </w:r>
            <w:r w:rsidRPr="00B83E07">
              <w:rPr>
                <w:spacing w:val="-2"/>
              </w:rPr>
              <w:t>se následně promítl do výrazného meziročního tempa, se dynamika vrátila na nižší úroveň. Oproti 1. čtvrtletí tak HDP ve 2. kvartálu vzrostl o 0,7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. Meziroční růst hrubé přidané hodnoty (HPH) ve 2. čtvrtletí kopíroval HDP, když dosáhl 4,2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. Mezičtvrtletní přírůstek HPH naopak lehce zaostával (0,5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). Zpracovatelský průmysl si svou významnou úlohu v růstu HPH zachoval, příspěvek služeb však tentokrát v dynamice výrazně dominoval</w:t>
            </w:r>
            <w:r w:rsidR="00B83E07" w:rsidRPr="00B83E07">
              <w:rPr>
                <w:spacing w:val="-2"/>
              </w:rPr>
              <w:t>.</w:t>
            </w:r>
          </w:p>
        </w:tc>
      </w:tr>
      <w:tr w:rsidR="00FE2C7E" w:rsidRPr="009110F7" w:rsidTr="00FE2C7E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41745D" w:rsidRDefault="00FE2C7E" w:rsidP="00FE2C7E">
            <w:pPr>
              <w:spacing w:after="0"/>
              <w:rPr>
                <w:b/>
              </w:rPr>
            </w:pPr>
            <w:r w:rsidRPr="004174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proofErr w:type="gramStart"/>
            <w:r w:rsidRPr="004174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č. </w:t>
            </w:r>
            <w:r w:rsidRPr="0066301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HDP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(objemové indexy, očištěno o sezónní a kalendářní vlivy, v</w:t>
            </w:r>
            <w:r w:rsidR="007B0E83"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E2C7E" w:rsidRPr="009110F7" w:rsidTr="00FE2C7E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spacing w:after="0"/>
            </w:pPr>
            <w:r w:rsidRPr="00465E90">
              <w:rPr>
                <w:noProof/>
              </w:rPr>
              <w:drawing>
                <wp:inline distT="0" distB="0" distL="0" distR="0">
                  <wp:extent cx="4735830" cy="3430829"/>
                  <wp:effectExtent l="0" t="0" r="0" b="0"/>
                  <wp:docPr id="2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E2C7E" w:rsidRPr="009110F7" w:rsidTr="00FE2C7E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9110F7" w:rsidRDefault="00FE2C7E" w:rsidP="00B83E07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ČSÚ, </w:t>
            </w:r>
            <w:proofErr w:type="spellStart"/>
            <w:r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FE2C7E" w:rsidRPr="009110F7" w:rsidTr="00FE2C7E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  <w:r>
              <w:t>K menšímu zpomalení došlo i v Evropské unii.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B83E07">
            <w:pPr>
              <w:spacing w:after="0"/>
            </w:pPr>
            <w:r>
              <w:t>Meziroční dynamika růstu HDP v Evropské unii rovněž mírně zpomalila. Celkový přírůstek dosáhl 2,1</w:t>
            </w:r>
            <w:r w:rsidR="007B0E83">
              <w:t> %</w:t>
            </w:r>
            <w:r w:rsidRPr="009110F7">
              <w:rPr>
                <w:rStyle w:val="Znakapoznpodarou"/>
                <w:spacing w:val="-2"/>
              </w:rPr>
              <w:footnoteReference w:id="4"/>
            </w:r>
            <w:r>
              <w:t xml:space="preserve"> a u většiny zemí EU se zmírnil. Nejvyšších meziročních přírůstků dosáhly ve 2. čtvrtletí ekonomiky Malty (5,7</w:t>
            </w:r>
            <w:r w:rsidR="007B0E83">
              <w:t> %</w:t>
            </w:r>
            <w:r>
              <w:t>), Polska (5,0</w:t>
            </w:r>
            <w:r w:rsidR="007B0E83">
              <w:t> %</w:t>
            </w:r>
            <w:r>
              <w:t>) a Maďarska (4,6</w:t>
            </w:r>
            <w:r w:rsidR="007B0E83">
              <w:t> %</w:t>
            </w:r>
            <w:r>
              <w:t xml:space="preserve">). U této trojice zemí rovněž došlo k nejvyššímu meziročnímu nárůstu domácí spotřeby, Maďarsko a Malta se umístily v první trojici zemí s nejvyšším přírůstkem investiční aktivity. Na opačné straně srovnání se </w:t>
            </w:r>
            <w:r w:rsidR="00171FEA">
              <w:t xml:space="preserve">octly </w:t>
            </w:r>
            <w:r>
              <w:t>Dánsko (přírůstek HDP 0,6 %), Itálie (1,2</w:t>
            </w:r>
            <w:r w:rsidR="007B0E83">
              <w:t> %</w:t>
            </w:r>
            <w:r>
              <w:t>) a Velká Británie (1,3</w:t>
            </w:r>
            <w:r w:rsidR="007B0E83">
              <w:t> %</w:t>
            </w:r>
            <w:r>
              <w:t>). Mezičtvrtletní tempo</w:t>
            </w:r>
            <w:r w:rsidR="00AA2AF4">
              <w:t xml:space="preserve"> růstu HDP v EU</w:t>
            </w:r>
            <w:r>
              <w:t xml:space="preserve"> se udrželo na hodnotě předchozího čtvrtletí (0,4</w:t>
            </w:r>
            <w:r w:rsidR="007B0E83">
              <w:t> %</w:t>
            </w:r>
            <w:r>
              <w:t>). Nejvyššího mezičtvrtletního přírůstku dosáhla Malta (1,9</w:t>
            </w:r>
            <w:r w:rsidR="007B0E83">
              <w:t> %</w:t>
            </w:r>
            <w:r>
              <w:t xml:space="preserve">), kterou tento </w:t>
            </w:r>
            <w:r w:rsidR="00171FEA">
              <w:t xml:space="preserve">impulz </w:t>
            </w:r>
            <w:r>
              <w:t>dostal na vrchol i v meziročním pohledu. Shodně o 1,4</w:t>
            </w:r>
            <w:r w:rsidR="007B0E83">
              <w:t> %</w:t>
            </w:r>
            <w:r>
              <w:t xml:space="preserve"> se </w:t>
            </w:r>
            <w:proofErr w:type="spellStart"/>
            <w:r w:rsidR="00171FEA">
              <w:t>mezičtvrtletně</w:t>
            </w:r>
            <w:proofErr w:type="spellEnd"/>
            <w:r w:rsidR="00171FEA">
              <w:t xml:space="preserve"> </w:t>
            </w:r>
            <w:r>
              <w:t xml:space="preserve">zvýšil HDP v Estonsku a Rumunsku. </w:t>
            </w:r>
          </w:p>
        </w:tc>
      </w:tr>
      <w:tr w:rsidR="00FE2C7E" w:rsidRPr="009110F7" w:rsidTr="00FE2C7E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41745D" w:rsidRDefault="00FE2C7E" w:rsidP="00FE2C7E">
            <w:pPr>
              <w:spacing w:after="0"/>
              <w:rPr>
                <w:b/>
                <w:sz w:val="18"/>
                <w:szCs w:val="18"/>
              </w:rPr>
            </w:pPr>
            <w:r w:rsidRPr="0041745D">
              <w:rPr>
                <w:b/>
                <w:spacing w:val="-4"/>
                <w:sz w:val="18"/>
                <w:szCs w:val="18"/>
                <w:lang w:eastAsia="en-US"/>
              </w:rPr>
              <w:t xml:space="preserve">Graf </w:t>
            </w:r>
            <w:proofErr w:type="gramStart"/>
            <w:r w:rsidRPr="0041745D">
              <w:rPr>
                <w:b/>
                <w:spacing w:val="-4"/>
                <w:sz w:val="18"/>
                <w:szCs w:val="18"/>
                <w:lang w:eastAsia="en-US"/>
              </w:rPr>
              <w:t xml:space="preserve">č. 2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HDP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(objemové indexy, očištěno o sezónní a kalendářní vlivy, meziročně v %, pravá osa) a indikátory důvěry (2005</w:t>
            </w:r>
            <w:r w:rsidR="00BB15C3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=</w:t>
            </w:r>
            <w:r w:rsidR="00BB15C3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100, levá osa)</w:t>
            </w:r>
          </w:p>
        </w:tc>
      </w:tr>
      <w:tr w:rsidR="00FE2C7E" w:rsidRPr="009110F7" w:rsidTr="00FE2C7E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spacing w:after="0"/>
            </w:pPr>
            <w:r w:rsidRPr="00465E90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E2C7E" w:rsidRPr="009110F7" w:rsidTr="00FE2C7E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FE2C7E" w:rsidRPr="009110F7" w:rsidTr="00FE2C7E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  <w:r>
              <w:t>Výdaje na domácí spotřebu rostly poměrně silným tempem, i když mírněji než v minulém roce.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AA2AF4">
            <w:r>
              <w:t>Meziroční růst celkových výdajů na konečnou spotřebu ve 2. čtvrtletí zpomalil na 3,3 %, což zároveň znamenalo redukci příspěvku spotřeby k celkovému růstu HDP na 1,8</w:t>
            </w:r>
            <w:r w:rsidR="00EA4402">
              <w:t> p. b.</w:t>
            </w:r>
            <w:r w:rsidRPr="009110F7">
              <w:rPr>
                <w:rStyle w:val="Znakapoznpodarou"/>
              </w:rPr>
              <w:footnoteReference w:id="5"/>
            </w:r>
            <w:r>
              <w:t xml:space="preserve"> Na výsledném tempu se projevila vysoká srovnávací základna minulého roku</w:t>
            </w:r>
            <w:r w:rsidR="00AA2AF4">
              <w:t>. O</w:t>
            </w:r>
            <w:r>
              <w:t>proti 1. čtvrtletí se však výrazně zpomalila i mezičtvrtletní dynamika (1,2</w:t>
            </w:r>
            <w:r w:rsidR="007B0E83">
              <w:t> %</w:t>
            </w:r>
            <w:r>
              <w:t xml:space="preserve"> a 0,5</w:t>
            </w:r>
            <w:r w:rsidR="007B0E83">
              <w:t> %</w:t>
            </w:r>
            <w:r>
              <w:t xml:space="preserve"> v 1. a 2</w:t>
            </w:r>
            <w:r w:rsidR="001057C2">
              <w:t xml:space="preserve">. </w:t>
            </w:r>
            <w:r>
              <w:t>čtvrtletí). Ke zpomalení došlo u spotřeby domácností i vládních institucí. Výdaje domácností ve 2. čtvrtletí vzrostly meziročně o 3,5</w:t>
            </w:r>
            <w:r w:rsidR="007B0E83">
              <w:t> %</w:t>
            </w:r>
            <w:r>
              <w:t xml:space="preserve"> (nejméně od konce roku 2016) a přispěly k celkovému růstu HDP 1,3</w:t>
            </w:r>
            <w:r w:rsidR="00EA4402">
              <w:t> p. </w:t>
            </w:r>
            <w:proofErr w:type="spellStart"/>
            <w:r w:rsidR="00EA4402">
              <w:t>b</w:t>
            </w:r>
            <w:proofErr w:type="spellEnd"/>
            <w:r w:rsidR="00EA4402">
              <w:t>.</w:t>
            </w:r>
            <w:r>
              <w:t xml:space="preserve"> Mezičtvrtletní přírůstek dosáhl 0,7</w:t>
            </w:r>
            <w:r w:rsidR="007B0E83">
              <w:t> %</w:t>
            </w:r>
            <w:r>
              <w:t>. Pohled na vývoj spotřeby podle trvanlivosti</w:t>
            </w:r>
            <w:r w:rsidRPr="009110F7">
              <w:rPr>
                <w:rStyle w:val="Znakapoznpodarou"/>
              </w:rPr>
              <w:footnoteReference w:id="6"/>
            </w:r>
            <w:r>
              <w:t xml:space="preserve"> ukazuje, že s výjimkou zboží střednědobé spotřeby (6,8</w:t>
            </w:r>
            <w:r w:rsidR="007B0E83">
              <w:t> %</w:t>
            </w:r>
            <w:r>
              <w:t>) došlo k mírnému zpomalení meziroční dynamiky u všech segmentů. Poměrně silné tempo si však udržely výdaje na netrvanlivé statky (3,3</w:t>
            </w:r>
            <w:r w:rsidR="007B0E83">
              <w:t> %</w:t>
            </w:r>
            <w:r>
              <w:t>) i služby (3,4</w:t>
            </w:r>
            <w:r w:rsidR="007B0E83">
              <w:t> %</w:t>
            </w:r>
            <w:r>
              <w:t>). Po mimořádně silném mezičtvrtletním i</w:t>
            </w:r>
            <w:r w:rsidR="007E4C70">
              <w:t> </w:t>
            </w:r>
            <w:r>
              <w:t>meziročním přírůstku v 1. čtvrtletí došlo k útlumu dynamiky u spotřebních výdajů vládních institucí. Ve 2. čtvrtletí tedy meziroční tempo kleslo na 2,6</w:t>
            </w:r>
            <w:r w:rsidR="007B0E83">
              <w:t> %</w:t>
            </w:r>
            <w:r>
              <w:t xml:space="preserve"> a</w:t>
            </w:r>
            <w:r w:rsidR="007E4C70">
              <w:t> </w:t>
            </w:r>
            <w:proofErr w:type="spellStart"/>
            <w:r>
              <w:t>mezičtvrtletně</w:t>
            </w:r>
            <w:proofErr w:type="spellEnd"/>
            <w:r>
              <w:t xml:space="preserve"> zde spotřeba </w:t>
            </w:r>
            <w:r w:rsidR="00EA4402">
              <w:t>v</w:t>
            </w:r>
            <w:r>
              <w:t>zrostla o 0,2</w:t>
            </w:r>
            <w:r w:rsidR="007B0E83">
              <w:t> %</w:t>
            </w:r>
            <w:r>
              <w:t>.</w:t>
            </w:r>
          </w:p>
        </w:tc>
      </w:tr>
      <w:tr w:rsidR="00FE2C7E" w:rsidRPr="009110F7" w:rsidTr="00FE2C7E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  <w:r>
              <w:t>Objem vyplacených mezd a platů se opět zvýšil o</w:t>
            </w:r>
            <w:r w:rsidR="003370C5">
              <w:t> </w:t>
            </w:r>
            <w:r>
              <w:t>více než 10</w:t>
            </w:r>
            <w:r w:rsidR="007B0E83">
              <w:t> %</w:t>
            </w:r>
            <w:r>
              <w:t>. I díky mírnému růstu cen se navýšení z výrazné části promítá do reálných příjmů.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B83E07" w:rsidRDefault="00FE2C7E" w:rsidP="00AA2AF4">
            <w:pPr>
              <w:rPr>
                <w:spacing w:val="-2"/>
              </w:rPr>
            </w:pPr>
            <w:r w:rsidRPr="00B83E07">
              <w:rPr>
                <w:spacing w:val="-2"/>
              </w:rPr>
              <w:t>Zmírnění ekonomického růstu se zatím neprojevilo ve vývoji objemu mezd a platů. Ten ve 2. čtvrtletí celkově meziročně vzrostl o 10,2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, což je jen o 0,3</w:t>
            </w:r>
            <w:r w:rsidR="00EA4402">
              <w:rPr>
                <w:spacing w:val="-2"/>
              </w:rPr>
              <w:t> p. b.</w:t>
            </w:r>
            <w:r w:rsidRPr="00B83E07">
              <w:rPr>
                <w:spacing w:val="-2"/>
              </w:rPr>
              <w:t xml:space="preserve"> </w:t>
            </w:r>
            <w:proofErr w:type="gramStart"/>
            <w:r w:rsidRPr="00B83E07">
              <w:rPr>
                <w:spacing w:val="-2"/>
              </w:rPr>
              <w:t>méně</w:t>
            </w:r>
            <w:proofErr w:type="gramEnd"/>
            <w:r w:rsidRPr="00B83E07">
              <w:rPr>
                <w:spacing w:val="-2"/>
              </w:rPr>
              <w:t xml:space="preserve"> než v předchozím kvartálu. Reálné navýšení mzdových prostředků dosáhlo 7,4</w:t>
            </w:r>
            <w:r w:rsidR="007B0E83">
              <w:rPr>
                <w:spacing w:val="-2"/>
              </w:rPr>
              <w:t> %</w:t>
            </w:r>
            <w:r w:rsidRPr="00B83E07">
              <w:rPr>
                <w:rStyle w:val="Znakapoznpodarou"/>
                <w:spacing w:val="-2"/>
              </w:rPr>
              <w:footnoteReference w:id="7"/>
            </w:r>
            <w:r w:rsidRPr="00B83E07">
              <w:rPr>
                <w:spacing w:val="-2"/>
              </w:rPr>
              <w:t>, takže se mírně snížilo oproti předchozímu období, stále však jde o mimořádně vysokou hodnotu. Růst celkové zaměstnanosti</w:t>
            </w:r>
            <w:r w:rsidRPr="00B83E07">
              <w:rPr>
                <w:rStyle w:val="Znakapoznpodarou"/>
                <w:spacing w:val="-2"/>
              </w:rPr>
              <w:footnoteReference w:id="8"/>
            </w:r>
            <w:r w:rsidRPr="00B83E07">
              <w:rPr>
                <w:spacing w:val="-2"/>
              </w:rPr>
              <w:t xml:space="preserve"> dosáhl 1,9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 xml:space="preserve"> v meziročním vyjádření a 0,6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 xml:space="preserve"> </w:t>
            </w:r>
            <w:proofErr w:type="spellStart"/>
            <w:r w:rsidRPr="00B83E07">
              <w:rPr>
                <w:spacing w:val="-2"/>
              </w:rPr>
              <w:t>mezičtvrtletně</w:t>
            </w:r>
            <w:proofErr w:type="spellEnd"/>
            <w:r w:rsidRPr="00B83E07">
              <w:rPr>
                <w:spacing w:val="-2"/>
              </w:rPr>
              <w:t>. Většina z nárůstu vyplacených mzdových prostředků se tak promítla do zvýšení průměrné mzdy. Zpracovatelský průmysl jako odvětví s největším počtem zaměstnanců celkovou dynamiku mezd z velké části ovlivňuje. Ve 2. čtvrtletí zde vzrostla zaměstnanost o 2,1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 xml:space="preserve">, což se promítlo i do vysokého nárůstu objemu mezd </w:t>
            </w:r>
            <w:r w:rsidRPr="00B83E07">
              <w:rPr>
                <w:spacing w:val="-2"/>
              </w:rPr>
              <w:lastRenderedPageBreak/>
              <w:t>a</w:t>
            </w:r>
            <w:r w:rsidR="00B83E07" w:rsidRPr="00B83E07">
              <w:rPr>
                <w:spacing w:val="-2"/>
              </w:rPr>
              <w:t> </w:t>
            </w:r>
            <w:r w:rsidRPr="00B83E07">
              <w:rPr>
                <w:spacing w:val="-2"/>
              </w:rPr>
              <w:t>platů o 9,1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 xml:space="preserve">. Nejvýraznějšího přírůstku dosáhl objem mezd a platů v odvětvích s dominancí </w:t>
            </w:r>
            <w:r w:rsidR="00F03F8D" w:rsidRPr="00F03F8D">
              <w:rPr>
                <w:spacing w:val="-2"/>
              </w:rPr>
              <w:t>veřejných institucí</w:t>
            </w:r>
            <w:r w:rsidR="00771972">
              <w:rPr>
                <w:rStyle w:val="Znakapoznpodarou"/>
                <w:spacing w:val="-2"/>
              </w:rPr>
              <w:footnoteReference w:id="9"/>
            </w:r>
            <w:r w:rsidR="00686DED" w:rsidRPr="00B83E07">
              <w:rPr>
                <w:spacing w:val="-2"/>
              </w:rPr>
              <w:t xml:space="preserve"> </w:t>
            </w:r>
            <w:r w:rsidRPr="00B83E07">
              <w:rPr>
                <w:spacing w:val="-2"/>
              </w:rPr>
              <w:t>(13,6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). Stály za tím nárůst tarif</w:t>
            </w:r>
            <w:r w:rsidR="00AA2AF4" w:rsidRPr="00B83E07">
              <w:rPr>
                <w:spacing w:val="-2"/>
              </w:rPr>
              <w:t>ů</w:t>
            </w:r>
            <w:r w:rsidRPr="00B83E07">
              <w:rPr>
                <w:spacing w:val="-2"/>
              </w:rPr>
              <w:t xml:space="preserve"> spolu s navýšením </w:t>
            </w:r>
            <w:r w:rsidR="00AA2AF4" w:rsidRPr="00B83E07">
              <w:rPr>
                <w:spacing w:val="-2"/>
              </w:rPr>
              <w:t>počtu zaměstnaných osob</w:t>
            </w:r>
            <w:r w:rsidRPr="00B83E07">
              <w:rPr>
                <w:spacing w:val="-2"/>
              </w:rPr>
              <w:t xml:space="preserve"> o 2,7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. Stejné meziroční dyna</w:t>
            </w:r>
            <w:r w:rsidR="00B83E07">
              <w:rPr>
                <w:spacing w:val="-2"/>
              </w:rPr>
              <w:t>miky mezd a platů dosáhly ve 2.</w:t>
            </w:r>
            <w:r w:rsidR="00B83E07" w:rsidRPr="00B83E07">
              <w:rPr>
                <w:spacing w:val="-2"/>
              </w:rPr>
              <w:t> </w:t>
            </w:r>
            <w:r w:rsidRPr="00B83E07">
              <w:rPr>
                <w:spacing w:val="-2"/>
              </w:rPr>
              <w:t>čtvrtletí i činnosti v oblasti nemovitostí, u nic</w:t>
            </w:r>
            <w:r w:rsidR="00B83E07">
              <w:rPr>
                <w:spacing w:val="-2"/>
              </w:rPr>
              <w:t>hž výslednému tempu napomohlo i</w:t>
            </w:r>
            <w:r w:rsidR="00B83E07" w:rsidRPr="00B83E07">
              <w:rPr>
                <w:spacing w:val="-2"/>
              </w:rPr>
              <w:t> </w:t>
            </w:r>
            <w:r w:rsidRPr="00B83E07">
              <w:rPr>
                <w:spacing w:val="-2"/>
              </w:rPr>
              <w:t>zvýšení celkové zaměstnanosti o 2,8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. Nejvyššího růstu zaměstnanosti (4,6</w:t>
            </w:r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) dosáhly informační a komunikační činnosti. Navzd</w:t>
            </w:r>
            <w:r w:rsidR="00B83E07">
              <w:rPr>
                <w:spacing w:val="-2"/>
              </w:rPr>
              <w:t>ory 11,1% nárůstu objemu mezd a</w:t>
            </w:r>
            <w:r w:rsidR="00B83E07" w:rsidRPr="00B83E07">
              <w:rPr>
                <w:spacing w:val="-2"/>
              </w:rPr>
              <w:t> </w:t>
            </w:r>
            <w:r w:rsidRPr="00B83E07">
              <w:rPr>
                <w:spacing w:val="-2"/>
              </w:rPr>
              <w:t xml:space="preserve">platů </w:t>
            </w:r>
            <w:r w:rsidR="0051475D" w:rsidRPr="00B83E07">
              <w:rPr>
                <w:spacing w:val="-2"/>
              </w:rPr>
              <w:t>ta</w:t>
            </w:r>
            <w:r w:rsidR="0051475D">
              <w:rPr>
                <w:spacing w:val="-2"/>
              </w:rPr>
              <w:t>m</w:t>
            </w:r>
            <w:r w:rsidR="0051475D" w:rsidRPr="00B83E07">
              <w:rPr>
                <w:spacing w:val="-2"/>
              </w:rPr>
              <w:t xml:space="preserve"> </w:t>
            </w:r>
            <w:r w:rsidRPr="00B83E07">
              <w:rPr>
                <w:spacing w:val="-2"/>
              </w:rPr>
              <w:t xml:space="preserve">průměrná mzda rostla pomaleji než ve zbytku </w:t>
            </w:r>
            <w:r w:rsidR="00AA2AF4" w:rsidRPr="00B83E07">
              <w:rPr>
                <w:spacing w:val="-2"/>
              </w:rPr>
              <w:t>hospodářství</w:t>
            </w:r>
            <w:r w:rsidR="00B83E07">
              <w:rPr>
                <w:spacing w:val="-2"/>
              </w:rPr>
              <w:t>. Jde však o</w:t>
            </w:r>
            <w:r w:rsidR="00B83E07" w:rsidRPr="00B83E07">
              <w:rPr>
                <w:spacing w:val="-2"/>
              </w:rPr>
              <w:t> </w:t>
            </w:r>
            <w:r w:rsidRPr="00B83E07">
              <w:rPr>
                <w:spacing w:val="-2"/>
              </w:rPr>
              <w:t xml:space="preserve">odvětví s druhou nejvyšší průměrnou mzdou v ekonomice, kde je výsledkem nižšího relativního růstu poměrně vysoké absolutní navýšení. Pokles zaměstnanosti navzdory oživení v odvětví probíhal u </w:t>
            </w:r>
            <w:proofErr w:type="gramStart"/>
            <w:r w:rsidRPr="00B83E07">
              <w:rPr>
                <w:spacing w:val="-2"/>
              </w:rPr>
              <w:t xml:space="preserve">stavebnictví </w:t>
            </w:r>
            <w:r w:rsidR="003370C5" w:rsidRPr="00B83E07">
              <w:rPr>
                <w:spacing w:val="-2"/>
              </w:rPr>
              <w:t>(</w:t>
            </w:r>
            <w:r w:rsidR="003370C5">
              <w:rPr>
                <w:spacing w:val="-2"/>
              </w:rPr>
              <w:t>–</w:t>
            </w:r>
            <w:r w:rsidRPr="00B83E07">
              <w:rPr>
                <w:spacing w:val="-2"/>
              </w:rPr>
              <w:t>0,7</w:t>
            </w:r>
            <w:proofErr w:type="gramEnd"/>
            <w:r w:rsidR="007B0E83">
              <w:rPr>
                <w:spacing w:val="-2"/>
              </w:rPr>
              <w:t> %</w:t>
            </w:r>
            <w:r w:rsidRPr="00B83E07">
              <w:rPr>
                <w:spacing w:val="-2"/>
              </w:rPr>
              <w:t>). Výsledný nárůst objemu mezd byl rovněž nejnižší v celé ekonomice (7,1 %).</w:t>
            </w:r>
          </w:p>
        </w:tc>
      </w:tr>
      <w:tr w:rsidR="00FE2C7E" w:rsidRPr="009110F7" w:rsidTr="00FE2C7E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41745D" w:rsidRDefault="00FE2C7E" w:rsidP="00FE2C7E">
            <w:pPr>
              <w:spacing w:after="0"/>
              <w:rPr>
                <w:b/>
                <w:sz w:val="18"/>
                <w:szCs w:val="18"/>
              </w:rPr>
            </w:pPr>
            <w:r w:rsidRPr="0041745D">
              <w:rPr>
                <w:b/>
                <w:sz w:val="18"/>
                <w:szCs w:val="18"/>
              </w:rPr>
              <w:t xml:space="preserve">Graf </w:t>
            </w:r>
            <w:proofErr w:type="gramStart"/>
            <w:r w:rsidRPr="0041745D">
              <w:rPr>
                <w:b/>
                <w:sz w:val="18"/>
                <w:szCs w:val="18"/>
              </w:rPr>
              <w:t xml:space="preserve">č. 3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výdajových složek k reálné změně HDP* (objemové indexy, meziroční růst, příspěvky v p. b., HDP v</w:t>
            </w:r>
            <w:r w:rsidR="007B0E83"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E2C7E" w:rsidRPr="009110F7" w:rsidTr="00FE2C7E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spacing w:after="0"/>
            </w:pPr>
            <w:r w:rsidRPr="00465E90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E2C7E" w:rsidRPr="009110F7" w:rsidTr="00FE2C7E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:rsidR="00FE2C7E" w:rsidRPr="009110F7" w:rsidRDefault="00FE2C7E" w:rsidP="009657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*po vyloučení dovozu pro konečné užití</w:t>
            </w:r>
          </w:p>
        </w:tc>
      </w:tr>
      <w:tr w:rsidR="00FE2C7E" w:rsidRPr="009110F7" w:rsidTr="00FE2C7E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  <w:r>
              <w:t>Investiční aktivita nepolevuje. Ve zvýšené míře se na ní podílely investice do infrastruktury i</w:t>
            </w:r>
            <w:r w:rsidR="00DF3643">
              <w:t> </w:t>
            </w:r>
            <w:r>
              <w:t>obydlí.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771972">
            <w:r>
              <w:t xml:space="preserve">Vysoké meziroční tempo </w:t>
            </w:r>
            <w:r w:rsidR="00AA2AF4">
              <w:t xml:space="preserve">růstu </w:t>
            </w:r>
            <w:r>
              <w:t>výdajů na tvorbu hrubého kapitálu, které v minulých obdobích výrazně podporovalo celkový hospodářský růst, poměrně výrazně pokleslo na hodnotu 2,4</w:t>
            </w:r>
            <w:r w:rsidR="007B0E83">
              <w:t> %</w:t>
            </w:r>
            <w:r>
              <w:t xml:space="preserve">. Důvodem je zejména změna zásob, jejíž výrazně negativní působení převážilo i 7,8% nárůst </w:t>
            </w:r>
            <w:r w:rsidR="00771972">
              <w:t>investic do f</w:t>
            </w:r>
            <w:r>
              <w:t>ixního kapitálu</w:t>
            </w:r>
            <w:r w:rsidR="00771972">
              <w:t>.</w:t>
            </w:r>
            <w:r>
              <w:t xml:space="preserve"> Výsledný příspěvek tvorby hrubého kapitálu k růstu HDP činil jen 0,1</w:t>
            </w:r>
            <w:r w:rsidR="00EA4402">
              <w:t> p. b.</w:t>
            </w:r>
            <w:r>
              <w:t>, ačkoli samotná investiční aktivita přidala 1,4</w:t>
            </w:r>
            <w:r w:rsidR="00EA4402">
              <w:t> p. b.</w:t>
            </w:r>
            <w:r>
              <w:t xml:space="preserve"> Věcné členění investiční aktivity</w:t>
            </w:r>
            <w:r w:rsidRPr="009110F7">
              <w:rPr>
                <w:rStyle w:val="Znakapoznpodarou"/>
              </w:rPr>
              <w:footnoteReference w:id="10"/>
            </w:r>
            <w:r>
              <w:t xml:space="preserve"> ukázalo, že ve 2. čtvrtletí pokračoval vysoký meziroční růst investic do obydlí (13,0</w:t>
            </w:r>
            <w:r w:rsidR="007B0E83">
              <w:t> %</w:t>
            </w:r>
            <w:r>
              <w:t>). Tento nárůst nepřímo ukazuje na stále vysokou investiční aktivitu domácností. K mírnému zpomalení došlo u investic do ICT a ostatních strojů a zařízení (7,9</w:t>
            </w:r>
            <w:r w:rsidR="007B0E83">
              <w:t> %</w:t>
            </w:r>
            <w:r>
              <w:t>). Naopak investiční výdaje na dopravní prostředky a zařízení navázaly na vysoké tempo růstu v 1. čtvrtletí a dále zrychlily na 13,9</w:t>
            </w:r>
            <w:r w:rsidR="007B0E83">
              <w:t> %</w:t>
            </w:r>
            <w:r>
              <w:t>. Investice do ostatních budov a staveb výrazněji nezabrzdila ani vysoká základna stejného období minulého roku a ty vzrostly o 10,7</w:t>
            </w:r>
            <w:r w:rsidR="007B0E83">
              <w:t> %</w:t>
            </w:r>
            <w:r>
              <w:t>.</w:t>
            </w:r>
          </w:p>
        </w:tc>
      </w:tr>
      <w:tr w:rsidR="00FE2C7E" w:rsidRPr="009110F7" w:rsidTr="00FE2C7E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AA2AF4" w:rsidP="00AA2AF4">
            <w:pPr>
              <w:pStyle w:val="Marginlie"/>
            </w:pPr>
            <w:r>
              <w:lastRenderedPageBreak/>
              <w:t>Přebytek b</w:t>
            </w:r>
            <w:r w:rsidR="00FE2C7E">
              <w:t>ilance zahraničního obchodu se</w:t>
            </w:r>
            <w:r w:rsidR="00FD4D12">
              <w:t> </w:t>
            </w:r>
            <w:r w:rsidR="00FE2C7E">
              <w:t>snížil.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AA2AF4">
            <w:r>
              <w:t>Celkový přebytek obchodu se zbožím a službami v 1. pololetí dosáhl 185,4 mld. korun</w:t>
            </w:r>
            <w:r w:rsidRPr="009110F7">
              <w:rPr>
                <w:rStyle w:val="Znakapoznpodarou"/>
              </w:rPr>
              <w:footnoteReference w:id="11"/>
            </w:r>
            <w:r>
              <w:t xml:space="preserve"> a meziročně se snížil o 6,8 mld. Pokles byl rovnoměrně rozdělen mezi jednotlivá čtvrtletí. Ve 2. kvartálu činil přebytek 93,2 mld. korun a snížil se meziročně o</w:t>
            </w:r>
            <w:r w:rsidR="00FD4D12">
              <w:t> </w:t>
            </w:r>
            <w:r>
              <w:t xml:space="preserve">3,7 mld. Pokles přebytku se opět týkal pouze obchodu se </w:t>
            </w:r>
            <w:proofErr w:type="gramStart"/>
            <w:r>
              <w:t xml:space="preserve">zbožím </w:t>
            </w:r>
            <w:r w:rsidR="00FD4D12">
              <w:t>(–</w:t>
            </w:r>
            <w:r>
              <w:t>6,0</w:t>
            </w:r>
            <w:proofErr w:type="gramEnd"/>
            <w:r>
              <w:t xml:space="preserve"> mld.</w:t>
            </w:r>
            <w:r w:rsidR="00AA2AF4">
              <w:t xml:space="preserve"> korun</w:t>
            </w:r>
            <w:r>
              <w:t xml:space="preserve">), u služeb došlo k meziročnímu nárůstu </w:t>
            </w:r>
            <w:r w:rsidR="00FD4D12">
              <w:t>o </w:t>
            </w:r>
            <w:r>
              <w:t>2,3 mld. Směnné relace ve 2.</w:t>
            </w:r>
            <w:r w:rsidR="00FD4D12">
              <w:t> </w:t>
            </w:r>
            <w:r>
              <w:t>čtvrtletí mírně poklesly a dosáhly 100,3</w:t>
            </w:r>
            <w:r w:rsidR="007B0E83">
              <w:t> %</w:t>
            </w:r>
            <w:r>
              <w:t>.</w:t>
            </w:r>
          </w:p>
        </w:tc>
      </w:tr>
      <w:tr w:rsidR="00FE2C7E" w:rsidRPr="009110F7" w:rsidTr="00FE2C7E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  <w:r>
              <w:t>Růst HPH nejsilněji ovlivňovala odvětví služeb.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7E4C70">
            <w:r>
              <w:t>Vývoji hrubé přidané hodnoty v roce 2017 dominoval zpracovatelský průmysl, kterému sekundovala odvětví služeb podporovaná růstem domácí spotřeby. Ve 2. čtvrtletí</w:t>
            </w:r>
            <w:r w:rsidR="00A445A8">
              <w:t xml:space="preserve"> 2018</w:t>
            </w:r>
            <w:r>
              <w:t xml:space="preserve"> však došlo k výraznému zpomalení meziročního růstu HPH ve</w:t>
            </w:r>
            <w:r w:rsidR="007E4C70">
              <w:t> </w:t>
            </w:r>
            <w:r>
              <w:t>zpracovatelském průmyslu na 2,8</w:t>
            </w:r>
            <w:r w:rsidR="007B0E83">
              <w:t> %</w:t>
            </w:r>
            <w:r>
              <w:t xml:space="preserve"> (7,0</w:t>
            </w:r>
            <w:r w:rsidR="007B0E83">
              <w:t> %</w:t>
            </w:r>
            <w:r>
              <w:t xml:space="preserve"> v 1.</w:t>
            </w:r>
            <w:r w:rsidR="00FD4D12">
              <w:t> </w:t>
            </w:r>
            <w:r>
              <w:t>čtvrtletí) a zredukoval se i</w:t>
            </w:r>
            <w:r w:rsidR="007E4C70">
              <w:t> </w:t>
            </w:r>
            <w:r>
              <w:t>příspěvek k celkovému růstu HPH (0,8</w:t>
            </w:r>
            <w:r w:rsidR="00EA4402">
              <w:t> p. b.</w:t>
            </w:r>
            <w:r>
              <w:t>, nejméně od 3. čtvrtletí 2016). Celkový příspěvek služeb ve 2. čtvrtletí dosáhl 1,5</w:t>
            </w:r>
            <w:r w:rsidR="00EA4402">
              <w:t> p. b.</w:t>
            </w:r>
            <w:r>
              <w:t xml:space="preserve"> Nejvýrazněji přispíval</w:t>
            </w:r>
            <w:r w:rsidR="00FD4D12">
              <w:t>y</w:t>
            </w:r>
            <w:r>
              <w:t xml:space="preserve"> obchod, doprava, ubytování a pohostinství (0,7</w:t>
            </w:r>
            <w:r w:rsidR="00EA4402">
              <w:t> p. b.</w:t>
            </w:r>
            <w:r>
              <w:t>), kde HPH vzrostla o 3,4</w:t>
            </w:r>
            <w:r w:rsidR="007B0E83">
              <w:t> %</w:t>
            </w:r>
            <w:r>
              <w:t xml:space="preserve"> (oproti 1.</w:t>
            </w:r>
            <w:r w:rsidR="007E4C70">
              <w:t> </w:t>
            </w:r>
            <w:r>
              <w:t>čtvrtletí však došlo ke zpomalení). Nižší úroveň meziročního růstu byla společná většině odvětví služeb. Silné růstové tempo si zachoval</w:t>
            </w:r>
            <w:r w:rsidR="00AA2AF4">
              <w:t>y</w:t>
            </w:r>
            <w:r>
              <w:t xml:space="preserve"> informační a komunikační činnosti (4,6</w:t>
            </w:r>
            <w:r w:rsidR="007B0E83">
              <w:t> %</w:t>
            </w:r>
            <w:r>
              <w:t>, příspěvek 0,2</w:t>
            </w:r>
            <w:r w:rsidR="00EA4402">
              <w:t> p. b.</w:t>
            </w:r>
            <w:r>
              <w:t>). Stejného příspěvku k růstu HPH dosáhly profesní, vědecké, technické a administrativní činnosti (růst HPH dosáhl 2,9</w:t>
            </w:r>
            <w:r w:rsidR="007B0E83">
              <w:t> %</w:t>
            </w:r>
            <w:r>
              <w:t>) a</w:t>
            </w:r>
            <w:r w:rsidR="007E4C70">
              <w:t> </w:t>
            </w:r>
            <w:r>
              <w:t>odvětví s </w:t>
            </w:r>
            <w:r w:rsidR="00F03F8D" w:rsidRPr="00F03F8D">
              <w:t xml:space="preserve">dominancí </w:t>
            </w:r>
            <w:r w:rsidR="00F03F8D" w:rsidRPr="00F03F8D">
              <w:rPr>
                <w:spacing w:val="-2"/>
              </w:rPr>
              <w:t>veřejných institucí</w:t>
            </w:r>
            <w:r w:rsidRPr="00F03F8D">
              <w:t xml:space="preserve"> (</w:t>
            </w:r>
            <w:r>
              <w:t>zde růst HPH mírně zrychlil na 1,6</w:t>
            </w:r>
            <w:r w:rsidR="007B0E83">
              <w:t> %</w:t>
            </w:r>
            <w:r>
              <w:t>). Na</w:t>
            </w:r>
            <w:r w:rsidR="007E4C70">
              <w:t> </w:t>
            </w:r>
            <w:r>
              <w:t>rozdíl od zbytku ekonomiky příliš nepolevoval růst HPH u stavebnictví (5,0</w:t>
            </w:r>
            <w:r w:rsidR="007B0E83">
              <w:t> %</w:t>
            </w:r>
            <w:r>
              <w:t>), což se ukázalo i příspěvkem ve výši 0,3</w:t>
            </w:r>
            <w:r w:rsidR="00EA4402">
              <w:t> p. b.</w:t>
            </w:r>
          </w:p>
        </w:tc>
      </w:tr>
      <w:tr w:rsidR="00FE2C7E" w:rsidRPr="009110F7" w:rsidTr="00FE2C7E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FE2C7E">
            <w:pPr>
              <w:spacing w:after="0"/>
            </w:pPr>
            <w:r w:rsidRPr="00A85DE1">
              <w:rPr>
                <w:b/>
                <w:sz w:val="18"/>
                <w:szCs w:val="18"/>
              </w:rPr>
              <w:t xml:space="preserve">Graf </w:t>
            </w:r>
            <w:proofErr w:type="gramStart"/>
            <w:r w:rsidRPr="00A85DE1">
              <w:rPr>
                <w:b/>
                <w:sz w:val="18"/>
                <w:szCs w:val="18"/>
              </w:rPr>
              <w:t xml:space="preserve">č. 4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</w:t>
            </w:r>
            <w:proofErr w:type="gramEnd"/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 odvětví k reálné změně HPH (objemové indexy, meziroční příspěvky v p. b., HPH v</w:t>
            </w:r>
            <w:r w:rsidR="007B0E83"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E2C7E" w:rsidRPr="009110F7" w:rsidTr="00FE2C7E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spacing w:after="0"/>
            </w:pPr>
            <w:r w:rsidRPr="00A66C1D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E2C7E" w:rsidRPr="009110F7" w:rsidTr="00FE2C7E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FE2C7E" w:rsidRPr="009110F7" w:rsidRDefault="00FE2C7E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FE2C7E" w:rsidRDefault="00FE2C7E" w:rsidP="00965797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  <w:p w:rsidR="00B83E07" w:rsidRPr="009110F7" w:rsidRDefault="00B83E07" w:rsidP="00965797">
            <w:pPr>
              <w:rPr>
                <w:sz w:val="14"/>
                <w:szCs w:val="14"/>
              </w:rPr>
            </w:pPr>
          </w:p>
        </w:tc>
      </w:tr>
    </w:tbl>
    <w:p w:rsidR="00935BD4" w:rsidRPr="009110F7" w:rsidRDefault="00935BD4" w:rsidP="001554C2">
      <w:pPr>
        <w:pStyle w:val="Nadpis11"/>
      </w:pPr>
      <w:bookmarkStart w:id="4" w:name="_Toc525046022"/>
      <w:r w:rsidRPr="009110F7">
        <w:lastRenderedPageBreak/>
        <w:t>3</w:t>
      </w:r>
      <w:r w:rsidR="001554C2" w:rsidRPr="009110F7">
        <w:t xml:space="preserve">. </w:t>
      </w:r>
      <w:bookmarkStart w:id="5" w:name="_Toc454185150"/>
      <w:bookmarkStart w:id="6" w:name="_Toc493683635"/>
      <w:r w:rsidRPr="009110F7">
        <w:t>Výkonnost odvětví</w:t>
      </w:r>
      <w:bookmarkEnd w:id="4"/>
      <w:bookmarkEnd w:id="5"/>
      <w:bookmarkEnd w:id="6"/>
    </w:p>
    <w:tbl>
      <w:tblPr>
        <w:tblW w:w="964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29"/>
        <w:gridCol w:w="235"/>
        <w:gridCol w:w="7580"/>
      </w:tblGrid>
      <w:tr w:rsidR="008C7569" w:rsidRPr="009110F7" w:rsidTr="00194729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D21D6D" w:rsidRPr="009110F7" w:rsidRDefault="00F93688" w:rsidP="008417B5">
            <w:pPr>
              <w:pStyle w:val="Marginlie"/>
            </w:pPr>
            <w:proofErr w:type="spellStart"/>
            <w:r>
              <w:t>Mezikvartální</w:t>
            </w:r>
            <w:proofErr w:type="spellEnd"/>
            <w:r>
              <w:t xml:space="preserve"> růst hrubé přidané hodnoty (HPH)</w:t>
            </w:r>
            <w:r w:rsidR="00D70822">
              <w:t xml:space="preserve"> </w:t>
            </w:r>
            <w:r>
              <w:t>v ekonomice byl nejslabší za posledních sedm čtvrtletí.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388E" w:rsidRPr="009110F7" w:rsidRDefault="00F93688" w:rsidP="00541AE3">
            <w:pPr>
              <w:spacing w:after="220"/>
            </w:pPr>
            <w:r>
              <w:t>Hrubá přidaná hodnota (HPH)</w:t>
            </w:r>
            <w:r>
              <w:rPr>
                <w:rStyle w:val="Znakapoznpodarou"/>
                <w:spacing w:val="-4"/>
              </w:rPr>
              <w:footnoteReference w:id="12"/>
            </w:r>
            <w:r>
              <w:t xml:space="preserve"> vyjadřující souhrnný výkon všech odvětví ekonomiky naznačovala zpomalování. Ve 2. čtvrtletí se </w:t>
            </w:r>
            <w:proofErr w:type="spellStart"/>
            <w:r>
              <w:t>mezikvartální</w:t>
            </w:r>
            <w:proofErr w:type="spellEnd"/>
            <w:r>
              <w:t xml:space="preserve"> růst HPH zmírnil již podruhé v řadě. Jeho dosažené tempo (+0,5</w:t>
            </w:r>
            <w:r w:rsidR="007B0E83">
              <w:t> %</w:t>
            </w:r>
            <w:r>
              <w:t>) bylo zároveň nejslabší za posledních sedm čtvrtletí. I tak však tuzemská ekonomika vykazovala stále vyšší růst než EU (+0,4</w:t>
            </w:r>
            <w:r w:rsidR="007B0E83">
              <w:t> %</w:t>
            </w:r>
            <w:r>
              <w:t>) či sousední Německo (+0,3</w:t>
            </w:r>
            <w:r w:rsidR="007B0E83">
              <w:t> %</w:t>
            </w:r>
            <w:r>
              <w:t>). Zvolňování bylo v ČR patrné rovněž v meziroční</w:t>
            </w:r>
            <w:r w:rsidR="00D70822">
              <w:t>m</w:t>
            </w:r>
            <w:r>
              <w:t xml:space="preserve"> srovnání (v 1. čtvrtletí +4,2</w:t>
            </w:r>
            <w:r w:rsidR="007B0E83">
              <w:t> %</w:t>
            </w:r>
            <w:r>
              <w:t xml:space="preserve">, </w:t>
            </w:r>
            <w:r w:rsidR="00ED0EF0">
              <w:t>ve 2</w:t>
            </w:r>
            <w:r>
              <w:t>. čtvrtletí +2,4</w:t>
            </w:r>
            <w:r w:rsidR="007B0E83">
              <w:t> %</w:t>
            </w:r>
            <w:r>
              <w:t>). Nelze ale opomenout, že v první polovině loňského roku se ekonomice mimořádně dařilo, když došlo k aktivizaci všech významných zdrojů na nabídkové i poptávkové straně.</w:t>
            </w:r>
          </w:p>
        </w:tc>
      </w:tr>
      <w:tr w:rsidR="00F93688" w:rsidRPr="009110F7" w:rsidTr="00194729">
        <w:trPr>
          <w:trHeight w:val="1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Marginlie"/>
            </w:pPr>
            <w:r>
              <w:t>Více než polovinu růst</w:t>
            </w:r>
            <w:r w:rsidR="001762F4">
              <w:t>u</w:t>
            </w:r>
            <w:r>
              <w:t xml:space="preserve"> HPH zajistily v 1. pololetí služby. Výkon průmyslu citelně zvolnil, stavebnictví výrazně ožilo.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2E20C7">
            <w:pPr>
              <w:spacing w:after="220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Těžiště růstu HPH se přesunulo od zpracovatelského průmyslu k terciárnímu sektoru. Výkon služeb vzrostl v 1. pololetí meziročně o 3,0</w:t>
            </w:r>
            <w:r w:rsidR="007B0E83">
              <w:rPr>
                <w:rFonts w:cs="Arial"/>
                <w:spacing w:val="-4"/>
              </w:rPr>
              <w:t> %</w:t>
            </w:r>
            <w:r>
              <w:rPr>
                <w:rFonts w:cs="Arial"/>
                <w:spacing w:val="-4"/>
              </w:rPr>
              <w:t xml:space="preserve"> a k navýšení celkové přidané hodnoty přispěl 1,8</w:t>
            </w:r>
            <w:r w:rsidR="00EA4402">
              <w:rPr>
                <w:rFonts w:cs="Arial"/>
                <w:spacing w:val="-4"/>
              </w:rPr>
              <w:t> p. b.</w:t>
            </w:r>
            <w:r>
              <w:rPr>
                <w:rFonts w:cs="Arial"/>
                <w:spacing w:val="-4"/>
              </w:rPr>
              <w:t xml:space="preserve"> Dařilo se především informačním a komunikačním činnostem a také finančnímu sektoru – v obou případech jde také o dlouhodobě dynamické obory. Ve váhově dominantním uskupení o</w:t>
            </w:r>
            <w:r w:rsidRPr="00374A20">
              <w:rPr>
                <w:rFonts w:cs="Arial"/>
                <w:spacing w:val="-4"/>
              </w:rPr>
              <w:t>bchod, doprava, ubytování a pohostinství</w:t>
            </w:r>
            <w:r>
              <w:rPr>
                <w:rFonts w:cs="Arial"/>
                <w:spacing w:val="-4"/>
              </w:rPr>
              <w:t xml:space="preserve"> se růstové tempo meziročně více než zdvojnásobilo (na 4,5</w:t>
            </w:r>
            <w:r w:rsidR="007B0E83">
              <w:rPr>
                <w:rFonts w:cs="Arial"/>
                <w:spacing w:val="-4"/>
              </w:rPr>
              <w:t> %</w:t>
            </w:r>
            <w:r>
              <w:rPr>
                <w:rFonts w:cs="Arial"/>
                <w:spacing w:val="-4"/>
              </w:rPr>
              <w:t xml:space="preserve">). Naopak v činnostech v oblasti nemovitostí i ve významném segmentu služeb s dominantní rolí státu přetrvával (podobně jako vloni) nevýrazný růst. Zpracovatelský průmysl ubral z loňského tempa více než polovinu, i tak zde </w:t>
            </w:r>
            <w:r w:rsidR="001762F4">
              <w:rPr>
                <w:rFonts w:cs="Arial"/>
                <w:spacing w:val="-4"/>
              </w:rPr>
              <w:t xml:space="preserve">ale </w:t>
            </w:r>
            <w:r>
              <w:rPr>
                <w:rFonts w:cs="Arial"/>
                <w:spacing w:val="-4"/>
              </w:rPr>
              <w:t>přidaná hodnota rostla</w:t>
            </w:r>
            <w:r w:rsidR="002E20C7">
              <w:rPr>
                <w:rFonts w:cs="Arial"/>
                <w:spacing w:val="-4"/>
              </w:rPr>
              <w:t xml:space="preserve"> o bezmála 5 %, tedy svižněji</w:t>
            </w:r>
            <w:r>
              <w:rPr>
                <w:rFonts w:cs="Arial"/>
                <w:spacing w:val="-4"/>
              </w:rPr>
              <w:t xml:space="preserve"> než v celé ekonomice. Výrazný pozitivní obrat zaznamenalo stavebnictví, kde meziroční růst HPH o 5,3</w:t>
            </w:r>
            <w:r w:rsidR="007B0E83">
              <w:rPr>
                <w:rFonts w:cs="Arial"/>
                <w:spacing w:val="-4"/>
              </w:rPr>
              <w:t> %</w:t>
            </w:r>
            <w:r>
              <w:rPr>
                <w:rFonts w:cs="Arial"/>
                <w:spacing w:val="-4"/>
              </w:rPr>
              <w:t xml:space="preserve"> znamenal nejlepší pololetní výsledek od roku 2007. Naproti tomu mírný loňský pokles výkonu v zemědělství, lesnictví a rybářství se letos prohloubil (</w:t>
            </w:r>
            <w:proofErr w:type="gramStart"/>
            <w:r>
              <w:rPr>
                <w:rFonts w:cs="Arial"/>
                <w:spacing w:val="-4"/>
              </w:rPr>
              <w:t xml:space="preserve">na </w:t>
            </w:r>
            <w:r w:rsidR="001762F4">
              <w:rPr>
                <w:rFonts w:cs="Arial"/>
                <w:spacing w:val="-4"/>
              </w:rPr>
              <w:t>–</w:t>
            </w:r>
            <w:r>
              <w:rPr>
                <w:rFonts w:cs="Arial"/>
                <w:spacing w:val="-4"/>
              </w:rPr>
              <w:t>3,9</w:t>
            </w:r>
            <w:proofErr w:type="gramEnd"/>
            <w:r w:rsidR="007B0E83">
              <w:rPr>
                <w:rFonts w:cs="Arial"/>
                <w:spacing w:val="-4"/>
              </w:rPr>
              <w:t> %</w:t>
            </w:r>
            <w:r>
              <w:rPr>
                <w:rFonts w:cs="Arial"/>
                <w:spacing w:val="-4"/>
              </w:rPr>
              <w:t xml:space="preserve">). </w:t>
            </w:r>
          </w:p>
        </w:tc>
      </w:tr>
      <w:tr w:rsidR="00F93688" w:rsidRPr="009110F7" w:rsidTr="00194729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Marginlie"/>
            </w:pPr>
            <w:r>
              <w:t>Meziroční růst průmyslové produkce se ve 2. čtvrtletí ztenčil na 2,3</w:t>
            </w:r>
            <w:r w:rsidR="007B0E83">
              <w:t> %</w:t>
            </w:r>
            <w:r>
              <w:t>, mezičtvrtletní vývoj ale vyslal pozitivnější signál.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spacing w:val="-4"/>
              </w:rPr>
              <w:t>Zvolňování tempa růstu průmyslu potvrzují i podnikové</w:t>
            </w:r>
            <w:r w:rsidRPr="002533E1">
              <w:rPr>
                <w:spacing w:val="-4"/>
              </w:rPr>
              <w:t xml:space="preserve"> statistik</w:t>
            </w:r>
            <w:r>
              <w:rPr>
                <w:spacing w:val="-4"/>
              </w:rPr>
              <w:t>y. I</w:t>
            </w:r>
            <w:r>
              <w:rPr>
                <w:color w:val="000000" w:themeColor="text1"/>
                <w:spacing w:val="-4"/>
              </w:rPr>
              <w:t>ndex průmyslové</w:t>
            </w:r>
            <w:r w:rsidRPr="008D59A9">
              <w:rPr>
                <w:color w:val="000000" w:themeColor="text1"/>
                <w:spacing w:val="-4"/>
              </w:rPr>
              <w:t xml:space="preserve"> produkce</w:t>
            </w:r>
            <w:r w:rsidRPr="008D59A9">
              <w:rPr>
                <w:color w:val="000000" w:themeColor="text1"/>
                <w:spacing w:val="-4"/>
                <w:vertAlign w:val="superscript"/>
              </w:rPr>
              <w:footnoteReference w:id="13"/>
            </w:r>
            <w:r>
              <w:rPr>
                <w:color w:val="000000" w:themeColor="text1"/>
                <w:spacing w:val="-4"/>
              </w:rPr>
              <w:t xml:space="preserve"> vzrostl v 1. pololetí meziročně o 3,2</w:t>
            </w:r>
            <w:r w:rsidR="007B0E83">
              <w:rPr>
                <w:color w:val="000000" w:themeColor="text1"/>
                <w:spacing w:val="-4"/>
              </w:rPr>
              <w:t> %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14"/>
            </w:r>
            <w:r>
              <w:rPr>
                <w:color w:val="000000" w:themeColor="text1"/>
                <w:spacing w:val="-4"/>
              </w:rPr>
              <w:t xml:space="preserve"> (v samotném 2. čtvrtletí dokonce jen o 2,3</w:t>
            </w:r>
            <w:r w:rsidR="007B0E83">
              <w:rPr>
                <w:color w:val="000000" w:themeColor="text1"/>
                <w:spacing w:val="-4"/>
              </w:rPr>
              <w:t> %</w:t>
            </w:r>
            <w:r>
              <w:rPr>
                <w:color w:val="000000" w:themeColor="text1"/>
                <w:spacing w:val="-4"/>
              </w:rPr>
              <w:t>). Příznivějším signálem může být skutečnost, že po slabším vstupu do letošního roku (+0,2</w:t>
            </w:r>
            <w:r w:rsidR="007B0E83">
              <w:rPr>
                <w:color w:val="000000" w:themeColor="text1"/>
                <w:spacing w:val="-4"/>
              </w:rPr>
              <w:t> %</w:t>
            </w:r>
            <w:r>
              <w:rPr>
                <w:color w:val="000000" w:themeColor="text1"/>
                <w:spacing w:val="-4"/>
              </w:rPr>
              <w:t xml:space="preserve">) se </w:t>
            </w:r>
            <w:proofErr w:type="spellStart"/>
            <w:r>
              <w:rPr>
                <w:color w:val="000000" w:themeColor="text1"/>
                <w:spacing w:val="-4"/>
              </w:rPr>
              <w:t>mezikvartální</w:t>
            </w:r>
            <w:proofErr w:type="spellEnd"/>
            <w:r>
              <w:rPr>
                <w:color w:val="000000" w:themeColor="text1"/>
                <w:spacing w:val="-4"/>
              </w:rPr>
              <w:t xml:space="preserve"> tempo růstu produkce ve 2. čtvrtletí navýšilo (na +1,1</w:t>
            </w:r>
            <w:r w:rsidR="007B0E83">
              <w:rPr>
                <w:color w:val="000000" w:themeColor="text1"/>
                <w:spacing w:val="-4"/>
              </w:rPr>
              <w:t> %</w:t>
            </w:r>
            <w:r>
              <w:rPr>
                <w:color w:val="000000" w:themeColor="text1"/>
                <w:spacing w:val="-4"/>
              </w:rPr>
              <w:t>). Přispěl k tomu nejen zpracovatelský průmysl, ale i energetika či těžba a</w:t>
            </w:r>
            <w:r w:rsidRPr="002533E1"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 xml:space="preserve">dobývání. </w:t>
            </w:r>
          </w:p>
        </w:tc>
      </w:tr>
      <w:tr w:rsidR="00F93688" w:rsidRPr="009110F7" w:rsidTr="00194729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Default="00F93688" w:rsidP="00793D78">
            <w:pPr>
              <w:pStyle w:val="Marginlie"/>
            </w:pPr>
            <w:r>
              <w:t>Produkce v automobilovém průmyslu i výrobě pryžových a plastových výrobků dosáhla ve 2. čtvrtletí nejslabších temp od konce recese…</w:t>
            </w:r>
            <w:r w:rsidR="005F2A08">
              <w:t>,</w:t>
            </w: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  <w:r>
              <w:t>…</w:t>
            </w:r>
            <w:r w:rsidR="00631E44">
              <w:t> </w:t>
            </w:r>
            <w:r>
              <w:t>elektrotechnice i výrobě počítačů a elektronických a optických</w:t>
            </w:r>
            <w:r w:rsidRPr="00764974">
              <w:t xml:space="preserve"> přístrojů</w:t>
            </w:r>
            <w:r>
              <w:t xml:space="preserve"> se ale nadále dařilo.</w:t>
            </w: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2E20C7" w:rsidRDefault="002E20C7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Pr="009110F7" w:rsidRDefault="00F93688" w:rsidP="00793D78">
            <w:pPr>
              <w:pStyle w:val="Marginlie"/>
            </w:pPr>
            <w:r>
              <w:t>Zlepšilo se postavení hutnictví a slévárenství či těžebního průmyslu. Nadále se dařilo většině malých průmyslových oborů.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Výraznější krátkodobé zpomalení růstu průmyslu není v současném konjunkturním období zdaleka ojedinělé. Během let 2014 i 2016, kdy k podobné situaci rovněž došlo, si výraznou </w:t>
            </w:r>
            <w:proofErr w:type="spellStart"/>
            <w:r>
              <w:rPr>
                <w:spacing w:val="-2"/>
                <w:szCs w:val="20"/>
              </w:rPr>
              <w:t>prorůstovou</w:t>
            </w:r>
            <w:proofErr w:type="spellEnd"/>
            <w:r>
              <w:rPr>
                <w:spacing w:val="-2"/>
                <w:szCs w:val="20"/>
              </w:rPr>
              <w:t xml:space="preserve"> roli zachovalo klíčové odvětví výroby motorových vozidel. Současné zpomalení ale z velké části souvisí právě s tímto oborem. Zatímco po celý loňský rok osciloval meziroční růst produkce výrobců motorových vozidel kolem 10</w:t>
            </w:r>
            <w:r w:rsidR="007B0E83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>, na počátku letošního roku klesl pod 3</w:t>
            </w:r>
            <w:r w:rsidR="007B0E83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a ve 2. čtvrtletí se ztenčil na 1,5</w:t>
            </w:r>
            <w:r w:rsidR="007B0E83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(nejslabší tempo od konce poslední recese).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Neudržitelnost vysoké dynamiky produkce signalizovaly v tomto odvětví i nové zakázky, jejichž objem již od 2. čtvrtletí 2017 meziročně fakticky stagnoval. Podobným vývojem prošla v posledních měsících také výroba </w:t>
            </w:r>
            <w:r w:rsidRPr="00D05C65">
              <w:rPr>
                <w:rFonts w:cs="Arial"/>
                <w:color w:val="0D0D0D" w:themeColor="text1" w:themeTint="F2"/>
                <w:spacing w:val="-4"/>
              </w:rPr>
              <w:t>pryžových a plastových výrobků</w:t>
            </w:r>
            <w:r>
              <w:rPr>
                <w:rFonts w:cs="Arial"/>
                <w:color w:val="0D0D0D" w:themeColor="text1" w:themeTint="F2"/>
                <w:spacing w:val="-4"/>
              </w:rPr>
              <w:t>. Naproti tomu jinému odvětví navázanému na výrobu dopravních prostředků – elektrotechnice – se letos dařilo obdobně jako loni (růst v 1. pololetí mezi 7 a 8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). Výrobci motorových vozidel spolu s nejbližšími návaznými obory se tak letos na růstu průmyslové produkce podíleli necelou třetinou. Nejdynamičtějším průmyslovým oborem se stala výrazně exportně orientovaná výroba </w:t>
            </w:r>
            <w:r>
              <w:t>počítačů a elektronických a optických</w:t>
            </w:r>
            <w:r w:rsidRPr="00764974">
              <w:t xml:space="preserve"> přístrojů</w:t>
            </w:r>
            <w:r>
              <w:t xml:space="preserve">, kde produkce </w:t>
            </w:r>
            <w:r>
              <w:rPr>
                <w:rFonts w:cs="Arial"/>
                <w:color w:val="0D0D0D" w:themeColor="text1" w:themeTint="F2"/>
                <w:spacing w:val="-4"/>
              </w:rPr>
              <w:t>v 1. pololetí</w:t>
            </w:r>
            <w:r>
              <w:t xml:space="preserve"> vzrostla o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t>10,8</w:t>
            </w:r>
            <w:r w:rsidR="007B0E83">
              <w:t> %</w:t>
            </w:r>
            <w:r>
              <w:t xml:space="preserve"> (za dva roky skoro o čtvrtinu). Dařilo se i váhově významným odvětvím strojírenství </w:t>
            </w:r>
            <w:r w:rsidR="00631E44">
              <w:t xml:space="preserve">a </w:t>
            </w:r>
            <w:r>
              <w:t xml:space="preserve">kovovýroby. Ze silné tuzemské poptávky po stavebních materiálech již druhý rok v řadě profitovali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výrobci </w:t>
            </w:r>
            <w:r w:rsidRPr="00572079">
              <w:rPr>
                <w:rFonts w:cs="Arial"/>
                <w:color w:val="0D0D0D" w:themeColor="text1" w:themeTint="F2"/>
                <w:spacing w:val="-4"/>
              </w:rPr>
              <w:t>ostatních nekovových minerálních výrobků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Oproti loňskému roku se zlepšilo postavení </w:t>
            </w:r>
            <w:r>
              <w:rPr>
                <w:color w:val="0D0D0D" w:themeColor="text1" w:themeTint="F2"/>
                <w:spacing w:val="-4"/>
              </w:rPr>
              <w:t>hutnictví a slévárenství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, podobně jako výroby </w:t>
            </w:r>
            <w:r>
              <w:rPr>
                <w:rFonts w:cs="Arial"/>
                <w:color w:val="0D0D0D" w:themeColor="text1" w:themeTint="F2"/>
                <w:spacing w:val="-4"/>
              </w:rPr>
              <w:lastRenderedPageBreak/>
              <w:t xml:space="preserve">ostatních (zejména kolejových) dopravních prostředků. Silný růstový </w:t>
            </w:r>
            <w:r w:rsidR="00631E44">
              <w:rPr>
                <w:rFonts w:cs="Arial"/>
                <w:color w:val="0D0D0D" w:themeColor="text1" w:themeTint="F2"/>
                <w:spacing w:val="-4"/>
              </w:rPr>
              <w:t xml:space="preserve">impulz </w:t>
            </w:r>
            <w:r>
              <w:rPr>
                <w:rFonts w:cs="Arial"/>
                <w:color w:val="0D0D0D" w:themeColor="text1" w:themeTint="F2"/>
                <w:spacing w:val="-4"/>
              </w:rPr>
              <w:t>v souvislosti s ukončením nucených odstávek v chemickém průmyslu naopak vyprchával (i tak však zde rostla letos produkce o bezmála 5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). Nadále si dobré výsledky připisovala i většina malých zpracovatelských oborů (oděvní, dřevozpracující i nábytkářský průmysl). Výjimkou byl kožedělný průmysl, jehož výkon po krátkodobém mírném oživení v letech 2016 i 2017 se letos výrazně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 xml:space="preserve">propadl </w:t>
            </w:r>
            <w:r w:rsidR="00631E44">
              <w:rPr>
                <w:rFonts w:cs="Arial"/>
                <w:color w:val="0D0D0D" w:themeColor="text1" w:themeTint="F2"/>
                <w:spacing w:val="-4"/>
              </w:rPr>
              <w:t>(–</w:t>
            </w:r>
            <w:r>
              <w:rPr>
                <w:rFonts w:cs="Arial"/>
                <w:color w:val="0D0D0D" w:themeColor="text1" w:themeTint="F2"/>
                <w:spacing w:val="-4"/>
              </w:rPr>
              <w:t>25</w:t>
            </w:r>
            <w:proofErr w:type="gramEnd"/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5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V nezpracovatelských oborech se zlepšilo postavení těžebního průmyslu. Přispěla k tomu nejen vyšší poptávka po stavebních materiálech (kámen, písek), ale nově i zastavení poklesu produkce ve váhově dominantní těžbě </w:t>
            </w:r>
            <w:r w:rsidR="002E20C7">
              <w:rPr>
                <w:rFonts w:cs="Arial"/>
                <w:color w:val="0D0D0D" w:themeColor="text1" w:themeTint="F2"/>
                <w:spacing w:val="-4"/>
              </w:rPr>
              <w:t xml:space="preserve">hnědého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uhlí. Letošní pokles výkonu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 xml:space="preserve">energetiky </w:t>
            </w:r>
            <w:r w:rsidR="00B06DB4">
              <w:rPr>
                <w:rFonts w:cs="Arial"/>
                <w:color w:val="0D0D0D" w:themeColor="text1" w:themeTint="F2"/>
                <w:spacing w:val="-4"/>
              </w:rPr>
              <w:t>(–</w:t>
            </w:r>
            <w:r>
              <w:rPr>
                <w:rFonts w:cs="Arial"/>
                <w:color w:val="0D0D0D" w:themeColor="text1" w:themeTint="F2"/>
                <w:spacing w:val="-4"/>
              </w:rPr>
              <w:t>2,5</w:t>
            </w:r>
            <w:proofErr w:type="gramEnd"/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 souvisel s mírnou zimou i krátkodobými výkyvy produkce jaderných elektráren.</w:t>
            </w:r>
          </w:p>
        </w:tc>
      </w:tr>
      <w:tr w:rsidR="00F93688" w:rsidRPr="009110F7" w:rsidTr="00194729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EA513E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EA513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Default="00F93688" w:rsidP="00F93688">
            <w:pPr>
              <w:spacing w:after="0" w:line="240" w:lineRule="auto"/>
              <w:rPr>
                <w:b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Graf </w:t>
            </w:r>
            <w:proofErr w:type="gramStart"/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č. </w:t>
            </w: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</w:rPr>
              <w:t>Příspěvky</w:t>
            </w:r>
            <w:proofErr w:type="gramEnd"/>
            <w:r>
              <w:rPr>
                <w:b/>
              </w:rPr>
              <w:t xml:space="preserve"> dílčích odvětví k meziroční změně průmyslové produkce </w:t>
            </w:r>
          </w:p>
          <w:p w:rsidR="00F93688" w:rsidRPr="0093666A" w:rsidRDefault="00F93688" w:rsidP="00F93688">
            <w:pPr>
              <w:spacing w:after="0" w:line="240" w:lineRule="auto"/>
            </w:pPr>
            <w:r>
              <w:t>(v procentních bodech, očištěno o kalendářní vlivy</w:t>
            </w:r>
            <w:r w:rsidRPr="001D04BA">
              <w:t>)</w:t>
            </w:r>
          </w:p>
        </w:tc>
      </w:tr>
      <w:tr w:rsidR="00F93688" w:rsidRPr="009110F7" w:rsidTr="00194729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ED0EF0" w:rsidP="005F114F">
            <w:pPr>
              <w:spacing w:after="0"/>
              <w:rPr>
                <w:spacing w:val="-2"/>
                <w:szCs w:val="20"/>
              </w:rPr>
            </w:pPr>
            <w:r w:rsidRPr="00ED0EF0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94250" cy="3854450"/>
                  <wp:effectExtent l="19050" t="0" r="0" b="0"/>
                  <wp:docPr id="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93688" w:rsidRPr="009110F7" w:rsidTr="00194729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CC0834">
            <w:pPr>
              <w:spacing w:after="220"/>
              <w:rPr>
                <w:color w:val="0D0D0D" w:themeColor="text1" w:themeTint="F2"/>
                <w:spacing w:val="-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Marginlie"/>
            </w:pPr>
            <w:r>
              <w:t>Růst tržeb průmyslových podniků se prakticky zastavil. Nejvýrazněji se zvyšovaly v hutnictví a slévárenství.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spacing w:after="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Růst nominálních tržeb průmyslových podniků se letos zastavil. V 1. čtvrtletí meziročně stagnovaly, v dalším kvartálu vzrostly o mírných 2,1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>. Zatímco po celý loňský rok se podnikům zvyšovaly rychleji tržby z tuzemska nežli z přímého vývozu, ve 2. čtvrtletí se jejich tempa prakticky srovnala. Nejvýrazněji – o desetinu – rostly v 1. pololetí tržby v hutnictví a slévárenství, polovičním tempem pak v kovovýrobě, dřevozpracujícím průmyslu a také v ostatním zpracovatelském průmyslu (který z</w:t>
            </w:r>
            <w:r w:rsidR="00BE0EF9">
              <w:rPr>
                <w:color w:val="0D0D0D" w:themeColor="text1" w:themeTint="F2"/>
                <w:spacing w:val="-4"/>
              </w:rPr>
              <w:t>ahrnuje např. sportovní potřeby</w:t>
            </w:r>
            <w:r>
              <w:rPr>
                <w:color w:val="0D0D0D" w:themeColor="text1" w:themeTint="F2"/>
                <w:spacing w:val="-4"/>
              </w:rPr>
              <w:t>, hračky, hudební nástroje či bižuterii). Výrobcům motorových vozidel tržby jak v tuzemsku, tak z přímého vývozu mírně klesly (celkově o 2,5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>). Solidní vyhlídky pro průmyslové podniky naznačoval letošní vývoj nových zakázek.</w:t>
            </w:r>
            <w:r w:rsidR="008466C6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Byť na počátku roku vzrostly jen o necelá 2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>, ve 2. čtvrtletí již tempo zesílilo na 4,5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 xml:space="preserve"> a nejaktuálnější údaje tento trend potvrzují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6"/>
            </w:r>
            <w:r>
              <w:rPr>
                <w:color w:val="0D0D0D" w:themeColor="text1" w:themeTint="F2"/>
                <w:spacing w:val="-4"/>
              </w:rPr>
              <w:t xml:space="preserve">. Nejvyšší poptávku signalizovaly hutnictví a slévárenství a také kovovýroba. Alespoň mírný růst zakázek měly tři čtvrtiny sledovaných odvětví. 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540CB3" w:rsidRDefault="00F93688" w:rsidP="00F93688">
            <w:pPr>
              <w:pStyle w:val="Textpoznpodarou"/>
              <w:rPr>
                <w:b/>
                <w:spacing w:val="-2"/>
              </w:rPr>
            </w:pPr>
            <w:r>
              <w:rPr>
                <w:b/>
              </w:rPr>
              <w:t xml:space="preserve">Graf </w:t>
            </w:r>
            <w:proofErr w:type="gramStart"/>
            <w:r>
              <w:rPr>
                <w:b/>
              </w:rPr>
              <w:t xml:space="preserve">č. 6  </w:t>
            </w:r>
            <w:r w:rsidRPr="00540CB3">
              <w:rPr>
                <w:b/>
                <w:spacing w:val="-2"/>
              </w:rPr>
              <w:t>Nové</w:t>
            </w:r>
            <w:proofErr w:type="gramEnd"/>
            <w:r w:rsidRPr="00540CB3">
              <w:rPr>
                <w:b/>
                <w:spacing w:val="-2"/>
              </w:rPr>
              <w:t xml:space="preserve"> zakázky v automobilovém průmyslu, v průmyslu celkem </w:t>
            </w:r>
          </w:p>
          <w:p w:rsidR="00F93688" w:rsidRPr="00F704D2" w:rsidRDefault="00F93688" w:rsidP="00F93688">
            <w:pPr>
              <w:pStyle w:val="Textpoznpodarou"/>
            </w:pPr>
            <w:r>
              <w:rPr>
                <w:bCs/>
                <w:spacing w:val="-2"/>
              </w:rPr>
              <w:t>(v běžných</w:t>
            </w:r>
            <w:r w:rsidRPr="00540CB3">
              <w:rPr>
                <w:bCs/>
                <w:spacing w:val="-2"/>
              </w:rPr>
              <w:t xml:space="preserve"> cenách, </w:t>
            </w:r>
            <w:r w:rsidRPr="00540CB3">
              <w:rPr>
                <w:spacing w:val="-2"/>
              </w:rPr>
              <w:t>meziročně</w:t>
            </w:r>
            <w:r w:rsidRPr="00540CB3">
              <w:rPr>
                <w:bCs/>
                <w:spacing w:val="-2"/>
              </w:rPr>
              <w:t xml:space="preserve"> v</w:t>
            </w:r>
            <w:r w:rsidR="007B0E83">
              <w:rPr>
                <w:bCs/>
                <w:spacing w:val="-2"/>
              </w:rPr>
              <w:t> %</w:t>
            </w:r>
            <w:r w:rsidRPr="00540CB3">
              <w:rPr>
                <w:bCs/>
                <w:spacing w:val="-2"/>
              </w:rPr>
              <w:t xml:space="preserve">) </w:t>
            </w:r>
            <w:r w:rsidRPr="00540CB3">
              <w:rPr>
                <w:b/>
                <w:spacing w:val="-2"/>
              </w:rPr>
              <w:t>a saldo indikátoru důvěry v</w:t>
            </w:r>
            <w:r>
              <w:rPr>
                <w:b/>
                <w:spacing w:val="-2"/>
              </w:rPr>
              <w:t> </w:t>
            </w:r>
            <w:r w:rsidRPr="00540CB3">
              <w:rPr>
                <w:b/>
                <w:spacing w:val="-2"/>
              </w:rPr>
              <w:t>průmyslu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BE0EF9" w:rsidP="00840293">
            <w:pPr>
              <w:spacing w:after="0"/>
              <w:rPr>
                <w:color w:val="0D0D0D" w:themeColor="text1" w:themeTint="F2"/>
                <w:spacing w:val="-4"/>
              </w:rPr>
            </w:pPr>
            <w:r w:rsidRPr="00BE0EF9">
              <w:rPr>
                <w:noProof/>
                <w:color w:val="0D0D0D" w:themeColor="text1" w:themeTint="F2"/>
                <w:spacing w:val="-4"/>
              </w:rPr>
              <w:drawing>
                <wp:inline distT="0" distB="0" distL="0" distR="0">
                  <wp:extent cx="4772801" cy="3553200"/>
                  <wp:effectExtent l="0" t="0" r="0" b="0"/>
                  <wp:docPr id="1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D82EF1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Default="00F93688" w:rsidP="00793D78">
            <w:pPr>
              <w:pStyle w:val="Marginlie"/>
            </w:pPr>
            <w:r>
              <w:t>Saldo indikátoru důvěry v průmyslu letos mírně klesalo, nadále však zůstávalo v pozitivním pásmu.</w:t>
            </w: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Default="00F93688" w:rsidP="00793D78">
            <w:pPr>
              <w:pStyle w:val="Marginlie"/>
            </w:pPr>
          </w:p>
          <w:p w:rsidR="00F93688" w:rsidRPr="009110F7" w:rsidRDefault="00F93688" w:rsidP="00793D78">
            <w:pPr>
              <w:pStyle w:val="Marginlie"/>
            </w:pPr>
            <w:r>
              <w:t xml:space="preserve">Hlavní bariérou růstu v průmyslu nadále zůstává nedostatek zaměstnanců. Role nedostatečné poptávky byla nejslabší od konce konjunktury minulé dekády.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7532B7" w:rsidRDefault="00F93688" w:rsidP="00793D78">
            <w:pPr>
              <w:spacing w:after="20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Se zvolňováním růstu výkonových ukazatelů průmyslu korespondoval i vývoj s</w:t>
            </w:r>
            <w:r>
              <w:rPr>
                <w:rFonts w:cs="Arial"/>
                <w:color w:val="0D0D0D" w:themeColor="text1" w:themeTint="F2"/>
                <w:spacing w:val="-4"/>
              </w:rPr>
              <w:t>ezónně očištěného salda indikátoru důvěry (dle hodnocení manažerů průmyslových podniků). To v průběhu roku 2018 mírně klesalo a v červenci dosáhlo nejnižší hodnoty za posledních třináct měsíců. Přesto se udržovalo v pozitivním pásmu (v srpnu +2,3</w:t>
            </w:r>
            <w:r w:rsidR="004331C3">
              <w:rPr>
                <w:rFonts w:cs="Arial"/>
                <w:color w:val="0D0D0D" w:themeColor="text1" w:themeTint="F2"/>
                <w:spacing w:val="-4"/>
              </w:rPr>
              <w:t> p. </w:t>
            </w:r>
            <w:proofErr w:type="spellStart"/>
            <w:r w:rsidR="004331C3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="004331C3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>). Hlavní bariérou růstu průmyslu</w:t>
            </w:r>
            <w:r w:rsidR="00E47854">
              <w:rPr>
                <w:rStyle w:val="Znakapoznpodarou"/>
                <w:color w:val="0D0D0D" w:themeColor="text1" w:themeTint="F2"/>
                <w:spacing w:val="-4"/>
              </w:rPr>
              <w:footnoteReference w:id="17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zůstává již od poloviny loňského roku nedostatek zaměstnanců. Na počátku 3. čtvrtletí 2018 ho zmiňovalo 44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podniků – nejvíce v historii sledování. Ne</w:t>
            </w:r>
            <w:r w:rsidR="00E47854">
              <w:rPr>
                <w:rFonts w:cs="Arial"/>
                <w:color w:val="0D0D0D" w:themeColor="text1" w:themeTint="F2"/>
                <w:spacing w:val="-4"/>
              </w:rPr>
              <w:t>dostatečná poptávka omezovala 32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podniků, což bylo nejméně od konjunktury minulé dekády. Současné využití produkční</w:t>
            </w:r>
            <w:r w:rsidR="009D07A9">
              <w:rPr>
                <w:rFonts w:cs="Arial"/>
                <w:color w:val="0D0D0D" w:themeColor="text1" w:themeTint="F2"/>
                <w:spacing w:val="-4"/>
              </w:rPr>
              <w:t>ch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kapacit průmyslu přesáhlo 86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(nejvyšší hodnota po roce 2009). Krátkodobá očekávání vývoje zaměstnanosti zůstala na počátku 3. čtvrtletí srovnatelná se stejným obdobím loňského roku. Podíl podniků očekávajících nárůst zaměstnanosti byl ve srovnání s podniky plánujícími redukci o 8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p.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b.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vyšší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>. Evidenční počet zaměstnanců se dle podnikových sta</w:t>
            </w:r>
            <w:r w:rsidR="00C72984">
              <w:rPr>
                <w:rFonts w:cs="Arial"/>
                <w:color w:val="0D0D0D" w:themeColor="text1" w:themeTint="F2"/>
                <w:spacing w:val="-4"/>
              </w:rPr>
              <w:t>tistik v 1. </w:t>
            </w:r>
            <w:r w:rsidR="00BE0EF9">
              <w:rPr>
                <w:rFonts w:cs="Arial"/>
                <w:color w:val="0D0D0D" w:themeColor="text1" w:themeTint="F2"/>
                <w:spacing w:val="-4"/>
              </w:rPr>
              <w:t>pololetí meziročně navýšil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o 1,6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. Tempo růstu ve srovnání s rokem 2017 výrazně nepolevovalo. K vyššímu počtu zaměstnanců (+20 tis.) téměř třetinou přispěl automobilový průmysl. Relativně nejvíce lid</w:t>
            </w:r>
            <w:r w:rsidR="00BE0EF9">
              <w:rPr>
                <w:rFonts w:cs="Arial"/>
                <w:color w:val="0D0D0D" w:themeColor="text1" w:themeTint="F2"/>
                <w:spacing w:val="-4"/>
              </w:rPr>
              <w:t>í ale přibylo v energetice (+6,7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), více než 5% růst si připsaly také chemický a farmaceutický průmysl. Růst průměrných mezd v průmyslu na rozdíl od ostatních odvětví letos výrazně nezrychloval. Ve většině průmyslových oborů se pohyboval mezi 7 až 9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Výrazné rozdíly ale přetrvávaly v dosažené úrovni mezd. Ta byla v energetice 2,7krát </w:t>
            </w:r>
            <w:r w:rsidR="00C72984">
              <w:rPr>
                <w:rFonts w:cs="Arial"/>
                <w:color w:val="0D0D0D" w:themeColor="text1" w:themeTint="F2"/>
                <w:spacing w:val="-4"/>
              </w:rPr>
              <w:t>vyšší než v oděvním průmyslu (s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hrubou měsíční mzdou </w:t>
            </w:r>
            <w:r w:rsidR="00BE0EF9">
              <w:rPr>
                <w:rFonts w:cs="Arial"/>
                <w:color w:val="0D0D0D" w:themeColor="text1" w:themeTint="F2"/>
                <w:spacing w:val="-4"/>
              </w:rPr>
              <w:t xml:space="preserve">necelých </w:t>
            </w:r>
            <w:r>
              <w:rPr>
                <w:rFonts w:cs="Arial"/>
                <w:color w:val="0D0D0D" w:themeColor="text1" w:themeTint="F2"/>
                <w:spacing w:val="-4"/>
              </w:rPr>
              <w:t>17 tis. korun).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Default="00F93688" w:rsidP="00793D78">
            <w:pPr>
              <w:pStyle w:val="Marginlie"/>
              <w:rPr>
                <w:spacing w:val="-4"/>
              </w:rPr>
            </w:pPr>
            <w:r w:rsidRPr="00F30C65">
              <w:rPr>
                <w:spacing w:val="-4"/>
              </w:rPr>
              <w:t>Stavební produkce vzrostla v 1. pololetí o téměř 9</w:t>
            </w:r>
            <w:r w:rsidR="007B0E83">
              <w:rPr>
                <w:spacing w:val="-4"/>
              </w:rPr>
              <w:t> %</w:t>
            </w:r>
            <w:r w:rsidRPr="00F30C65">
              <w:rPr>
                <w:spacing w:val="-4"/>
              </w:rPr>
              <w:t xml:space="preserve">. Pozitivní obrat nastal v inženýrském stavitelství. Vedle příznivého počasí se </w:t>
            </w:r>
            <w:r w:rsidRPr="00F30C65">
              <w:rPr>
                <w:spacing w:val="-4"/>
              </w:rPr>
              <w:lastRenderedPageBreak/>
              <w:t>projevilo i zrychlené čerpání financí z rozpočtu EU.</w:t>
            </w:r>
          </w:p>
          <w:p w:rsidR="00F93688" w:rsidRDefault="00F93688" w:rsidP="00793D78">
            <w:pPr>
              <w:pStyle w:val="Marginlie"/>
              <w:rPr>
                <w:spacing w:val="-4"/>
              </w:rPr>
            </w:pPr>
          </w:p>
          <w:p w:rsidR="00F93688" w:rsidRDefault="00F93688" w:rsidP="00793D78">
            <w:pPr>
              <w:pStyle w:val="Marginlie"/>
              <w:rPr>
                <w:spacing w:val="-4"/>
              </w:rPr>
            </w:pPr>
          </w:p>
          <w:p w:rsidR="00F93688" w:rsidRPr="00F30C65" w:rsidRDefault="00F93688" w:rsidP="00793D78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 xml:space="preserve">Bytová výstavba mírně ožívala. Počet zahájených bytů vzrostl v drtivé většině krajů. V Praze však výrazně zaostával za celkovým přírůstkem obyvatel.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7A5E65">
            <w:pPr>
              <w:spacing w:after="20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Stavebnictví v 1. pololetí výrazně ožilo. Zatímco produkce</w:t>
            </w:r>
            <w:r>
              <w:rPr>
                <w:rStyle w:val="Znakapoznpodarou"/>
                <w:spacing w:val="-4"/>
              </w:rPr>
              <w:footnoteReference w:id="18"/>
            </w:r>
            <w:r>
              <w:rPr>
                <w:color w:val="0D0D0D" w:themeColor="text1" w:themeTint="F2"/>
                <w:spacing w:val="-4"/>
              </w:rPr>
              <w:t xml:space="preserve"> ve váhově dominantním segmentu pozemního stavitelství již rostla po celý loňský rok, v inženýrském stavitelství přišel rozhodující obrat až s příchodem </w:t>
            </w:r>
            <w:r w:rsidR="00420880">
              <w:rPr>
                <w:color w:val="0D0D0D" w:themeColor="text1" w:themeTint="F2"/>
                <w:spacing w:val="-4"/>
              </w:rPr>
              <w:t>roku letošního</w:t>
            </w:r>
            <w:r>
              <w:rPr>
                <w:color w:val="0D0D0D" w:themeColor="text1" w:themeTint="F2"/>
                <w:spacing w:val="-4"/>
              </w:rPr>
              <w:t xml:space="preserve"> (v 1. čtvrtletí zde produkce meziročně posílila o téměř 7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>). Za 1. pololetí vzrostl výkon celého stavebnictví o 8,9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 xml:space="preserve">, </w:t>
            </w:r>
            <w:r>
              <w:rPr>
                <w:color w:val="0D0D0D" w:themeColor="text1" w:themeTint="F2"/>
                <w:spacing w:val="-4"/>
              </w:rPr>
              <w:lastRenderedPageBreak/>
              <w:t>téměř z 90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 xml:space="preserve"> zásluhou pozemního stavitelství. Ve 2. čtvrtletí byla poprvé překonána úroveň produkce z roku 2015 (lokál</w:t>
            </w:r>
            <w:r w:rsidR="002E20C7">
              <w:rPr>
                <w:color w:val="0D0D0D" w:themeColor="text1" w:themeTint="F2"/>
                <w:spacing w:val="-4"/>
              </w:rPr>
              <w:t>ní maximum ve 2. čtvrtletí), kdy</w:t>
            </w:r>
            <w:r>
              <w:rPr>
                <w:color w:val="0D0D0D" w:themeColor="text1" w:themeTint="F2"/>
                <w:spacing w:val="-4"/>
              </w:rPr>
              <w:t xml:space="preserve"> celé odvětví dostalo výrazný </w:t>
            </w:r>
            <w:r w:rsidR="00420880">
              <w:rPr>
                <w:color w:val="0D0D0D" w:themeColor="text1" w:themeTint="F2"/>
                <w:spacing w:val="-4"/>
              </w:rPr>
              <w:t xml:space="preserve">impulz </w:t>
            </w:r>
            <w:r>
              <w:rPr>
                <w:color w:val="0D0D0D" w:themeColor="text1" w:themeTint="F2"/>
                <w:spacing w:val="-4"/>
              </w:rPr>
              <w:t>vlivem dočerpávání prostředků z evropských fondů na sklonku programového období. Ve srovnání s absolutním maximem z konjunkturního roku 2008 (1. čtvrtletí) však stavebnictví stále zhruba o šestinu zaostávalo. V letošním výkonu stavebnictví se vedle příznivého počasí promítá i zrychlení v čerpání prostředků z fondů EU. Pozitivně působilo i oživení bytové výstavby. V 1. pololetí byla v Česku zahájena výstavba 16,6 tis. bytů. Jejich počet byl meziročně o desetinu vyšší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9"/>
            </w:r>
            <w:r>
              <w:rPr>
                <w:color w:val="0D0D0D" w:themeColor="text1" w:themeTint="F2"/>
                <w:spacing w:val="-4"/>
              </w:rPr>
              <w:t>. Bytů se zahajovalo více ve všech druzích staveb vyjma domovů pro seniory, kde ovšem nízká intenzita výstavby přetrvává již více než celou dekádu. K vyššímu počtu bytů přispěla nejvíce výstavba ve Středočeském kraji a na Vysočině. Zahájených bytů ale přibylo v drtivé většině krajů (vyjma Plzeňského a Olomouckého). Přestože v Praze se výstavba zvyšoval</w:t>
            </w:r>
            <w:r w:rsidR="007A5E65">
              <w:rPr>
                <w:color w:val="0D0D0D" w:themeColor="text1" w:themeTint="F2"/>
                <w:spacing w:val="-4"/>
              </w:rPr>
              <w:t>a</w:t>
            </w:r>
            <w:r>
              <w:rPr>
                <w:color w:val="0D0D0D" w:themeColor="text1" w:themeTint="F2"/>
                <w:spacing w:val="-4"/>
              </w:rPr>
              <w:t xml:space="preserve"> již druhý</w:t>
            </w:r>
            <w:r w:rsidR="00420880">
              <w:rPr>
                <w:color w:val="0D0D0D" w:themeColor="text1" w:themeTint="F2"/>
                <w:spacing w:val="-4"/>
              </w:rPr>
              <w:t>m</w:t>
            </w:r>
            <w:r>
              <w:rPr>
                <w:color w:val="0D0D0D" w:themeColor="text1" w:themeTint="F2"/>
                <w:spacing w:val="-4"/>
              </w:rPr>
              <w:t xml:space="preserve"> rokem v řadě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0"/>
            </w:r>
            <w:r>
              <w:rPr>
                <w:color w:val="0D0D0D" w:themeColor="text1" w:themeTint="F2"/>
                <w:spacing w:val="-4"/>
              </w:rPr>
              <w:t xml:space="preserve">, počet zahájených bytů v 1. pololetí (1,8 tis.) </w:t>
            </w:r>
            <w:r w:rsidR="00420880">
              <w:rPr>
                <w:color w:val="0D0D0D" w:themeColor="text1" w:themeTint="F2"/>
                <w:spacing w:val="-4"/>
              </w:rPr>
              <w:t xml:space="preserve">výrazně </w:t>
            </w:r>
            <w:r>
              <w:rPr>
                <w:color w:val="0D0D0D" w:themeColor="text1" w:themeTint="F2"/>
                <w:spacing w:val="-4"/>
              </w:rPr>
              <w:t xml:space="preserve">zaostal </w:t>
            </w:r>
            <w:r w:rsidR="00420880">
              <w:rPr>
                <w:color w:val="0D0D0D" w:themeColor="text1" w:themeTint="F2"/>
                <w:spacing w:val="-4"/>
              </w:rPr>
              <w:t xml:space="preserve">za </w:t>
            </w:r>
            <w:r>
              <w:rPr>
                <w:color w:val="0D0D0D" w:themeColor="text1" w:themeTint="F2"/>
                <w:spacing w:val="-4"/>
              </w:rPr>
              <w:t>celkovým přírůstkem obyvatel (6,6 tis.). Rostoucí napětí na rezidenčním trhu se v metropoli odráží v prudkém růstu realizovaných cen nových bytů.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Default="00F93688" w:rsidP="00F93688">
            <w:pPr>
              <w:pStyle w:val="Textpoznpodarou"/>
              <w:rPr>
                <w:bCs/>
              </w:rPr>
            </w:pPr>
            <w:r>
              <w:rPr>
                <w:b/>
              </w:rPr>
              <w:t xml:space="preserve">Graf </w:t>
            </w:r>
            <w:proofErr w:type="gramStart"/>
            <w:r>
              <w:rPr>
                <w:b/>
              </w:rPr>
              <w:t>č. 7  Stavební</w:t>
            </w:r>
            <w:proofErr w:type="gramEnd"/>
            <w:r>
              <w:rPr>
                <w:b/>
              </w:rPr>
              <w:t xml:space="preserve"> produkce*, hodnota nových zakázek </w:t>
            </w:r>
            <w:r>
              <w:rPr>
                <w:bCs/>
              </w:rPr>
              <w:t>(</w:t>
            </w:r>
            <w:r w:rsidRPr="00540CB3">
              <w:rPr>
                <w:spacing w:val="-2"/>
              </w:rPr>
              <w:t>meziročně</w:t>
            </w:r>
            <w:r w:rsidRPr="00540CB3">
              <w:rPr>
                <w:bCs/>
                <w:spacing w:val="-2"/>
              </w:rPr>
              <w:t xml:space="preserve"> v</w:t>
            </w:r>
            <w:r w:rsidR="007B0E83">
              <w:rPr>
                <w:bCs/>
                <w:spacing w:val="-2"/>
              </w:rPr>
              <w:t> %</w:t>
            </w:r>
            <w:r w:rsidRPr="00540CB3">
              <w:rPr>
                <w:bCs/>
                <w:spacing w:val="-2"/>
              </w:rPr>
              <w:t>)</w:t>
            </w:r>
            <w:r>
              <w:rPr>
                <w:bCs/>
              </w:rPr>
              <w:t xml:space="preserve"> </w:t>
            </w:r>
          </w:p>
          <w:p w:rsidR="00F93688" w:rsidRPr="009110F7" w:rsidRDefault="00F93688" w:rsidP="00F93688">
            <w:pPr>
              <w:spacing w:after="0"/>
              <w:rPr>
                <w:color w:val="0D0D0D" w:themeColor="text1" w:themeTint="F2"/>
                <w:spacing w:val="-4"/>
              </w:rPr>
            </w:pPr>
            <w:r w:rsidRPr="006B4FFB">
              <w:rPr>
                <w:b/>
              </w:rPr>
              <w:t>a</w:t>
            </w:r>
            <w:r>
              <w:rPr>
                <w:b/>
              </w:rPr>
              <w:t xml:space="preserve"> saldo indikátoru důvěry ve stavebnictví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5F114F">
            <w:pPr>
              <w:spacing w:after="0"/>
              <w:rPr>
                <w:color w:val="0D0D0D" w:themeColor="text1" w:themeTint="F2"/>
                <w:spacing w:val="-4"/>
              </w:rPr>
            </w:pPr>
            <w:r w:rsidRPr="005F114F">
              <w:rPr>
                <w:noProof/>
                <w:color w:val="0D0D0D" w:themeColor="text1" w:themeTint="F2"/>
                <w:spacing w:val="-4"/>
              </w:rPr>
              <w:drawing>
                <wp:inline distT="0" distB="0" distL="0" distR="0">
                  <wp:extent cx="4737100" cy="3371850"/>
                  <wp:effectExtent l="0" t="0" r="0" b="0"/>
                  <wp:docPr id="3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D82EF1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F93688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Default="00F93688" w:rsidP="00F93688">
            <w:pPr>
              <w:pStyle w:val="Marginlie"/>
            </w:pPr>
            <w:r>
              <w:t xml:space="preserve">Příliv nových zakázek výrazně zrychlil – jak v pozemním, tak </w:t>
            </w:r>
            <w:r w:rsidR="00634C57">
              <w:t>v </w:t>
            </w:r>
            <w:r>
              <w:t>inženýrském stavitelství.</w:t>
            </w:r>
          </w:p>
          <w:p w:rsidR="00F93688" w:rsidRDefault="00F93688" w:rsidP="00F93688">
            <w:pPr>
              <w:pStyle w:val="Marginlie"/>
            </w:pPr>
          </w:p>
          <w:p w:rsidR="00F93688" w:rsidRDefault="00F93688" w:rsidP="00F93688">
            <w:pPr>
              <w:pStyle w:val="Marginlie"/>
            </w:pPr>
          </w:p>
          <w:p w:rsidR="00F93688" w:rsidRDefault="00F93688" w:rsidP="00F93688">
            <w:pPr>
              <w:pStyle w:val="Marginlie"/>
            </w:pPr>
          </w:p>
          <w:p w:rsidR="00F93688" w:rsidRDefault="00F93688" w:rsidP="00F93688">
            <w:pPr>
              <w:pStyle w:val="Marginlie"/>
            </w:pPr>
          </w:p>
          <w:p w:rsidR="00F93688" w:rsidRPr="009110F7" w:rsidRDefault="00F93688" w:rsidP="00F93688">
            <w:pPr>
              <w:pStyle w:val="Marginlie"/>
            </w:pPr>
            <w:r>
              <w:t>Výkony stavebních podniků jsou stále více limitovány nedostatkem pracovníků.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9110F7" w:rsidRDefault="00F9368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F93688" w:rsidRPr="000837CD" w:rsidRDefault="00F93688" w:rsidP="00E47854">
            <w:pPr>
              <w:rPr>
                <w:color w:val="0D0D0D" w:themeColor="text1" w:themeTint="F2"/>
                <w:spacing w:val="-4"/>
              </w:rPr>
            </w:pPr>
            <w:r w:rsidRPr="000837CD">
              <w:rPr>
                <w:color w:val="0D0D0D" w:themeColor="text1" w:themeTint="F2"/>
                <w:spacing w:val="-4"/>
              </w:rPr>
              <w:t>Růst hodnoty nových stavebních zakázek v tuzemsku</w:t>
            </w:r>
            <w:r w:rsidRPr="000837CD">
              <w:rPr>
                <w:rStyle w:val="Znakapoznpodarou"/>
                <w:spacing w:val="-4"/>
                <w:szCs w:val="20"/>
              </w:rPr>
              <w:footnoteReference w:id="21"/>
            </w:r>
            <w:r w:rsidRPr="000837CD">
              <w:rPr>
                <w:color w:val="0D0D0D" w:themeColor="text1" w:themeTint="F2"/>
                <w:spacing w:val="-4"/>
              </w:rPr>
              <w:t xml:space="preserve">, jenž byl patrný po většinu loňského roku, letos akceleroval. Meziročně byl </w:t>
            </w:r>
            <w:r w:rsidR="002E20C7">
              <w:rPr>
                <w:color w:val="0D0D0D" w:themeColor="text1" w:themeTint="F2"/>
                <w:spacing w:val="-4"/>
              </w:rPr>
              <w:t xml:space="preserve">za celé pololetí </w:t>
            </w:r>
            <w:r w:rsidRPr="000837CD">
              <w:rPr>
                <w:color w:val="0D0D0D" w:themeColor="text1" w:themeTint="F2"/>
                <w:spacing w:val="-4"/>
              </w:rPr>
              <w:t>v pozemní</w:t>
            </w:r>
            <w:r w:rsidR="00634C57">
              <w:rPr>
                <w:color w:val="0D0D0D" w:themeColor="text1" w:themeTint="F2"/>
                <w:spacing w:val="-4"/>
              </w:rPr>
              <w:t>m</w:t>
            </w:r>
            <w:r w:rsidRPr="000837CD">
              <w:rPr>
                <w:color w:val="0D0D0D" w:themeColor="text1" w:themeTint="F2"/>
                <w:spacing w:val="-4"/>
              </w:rPr>
              <w:t xml:space="preserve"> stavitelství vyšší o 26,5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 w:rsidRPr="000837CD">
              <w:rPr>
                <w:color w:val="0D0D0D" w:themeColor="text1" w:themeTint="F2"/>
                <w:spacing w:val="-4"/>
              </w:rPr>
              <w:t>, v inženýrském pak o 34</w:t>
            </w:r>
            <w:r w:rsidR="002E20C7">
              <w:rPr>
                <w:color w:val="0D0D0D" w:themeColor="text1" w:themeTint="F2"/>
                <w:spacing w:val="-4"/>
              </w:rPr>
              <w:t>,0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 w:rsidRPr="000837CD">
              <w:rPr>
                <w:color w:val="0D0D0D" w:themeColor="text1" w:themeTint="F2"/>
                <w:spacing w:val="-4"/>
              </w:rPr>
              <w:t>. Pro stavební podniky bylo také p</w:t>
            </w:r>
            <w:r w:rsidR="002E20C7">
              <w:rPr>
                <w:color w:val="0D0D0D" w:themeColor="text1" w:themeTint="F2"/>
                <w:spacing w:val="-4"/>
              </w:rPr>
              <w:t>říznivé, že se postupně rozjížděly</w:t>
            </w:r>
            <w:r w:rsidRPr="000837CD">
              <w:rPr>
                <w:color w:val="0D0D0D" w:themeColor="text1" w:themeTint="F2"/>
                <w:spacing w:val="-4"/>
              </w:rPr>
              <w:t xml:space="preserve"> i realizace větších projektů. Svědčí o tom i navýšení průměrné hodnoty připadajíc</w:t>
            </w:r>
            <w:r>
              <w:rPr>
                <w:color w:val="0D0D0D" w:themeColor="text1" w:themeTint="F2"/>
                <w:spacing w:val="-4"/>
              </w:rPr>
              <w:t>í</w:t>
            </w:r>
            <w:r w:rsidRPr="000837CD">
              <w:rPr>
                <w:color w:val="0D0D0D" w:themeColor="text1" w:themeTint="F2"/>
                <w:spacing w:val="-4"/>
              </w:rPr>
              <w:t xml:space="preserve"> na nově uzavřenou zakázku (4,3 mil. korun,</w:t>
            </w:r>
            <w:r w:rsidR="00C72984">
              <w:rPr>
                <w:color w:val="0D0D0D" w:themeColor="text1" w:themeTint="F2"/>
                <w:spacing w:val="-4"/>
              </w:rPr>
              <w:t xml:space="preserve"> meziročně o více než 1</w:t>
            </w:r>
            <w:r w:rsidR="00C72984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 xml:space="preserve">mil.). </w:t>
            </w:r>
            <w:r w:rsidRPr="000837CD">
              <w:rPr>
                <w:color w:val="0D0D0D" w:themeColor="text1" w:themeTint="F2"/>
                <w:spacing w:val="-4"/>
              </w:rPr>
              <w:t xml:space="preserve">Vývoj zakázek mohl doznat i vyšší dynamiky, nebýt skutečnosti, že mnoho stavebních firem se v současnosti nachází na hranici produkčních schopností. Z velké části k tomu přispívá nedostatek jak nekvalifikovaných pracovníků, tak i technických </w:t>
            </w:r>
            <w:r>
              <w:rPr>
                <w:color w:val="0D0D0D" w:themeColor="text1" w:themeTint="F2"/>
                <w:spacing w:val="-4"/>
              </w:rPr>
              <w:t>a</w:t>
            </w:r>
            <w:r w:rsidRPr="000837CD">
              <w:rPr>
                <w:color w:val="0D0D0D" w:themeColor="text1" w:themeTint="F2"/>
                <w:spacing w:val="-4"/>
              </w:rPr>
              <w:t xml:space="preserve"> odborných pracovníků či specialistů. Na počátku 3. čtvrtletí 2018 </w:t>
            </w:r>
            <w:r w:rsidR="00634C57" w:rsidRPr="000837CD">
              <w:rPr>
                <w:color w:val="0D0D0D" w:themeColor="text1" w:themeTint="F2"/>
                <w:spacing w:val="-4"/>
              </w:rPr>
              <w:t>považoval</w:t>
            </w:r>
            <w:r w:rsidR="00634C57">
              <w:rPr>
                <w:color w:val="0D0D0D" w:themeColor="text1" w:themeTint="F2"/>
                <w:spacing w:val="-4"/>
              </w:rPr>
              <w:t>o</w:t>
            </w:r>
            <w:r w:rsidR="00634C57" w:rsidRPr="000837CD">
              <w:rPr>
                <w:color w:val="0D0D0D" w:themeColor="text1" w:themeTint="F2"/>
                <w:spacing w:val="-4"/>
              </w:rPr>
              <w:t xml:space="preserve"> </w:t>
            </w:r>
            <w:r w:rsidRPr="000837CD">
              <w:rPr>
                <w:color w:val="0D0D0D" w:themeColor="text1" w:themeTint="F2"/>
                <w:spacing w:val="-4"/>
              </w:rPr>
              <w:t>nedostatek pracovníků za hlavní bariéru růstu již více než 30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 w:rsidRPr="000837CD">
              <w:rPr>
                <w:color w:val="0D0D0D" w:themeColor="text1" w:themeTint="F2"/>
                <w:spacing w:val="-4"/>
              </w:rPr>
              <w:t xml:space="preserve"> stavebních podniků </w:t>
            </w:r>
            <w:r w:rsidRPr="000837CD">
              <w:rPr>
                <w:color w:val="0D0D0D" w:themeColor="text1" w:themeTint="F2"/>
                <w:spacing w:val="-4"/>
              </w:rPr>
              <w:lastRenderedPageBreak/>
              <w:t>(o rok dříve jen 18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 w:rsidRPr="000837CD">
              <w:rPr>
                <w:color w:val="0D0D0D" w:themeColor="text1" w:themeTint="F2"/>
                <w:spacing w:val="-4"/>
              </w:rPr>
              <w:t>). Paralelně s tím výrazně klesal vliv nedostatečné poptávky. Zatímco v říjnu 2017 ji jako bariéru růstu uvádělo 51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 w:rsidRPr="000837CD">
              <w:rPr>
                <w:color w:val="0D0D0D" w:themeColor="text1" w:themeTint="F2"/>
                <w:spacing w:val="-4"/>
              </w:rPr>
              <w:t xml:space="preserve"> podniků, letos v červenci již jen 35</w:t>
            </w:r>
            <w:r w:rsidR="007B0E83">
              <w:rPr>
                <w:color w:val="0D0D0D" w:themeColor="text1" w:themeTint="F2"/>
                <w:spacing w:val="-4"/>
              </w:rPr>
              <w:t> %</w:t>
            </w:r>
            <w:r w:rsidRPr="000837CD">
              <w:rPr>
                <w:color w:val="0D0D0D" w:themeColor="text1" w:themeTint="F2"/>
                <w:spacing w:val="-4"/>
              </w:rPr>
              <w:t xml:space="preserve">. </w:t>
            </w:r>
            <w:r>
              <w:rPr>
                <w:color w:val="0D0D0D" w:themeColor="text1" w:themeTint="F2"/>
                <w:spacing w:val="-4"/>
              </w:rPr>
              <w:t>Tomu odpovídal i</w:t>
            </w:r>
            <w:r w:rsidRPr="000837CD">
              <w:rPr>
                <w:color w:val="0D0D0D" w:themeColor="text1" w:themeTint="F2"/>
                <w:spacing w:val="-4"/>
              </w:rPr>
              <w:t> vývoj s</w:t>
            </w:r>
            <w:r w:rsidRPr="000837CD">
              <w:rPr>
                <w:rFonts w:cs="Arial"/>
                <w:color w:val="0D0D0D" w:themeColor="text1" w:themeTint="F2"/>
                <w:spacing w:val="-4"/>
              </w:rPr>
              <w:t xml:space="preserve">ezónně očištěného salda indikátoru důvěry. Jeho hodnota vystoupala v letošním srpnu nejvýše za posledních deset </w:t>
            </w:r>
            <w:proofErr w:type="gramStart"/>
            <w:r w:rsidRPr="000837CD">
              <w:rPr>
                <w:rFonts w:cs="Arial"/>
                <w:color w:val="0D0D0D" w:themeColor="text1" w:themeTint="F2"/>
                <w:spacing w:val="-4"/>
              </w:rPr>
              <w:t>let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634C57" w:rsidRPr="000837CD">
              <w:rPr>
                <w:rFonts w:cs="Arial"/>
                <w:color w:val="0D0D0D" w:themeColor="text1" w:themeTint="F2"/>
                <w:spacing w:val="-4"/>
              </w:rPr>
              <w:t>(</w:t>
            </w:r>
            <w:r w:rsidR="00634C57"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Pr="000837CD">
              <w:rPr>
                <w:rFonts w:cs="Arial"/>
                <w:color w:val="0D0D0D" w:themeColor="text1" w:themeTint="F2"/>
                <w:spacing w:val="-4"/>
              </w:rPr>
              <w:t>2,0</w:t>
            </w:r>
            <w:proofErr w:type="gramEnd"/>
            <w:r w:rsidRPr="000837CD">
              <w:rPr>
                <w:color w:val="0D0D0D" w:themeColor="text1" w:themeTint="F2"/>
                <w:spacing w:val="-4"/>
              </w:rPr>
              <w:t> </w:t>
            </w:r>
            <w:r w:rsidRPr="000837CD">
              <w:rPr>
                <w:rFonts w:cs="Arial"/>
                <w:color w:val="0D0D0D" w:themeColor="text1" w:themeTint="F2"/>
                <w:spacing w:val="-4"/>
              </w:rPr>
              <w:t>bodu).</w:t>
            </w: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2E20C7">
            <w:pPr>
              <w:pStyle w:val="Marginlie"/>
            </w:pPr>
            <w:r>
              <w:lastRenderedPageBreak/>
              <w:t>Tržby ve vybraných službách pokračovaly již více než rok ve svižném růstu. Přispívaly k tomu především doprava a skladování.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2E20C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2E20C7">
            <w:pPr>
              <w:rPr>
                <w:color w:val="0D0D0D" w:themeColor="text1" w:themeTint="F2"/>
                <w:spacing w:val="-4"/>
              </w:rPr>
            </w:pPr>
            <w:r>
              <w:t xml:space="preserve">Rovněž terciárnímu sektoru ekonomiky se letos dařilo. </w:t>
            </w:r>
            <w:r>
              <w:rPr>
                <w:spacing w:val="-4"/>
              </w:rPr>
              <w:t>Tržby</w:t>
            </w:r>
            <w:r w:rsidRPr="00E476F6">
              <w:rPr>
                <w:spacing w:val="-4"/>
              </w:rPr>
              <w:t xml:space="preserve"> </w:t>
            </w:r>
            <w:r w:rsidRPr="00E476F6">
              <w:rPr>
                <w:color w:val="0D0D0D" w:themeColor="text1" w:themeTint="F2"/>
                <w:spacing w:val="-4"/>
              </w:rPr>
              <w:t>ve vybraných službách</w:t>
            </w:r>
            <w:r w:rsidRPr="00E476F6">
              <w:rPr>
                <w:color w:val="0D0D0D" w:themeColor="text1" w:themeTint="F2"/>
                <w:spacing w:val="-4"/>
                <w:vertAlign w:val="superscript"/>
              </w:rPr>
              <w:footnoteReference w:id="22"/>
            </w:r>
            <w:r>
              <w:rPr>
                <w:color w:val="0D0D0D" w:themeColor="text1" w:themeTint="F2"/>
                <w:spacing w:val="-4"/>
              </w:rPr>
              <w:t xml:space="preserve"> pokračovaly již více než rok ve svižném růstu. Navzdory vysoké loňské základně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3"/>
            </w:r>
            <w:r>
              <w:rPr>
                <w:color w:val="0D0D0D" w:themeColor="text1" w:themeTint="F2"/>
                <w:spacing w:val="-4"/>
              </w:rPr>
              <w:t xml:space="preserve"> posílily v 1. pololetí o 3,6 %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4"/>
            </w:r>
            <w:r>
              <w:rPr>
                <w:color w:val="0D0D0D" w:themeColor="text1" w:themeTint="F2"/>
                <w:spacing w:val="-4"/>
              </w:rPr>
              <w:t xml:space="preserve">. Pozitivní bylo, že i přes značnou různorodost celého segmentu služeb zaznamenala letos růst drtivá většina jeho dílčích odvětví. Z hlavních odvětví v tomto směru vybočovaly pouze </w:t>
            </w:r>
            <w:r w:rsidRPr="006F624B">
              <w:rPr>
                <w:color w:val="0D0D0D" w:themeColor="text1" w:themeTint="F2"/>
                <w:spacing w:val="-2"/>
              </w:rPr>
              <w:t>činnost</w:t>
            </w:r>
            <w:r>
              <w:rPr>
                <w:color w:val="0D0D0D" w:themeColor="text1" w:themeTint="F2"/>
                <w:spacing w:val="-2"/>
              </w:rPr>
              <w:t>i</w:t>
            </w:r>
            <w:r w:rsidRPr="006F624B">
              <w:rPr>
                <w:color w:val="0D0D0D" w:themeColor="text1" w:themeTint="F2"/>
                <w:spacing w:val="-2"/>
              </w:rPr>
              <w:t xml:space="preserve"> v oblasti nemovitostí, kde však mírný pokles </w:t>
            </w:r>
            <w:proofErr w:type="gramStart"/>
            <w:r w:rsidRPr="006F624B">
              <w:rPr>
                <w:color w:val="0D0D0D" w:themeColor="text1" w:themeTint="F2"/>
                <w:spacing w:val="-2"/>
              </w:rPr>
              <w:t>výkonů</w:t>
            </w:r>
            <w:r>
              <w:rPr>
                <w:color w:val="0D0D0D" w:themeColor="text1" w:themeTint="F2"/>
                <w:spacing w:val="-2"/>
              </w:rPr>
              <w:t xml:space="preserve"> (–0,9</w:t>
            </w:r>
            <w:proofErr w:type="gramEnd"/>
            <w:r>
              <w:rPr>
                <w:color w:val="0D0D0D" w:themeColor="text1" w:themeTint="F2"/>
                <w:spacing w:val="-2"/>
              </w:rPr>
              <w:t> %</w:t>
            </w:r>
            <w:r w:rsidRPr="006F624B">
              <w:rPr>
                <w:color w:val="0D0D0D" w:themeColor="text1" w:themeTint="F2"/>
                <w:spacing w:val="-2"/>
              </w:rPr>
              <w:t xml:space="preserve">) </w:t>
            </w:r>
            <w:r>
              <w:rPr>
                <w:color w:val="0D0D0D" w:themeColor="text1" w:themeTint="F2"/>
                <w:spacing w:val="-2"/>
              </w:rPr>
              <w:t>bezprostředně</w:t>
            </w:r>
            <w:r w:rsidRPr="006F624B">
              <w:rPr>
                <w:color w:val="0D0D0D" w:themeColor="text1" w:themeTint="F2"/>
                <w:spacing w:val="-2"/>
              </w:rPr>
              <w:t xml:space="preserve"> nesouvisel s celkovou situací na realitním trhu.</w:t>
            </w:r>
            <w:r>
              <w:rPr>
                <w:color w:val="0D0D0D" w:themeColor="text1" w:themeTint="F2"/>
                <w:spacing w:val="-2"/>
              </w:rPr>
              <w:t xml:space="preserve"> Celkový růst tržeb ve službách byl – podobně jako po celý loňský rok – zásadně ovlivněn dynamickým vývojem v dopravě a skladování. Role tohoto odvětví se v letošním roce ještě zvýraznila, v 1. pololetí přispěl k růstu služeb téměř polovinou. Významnější příspěvek</w:t>
            </w:r>
            <w:r>
              <w:rPr>
                <w:color w:val="0D0D0D" w:themeColor="text1" w:themeTint="F2"/>
                <w:spacing w:val="-4"/>
              </w:rPr>
              <w:t xml:space="preserve"> zajistily také i</w:t>
            </w:r>
            <w:r w:rsidRPr="00406EB0">
              <w:rPr>
                <w:color w:val="0D0D0D" w:themeColor="text1" w:themeTint="F2"/>
                <w:spacing w:val="-4"/>
              </w:rPr>
              <w:t xml:space="preserve">nformační a </w:t>
            </w:r>
            <w:r>
              <w:rPr>
                <w:color w:val="0D0D0D" w:themeColor="text1" w:themeTint="F2"/>
                <w:spacing w:val="-4"/>
              </w:rPr>
              <w:t>komunikační činnosti, role ostatních odvětví služeb byla spíše okrajová.</w:t>
            </w: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Default="000C13A2" w:rsidP="000C13A2">
            <w:pPr>
              <w:pStyle w:val="Textpoznpodarou"/>
              <w:rPr>
                <w:b/>
                <w:spacing w:val="-2"/>
              </w:rPr>
            </w:pPr>
            <w:r>
              <w:rPr>
                <w:b/>
              </w:rPr>
              <w:t xml:space="preserve">Graf </w:t>
            </w:r>
            <w:proofErr w:type="gramStart"/>
            <w:r>
              <w:rPr>
                <w:b/>
              </w:rPr>
              <w:t xml:space="preserve">č. 8  </w:t>
            </w:r>
            <w:r>
              <w:rPr>
                <w:b/>
                <w:spacing w:val="-2"/>
              </w:rPr>
              <w:t>Tržby</w:t>
            </w:r>
            <w:proofErr w:type="gramEnd"/>
            <w:r>
              <w:rPr>
                <w:b/>
                <w:spacing w:val="-2"/>
              </w:rPr>
              <w:t xml:space="preserve"> za maloobchod a prodej a opravy motorových vozidel</w:t>
            </w:r>
          </w:p>
          <w:p w:rsidR="000C13A2" w:rsidRPr="008972D2" w:rsidRDefault="000C13A2" w:rsidP="000C13A2">
            <w:pPr>
              <w:spacing w:after="0"/>
              <w:rPr>
                <w:noProof/>
                <w:color w:val="0D0D0D" w:themeColor="text1" w:themeTint="F2"/>
                <w:spacing w:val="-4"/>
              </w:rPr>
            </w:pPr>
            <w:r w:rsidRPr="00E62A33">
              <w:rPr>
                <w:bCs/>
                <w:spacing w:val="-2"/>
              </w:rPr>
              <w:t xml:space="preserve">(reálně, </w:t>
            </w:r>
            <w:r w:rsidRPr="00E62A33">
              <w:rPr>
                <w:rFonts w:cs="Arial"/>
                <w:spacing w:val="-2"/>
              </w:rPr>
              <w:t xml:space="preserve">očištěno od vlivu počtu pracovních dnů, 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0293">
            <w:pPr>
              <w:spacing w:after="0"/>
              <w:rPr>
                <w:color w:val="0D0D0D" w:themeColor="text1" w:themeTint="F2"/>
                <w:spacing w:val="-4"/>
              </w:rPr>
            </w:pPr>
            <w:r w:rsidRPr="008972D2">
              <w:rPr>
                <w:noProof/>
                <w:color w:val="0D0D0D" w:themeColor="text1" w:themeTint="F2"/>
                <w:spacing w:val="-4"/>
              </w:rPr>
              <w:drawing>
                <wp:inline distT="0" distB="0" distL="0" distR="0">
                  <wp:extent cx="4737100" cy="3568700"/>
                  <wp:effectExtent l="0" t="0" r="6350" b="0"/>
                  <wp:docPr id="1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D35E4">
            <w:pPr>
              <w:rPr>
                <w:color w:val="0D0D0D" w:themeColor="text1" w:themeTint="F2"/>
                <w:spacing w:val="-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Default="000C13A2" w:rsidP="008417B5">
            <w:pPr>
              <w:pStyle w:val="Marginlie"/>
            </w:pPr>
            <w:r>
              <w:t>Dynamický růst v dopravě a skladování souvisel s příznivým vývojem průmyslu, obchodu i s rekordní výší zaměstnanosti.</w:t>
            </w:r>
          </w:p>
          <w:p w:rsidR="000C13A2" w:rsidRDefault="000C13A2" w:rsidP="008417B5">
            <w:pPr>
              <w:pStyle w:val="Marginlie"/>
            </w:pPr>
          </w:p>
          <w:p w:rsidR="000C13A2" w:rsidRDefault="000C13A2" w:rsidP="008417B5">
            <w:pPr>
              <w:pStyle w:val="Marginlie"/>
            </w:pPr>
          </w:p>
          <w:p w:rsidR="000C13A2" w:rsidRDefault="000C13A2" w:rsidP="008417B5">
            <w:pPr>
              <w:pStyle w:val="Marginlie"/>
            </w:pPr>
          </w:p>
          <w:p w:rsidR="000C13A2" w:rsidRDefault="000C13A2" w:rsidP="008417B5">
            <w:pPr>
              <w:pStyle w:val="Marginlie"/>
            </w:pPr>
          </w:p>
          <w:p w:rsidR="000C13A2" w:rsidRDefault="000C13A2" w:rsidP="008417B5">
            <w:pPr>
              <w:pStyle w:val="Marginlie"/>
            </w:pPr>
          </w:p>
          <w:p w:rsidR="000C13A2" w:rsidRDefault="000C13A2" w:rsidP="008417B5">
            <w:pPr>
              <w:pStyle w:val="Marginlie"/>
            </w:pPr>
          </w:p>
          <w:p w:rsidR="000C13A2" w:rsidRDefault="000C13A2" w:rsidP="008417B5">
            <w:pPr>
              <w:pStyle w:val="Marginlie"/>
            </w:pPr>
          </w:p>
          <w:p w:rsidR="000C13A2" w:rsidRPr="00C85F0E" w:rsidRDefault="000C13A2" w:rsidP="008417B5">
            <w:pPr>
              <w:pStyle w:val="Marginlie"/>
              <w:rPr>
                <w:spacing w:val="-3"/>
              </w:rPr>
            </w:pPr>
            <w:r w:rsidRPr="00C85F0E">
              <w:rPr>
                <w:spacing w:val="-3"/>
              </w:rPr>
              <w:t>Tempo růstu tržeb výrazně zvolnilo v aktivitách souvisejících</w:t>
            </w:r>
            <w:r>
              <w:rPr>
                <w:spacing w:val="-3"/>
              </w:rPr>
              <w:t xml:space="preserve"> </w:t>
            </w:r>
            <w:r w:rsidRPr="00C85F0E">
              <w:rPr>
                <w:spacing w:val="-3"/>
              </w:rPr>
              <w:t xml:space="preserve">s cestovním ruchem </w:t>
            </w:r>
            <w:r>
              <w:rPr>
                <w:spacing w:val="-3"/>
              </w:rPr>
              <w:t xml:space="preserve">a rovněž </w:t>
            </w:r>
            <w:r w:rsidRPr="00C85F0E">
              <w:rPr>
                <w:spacing w:val="-3"/>
              </w:rPr>
              <w:t xml:space="preserve">v administrativních </w:t>
            </w:r>
            <w:r>
              <w:rPr>
                <w:spacing w:val="-3"/>
              </w:rPr>
              <w:t>a</w:t>
            </w:r>
            <w:r w:rsidRPr="00C85F0E">
              <w:rPr>
                <w:spacing w:val="-3"/>
              </w:rPr>
              <w:t> podpůrných činnostech.</w:t>
            </w:r>
          </w:p>
          <w:p w:rsidR="000C13A2" w:rsidRPr="009110F7" w:rsidRDefault="000C13A2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Default="000C13A2" w:rsidP="00FE48E4">
            <w:pPr>
              <w:spacing w:after="0"/>
              <w:rPr>
                <w:color w:val="0D0D0D" w:themeColor="text1" w:themeTint="F2"/>
                <w:spacing w:val="-2"/>
              </w:rPr>
            </w:pPr>
            <w:r>
              <w:rPr>
                <w:color w:val="0D0D0D" w:themeColor="text1" w:themeTint="F2"/>
                <w:spacing w:val="-4"/>
              </w:rPr>
              <w:t xml:space="preserve">V dopravě a skladování v 1. pololetí tržby vzrostly o 5,8 % (nejvyšším tempem od konce roku 2013). Výkony se navyšovaly v osobní i nákladní dopravě. Ve skladování tržby zrychlily na 9,5 %. Celé odvětví těžilo z dobré kondice průmyslu i obchodu. Rostoucí mobilitu podporoval i rekordní počet pracujících. Výkon v dlouhodobě dynamickém odvětví informačních a komunikačních činností zrychlil (5,1 %, o rok dříve 4,5 %). </w:t>
            </w:r>
            <w:r>
              <w:rPr>
                <w:color w:val="0D0D0D" w:themeColor="text1" w:themeTint="F2"/>
                <w:spacing w:val="-2"/>
              </w:rPr>
              <w:t>N</w:t>
            </w:r>
            <w:r w:rsidRPr="005E4BC9">
              <w:rPr>
                <w:color w:val="0D0D0D" w:themeColor="text1" w:themeTint="F2"/>
                <w:spacing w:val="-2"/>
              </w:rPr>
              <w:t xml:space="preserve">ejvíce </w:t>
            </w:r>
            <w:r>
              <w:rPr>
                <w:color w:val="0D0D0D" w:themeColor="text1" w:themeTint="F2"/>
                <w:spacing w:val="-2"/>
              </w:rPr>
              <w:t>se projevil</w:t>
            </w:r>
            <w:r w:rsidRPr="005E4BC9">
              <w:rPr>
                <w:color w:val="0D0D0D" w:themeColor="text1" w:themeTint="F2"/>
                <w:spacing w:val="-2"/>
              </w:rPr>
              <w:t xml:space="preserve"> vliv činností v oblasti IT (programování, správa počítačového vybavení), vyšší výkony ale letos zaznamenaly </w:t>
            </w:r>
            <w:r>
              <w:rPr>
                <w:color w:val="0D0D0D" w:themeColor="text1" w:themeTint="F2"/>
                <w:spacing w:val="-2"/>
              </w:rPr>
              <w:t xml:space="preserve">(vyjma filmového a hudebního průmyslu) </w:t>
            </w:r>
            <w:r w:rsidRPr="005E4BC9">
              <w:rPr>
                <w:color w:val="0D0D0D" w:themeColor="text1" w:themeTint="F2"/>
                <w:spacing w:val="-2"/>
              </w:rPr>
              <w:t xml:space="preserve">všechny </w:t>
            </w:r>
            <w:r w:rsidRPr="005E4BC9">
              <w:rPr>
                <w:color w:val="0D0D0D" w:themeColor="text1" w:themeTint="F2"/>
                <w:spacing w:val="-2"/>
              </w:rPr>
              <w:lastRenderedPageBreak/>
              <w:t>odvětvové oddíly</w:t>
            </w:r>
            <w:r>
              <w:rPr>
                <w:color w:val="0D0D0D" w:themeColor="text1" w:themeTint="F2"/>
                <w:spacing w:val="-2"/>
              </w:rPr>
              <w:t>. V odvětví ubytování, stravování a pohostinství rostly letos tržby jen o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2"/>
              </w:rPr>
              <w:t xml:space="preserve">1,4 %. </w:t>
            </w:r>
            <w:r w:rsidRPr="005E4BC9">
              <w:rPr>
                <w:color w:val="0D0D0D" w:themeColor="text1" w:themeTint="F2"/>
                <w:spacing w:val="-2"/>
              </w:rPr>
              <w:t>Projevil se efekt vysoké srovnávací základny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25"/>
            </w:r>
            <w:r>
              <w:rPr>
                <w:color w:val="0D0D0D" w:themeColor="text1" w:themeTint="F2"/>
                <w:spacing w:val="-2"/>
              </w:rPr>
              <w:t xml:space="preserve"> ovlivněné i</w:t>
            </w:r>
            <w:r w:rsidRPr="005E4BC9">
              <w:rPr>
                <w:color w:val="0D0D0D" w:themeColor="text1" w:themeTint="F2"/>
                <w:spacing w:val="-2"/>
              </w:rPr>
              <w:t xml:space="preserve"> legislativními </w:t>
            </w:r>
            <w:r>
              <w:rPr>
                <w:color w:val="0D0D0D" w:themeColor="text1" w:themeTint="F2"/>
                <w:spacing w:val="-2"/>
              </w:rPr>
              <w:t>změnami</w:t>
            </w:r>
            <w:r w:rsidRPr="005E4BC9">
              <w:rPr>
                <w:color w:val="0D0D0D" w:themeColor="text1" w:themeTint="F2"/>
                <w:spacing w:val="-2"/>
              </w:rPr>
              <w:t xml:space="preserve"> souvisejícími s výběrem daně.</w:t>
            </w:r>
            <w:r>
              <w:rPr>
                <w:color w:val="0D0D0D" w:themeColor="text1" w:themeTint="F2"/>
                <w:spacing w:val="-2"/>
              </w:rPr>
              <w:t xml:space="preserve"> Ve značně heterogenním odvětví p</w:t>
            </w:r>
            <w:r w:rsidRPr="005E4BC9">
              <w:rPr>
                <w:color w:val="0D0D0D" w:themeColor="text1" w:themeTint="F2"/>
                <w:spacing w:val="-2"/>
              </w:rPr>
              <w:t>rofesní</w:t>
            </w:r>
            <w:r>
              <w:rPr>
                <w:color w:val="0D0D0D" w:themeColor="text1" w:themeTint="F2"/>
                <w:spacing w:val="-2"/>
              </w:rPr>
              <w:t xml:space="preserve">ch, vědeckých a technických činností pokračoval v souvislosti s oživením ve stavebnictví mírný růst </w:t>
            </w:r>
            <w:r w:rsidRPr="005E4BC9">
              <w:rPr>
                <w:color w:val="0D0D0D" w:themeColor="text1" w:themeTint="F2"/>
                <w:spacing w:val="-2"/>
              </w:rPr>
              <w:t>a</w:t>
            </w:r>
            <w:r>
              <w:rPr>
                <w:color w:val="0D0D0D" w:themeColor="text1" w:themeTint="F2"/>
                <w:spacing w:val="-2"/>
              </w:rPr>
              <w:t>rchitektonických</w:t>
            </w:r>
            <w:r w:rsidRPr="005E4BC9">
              <w:rPr>
                <w:color w:val="0D0D0D" w:themeColor="text1" w:themeTint="F2"/>
                <w:spacing w:val="-2"/>
              </w:rPr>
              <w:t xml:space="preserve"> a inženýrs</w:t>
            </w:r>
            <w:r>
              <w:rPr>
                <w:color w:val="0D0D0D" w:themeColor="text1" w:themeTint="F2"/>
                <w:spacing w:val="-2"/>
              </w:rPr>
              <w:t>kých činností (+1,2 %). Dařilo se i</w:t>
            </w:r>
            <w:r w:rsidRPr="005E4BC9">
              <w:rPr>
                <w:color w:val="0D0D0D" w:themeColor="text1" w:themeTint="F2"/>
                <w:spacing w:val="-2"/>
              </w:rPr>
              <w:t> </w:t>
            </w:r>
            <w:r>
              <w:rPr>
                <w:color w:val="0D0D0D" w:themeColor="text1" w:themeTint="F2"/>
                <w:spacing w:val="-2"/>
              </w:rPr>
              <w:t>fotografickým, návrhářským a překladatelským činnostem i výzkumu trhu a veřejného mínění. Tržby za reklamní činnosti naopak klesly. Výrazné zvolnění růstu v odvětví administrativních a</w:t>
            </w:r>
            <w:r w:rsidRPr="005E4BC9">
              <w:rPr>
                <w:color w:val="0D0D0D" w:themeColor="text1" w:themeTint="F2"/>
                <w:spacing w:val="-2"/>
              </w:rPr>
              <w:t> </w:t>
            </w:r>
            <w:r>
              <w:rPr>
                <w:color w:val="0D0D0D" w:themeColor="text1" w:themeTint="F2"/>
                <w:spacing w:val="-2"/>
              </w:rPr>
              <w:t>podpůrných činností (z loňských 9,8 % na 3,0 %) bylo ovlivněno zejména vývojem u</w:t>
            </w:r>
            <w:r w:rsidRPr="005E4BC9">
              <w:rPr>
                <w:color w:val="0D0D0D" w:themeColor="text1" w:themeTint="F2"/>
                <w:spacing w:val="-2"/>
              </w:rPr>
              <w:t> </w:t>
            </w:r>
            <w:r>
              <w:rPr>
                <w:color w:val="0D0D0D" w:themeColor="text1" w:themeTint="F2"/>
                <w:spacing w:val="-2"/>
              </w:rPr>
              <w:t>pracovních agentur, kde slabší reálný růst tržeb souvisel s</w:t>
            </w:r>
            <w:r w:rsidRPr="005E4BC9">
              <w:rPr>
                <w:color w:val="0D0D0D" w:themeColor="text1" w:themeTint="F2"/>
                <w:spacing w:val="-2"/>
              </w:rPr>
              <w:t> cenovými vlivy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26"/>
            </w:r>
            <w:r>
              <w:rPr>
                <w:color w:val="0D0D0D" w:themeColor="text1" w:themeTint="F2"/>
                <w:spacing w:val="-2"/>
              </w:rPr>
              <w:t>. Dařilo se i cestovním agenturám (+5,0 %). Podobným tempem pokračoval i dlouhodobý růst pronájmu a</w:t>
            </w:r>
            <w:r w:rsidRPr="005E4BC9">
              <w:rPr>
                <w:color w:val="0D0D0D" w:themeColor="text1" w:themeTint="F2"/>
                <w:spacing w:val="-2"/>
              </w:rPr>
              <w:t> </w:t>
            </w:r>
            <w:r>
              <w:rPr>
                <w:color w:val="0D0D0D" w:themeColor="text1" w:themeTint="F2"/>
                <w:spacing w:val="-2"/>
              </w:rPr>
              <w:t>operativního leasingu (kde se zvyšovala poptávka např. po stavebních strojích).</w:t>
            </w:r>
          </w:p>
          <w:p w:rsidR="000C13A2" w:rsidRPr="009110F7" w:rsidRDefault="000C13A2" w:rsidP="00FE48E4">
            <w:pPr>
              <w:spacing w:after="0"/>
              <w:rPr>
                <w:color w:val="0D0D0D" w:themeColor="text1" w:themeTint="F2"/>
                <w:spacing w:val="-4"/>
              </w:rPr>
            </w:pP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Marginlie"/>
            </w:pPr>
            <w:r>
              <w:lastRenderedPageBreak/>
              <w:t>Tržby v maloobchodu odrážely velmi optimistické naladění spotřebitelů.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195234">
            <w:pPr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Svižný růst příjmů domácností (sycený příznivou konstelací na pracovním trhu) doprovázený rekordní spotřebitelskou důvěrou vytvářel velmi příhodné podmínky pro segment maloobchodu. </w:t>
            </w:r>
            <w:r w:rsidRPr="00097191">
              <w:rPr>
                <w:color w:val="0D0D0D" w:themeColor="text1" w:themeTint="F2"/>
                <w:spacing w:val="-4"/>
              </w:rPr>
              <w:t>Tržby v maloobchodu</w:t>
            </w:r>
            <w:r w:rsidRPr="00097191">
              <w:rPr>
                <w:rStyle w:val="Znakapoznpodarou"/>
                <w:color w:val="0D0D0D" w:themeColor="text1" w:themeTint="F2"/>
                <w:spacing w:val="-4"/>
              </w:rPr>
              <w:footnoteReference w:id="27"/>
            </w:r>
            <w:r>
              <w:rPr>
                <w:color w:val="0D0D0D" w:themeColor="text1" w:themeTint="F2"/>
                <w:spacing w:val="-4"/>
              </w:rPr>
              <w:t xml:space="preserve"> na počátku roku dále </w:t>
            </w:r>
            <w:r w:rsidRPr="00097191">
              <w:rPr>
                <w:color w:val="0D0D0D" w:themeColor="text1" w:themeTint="F2"/>
                <w:spacing w:val="-4"/>
              </w:rPr>
              <w:t xml:space="preserve">sílily a v 1. čtvrtletí </w:t>
            </w:r>
            <w:r>
              <w:rPr>
                <w:color w:val="0D0D0D" w:themeColor="text1" w:themeTint="F2"/>
                <w:spacing w:val="-4"/>
              </w:rPr>
              <w:t xml:space="preserve">2018 </w:t>
            </w:r>
            <w:r w:rsidRPr="00097191">
              <w:rPr>
                <w:color w:val="0D0D0D" w:themeColor="text1" w:themeTint="F2"/>
                <w:spacing w:val="-4"/>
              </w:rPr>
              <w:t>vzro</w:t>
            </w:r>
            <w:r>
              <w:rPr>
                <w:color w:val="0D0D0D" w:themeColor="text1" w:themeTint="F2"/>
                <w:spacing w:val="-4"/>
              </w:rPr>
              <w:t>stl</w:t>
            </w:r>
            <w:r w:rsidRPr="00097191">
              <w:rPr>
                <w:color w:val="0D0D0D" w:themeColor="text1" w:themeTint="F2"/>
                <w:spacing w:val="-4"/>
              </w:rPr>
              <w:t>y</w:t>
            </w:r>
            <w:r>
              <w:rPr>
                <w:color w:val="0D0D0D" w:themeColor="text1" w:themeTint="F2"/>
                <w:spacing w:val="-4"/>
              </w:rPr>
              <w:t xml:space="preserve"> meziročně o 6,3 % (nejsilněji po</w:t>
            </w:r>
            <w:r w:rsidRPr="00097191">
              <w:rPr>
                <w:color w:val="0D0D0D" w:themeColor="text1" w:themeTint="F2"/>
                <w:spacing w:val="-4"/>
              </w:rPr>
              <w:t xml:space="preserve"> 3. čtvrtletí 2007).</w:t>
            </w:r>
            <w:r>
              <w:rPr>
                <w:color w:val="0D0D0D" w:themeColor="text1" w:themeTint="F2"/>
                <w:spacing w:val="-4"/>
              </w:rPr>
              <w:t xml:space="preserve"> V následujícím čtvrtletí se meziroční i</w:t>
            </w:r>
            <w:r w:rsidRPr="00097191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 xml:space="preserve">mezičtvrtletní tempa mírně snížila. Ve srovnání s první polovinou loňského roku utržili letos maloobchodní prodejci o 5,3 % více. Česko se tak zařadilo v žebříčku zemí EU na sedmé místo. Maloobchod v posledních čtvrtletích roste tradičně nejdynamičtěji v zemích střední a východní Evropy. </w:t>
            </w:r>
          </w:p>
        </w:tc>
      </w:tr>
      <w:tr w:rsidR="000C13A2" w:rsidRPr="009110F7" w:rsidTr="00BC5332">
        <w:trPr>
          <w:trHeight w:val="14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Default="000C13A2" w:rsidP="008417B5">
            <w:pPr>
              <w:pStyle w:val="Marginlie"/>
            </w:pPr>
            <w:r>
              <w:t>Pokračoval svižný růst tržeb za prodej nepotravinářského zboží.</w:t>
            </w:r>
          </w:p>
          <w:p w:rsidR="000C13A2" w:rsidRPr="009110F7" w:rsidRDefault="000C13A2" w:rsidP="008417B5">
            <w:pPr>
              <w:pStyle w:val="Marginlie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Pr="009110F7" w:rsidRDefault="000C13A2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K růstu maloobchodu přispěl tradičně nejvíce prodej nepotravinářského zboží, jehož tempa převyšovala 7% hranici již sedmé čtvrtletí v řadě. </w:t>
            </w:r>
            <w:r w:rsidRPr="004A27F0">
              <w:rPr>
                <w:color w:val="0D0D0D" w:themeColor="text1" w:themeTint="F2"/>
                <w:spacing w:val="-4"/>
              </w:rPr>
              <w:t>Mezi specializovanými prodejnami</w:t>
            </w:r>
            <w:r>
              <w:rPr>
                <w:color w:val="0D0D0D" w:themeColor="text1" w:themeTint="F2"/>
                <w:spacing w:val="-4"/>
              </w:rPr>
              <w:t xml:space="preserve"> se v 1. pololetí dařilo zejména m</w:t>
            </w:r>
            <w:r w:rsidRPr="00FA70D3">
              <w:rPr>
                <w:color w:val="0D0D0D" w:themeColor="text1" w:themeTint="F2"/>
                <w:spacing w:val="-4"/>
              </w:rPr>
              <w:t>aloobchod</w:t>
            </w:r>
            <w:r>
              <w:rPr>
                <w:color w:val="0D0D0D" w:themeColor="text1" w:themeTint="F2"/>
                <w:spacing w:val="-4"/>
              </w:rPr>
              <w:t>u</w:t>
            </w:r>
            <w:r w:rsidRPr="00FA70D3">
              <w:rPr>
                <w:color w:val="0D0D0D" w:themeColor="text1" w:themeTint="F2"/>
                <w:spacing w:val="-4"/>
              </w:rPr>
              <w:t xml:space="preserve"> s počítačovým a komunikačním zařízením</w:t>
            </w:r>
            <w:r>
              <w:rPr>
                <w:color w:val="0D0D0D" w:themeColor="text1" w:themeTint="F2"/>
                <w:spacing w:val="-4"/>
              </w:rPr>
              <w:t xml:space="preserve"> a také výrobkům pro domácnost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8"/>
            </w:r>
            <w:r>
              <w:rPr>
                <w:color w:val="0D0D0D" w:themeColor="text1" w:themeTint="F2"/>
                <w:spacing w:val="-4"/>
              </w:rPr>
              <w:t xml:space="preserve">. Podobně jako ve většině zemí EU pokračoval i v Česku dynamický růst prodeje přes internet a zásilkovou službu (meziročně o pětinu). Mírně zvolnil naopak růst tržeb za prodej potravinářského zboží (na 2,2 %). Svižný růst si naopak udrželi prodejci pohonných hmot (5,2 %), a to navzdory faktu, že vývoj cen byl v první polovině motoristické sezóny z pohledu spotřebitelů méně příznivý než vloni. Tržby za prodej a opravy motorových vozidel i vlivem vysoké loňské základny letos o více než 1 % meziročně poklesly, a zaznamenaly tak nejslabší pololetní výsledek od konce roku 2012. </w:t>
            </w:r>
          </w:p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</w:p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</w:p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</w:p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</w:p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</w:p>
          <w:p w:rsidR="000C13A2" w:rsidRDefault="000C13A2" w:rsidP="00FA70D3">
            <w:pPr>
              <w:rPr>
                <w:color w:val="0D0D0D" w:themeColor="text1" w:themeTint="F2"/>
                <w:spacing w:val="-4"/>
              </w:rPr>
            </w:pPr>
          </w:p>
          <w:p w:rsidR="000C13A2" w:rsidRPr="009110F7" w:rsidRDefault="000C13A2" w:rsidP="00FA70D3">
            <w:pPr>
              <w:rPr>
                <w:color w:val="0D0D0D" w:themeColor="text1" w:themeTint="F2"/>
                <w:spacing w:val="-4"/>
              </w:rPr>
            </w:pPr>
          </w:p>
        </w:tc>
      </w:tr>
    </w:tbl>
    <w:p w:rsidR="00935BD4" w:rsidRPr="009110F7" w:rsidRDefault="00935BD4" w:rsidP="001554C2">
      <w:pPr>
        <w:pStyle w:val="Nadpis11"/>
      </w:pPr>
      <w:bookmarkStart w:id="7" w:name="_Toc525046023"/>
      <w:r w:rsidRPr="009110F7">
        <w:lastRenderedPageBreak/>
        <w:t>4. Vnější vztahy</w:t>
      </w:r>
      <w:bookmarkEnd w:id="7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7065C5" w:rsidRPr="009110F7" w:rsidTr="00435C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Marginlie"/>
            </w:pPr>
            <w:r>
              <w:t>Hodnota vývozu v 1.</w:t>
            </w:r>
            <w:r w:rsidR="00D85821">
              <w:t> </w:t>
            </w:r>
            <w:r>
              <w:t>pololetí vzrostla.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065C5" w:rsidRPr="00AF6F98" w:rsidRDefault="007065C5" w:rsidP="002E20C7">
            <w:pPr>
              <w:spacing w:after="200"/>
              <w:rPr>
                <w:spacing w:val="-4"/>
              </w:rPr>
            </w:pPr>
            <w:r w:rsidRPr="00AF6F98">
              <w:rPr>
                <w:spacing w:val="-4"/>
              </w:rPr>
              <w:t>Celková hodnota zboží vyvezeného v 1. pololetí 2018 dosáhla 1 821,0 mld. korun</w:t>
            </w:r>
            <w:r w:rsidRPr="00AF6F98">
              <w:rPr>
                <w:rStyle w:val="Znakapoznpodarou"/>
                <w:spacing w:val="-4"/>
              </w:rPr>
              <w:footnoteReference w:id="29"/>
            </w:r>
            <w:r w:rsidRPr="00AF6F98">
              <w:rPr>
                <w:spacing w:val="-4"/>
              </w:rPr>
              <w:t>. To je o 6,3 mld. (0,3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 více než ve stejném období minulého roku. Meziroční nárůst tlumil zejména výsledek 1. čtvrtletí, který byl značně ovlivněn rekordním vývozem v roce 2017 (meziroční propad dosáhl 10,3 mld. korun). Na hodnotě vývozu v běžných cenách se mohlo částečně projevit i meziroční posílení koruny. Ve</w:t>
            </w:r>
            <w:r w:rsidR="007E4C70" w:rsidRPr="00AF6F98">
              <w:rPr>
                <w:spacing w:val="-4"/>
              </w:rPr>
              <w:t> </w:t>
            </w:r>
            <w:r w:rsidRPr="00AF6F98">
              <w:rPr>
                <w:spacing w:val="-4"/>
              </w:rPr>
              <w:t>2.</w:t>
            </w:r>
            <w:r w:rsidR="007E4C70" w:rsidRPr="00AF6F98">
              <w:rPr>
                <w:spacing w:val="-4"/>
              </w:rPr>
              <w:t> </w:t>
            </w:r>
            <w:r w:rsidRPr="00AF6F98">
              <w:rPr>
                <w:spacing w:val="-4"/>
              </w:rPr>
              <w:t xml:space="preserve">čtvrtletí 2018 se hodnota vývozu zboží zvýšila o 16,6 mld. korun (1,8 %). </w:t>
            </w:r>
          </w:p>
        </w:tc>
      </w:tr>
      <w:tr w:rsidR="007065C5" w:rsidRPr="009110F7" w:rsidTr="00435C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Marginlie"/>
            </w:pPr>
            <w:r>
              <w:t>Po dlouhé době poklesl vývoz do Německa.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065C5" w:rsidRPr="00AF6F98" w:rsidRDefault="007065C5" w:rsidP="002E20C7">
            <w:pPr>
              <w:spacing w:after="200"/>
              <w:rPr>
                <w:spacing w:val="-4"/>
              </w:rPr>
            </w:pPr>
            <w:r w:rsidRPr="00AF6F98">
              <w:rPr>
                <w:spacing w:val="-4"/>
              </w:rPr>
              <w:t xml:space="preserve">Z pohledu na teritoriální členění vývozu je patrná určitá stagnace částečně způsobená vysokou základnou minulého roku. Hodnota exportu do zemí EU se tak v 1. pololetí 2018 zvýšila o 11,2 mld. korun, což je značně nižší nárůst než navýšení o 98,5 mld. ve stejném období minulého roku. Poprvé od 1. pololetí 2013 došlo k meziročnímu poklesu vývozu do </w:t>
            </w:r>
            <w:proofErr w:type="gramStart"/>
            <w:r w:rsidRPr="00AF6F98">
              <w:rPr>
                <w:spacing w:val="-4"/>
              </w:rPr>
              <w:t xml:space="preserve">Německa </w:t>
            </w:r>
            <w:r w:rsidR="008625D3" w:rsidRPr="00AF6F98">
              <w:rPr>
                <w:spacing w:val="-4"/>
              </w:rPr>
              <w:t>(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3,0</w:t>
            </w:r>
            <w:proofErr w:type="gramEnd"/>
            <w:r w:rsidRPr="00AF6F98">
              <w:rPr>
                <w:spacing w:val="-4"/>
              </w:rPr>
              <w:t xml:space="preserve"> mld. korun, 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0,5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 xml:space="preserve">). Pokračoval pokles hodnoty vývozu na </w:t>
            </w:r>
            <w:proofErr w:type="gramStart"/>
            <w:r w:rsidRPr="00AF6F98">
              <w:rPr>
                <w:spacing w:val="-4"/>
              </w:rPr>
              <w:t xml:space="preserve">Slovensko </w:t>
            </w:r>
            <w:r w:rsidR="008625D3" w:rsidRPr="00AF6F98">
              <w:rPr>
                <w:spacing w:val="-4"/>
              </w:rPr>
              <w:t>(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3,5</w:t>
            </w:r>
            <w:proofErr w:type="gramEnd"/>
            <w:r w:rsidRPr="00AF6F98">
              <w:rPr>
                <w:spacing w:val="-4"/>
              </w:rPr>
              <w:t xml:space="preserve"> mld. korun, 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2,2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 xml:space="preserve">) a do Velké Británie </w:t>
            </w:r>
            <w:r w:rsidR="008625D3" w:rsidRPr="00AF6F98">
              <w:rPr>
                <w:spacing w:val="-4"/>
              </w:rPr>
              <w:t>(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 xml:space="preserve">5,2 mld. korun, 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5,8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 Naopak pokračoval trend vysokých nárůstů vývozu do Nizozemska, tentokrát to bylo +6,9 mld. korun (12,0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 Jen slabě se zvýšil vývoz zboží</w:t>
            </w:r>
            <w:r w:rsidR="00AF6F98">
              <w:rPr>
                <w:spacing w:val="-4"/>
              </w:rPr>
              <w:t xml:space="preserve"> do Polska (2,0 mld. korun, 1,8</w:t>
            </w:r>
            <w:r w:rsidR="00AF6F98" w:rsidRPr="00AF6F98">
              <w:rPr>
                <w:spacing w:val="-4"/>
              </w:rPr>
              <w:t> </w:t>
            </w:r>
            <w:r w:rsidRPr="00AF6F98">
              <w:rPr>
                <w:spacing w:val="-4"/>
              </w:rPr>
              <w:t>%), Rakouska (1,0 mld., 1,3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 a Francie (2,7 mld., 2,9 %). Hodnota vývozu do zemí mimo EU se v 1. pololetí meziročně snížila o 5,0 mld. korun (1,7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</w:t>
            </w:r>
          </w:p>
        </w:tc>
      </w:tr>
      <w:tr w:rsidR="007065C5" w:rsidRPr="009110F7" w:rsidTr="00435C69">
        <w:trPr>
          <w:trHeight w:val="170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Marginlie"/>
            </w:pPr>
            <w:r>
              <w:t>Hodnota vývozu motorových vozidel klesla. Ostatním výrobcům se dařilo udržet růst.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065C5" w:rsidRPr="00AF6F98" w:rsidRDefault="007065C5" w:rsidP="002E20C7">
            <w:pPr>
              <w:spacing w:after="200"/>
              <w:rPr>
                <w:spacing w:val="-4"/>
              </w:rPr>
            </w:pPr>
            <w:r w:rsidRPr="00AF6F98">
              <w:rPr>
                <w:spacing w:val="-4"/>
              </w:rPr>
              <w:t xml:space="preserve">Produktem, který měl na poklesu hodnoty </w:t>
            </w:r>
            <w:r w:rsidR="00E61EB5">
              <w:rPr>
                <w:spacing w:val="-4"/>
              </w:rPr>
              <w:t>vývozu</w:t>
            </w:r>
            <w:r w:rsidR="00E61EB5" w:rsidRPr="00AF6F98">
              <w:rPr>
                <w:spacing w:val="-4"/>
              </w:rPr>
              <w:t xml:space="preserve"> </w:t>
            </w:r>
            <w:r w:rsidRPr="00AF6F98">
              <w:rPr>
                <w:spacing w:val="-4"/>
              </w:rPr>
              <w:t>klíčový podíl, byla v 1. pololetí motorová vozidla. Hodnota jejich exportu se v tomto období meziročně snížila o 22,7 mld. korun (4,3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 a klesala v 1. i 2. čtvrtletí. Ostatní výrobci zaznamenali spíše zvolnění růstu než propady, významnější výjimkou byl jen pokles u potravinářských výrobků o 2,9 mld. korun (5,3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 a pryžových a plastových výrobků o 2,3 mld. (2,3 %). Mírně rostl vývoz strojů a zařízení (4,2 mld. korun, 2,1 %), rovněž elektrických zařízení (6,3 mld. korun, 4,2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 nebo kovodělných výrobků (2,1 mld., 1,9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 Počítače, elektronické a optické přístroje v 1. pololetí zaznamenaly výrazný meziroční nárůst exportu o 21,9 mld. korun (13,2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</w:t>
            </w:r>
          </w:p>
        </w:tc>
      </w:tr>
      <w:tr w:rsidR="007065C5" w:rsidRPr="009110F7" w:rsidTr="00435C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065C5" w:rsidRDefault="007065C5" w:rsidP="00A445A8">
            <w:pPr>
              <w:pStyle w:val="Marginlie"/>
            </w:pPr>
            <w:r>
              <w:t xml:space="preserve">Hodnota dovozu vzrostla, částečně i kvůli zvýšeným cenám </w:t>
            </w:r>
            <w:r w:rsidR="00A445A8">
              <w:t>některých surovin.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065C5" w:rsidRDefault="007065C5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065C5" w:rsidRPr="00AF6F98" w:rsidRDefault="007065C5" w:rsidP="002E20C7">
            <w:pPr>
              <w:spacing w:after="200"/>
              <w:rPr>
                <w:spacing w:val="-4"/>
              </w:rPr>
            </w:pPr>
            <w:r w:rsidRPr="00AF6F98">
              <w:rPr>
                <w:spacing w:val="-4"/>
              </w:rPr>
              <w:t>Hodnota dovezeného zboží v 1. pololetí činila 1 715,2 mld. korun. Meziročně došlo k navýšení o 25,7 mld. korun (1,5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 Naprostá většina uvedeného přírůstku se odehrála ve 2. čtvrtletí (23,5 mld. korun, 2,8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). Podobně jako v předchozích obdobích do výsledku promlouvaly ceny dovážených surovin. To je případ koksu a rafinovaných ropných výrobků, u nichž se hodnota importu meziročně</w:t>
            </w:r>
            <w:r w:rsidR="00AF6F98">
              <w:rPr>
                <w:spacing w:val="-4"/>
              </w:rPr>
              <w:t xml:space="preserve"> zvýšila o 8,7 mld. korun (36,2</w:t>
            </w:r>
            <w:r w:rsidR="00AF6F98" w:rsidRPr="00AF6F98">
              <w:rPr>
                <w:spacing w:val="-4"/>
              </w:rPr>
              <w:t> </w:t>
            </w:r>
            <w:r w:rsidRPr="00AF6F98">
              <w:rPr>
                <w:spacing w:val="-4"/>
              </w:rPr>
              <w:t>%). Zvýšila se hodnota dovozu strojů a zařízení (5,5 mld. korun, 3,4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), ale rovněž ostatních dopravních prostředků (7,4 mld. korun, 35,7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>), které z pohledu celkového objemu dříve tvořily malou položku. Naopak dovoz motorových vozidel klesl o 7,8 mld. korun (2,7</w:t>
            </w:r>
            <w:r w:rsidR="007B0E83">
              <w:rPr>
                <w:spacing w:val="-4"/>
              </w:rPr>
              <w:t> %</w:t>
            </w:r>
            <w:r w:rsidRPr="00AF6F98">
              <w:rPr>
                <w:spacing w:val="-4"/>
              </w:rPr>
              <w:t xml:space="preserve">). Hodnota importu ropy a zemního plynu se snížila o 7,2 mld. korun, což je v protikladu s rostoucími cenami těchto komodit. V 1. pololetí se však mimo jiné projevovalo předzásobení, díky kterému nebylo nutné dovážet stejný objem plynu jako v předchozím roce. Z teritoriálního hlediska za růstem celkového importu stály zejména země EU (+19,9 mld. korun), ostatní destinace zaznamenaly mírnější nárůst o 6,4 mld. </w:t>
            </w:r>
          </w:p>
        </w:tc>
      </w:tr>
      <w:tr w:rsidR="00793D78" w:rsidRPr="009110F7" w:rsidTr="00435C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93D78" w:rsidRDefault="00793D78" w:rsidP="00793D78">
            <w:pPr>
              <w:pStyle w:val="Marginlie"/>
            </w:pPr>
            <w:r>
              <w:t>Přebytek bilance obchodu se zbožím klesl…,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93D78" w:rsidRDefault="00793D78" w:rsidP="00793D7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Pr="00AF6F98" w:rsidRDefault="00793D78" w:rsidP="002E20C7">
            <w:pPr>
              <w:spacing w:after="0"/>
              <w:rPr>
                <w:spacing w:val="-4"/>
              </w:rPr>
            </w:pPr>
            <w:r w:rsidRPr="00AF6F98">
              <w:rPr>
                <w:spacing w:val="-4"/>
              </w:rPr>
              <w:t>Celkový přebytek bilance zahraničního obchodu se zbožím dosáhl v 1. pololetí 105,7 mld. korun. To je o 19,4 mld. méně než ve stejném období minulého roku. Většina z tohoto poklesu vznikla již v 1. čtvrtletí, ve 2. kvartálu byl přebytek meziročně nižší o</w:t>
            </w:r>
            <w:r w:rsidR="00D928BE">
              <w:rPr>
                <w:spacing w:val="-4"/>
              </w:rPr>
              <w:t> </w:t>
            </w:r>
            <w:r w:rsidRPr="00AF6F98">
              <w:rPr>
                <w:spacing w:val="-4"/>
              </w:rPr>
              <w:t>6,9</w:t>
            </w:r>
            <w:r w:rsidR="00D928BE">
              <w:rPr>
                <w:spacing w:val="-4"/>
              </w:rPr>
              <w:t> </w:t>
            </w:r>
            <w:r w:rsidRPr="00AF6F98">
              <w:rPr>
                <w:spacing w:val="-4"/>
              </w:rPr>
              <w:t xml:space="preserve">mld. korun. K poklesu přebytku došlo u států </w:t>
            </w:r>
            <w:proofErr w:type="gramStart"/>
            <w:r w:rsidRPr="00AF6F98">
              <w:rPr>
                <w:spacing w:val="-4"/>
              </w:rPr>
              <w:t>EU (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8,7</w:t>
            </w:r>
            <w:proofErr w:type="gramEnd"/>
            <w:r w:rsidRPr="00AF6F98">
              <w:rPr>
                <w:spacing w:val="-4"/>
              </w:rPr>
              <w:t xml:space="preserve"> mld. korun) a došlo k n</w:t>
            </w:r>
            <w:r>
              <w:rPr>
                <w:spacing w:val="-4"/>
              </w:rPr>
              <w:t>ěmu u</w:t>
            </w:r>
            <w:r w:rsidRPr="00AF6F98">
              <w:rPr>
                <w:spacing w:val="-4"/>
              </w:rPr>
              <w:t xml:space="preserve"> obchodu s většinou významných partnerů (Německo 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 xml:space="preserve">6,6 mld., Slovensko 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 xml:space="preserve">3,8 mld., Velká Británie 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 xml:space="preserve">3,5 mld. atd.). Výjimkou bylo </w:t>
            </w:r>
            <w:r w:rsidR="006846B3" w:rsidRPr="00AF6F98">
              <w:rPr>
                <w:spacing w:val="-4"/>
              </w:rPr>
              <w:t>Nizozem</w:t>
            </w:r>
            <w:r w:rsidR="006846B3">
              <w:rPr>
                <w:spacing w:val="-4"/>
              </w:rPr>
              <w:t>sko</w:t>
            </w:r>
            <w:r w:rsidRPr="00AF6F98">
              <w:rPr>
                <w:spacing w:val="-4"/>
              </w:rPr>
              <w:t>, do kterého v posledním období Česko více vyváží, což také povzbudilo nárůst přebytku o 6,7 mld. korun.</w:t>
            </w:r>
          </w:p>
        </w:tc>
      </w:tr>
      <w:tr w:rsidR="00793D78" w:rsidRPr="009110F7" w:rsidTr="00435C69">
        <w:trPr>
          <w:trHeight w:val="106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Pr="00AF6F98" w:rsidRDefault="00793D78" w:rsidP="00793D78">
            <w:pPr>
              <w:spacing w:after="0"/>
              <w:rPr>
                <w:spacing w:val="-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proofErr w:type="gram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č. 9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31BC9">
              <w:rPr>
                <w:b/>
                <w:spacing w:val="-4"/>
                <w:sz w:val="18"/>
                <w:szCs w:val="18"/>
              </w:rPr>
              <w:t>Bilance</w:t>
            </w:r>
            <w:proofErr w:type="gramEnd"/>
            <w:r w:rsidRPr="00631BC9">
              <w:rPr>
                <w:b/>
                <w:spacing w:val="-4"/>
                <w:sz w:val="18"/>
                <w:szCs w:val="18"/>
              </w:rPr>
              <w:t xml:space="preserve"> zahraničního obchodu* ve statistice zahraničního obchodu (</w:t>
            </w:r>
            <w:r>
              <w:rPr>
                <w:b/>
                <w:spacing w:val="-4"/>
                <w:sz w:val="18"/>
                <w:szCs w:val="18"/>
              </w:rPr>
              <w:t xml:space="preserve">kumulace </w:t>
            </w:r>
            <w:r w:rsidRPr="00631BC9">
              <w:rPr>
                <w:b/>
                <w:spacing w:val="-4"/>
                <w:sz w:val="18"/>
                <w:szCs w:val="18"/>
              </w:rPr>
              <w:t>1.</w:t>
            </w:r>
            <w:r>
              <w:rPr>
                <w:b/>
                <w:spacing w:val="-4"/>
                <w:sz w:val="18"/>
                <w:szCs w:val="18"/>
              </w:rPr>
              <w:t> pololetí</w:t>
            </w:r>
            <w:r w:rsidRPr="00631BC9">
              <w:rPr>
                <w:b/>
                <w:spacing w:val="-4"/>
                <w:sz w:val="18"/>
                <w:szCs w:val="18"/>
              </w:rPr>
              <w:t>, v mld. korun, vybrané oddíly klasifikace CPA)</w:t>
            </w:r>
          </w:p>
        </w:tc>
      </w:tr>
      <w:tr w:rsidR="00793D78" w:rsidRPr="009110F7" w:rsidTr="00435C69">
        <w:trPr>
          <w:trHeight w:val="106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Pr="00AF6F98" w:rsidRDefault="00793D78" w:rsidP="00793D78">
            <w:pPr>
              <w:spacing w:after="0"/>
              <w:rPr>
                <w:spacing w:val="-4"/>
              </w:rPr>
            </w:pPr>
            <w:r w:rsidRPr="00793D78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0" t="0" r="0" b="0"/>
                  <wp:docPr id="1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793D78" w:rsidRPr="009110F7" w:rsidTr="00435C69">
        <w:trPr>
          <w:trHeight w:val="106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Default="00793D78" w:rsidP="00793D78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:rsidR="00793D78" w:rsidRPr="00AF6F98" w:rsidRDefault="00793D78" w:rsidP="00793D78">
            <w:pPr>
              <w:rPr>
                <w:spacing w:val="-4"/>
              </w:rPr>
            </w:pPr>
            <w:r>
              <w:rPr>
                <w:sz w:val="14"/>
                <w:szCs w:val="14"/>
              </w:rPr>
              <w:t>*v národním pojetí</w:t>
            </w:r>
          </w:p>
        </w:tc>
      </w:tr>
      <w:tr w:rsidR="00793D78" w:rsidRPr="009110F7" w:rsidTr="00435C69">
        <w:trPr>
          <w:trHeight w:val="170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Marginlie"/>
            </w:pPr>
            <w:r>
              <w:t>… z velké části kvůli motorovým vozidlům.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Pr="00AF6F98" w:rsidRDefault="00793D78" w:rsidP="009B05B3">
            <w:pPr>
              <w:rPr>
                <w:spacing w:val="-4"/>
              </w:rPr>
            </w:pPr>
            <w:r w:rsidRPr="00AF6F98">
              <w:rPr>
                <w:spacing w:val="-4"/>
              </w:rPr>
              <w:t xml:space="preserve">Pokles přebytku bilance z velké části zapříčinila motorová vozidla, u kterých kladné saldo meziročně kleslo poprvé od roku </w:t>
            </w:r>
            <w:proofErr w:type="gramStart"/>
            <w:r w:rsidRPr="00AF6F98">
              <w:rPr>
                <w:spacing w:val="-4"/>
              </w:rPr>
              <w:t>2013 (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14,9</w:t>
            </w:r>
            <w:proofErr w:type="gramEnd"/>
            <w:r w:rsidRPr="00AF6F98">
              <w:rPr>
                <w:spacing w:val="-4"/>
              </w:rPr>
              <w:t xml:space="preserve"> mld. korun). Prohloubení deficitu nastalo u koksu a rafinovaných ropných </w:t>
            </w:r>
            <w:proofErr w:type="gramStart"/>
            <w:r w:rsidRPr="00AF6F98">
              <w:rPr>
                <w:spacing w:val="-4"/>
              </w:rPr>
              <w:t>výrobků (</w:t>
            </w:r>
            <w:r w:rsidR="008625D3">
              <w:rPr>
                <w:spacing w:val="-4"/>
              </w:rPr>
              <w:t>–</w:t>
            </w:r>
            <w:r w:rsidRPr="00AF6F98">
              <w:rPr>
                <w:spacing w:val="-4"/>
              </w:rPr>
              <w:t>9,9</w:t>
            </w:r>
            <w:proofErr w:type="gramEnd"/>
            <w:r w:rsidRPr="00AF6F98">
              <w:rPr>
                <w:spacing w:val="-4"/>
              </w:rPr>
              <w:t xml:space="preserve"> mld.). Naopak u ropy a zemního plynu se deficit bilance zmírnil o 7,8 mld. korun. Proti celkovému deficitu působily počítače, elektronické a optické přístroje, které se z </w:t>
            </w:r>
            <w:r w:rsidR="00AA212F" w:rsidRPr="00AF6F98">
              <w:rPr>
                <w:spacing w:val="-4"/>
              </w:rPr>
              <w:t>obvykl</w:t>
            </w:r>
            <w:r w:rsidR="00AA212F">
              <w:rPr>
                <w:spacing w:val="-4"/>
              </w:rPr>
              <w:t>éh</w:t>
            </w:r>
            <w:r w:rsidR="00AA212F" w:rsidRPr="00AF6F98">
              <w:rPr>
                <w:spacing w:val="-4"/>
              </w:rPr>
              <w:t xml:space="preserve">o </w:t>
            </w:r>
            <w:r w:rsidRPr="00AF6F98">
              <w:rPr>
                <w:spacing w:val="-4"/>
              </w:rPr>
              <w:t>deficitu dostaly do přebytku 5,0 mld. korun (redukce deficitu o 11,4 mld. kor</w:t>
            </w:r>
            <w:r>
              <w:rPr>
                <w:spacing w:val="-4"/>
              </w:rPr>
              <w:t>un). Zvýšení přebytku nastalo u</w:t>
            </w:r>
            <w:r w:rsidRPr="00AF6F98">
              <w:rPr>
                <w:spacing w:val="-4"/>
              </w:rPr>
              <w:t> elektrických zařízení (+5,1 mld. korun).</w:t>
            </w:r>
          </w:p>
        </w:tc>
      </w:tr>
      <w:tr w:rsidR="00793D78" w:rsidRPr="009110F7" w:rsidTr="00435C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Marginlie"/>
            </w:pPr>
            <w:r>
              <w:t>Běžný účet platební bilance ve 2. čtvrtletí vykázal netypický vývoj.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Pr="00AF6F98" w:rsidRDefault="00793D78" w:rsidP="009B05B3">
            <w:pPr>
              <w:rPr>
                <w:spacing w:val="-4"/>
              </w:rPr>
            </w:pPr>
            <w:r w:rsidRPr="00AF6F98">
              <w:rPr>
                <w:spacing w:val="-4"/>
              </w:rPr>
              <w:t>Podle údajů ČNB dosáhl běžný účet platební bilance v 1. pololetí roku přebytku, který se však meziročně snížil o 25,1 mld. korun. Překvapivý byl zejména výsledek 2. čtvrtletí, ve kterém tentokrát běžný účet skončil v přebytku. Nedošlo totiž k tak výraznému odlivu prvotních důchodů do zahraničí (konkrétně důchodů z investic), jak je v tomto kvartálu obvyklé. Ve směru přebytku tak tradičně působilo k</w:t>
            </w:r>
            <w:r>
              <w:rPr>
                <w:spacing w:val="-4"/>
              </w:rPr>
              <w:t>ladné saldo obchodu se zbožím a</w:t>
            </w:r>
            <w:r w:rsidRPr="00AF6F98">
              <w:rPr>
                <w:spacing w:val="-4"/>
              </w:rPr>
              <w:t xml:space="preserve"> službami. Kapitálový účet, který tradičně dosahuje přebytku, se ve 2. čtvrtletí dostal do deficitu (poprvé od roku 2006). </w:t>
            </w:r>
          </w:p>
        </w:tc>
      </w:tr>
      <w:tr w:rsidR="00793D78" w:rsidRPr="009110F7" w:rsidTr="00435C69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Marginlie"/>
            </w:pPr>
            <w:r>
              <w:t>Finanční účet v 1. pololetí skončil v přebytku.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793D78" w:rsidRDefault="00793D7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Default="00793D78" w:rsidP="001C0F17">
            <w:pPr>
              <w:spacing w:after="0"/>
              <w:rPr>
                <w:spacing w:val="-4"/>
              </w:rPr>
            </w:pPr>
            <w:r w:rsidRPr="00AF6F98">
              <w:rPr>
                <w:spacing w:val="-4"/>
              </w:rPr>
              <w:t>Přebytek finančního účtu se v 1. pololetí meziročně snížil o 95,3 mld. korun. Oproti stejnému období minulého roku se výrazně snížil čistý příliv přímých investic (o 33,1 mld. korun), což však lze spojit s výjimečným obdobím okolo ukončení intervencí. Čistý odliv nastal v 1. pololetí u portfoliových investic – ve 2. čtvrtletí se totiž o 162,7 mld. korun snížil objem dluhových cenných papírů drž</w:t>
            </w:r>
            <w:r>
              <w:rPr>
                <w:spacing w:val="-4"/>
              </w:rPr>
              <w:t>ených zahraničními vlastníky.</w:t>
            </w:r>
          </w:p>
          <w:p w:rsidR="00793D78" w:rsidRDefault="00793D78" w:rsidP="001C0F17">
            <w:pPr>
              <w:spacing w:after="0"/>
              <w:rPr>
                <w:spacing w:val="-4"/>
              </w:rPr>
            </w:pPr>
          </w:p>
          <w:p w:rsidR="00435C69" w:rsidRDefault="00435C69" w:rsidP="001C0F17">
            <w:pPr>
              <w:spacing w:after="0"/>
              <w:rPr>
                <w:spacing w:val="-4"/>
              </w:rPr>
            </w:pPr>
          </w:p>
          <w:p w:rsidR="002E20C7" w:rsidRDefault="002E20C7" w:rsidP="001C0F17">
            <w:pPr>
              <w:spacing w:after="0"/>
              <w:rPr>
                <w:spacing w:val="-4"/>
              </w:rPr>
            </w:pPr>
          </w:p>
          <w:p w:rsidR="002E20C7" w:rsidRDefault="002E20C7" w:rsidP="001C0F17">
            <w:pPr>
              <w:spacing w:after="0"/>
              <w:rPr>
                <w:spacing w:val="-4"/>
              </w:rPr>
            </w:pPr>
          </w:p>
          <w:p w:rsidR="00793D78" w:rsidRPr="00AF6F98" w:rsidRDefault="00793D78" w:rsidP="001C0F17">
            <w:pPr>
              <w:spacing w:after="0"/>
              <w:rPr>
                <w:spacing w:val="-4"/>
              </w:rPr>
            </w:pPr>
          </w:p>
        </w:tc>
      </w:tr>
    </w:tbl>
    <w:p w:rsidR="000D3058" w:rsidRPr="009110F7" w:rsidRDefault="000D3058" w:rsidP="000D3058">
      <w:pPr>
        <w:pStyle w:val="Nadpis11"/>
      </w:pPr>
      <w:bookmarkStart w:id="8" w:name="_Toc511215218"/>
      <w:bookmarkStart w:id="9" w:name="_Toc525046024"/>
      <w:bookmarkEnd w:id="8"/>
      <w:r w:rsidRPr="009110F7">
        <w:lastRenderedPageBreak/>
        <w:t>5. Ceny</w:t>
      </w:r>
      <w:bookmarkEnd w:id="9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Celková cenová hladina rostla.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rPr>
                <w:szCs w:val="20"/>
              </w:rPr>
            </w:pPr>
            <w:r w:rsidRPr="00793D78">
              <w:rPr>
                <w:szCs w:val="20"/>
              </w:rPr>
              <w:t>Celkový meziroční růst cenové hladiny měřený deflátorem HDP ve 2. čtvrtletí dosáhl 2,3 %. Ovlivnil ho poměrně silný růst cen spotřebních statků (3,6</w:t>
            </w:r>
            <w:r w:rsidR="007B0E83">
              <w:rPr>
                <w:szCs w:val="20"/>
              </w:rPr>
              <w:t> %</w:t>
            </w:r>
            <w:r w:rsidRPr="00793D78">
              <w:rPr>
                <w:szCs w:val="20"/>
              </w:rPr>
              <w:t>). Cenová hladina spotřeby domácností se přitom zvýšila o 2,6</w:t>
            </w:r>
            <w:r w:rsidR="007B0E83">
              <w:rPr>
                <w:szCs w:val="20"/>
              </w:rPr>
              <w:t> %</w:t>
            </w:r>
            <w:r w:rsidRPr="00793D78">
              <w:rPr>
                <w:szCs w:val="20"/>
              </w:rPr>
              <w:t>, vládních institucí o 5,9</w:t>
            </w:r>
            <w:r w:rsidR="007B0E83">
              <w:rPr>
                <w:szCs w:val="20"/>
              </w:rPr>
              <w:t> %</w:t>
            </w:r>
            <w:r w:rsidRPr="00793D78">
              <w:rPr>
                <w:szCs w:val="20"/>
              </w:rPr>
              <w:t xml:space="preserve">. Stagnace probíhala u kapitálových </w:t>
            </w:r>
            <w:proofErr w:type="gramStart"/>
            <w:r w:rsidRPr="00793D78">
              <w:rPr>
                <w:szCs w:val="20"/>
              </w:rPr>
              <w:t>statků (</w:t>
            </w:r>
            <w:r w:rsidR="008625D3">
              <w:rPr>
                <w:szCs w:val="20"/>
              </w:rPr>
              <w:t>–</w:t>
            </w:r>
            <w:r w:rsidRPr="00793D78">
              <w:rPr>
                <w:szCs w:val="20"/>
              </w:rPr>
              <w:t>0,5</w:t>
            </w:r>
            <w:proofErr w:type="gramEnd"/>
            <w:r w:rsidR="007B0E83">
              <w:rPr>
                <w:szCs w:val="20"/>
              </w:rPr>
              <w:t> %</w:t>
            </w:r>
            <w:r w:rsidRPr="00793D78">
              <w:rPr>
                <w:szCs w:val="20"/>
              </w:rPr>
              <w:t>). Jen mírně kladně působily směnné relace (100,3</w:t>
            </w:r>
            <w:r w:rsidR="007B0E83">
              <w:rPr>
                <w:szCs w:val="20"/>
              </w:rPr>
              <w:t> %</w:t>
            </w:r>
            <w:r w:rsidRPr="00793D78">
              <w:rPr>
                <w:szCs w:val="20"/>
              </w:rPr>
              <w:t>).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Růst spotřebitelských cen ve 2. čtvrtletí 2018 zrychlil.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0233D1">
            <w:pPr>
              <w:rPr>
                <w:highlight w:val="yellow"/>
              </w:rPr>
            </w:pPr>
            <w:r w:rsidRPr="00793D78">
              <w:t>Po útlumu v předchozím kvartálu se ve 2. čtvrtletí 2018 meziroční tempo růstu spotřebitelských cen vrátilo nad 2% hranici. Celkově se ve 2. čtvrtletí ceny meziročně zvýšily o 2,3</w:t>
            </w:r>
            <w:r w:rsidR="007B0E83">
              <w:t> %</w:t>
            </w:r>
            <w:r w:rsidRPr="00793D78">
              <w:t xml:space="preserve"> a v jednotlivých měsících měla dynamika vzestupný</w:t>
            </w:r>
            <w:r w:rsidR="00AF6F98" w:rsidRPr="00793D78">
              <w:t xml:space="preserve"> charakter. Za celé 1.</w:t>
            </w:r>
            <w:r w:rsidR="00EB5BF7">
              <w:t xml:space="preserve"> </w:t>
            </w:r>
            <w:r w:rsidRPr="00793D78">
              <w:t>pololetí spotřebitelské ceny meziročně vzrostly o 2,1</w:t>
            </w:r>
            <w:r w:rsidR="007B0E83">
              <w:t> %</w:t>
            </w:r>
            <w:r w:rsidRPr="00793D78">
              <w:t>. Ve</w:t>
            </w:r>
            <w:r w:rsidR="007E4C70" w:rsidRPr="00793D78">
              <w:t> </w:t>
            </w:r>
            <w:r w:rsidRPr="00793D78">
              <w:t>2.</w:t>
            </w:r>
            <w:r w:rsidR="007E4C70" w:rsidRPr="00793D78">
              <w:t> </w:t>
            </w:r>
            <w:r w:rsidRPr="00793D78">
              <w:t>čtvrtletí opět posílil vliv cen bydlení, vody a energií, které nejvíce přispěly k</w:t>
            </w:r>
            <w:r w:rsidR="007E4C70" w:rsidRPr="00793D78">
              <w:t> </w:t>
            </w:r>
            <w:r w:rsidRPr="00793D78">
              <w:t>celkovém</w:t>
            </w:r>
            <w:r w:rsidR="00AF6F98" w:rsidRPr="00793D78">
              <w:t>u</w:t>
            </w:r>
            <w:r w:rsidRPr="00793D78">
              <w:t xml:space="preserve"> nárůstu cen (0,</w:t>
            </w:r>
            <w:r w:rsidR="000233D1">
              <w:t>6</w:t>
            </w:r>
            <w:r w:rsidR="00EA4402">
              <w:t> p. </w:t>
            </w:r>
            <w:proofErr w:type="spellStart"/>
            <w:r w:rsidR="00EA4402">
              <w:t>b</w:t>
            </w:r>
            <w:proofErr w:type="spellEnd"/>
            <w:r w:rsidR="00EA4402">
              <w:t>.</w:t>
            </w:r>
            <w:r w:rsidRPr="00793D78">
              <w:t>). Tempo cenového růstu potravin a</w:t>
            </w:r>
            <w:r w:rsidR="004E6DE6">
              <w:t> </w:t>
            </w:r>
            <w:r w:rsidRPr="00793D78">
              <w:t>nealkoholických nápojů již nedosahuje úrovně minulého roku, i tak však oddíl podpořil celkový růst 0,</w:t>
            </w:r>
            <w:r w:rsidR="000233D1">
              <w:t>5</w:t>
            </w:r>
            <w:r w:rsidR="00EA4402">
              <w:t> p. </w:t>
            </w:r>
            <w:proofErr w:type="spellStart"/>
            <w:r w:rsidR="00EA4402">
              <w:t>b</w:t>
            </w:r>
            <w:proofErr w:type="spellEnd"/>
            <w:r w:rsidR="00EA4402">
              <w:t>.</w:t>
            </w:r>
            <w:r w:rsidRPr="00793D78">
              <w:t xml:space="preserve"> Alkoholické nápoje a tabák a doprava přispěly shodně 0,3</w:t>
            </w:r>
            <w:r w:rsidR="00EA4402">
              <w:t> p. b.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435C69">
            <w:pPr>
              <w:spacing w:after="0"/>
              <w:rPr>
                <w:b/>
              </w:rPr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č. </w:t>
            </w:r>
            <w:proofErr w:type="gramStart"/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="00435C69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Ceny</w:t>
            </w:r>
            <w:proofErr w:type="gramEnd"/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(y/y v</w:t>
            </w:r>
            <w:r w:rsidR="007B0E83">
              <w:rPr>
                <w:rFonts w:cs="Arial"/>
                <w:b/>
                <w:color w:val="000000"/>
                <w:sz w:val="18"/>
                <w:szCs w:val="18"/>
              </w:rPr>
              <w:t> %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spacing w:after="0"/>
            </w:pPr>
            <w:r w:rsidRPr="00793D78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Nejvýraznější vliv na celkový růst cen měly náklady na bydlení a</w:t>
            </w:r>
            <w:r w:rsidR="004E6DE6">
              <w:rPr>
                <w:spacing w:val="0"/>
              </w:rPr>
              <w:t> </w:t>
            </w:r>
            <w:r w:rsidRPr="00793D78">
              <w:rPr>
                <w:spacing w:val="0"/>
              </w:rPr>
              <w:t>energie.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0233D1">
            <w:pPr>
              <w:rPr>
                <w:highlight w:val="yellow"/>
              </w:rPr>
            </w:pPr>
            <w:r w:rsidRPr="00793D78">
              <w:t>Akcelerace cen bydlení a energií nepolevila. Ve 2. čtvrtletí jejich meziroční přírůstek dosáhl 2,</w:t>
            </w:r>
            <w:r w:rsidR="000233D1">
              <w:t>6</w:t>
            </w:r>
            <w:r w:rsidR="007B0E83">
              <w:t> %</w:t>
            </w:r>
            <w:r w:rsidRPr="00793D78">
              <w:t xml:space="preserve"> (nejvíce od </w:t>
            </w:r>
            <w:r w:rsidR="000233D1">
              <w:t>1. čtvrtletí 2013</w:t>
            </w:r>
            <w:r w:rsidRPr="00793D78">
              <w:t>). Kromě cen nájemného z bytů, které rostly o 0,6</w:t>
            </w:r>
            <w:r w:rsidR="00EA4402">
              <w:t> p. b.</w:t>
            </w:r>
            <w:r w:rsidRPr="00793D78">
              <w:t xml:space="preserve"> </w:t>
            </w:r>
            <w:proofErr w:type="gramStart"/>
            <w:r w:rsidRPr="00793D78">
              <w:t>rychleji</w:t>
            </w:r>
            <w:proofErr w:type="gramEnd"/>
            <w:r w:rsidRPr="00793D78">
              <w:t xml:space="preserve"> než v předchozím kvartálu (2,9</w:t>
            </w:r>
            <w:r w:rsidR="007B0E83">
              <w:t> %</w:t>
            </w:r>
            <w:r w:rsidRPr="00793D78">
              <w:t>), potvrdily rostoucí trend i</w:t>
            </w:r>
            <w:r w:rsidR="007E4C70" w:rsidRPr="00793D78">
              <w:t> </w:t>
            </w:r>
            <w:r w:rsidRPr="00793D78">
              <w:t>ceny energií (z 1,1</w:t>
            </w:r>
            <w:r w:rsidR="007B0E83">
              <w:t> %</w:t>
            </w:r>
            <w:r w:rsidRPr="00793D78">
              <w:t xml:space="preserve"> na 1,7</w:t>
            </w:r>
            <w:r w:rsidR="007B0E83">
              <w:t> %</w:t>
            </w:r>
            <w:r w:rsidRPr="00793D78">
              <w:t xml:space="preserve"> v</w:t>
            </w:r>
            <w:r w:rsidR="004E6DE6">
              <w:t>e</w:t>
            </w:r>
            <w:r w:rsidRPr="00793D78">
              <w:t xml:space="preserve"> 2. čtvrtletí). Růst imputovaného nájemného již nezrychloval, vysoké tempo se však udrželo (3,8</w:t>
            </w:r>
            <w:r w:rsidR="007B0E83">
              <w:t> %</w:t>
            </w:r>
            <w:r w:rsidRPr="00793D78">
              <w:t>). Spíš než útlum růstu se zde projevuje vyšší srovnávací základna minulého roku, průměrný meziměsíční pří</w:t>
            </w:r>
            <w:r w:rsidR="00AF6F98" w:rsidRPr="00793D78">
              <w:t>růstek ve 2. čtvrtletí činil</w:t>
            </w:r>
            <w:r w:rsidRPr="00793D78">
              <w:t xml:space="preserve"> 0,5</w:t>
            </w:r>
            <w:r w:rsidR="007B0E83">
              <w:t> %</w:t>
            </w:r>
            <w:r w:rsidRPr="00793D78">
              <w:t xml:space="preserve">. 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924871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Dynamika cen bytů nadále zpomalovala.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924871" w:rsidP="007E4C70">
            <w:r w:rsidRPr="00793D78">
              <w:t>Ačkoli ceny bydlení v indexu spotřebitelských cen zrychlovaly, dynamika samotných cen bytů zvolňovala. Realizované ceny starších bytů ve 2. čtvrtletí meziročně vzrostly o</w:t>
            </w:r>
            <w:r w:rsidR="00AF6F98" w:rsidRPr="00793D78">
              <w:t> </w:t>
            </w:r>
            <w:r w:rsidRPr="00793D78">
              <w:t>5,6</w:t>
            </w:r>
            <w:r w:rsidR="00AF6F98" w:rsidRPr="00793D78">
              <w:t> </w:t>
            </w:r>
            <w:r w:rsidRPr="00793D78">
              <w:t>%, což je nejméně od 2. čtvrtletí roku 2015. Ještě výrazněji se propadla dynamika v Praze. Meziroční přírůstek ve 2. čtvrtletí činil 1,0</w:t>
            </w:r>
            <w:r w:rsidR="007B0E83">
              <w:t> %</w:t>
            </w:r>
            <w:r w:rsidRPr="00793D78">
              <w:t xml:space="preserve">, </w:t>
            </w:r>
            <w:proofErr w:type="spellStart"/>
            <w:r w:rsidRPr="00793D78">
              <w:lastRenderedPageBreak/>
              <w:t>mezičtvrtletně</w:t>
            </w:r>
            <w:proofErr w:type="spellEnd"/>
            <w:r w:rsidRPr="00793D78">
              <w:t xml:space="preserve"> se ceny snížily o</w:t>
            </w:r>
            <w:r w:rsidR="00AF6F98" w:rsidRPr="00793D78">
              <w:t> </w:t>
            </w:r>
            <w:r w:rsidRPr="00793D78">
              <w:t>1,6</w:t>
            </w:r>
            <w:r w:rsidR="00AF6F98" w:rsidRPr="00793D78">
              <w:t> </w:t>
            </w:r>
            <w:r w:rsidRPr="00793D78">
              <w:t>%. Je však nutné upozornit, že mluvíme o segmentu starších bytů. U nových bytů (index měřen jen v Praze) došlo ve</w:t>
            </w:r>
            <w:r w:rsidR="007E4C70" w:rsidRPr="00793D78">
              <w:t> </w:t>
            </w:r>
            <w:r w:rsidRPr="00793D78">
              <w:t>2. kvartálu ke zrychlení meziroční dynamiky realizovaných cen na 14,8</w:t>
            </w:r>
            <w:r w:rsidR="007B0E83">
              <w:t> %</w:t>
            </w:r>
            <w:r w:rsidRPr="00793D78">
              <w:t xml:space="preserve">. Meziroční růst nabídkových </w:t>
            </w:r>
            <w:r w:rsidR="00311AA6" w:rsidRPr="00793D78">
              <w:t>cen bytů se lehce zmírnil, stále však zůstal nad hranicí 12</w:t>
            </w:r>
            <w:r w:rsidR="007B0E83">
              <w:t> %</w:t>
            </w:r>
            <w:r w:rsidR="00311AA6" w:rsidRPr="00793D78">
              <w:t xml:space="preserve"> pro celou ČR.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435C69" w:rsidP="009B05B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11</w:t>
            </w:r>
            <w:r w:rsidR="002F4AD8" w:rsidRPr="00793D78">
              <w:rPr>
                <w:b/>
                <w:sz w:val="18"/>
                <w:szCs w:val="18"/>
                <w:lang w:eastAsia="en-US"/>
              </w:rPr>
              <w:t xml:space="preserve">  Ceny</w:t>
            </w:r>
            <w:proofErr w:type="gramEnd"/>
            <w:r w:rsidR="002F4AD8" w:rsidRPr="00793D78">
              <w:rPr>
                <w:b/>
                <w:sz w:val="18"/>
                <w:szCs w:val="18"/>
                <w:lang w:eastAsia="en-US"/>
              </w:rPr>
              <w:t xml:space="preserve"> nemovitostí (meziroční změna, v</w:t>
            </w:r>
            <w:r w:rsidR="007B0E83">
              <w:rPr>
                <w:b/>
                <w:sz w:val="18"/>
                <w:szCs w:val="18"/>
                <w:lang w:eastAsia="en-US"/>
              </w:rPr>
              <w:t> %</w:t>
            </w:r>
            <w:r w:rsidR="002F4AD8" w:rsidRPr="00793D78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F23E20" w:rsidP="00965797">
            <w:pPr>
              <w:spacing w:after="0"/>
            </w:pPr>
            <w:r w:rsidRPr="00793D78">
              <w:rPr>
                <w:noProof/>
              </w:rPr>
              <w:drawing>
                <wp:inline distT="0" distB="0" distL="0" distR="0">
                  <wp:extent cx="4737600" cy="3553200"/>
                  <wp:effectExtent l="19050" t="0" r="0" b="0"/>
                  <wp:docPr id="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U cen potravin a</w:t>
            </w:r>
            <w:r w:rsidR="00827C8E">
              <w:rPr>
                <w:spacing w:val="0"/>
              </w:rPr>
              <w:t> </w:t>
            </w:r>
            <w:r w:rsidRPr="00793D78">
              <w:rPr>
                <w:spacing w:val="0"/>
              </w:rPr>
              <w:t>nealkoholických nápojů rovněž došlo ke zrychlení dynamiky.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r w:rsidRPr="00793D78">
              <w:t>Meziroční nárůst cen potravin a nealkoholických nápojů ve 2. čtvrtletí dosáhl 2,3</w:t>
            </w:r>
            <w:r w:rsidR="007B0E83">
              <w:t> %</w:t>
            </w:r>
            <w:r w:rsidRPr="00793D78">
              <w:t>. To je pomalejší tempo než v 1. čtvrtletí, důvodem je však zejména vysoká srovnávací základna předchozího roku. Po slabém dubnovém výsledku růst cen akceleroval (meziměsíční přírůstky dosáhly 1,0</w:t>
            </w:r>
            <w:r w:rsidR="007B0E83">
              <w:t> %</w:t>
            </w:r>
            <w:r w:rsidRPr="00793D78">
              <w:t xml:space="preserve"> v květnu a 0,5</w:t>
            </w:r>
            <w:r w:rsidR="007B0E83">
              <w:t> %</w:t>
            </w:r>
            <w:r w:rsidRPr="00793D78">
              <w:t xml:space="preserve"> v</w:t>
            </w:r>
            <w:r w:rsidR="00827C8E">
              <w:t> </w:t>
            </w:r>
            <w:r w:rsidRPr="00793D78">
              <w:t>červnu). K meziročnímu růstu cen potravin nejvýrazněji přispěly mléko, sýry a vejce, které ve 2. čtvrtletí zdražily o 5,8</w:t>
            </w:r>
            <w:r w:rsidR="00AF6F98" w:rsidRPr="00793D78">
              <w:t> </w:t>
            </w:r>
            <w:r w:rsidRPr="00793D78">
              <w:t>%. Výrazné bylo i meziroční tempo růstu cen olejů a tuků (8,1</w:t>
            </w:r>
            <w:r w:rsidR="007B0E83">
              <w:t> %</w:t>
            </w:r>
            <w:r w:rsidRPr="00793D78">
              <w:t>) a ovoce (5,5</w:t>
            </w:r>
            <w:r w:rsidR="007B0E83">
              <w:t> %</w:t>
            </w:r>
            <w:r w:rsidRPr="00793D78">
              <w:t>). Ceny alkoholických nápojů a tabáku se zvýšily o 3,6</w:t>
            </w:r>
            <w:r w:rsidR="007B0E83">
              <w:t> %</w:t>
            </w:r>
            <w:r w:rsidRPr="00793D78">
              <w:t>. Pod vlivem rostoucích cen pohonných hmot ve 2. čtvrtletí zrychlil meziroční nárůst cen dopravy (3,0</w:t>
            </w:r>
            <w:r w:rsidR="007B0E83">
              <w:t> %</w:t>
            </w:r>
            <w:r w:rsidRPr="00793D78">
              <w:t>). Ceny samotného provozu osobních dopravních prostředků se zvýšily o</w:t>
            </w:r>
            <w:r w:rsidR="00AF6F98" w:rsidRPr="00793D78">
              <w:t xml:space="preserve"> 4,4</w:t>
            </w:r>
            <w:r w:rsidR="007B0E83">
              <w:t> %</w:t>
            </w:r>
            <w:r w:rsidR="00AF6F98" w:rsidRPr="00793D78">
              <w:t>, ceny nákupu automobilů a </w:t>
            </w:r>
            <w:r w:rsidRPr="00793D78">
              <w:t>ostatních dopravních prostředků si udržely tempo z předc</w:t>
            </w:r>
            <w:r w:rsidR="00AF6F98" w:rsidRPr="00793D78">
              <w:t>hozího čtvrtletí (2,5</w:t>
            </w:r>
            <w:r w:rsidR="007B0E83">
              <w:t> %</w:t>
            </w:r>
            <w:r w:rsidR="00AF6F98" w:rsidRPr="00793D78">
              <w:t>).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Po slabém růstu na</w:t>
            </w:r>
            <w:r w:rsidR="00367F84">
              <w:rPr>
                <w:spacing w:val="0"/>
              </w:rPr>
              <w:t> </w:t>
            </w:r>
            <w:r w:rsidRPr="00793D78">
              <w:rPr>
                <w:spacing w:val="0"/>
              </w:rPr>
              <w:t>začátku roku spotřebitelské ceny v EU opět zrychlily.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Default="002F4AD8" w:rsidP="00793D78">
            <w:pPr>
              <w:spacing w:after="0"/>
            </w:pPr>
            <w:r w:rsidRPr="00793D78">
              <w:t>Meziroční přírůstek indexu spotřebitelských cen v Evropské unii ve 2. čtvrtletí dosáhl 1,8</w:t>
            </w:r>
            <w:r w:rsidR="007B0E83">
              <w:t> %</w:t>
            </w:r>
            <w:r w:rsidRPr="00793D78">
              <w:t xml:space="preserve"> a v porovnání s předchozím kvartálem tempo zrychlilo. Klíčovým faktorem pro posílení cenového růstu byly náklady na dopravu, mírné zrychlení se však týkalo i</w:t>
            </w:r>
            <w:r w:rsidR="00827C8E">
              <w:t> </w:t>
            </w:r>
            <w:r w:rsidRPr="00793D78">
              <w:t>cen potravin a nealkoholických nápojů nebo bydlení a energií. Poměrně silně se zvyšovaly i</w:t>
            </w:r>
            <w:r w:rsidR="00827C8E">
              <w:t xml:space="preserve"> </w:t>
            </w:r>
            <w:r w:rsidRPr="00793D78">
              <w:t>ceny alkoholických nápojů. Nejrychleji rostly spotřebitelské ceny v Rumunsku (4,5</w:t>
            </w:r>
            <w:r w:rsidR="007B0E83">
              <w:t> %</w:t>
            </w:r>
            <w:r w:rsidRPr="00793D78">
              <w:t>), Estonsku (3,3</w:t>
            </w:r>
            <w:r w:rsidR="007B0E83">
              <w:t> %</w:t>
            </w:r>
            <w:r w:rsidRPr="00793D78">
              <w:t>) a na Slovensku (2,9</w:t>
            </w:r>
            <w:r w:rsidR="007B0E83">
              <w:t> %</w:t>
            </w:r>
            <w:r w:rsidRPr="00793D78">
              <w:t>). Méně než 1% přírůstku dosahovaly ceny v Irsku (0,4</w:t>
            </w:r>
            <w:r w:rsidR="007B0E83">
              <w:t> %</w:t>
            </w:r>
            <w:r w:rsidRPr="00793D78">
              <w:t>), Řecku (0,7</w:t>
            </w:r>
            <w:r w:rsidR="007B0E83">
              <w:t> %</w:t>
            </w:r>
            <w:r w:rsidRPr="00793D78">
              <w:t>), na Kypru (0,8</w:t>
            </w:r>
            <w:r w:rsidR="007B0E83">
              <w:t> %</w:t>
            </w:r>
            <w:r w:rsidRPr="00793D78">
              <w:t>) a</w:t>
            </w:r>
            <w:r w:rsidR="00367F84">
              <w:t> </w:t>
            </w:r>
            <w:r w:rsidRPr="00793D78">
              <w:t>v Dánsku (0,9</w:t>
            </w:r>
            <w:r w:rsidR="007B0E83">
              <w:t> %</w:t>
            </w:r>
            <w:r w:rsidRPr="00793D78">
              <w:t>).</w:t>
            </w:r>
          </w:p>
          <w:p w:rsidR="00793D78" w:rsidRDefault="00793D78" w:rsidP="00793D78">
            <w:pPr>
              <w:spacing w:after="0"/>
            </w:pPr>
          </w:p>
          <w:p w:rsidR="00793D78" w:rsidRDefault="00793D78" w:rsidP="00793D78">
            <w:pPr>
              <w:spacing w:after="0"/>
            </w:pPr>
          </w:p>
          <w:p w:rsidR="00793D78" w:rsidRDefault="00793D78" w:rsidP="00793D78">
            <w:pPr>
              <w:spacing w:after="0"/>
            </w:pPr>
          </w:p>
          <w:p w:rsidR="00793D78" w:rsidRPr="00793D78" w:rsidRDefault="00793D78" w:rsidP="00793D78">
            <w:pPr>
              <w:spacing w:after="0"/>
            </w:pP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435C69" w:rsidP="009B05B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</w:rPr>
              <w:t>12</w:t>
            </w:r>
            <w:r w:rsidR="002F4AD8" w:rsidRPr="00793D78">
              <w:rPr>
                <w:b/>
                <w:sz w:val="18"/>
                <w:szCs w:val="18"/>
              </w:rPr>
              <w:t xml:space="preserve">  </w:t>
            </w:r>
            <w:r w:rsidR="002F4AD8" w:rsidRPr="00793D78">
              <w:rPr>
                <w:b/>
                <w:sz w:val="18"/>
                <w:szCs w:val="18"/>
                <w:lang w:eastAsia="en-US"/>
              </w:rPr>
              <w:t>Ceny</w:t>
            </w:r>
            <w:proofErr w:type="gramEnd"/>
            <w:r w:rsidR="002F4AD8" w:rsidRPr="00793D78">
              <w:rPr>
                <w:b/>
                <w:sz w:val="18"/>
                <w:szCs w:val="18"/>
                <w:lang w:eastAsia="en-US"/>
              </w:rPr>
              <w:t xml:space="preserve"> hlavních skupin průmyslových výrobců (meziroční změna, v %, podle klasifikace CPA)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spacing w:after="0"/>
            </w:pPr>
            <w:r w:rsidRPr="00793D78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3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V cenách průmyslových výrobců hrálo klíčovou roli zvýšení cen ropy.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r w:rsidRPr="00793D78">
              <w:t>Ceny průmyslových výrobců se v 1. čtvrtletí na krátkou dobu dostaly do meziročního poklesu (celkový přírůstek za kvartál pak činil 0,1</w:t>
            </w:r>
            <w:r w:rsidR="007B0E83">
              <w:t> %</w:t>
            </w:r>
            <w:r w:rsidRPr="00793D78">
              <w:t>). Od května však poměrně výrazně zrychlovaly, takže výsledný meziroční přírůstek za celé 2. čtvrtletí dosáhl 1,5</w:t>
            </w:r>
            <w:r w:rsidR="007B0E83">
              <w:t> %</w:t>
            </w:r>
            <w:r w:rsidRPr="00793D78">
              <w:t>. Akcelerovalo meziroční tempo růstu cen výrobků zpracovatelského průmyslu (1,2</w:t>
            </w:r>
            <w:r w:rsidR="007B0E83">
              <w:t> %</w:t>
            </w:r>
            <w:r w:rsidRPr="00793D78">
              <w:t>). Hlavní podíl na zrychlení měly ceny koksu a rafinovaných ropných výrobků, které ovlivnil nárůst cen ropy na světových trzích, solidně k cenovému růstu přispívaly i obecné kovy a kovodělné výrobky (meziroční zvýšení o 2,4</w:t>
            </w:r>
            <w:r w:rsidR="007B0E83">
              <w:t> %</w:t>
            </w:r>
            <w:r w:rsidRPr="00793D78">
              <w:t>). Zrychlil růst cen dřeva, papíru a tisku (2,3</w:t>
            </w:r>
            <w:r w:rsidR="007B0E83">
              <w:t> %</w:t>
            </w:r>
            <w:r w:rsidRPr="00793D78">
              <w:t>) a nábytku (2,0</w:t>
            </w:r>
            <w:r w:rsidR="007B0E83">
              <w:t> %</w:t>
            </w:r>
            <w:r w:rsidRPr="00793D78">
              <w:t>). Protiinflačně pak působily ceny dopravních prostředků, které ve 2. čtvrtletí meziročně klesly o 2,3</w:t>
            </w:r>
            <w:r w:rsidR="007B0E83">
              <w:t> %</w:t>
            </w:r>
            <w:r w:rsidRPr="00793D78">
              <w:t>. Zrychlení se dotklo i cen těžby a dobývání (6,7</w:t>
            </w:r>
            <w:r w:rsidR="00AF6F98" w:rsidRPr="00793D78">
              <w:t> </w:t>
            </w:r>
            <w:r w:rsidRPr="00793D78">
              <w:t>%) a elektřiny, páry a klimatizovaného vzduchu (1,9</w:t>
            </w:r>
            <w:r w:rsidR="007B0E83">
              <w:t> %</w:t>
            </w:r>
            <w:r w:rsidRPr="00793D78">
              <w:t>). Ceny vody a služeb souvisejících s odpadními vodami si udržely tempo předchozího čtvrtletí (1,9</w:t>
            </w:r>
            <w:r w:rsidR="007B0E83">
              <w:t> %</w:t>
            </w:r>
            <w:r w:rsidRPr="00793D78">
              <w:t>).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 xml:space="preserve">Vývoj cen ropy na světových trzích se promítal i do cen výrobců v EU.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0233D1">
            <w:r w:rsidRPr="00793D78">
              <w:t>Vzhledem k tomu, že pohyb cen ropy je globálním faktorem ovlivňujícím ceny výrobců, zrychlení meziročního tempa růstu tohoto indexu se týkalo i většiny států Evropské unie. Celkový meziroční přírůstek cen výrobců v</w:t>
            </w:r>
            <w:r w:rsidR="000233D1">
              <w:t> </w:t>
            </w:r>
            <w:r w:rsidRPr="00793D78">
              <w:t>EU</w:t>
            </w:r>
            <w:r w:rsidR="000233D1">
              <w:t xml:space="preserve"> ve 2. čtvrtletí</w:t>
            </w:r>
            <w:r w:rsidRPr="00793D78">
              <w:t xml:space="preserve"> činil 3,</w:t>
            </w:r>
            <w:r w:rsidR="000233D1">
              <w:t>5</w:t>
            </w:r>
            <w:r w:rsidR="007B0E83">
              <w:t> %</w:t>
            </w:r>
            <w:r w:rsidRPr="00793D78">
              <w:t>. Zrychlení opět probíhalo u</w:t>
            </w:r>
            <w:r w:rsidR="00AF6F98" w:rsidRPr="00793D78">
              <w:t> </w:t>
            </w:r>
            <w:r w:rsidRPr="00793D78">
              <w:t>cen výrobků zpracovatelského průmyslu a výrazně také u těžby a</w:t>
            </w:r>
            <w:r w:rsidR="00367F84">
              <w:t> </w:t>
            </w:r>
            <w:r w:rsidRPr="00793D78">
              <w:t>dobývání. Nejvýrazněji se ve 2. čtvrtletí ceny výrobců zvyšovaly ve Velké Británii (6,</w:t>
            </w:r>
            <w:r w:rsidR="000233D1">
              <w:t>7</w:t>
            </w:r>
            <w:r w:rsidR="007B0E83">
              <w:t> %</w:t>
            </w:r>
            <w:r w:rsidRPr="00793D78">
              <w:t>, hlavně kvůli těžbě a dobývání) a shodným tempem v Belgii a</w:t>
            </w:r>
            <w:r w:rsidR="000233D1">
              <w:t> </w:t>
            </w:r>
            <w:r w:rsidRPr="00793D78">
              <w:t>Estonsku (6,4</w:t>
            </w:r>
            <w:r w:rsidR="007E4C70" w:rsidRPr="00793D78">
              <w:t> </w:t>
            </w:r>
            <w:r w:rsidRPr="00793D78">
              <w:t>%, v Belgii došlo ke zrychlení u výrobků zpracovatelského průmyslu, v Estonsku u cen elektřiny, plynu, páry a klimatizovaného vzduchu). Meziroční pokles cen výrobců nastal v </w:t>
            </w:r>
            <w:proofErr w:type="gramStart"/>
            <w:r w:rsidRPr="00793D78">
              <w:t>Irsku (</w:t>
            </w:r>
            <w:r w:rsidR="008625D3">
              <w:t>–</w:t>
            </w:r>
            <w:r w:rsidRPr="00793D78">
              <w:t>2,4</w:t>
            </w:r>
            <w:proofErr w:type="gramEnd"/>
            <w:r w:rsidR="007B0E83">
              <w:t> %</w:t>
            </w:r>
            <w:r w:rsidRPr="00793D78">
              <w:t>) a</w:t>
            </w:r>
            <w:r w:rsidR="00AF6F98" w:rsidRPr="00793D78">
              <w:t> </w:t>
            </w:r>
            <w:r w:rsidRPr="00793D78">
              <w:t>Lucembursku (</w:t>
            </w:r>
            <w:r w:rsidR="008625D3">
              <w:t>–</w:t>
            </w:r>
            <w:r w:rsidRPr="00793D78">
              <w:t>1,</w:t>
            </w:r>
            <w:r w:rsidR="000233D1">
              <w:t>4</w:t>
            </w:r>
            <w:r w:rsidR="007B0E83">
              <w:t> %</w:t>
            </w:r>
            <w:r w:rsidRPr="00793D78">
              <w:t>). Jen o 0,</w:t>
            </w:r>
            <w:r w:rsidR="000233D1">
              <w:t>5</w:t>
            </w:r>
            <w:r w:rsidR="007B0E83">
              <w:t> %</w:t>
            </w:r>
            <w:r w:rsidRPr="00793D78">
              <w:t xml:space="preserve"> se zvýšily ceny na </w:t>
            </w:r>
            <w:r w:rsidR="000233D1">
              <w:t>Maltě</w:t>
            </w:r>
            <w:r w:rsidRPr="00793D78">
              <w:t>.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Ceny tržních služeb byly ovlivněny celkovým stavem ekonomiky. Výrazně například zdražily služby v oblasti zaměstnání.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r w:rsidRPr="00793D78">
              <w:t>Ceny tržních služeb si již tři čtvrtletí udržují meziroční tempo růstu 1,7</w:t>
            </w:r>
            <w:r w:rsidR="007B0E83">
              <w:t> %</w:t>
            </w:r>
            <w:r w:rsidRPr="00793D78">
              <w:t>. Ekonomické zrychlení v předchozím roce podpořilo růst cen dopravy a skladování. Jejich meziroční tempo nyní zmírnilo (u pozemní a potrubní dopravy na 0,6</w:t>
            </w:r>
            <w:r w:rsidR="007B0E83">
              <w:t> %</w:t>
            </w:r>
            <w:r w:rsidRPr="00793D78">
              <w:t>), u cen skladování a</w:t>
            </w:r>
            <w:r w:rsidR="00AF6F98" w:rsidRPr="00793D78">
              <w:t> </w:t>
            </w:r>
            <w:r w:rsidRPr="00793D78">
              <w:t>podpůrných služeb v dopravě dokonce došlo k meziročnímu poklesu o 2,1</w:t>
            </w:r>
            <w:r w:rsidR="007B0E83">
              <w:t> %</w:t>
            </w:r>
            <w:r w:rsidRPr="00793D78">
              <w:t xml:space="preserve">. Růst cen ve 2. čtvrtletí zrychlil u poštovních a kurýrních služeb </w:t>
            </w:r>
            <w:r w:rsidRPr="00793D78">
              <w:lastRenderedPageBreak/>
              <w:t>(5,3 %). Rovněž zrychlil růst cen pojištění, zajištění a penzijního financování (4,1</w:t>
            </w:r>
            <w:r w:rsidR="007B0E83">
              <w:t> %</w:t>
            </w:r>
            <w:r w:rsidRPr="00793D78">
              <w:t>), dále cen služeb v oblasti nemovitostí (2,9</w:t>
            </w:r>
            <w:r w:rsidR="007B0E83">
              <w:t> %</w:t>
            </w:r>
            <w:r w:rsidRPr="00793D78">
              <w:t>). Nejvýraznějšího meziročního růstu dosáhly ceny služeb v oblasti zaměstnání (15,8</w:t>
            </w:r>
            <w:r w:rsidR="007B0E83">
              <w:t> %</w:t>
            </w:r>
            <w:r w:rsidRPr="00793D78">
              <w:t>), které tak do značné míry odrážely současný stav na trhu práce.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lastRenderedPageBreak/>
              <w:t>Ceny zemědělských výrobců po pěti čtvrtletích meziročního růstu poklesly o 3,4</w:t>
            </w:r>
            <w:r w:rsidR="007B0E83">
              <w:rPr>
                <w:spacing w:val="0"/>
              </w:rPr>
              <w:t> %</w:t>
            </w:r>
            <w:r w:rsidRPr="00793D78">
              <w:rPr>
                <w:spacing w:val="0"/>
              </w:rPr>
              <w:t xml:space="preserve">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0233D1">
            <w:r w:rsidRPr="00793D78">
              <w:t xml:space="preserve">Index cen zemědělských výrobců se do mezičtvrtletního poklesu dostal již v 1. čtvrtletí, meziroční přírůstek však tehdy zůstal kladný. Ve 2. čtvrtletí došlo k prvnímu meziročnímu propadu od konce roku </w:t>
            </w:r>
            <w:proofErr w:type="gramStart"/>
            <w:r w:rsidRPr="00793D78">
              <w:t>2016 (</w:t>
            </w:r>
            <w:r w:rsidR="008625D3">
              <w:t>–</w:t>
            </w:r>
            <w:r w:rsidRPr="00793D78">
              <w:t>3,4</w:t>
            </w:r>
            <w:proofErr w:type="gramEnd"/>
            <w:r w:rsidR="007B0E83">
              <w:t> %</w:t>
            </w:r>
            <w:r w:rsidRPr="00793D78">
              <w:t>). Klesaly ceny rostlinné i živočišné výroby. Ceny rostlinné výroby se meziročně snížily o 3,3</w:t>
            </w:r>
            <w:r w:rsidR="007B0E83">
              <w:t> %</w:t>
            </w:r>
            <w:r w:rsidRPr="00793D78">
              <w:t>. Důvodem byl pokles cen průmyslových plodin o 14,4</w:t>
            </w:r>
            <w:r w:rsidR="007B0E83">
              <w:t> %</w:t>
            </w:r>
            <w:r w:rsidRPr="00793D78">
              <w:t>. Dominující vliv měly zejména olejniny, konkrétně snížení ceny semen řepky olejné o 20,2</w:t>
            </w:r>
            <w:r w:rsidR="007B0E83">
              <w:t> %</w:t>
            </w:r>
            <w:r w:rsidRPr="00793D78">
              <w:t>. Význam měly i ceny brambor</w:t>
            </w:r>
            <w:r w:rsidR="00B422E2">
              <w:t>,</w:t>
            </w:r>
            <w:r w:rsidRPr="00793D78">
              <w:t xml:space="preserve"> meziročně nižší o</w:t>
            </w:r>
            <w:r w:rsidR="00AF6F98" w:rsidRPr="00793D78">
              <w:t> </w:t>
            </w:r>
            <w:r w:rsidRPr="00793D78">
              <w:t>6,7</w:t>
            </w:r>
            <w:r w:rsidR="00AF6F98" w:rsidRPr="00793D78">
              <w:t> </w:t>
            </w:r>
            <w:r w:rsidRPr="00793D78">
              <w:t>%. Váhově významné obiloviny zatím setrvaly v meziročním růstu (2,3</w:t>
            </w:r>
            <w:r w:rsidR="007B0E83">
              <w:t> %</w:t>
            </w:r>
            <w:r w:rsidRPr="00793D78">
              <w:t>), klíčová pšenice zdražila o 1,0</w:t>
            </w:r>
            <w:r w:rsidR="007B0E83">
              <w:t> %</w:t>
            </w:r>
            <w:r w:rsidRPr="00793D78">
              <w:t>. Ceny živočišné výroby ve 2. čtvrtletí meziročně klesly o 3,5</w:t>
            </w:r>
            <w:r w:rsidR="007B0E83">
              <w:t> %</w:t>
            </w:r>
            <w:r w:rsidRPr="00793D78">
              <w:t xml:space="preserve">. Zde se projevilo zejména zvýraznění propadu cen hospodářských </w:t>
            </w:r>
            <w:proofErr w:type="gramStart"/>
            <w:r w:rsidRPr="00793D78">
              <w:t>zvířat (</w:t>
            </w:r>
            <w:r w:rsidR="008625D3">
              <w:t>–</w:t>
            </w:r>
            <w:r w:rsidRPr="00793D78">
              <w:t>8,7</w:t>
            </w:r>
            <w:proofErr w:type="gramEnd"/>
            <w:r w:rsidR="007B0E83">
              <w:t> %</w:t>
            </w:r>
            <w:r w:rsidRPr="00793D78">
              <w:t xml:space="preserve">). Prohloubil se pokles cen váhově nejvýznamnějších prasat </w:t>
            </w:r>
            <w:proofErr w:type="gramStart"/>
            <w:r w:rsidRPr="00793D78">
              <w:t>jatečných (</w:t>
            </w:r>
            <w:r w:rsidR="008625D3">
              <w:t>–</w:t>
            </w:r>
            <w:r w:rsidRPr="00793D78">
              <w:t>19,8</w:t>
            </w:r>
            <w:proofErr w:type="gramEnd"/>
            <w:r w:rsidR="007B0E83">
              <w:t> %</w:t>
            </w:r>
            <w:r w:rsidRPr="00793D78">
              <w:t xml:space="preserve">). Pokračovalo i snižování cen </w:t>
            </w:r>
            <w:proofErr w:type="gramStart"/>
            <w:r w:rsidRPr="00793D78">
              <w:t>drůbeže (</w:t>
            </w:r>
            <w:r w:rsidR="008625D3">
              <w:t>–</w:t>
            </w:r>
            <w:r w:rsidRPr="00793D78">
              <w:t>1,2</w:t>
            </w:r>
            <w:proofErr w:type="gramEnd"/>
            <w:r w:rsidR="007B0E83">
              <w:t> %</w:t>
            </w:r>
            <w:r w:rsidRPr="00793D78">
              <w:t>), kde dále nepokračoval meziroční pokles cen kuřat (0,4</w:t>
            </w:r>
            <w:r w:rsidR="007B0E83">
              <w:t> %</w:t>
            </w:r>
            <w:r w:rsidRPr="00793D78">
              <w:t>), ukazatel však ovlivnila ostatní drůbež (</w:t>
            </w:r>
            <w:r w:rsidR="008625D3">
              <w:t>–</w:t>
            </w:r>
            <w:r w:rsidRPr="00793D78">
              <w:t>7,8</w:t>
            </w:r>
            <w:r w:rsidR="007B0E83">
              <w:t> %</w:t>
            </w:r>
            <w:r w:rsidRPr="00793D78">
              <w:t>). Meziroční růst cen živočišných výrobků ve 2. čtvrtletí výrazně zpomalil (0,8</w:t>
            </w:r>
            <w:r w:rsidR="007B0E83">
              <w:t> %</w:t>
            </w:r>
            <w:r w:rsidRPr="00793D78">
              <w:t>). Po dvouciferných přírůstcích minulého roku totiž došlo k útlumu u</w:t>
            </w:r>
            <w:r w:rsidR="007E4C70" w:rsidRPr="00793D78">
              <w:t> </w:t>
            </w:r>
            <w:r w:rsidRPr="00793D78">
              <w:t>mléka (1,</w:t>
            </w:r>
            <w:r w:rsidR="000233D1">
              <w:t>5</w:t>
            </w:r>
            <w:r w:rsidR="007B0E83">
              <w:t> %</w:t>
            </w:r>
            <w:r w:rsidRPr="00793D78">
              <w:t xml:space="preserve">) a poklesu u cen </w:t>
            </w:r>
            <w:proofErr w:type="gramStart"/>
            <w:r w:rsidRPr="00793D78">
              <w:t>vajec (</w:t>
            </w:r>
            <w:r w:rsidR="008625D3">
              <w:t>–</w:t>
            </w:r>
            <w:r w:rsidRPr="00793D78">
              <w:t>6,2</w:t>
            </w:r>
            <w:proofErr w:type="gramEnd"/>
            <w:r w:rsidR="007B0E83">
              <w:t> %</w:t>
            </w:r>
            <w:r w:rsidRPr="00793D78">
              <w:t xml:space="preserve">). 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27605" w:rsidP="009B05B3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Vliv kurzu na ceny zahraničního obchodu oslabil.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r w:rsidRPr="00793D78">
              <w:t>Ceny vývozu v 1. pololetí meziročně klesly o 3,0</w:t>
            </w:r>
            <w:r w:rsidR="007B0E83">
              <w:t> %</w:t>
            </w:r>
            <w:r w:rsidRPr="00793D78">
              <w:t>. Zatímco v 1. čtvrtletí pokles dosáhl 4,4</w:t>
            </w:r>
            <w:r w:rsidR="007B0E83">
              <w:t> %</w:t>
            </w:r>
            <w:r w:rsidRPr="00793D78">
              <w:t xml:space="preserve">, ve 2. kvartálu se dynamika zmírnila </w:t>
            </w:r>
            <w:proofErr w:type="gramStart"/>
            <w:r w:rsidRPr="00793D78">
              <w:t xml:space="preserve">na </w:t>
            </w:r>
            <w:r w:rsidR="008625D3">
              <w:t>–</w:t>
            </w:r>
            <w:r w:rsidRPr="00793D78">
              <w:t>1,6</w:t>
            </w:r>
            <w:proofErr w:type="gramEnd"/>
            <w:r w:rsidR="007B0E83">
              <w:t> %</w:t>
            </w:r>
            <w:r w:rsidRPr="00793D78">
              <w:t>. Znatelně se rovněž zredukoval vliv kurzu koruny, jehož posílení ceny zahraničního obchodu výrazně táhlo dolů od dubna minulého roku. Ceny dovozu v 1. pololetí klesly o 4,2</w:t>
            </w:r>
            <w:r w:rsidR="007B0E83">
              <w:t> %</w:t>
            </w:r>
            <w:r w:rsidRPr="00793D78">
              <w:t xml:space="preserve"> a podobně jako u</w:t>
            </w:r>
            <w:r w:rsidR="00E96833" w:rsidRPr="00793D78">
              <w:t> </w:t>
            </w:r>
            <w:r w:rsidRPr="00793D78">
              <w:t>vývozu byl propad ve 2. čtvrtletí mírnější (2,4</w:t>
            </w:r>
            <w:r w:rsidR="007B0E83">
              <w:t> %</w:t>
            </w:r>
            <w:r w:rsidRPr="00793D78">
              <w:t>). Výsledné směnné relace tak byly kladné – 101,3</w:t>
            </w:r>
            <w:r w:rsidR="007B0E83">
              <w:t> %</w:t>
            </w:r>
            <w:r w:rsidRPr="00793D78">
              <w:t xml:space="preserve"> v celém pololetí a 100,8</w:t>
            </w:r>
            <w:r w:rsidR="007B0E83">
              <w:t> %</w:t>
            </w:r>
            <w:r w:rsidRPr="00793D78">
              <w:t xml:space="preserve"> ve 2. čtvrtletí. 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435C69" w:rsidP="009B05B3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</w:rPr>
              <w:t>13</w:t>
            </w:r>
            <w:r w:rsidR="002F4AD8" w:rsidRPr="00793D78">
              <w:rPr>
                <w:b/>
                <w:sz w:val="18"/>
                <w:szCs w:val="18"/>
              </w:rPr>
              <w:t xml:space="preserve">  </w:t>
            </w:r>
            <w:r w:rsidR="002F4AD8"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Deflátory</w:t>
            </w:r>
            <w:proofErr w:type="gramEnd"/>
            <w:r w:rsidR="002F4AD8"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(očištěno o sezónní a kalendářní vlivy, y/y v</w:t>
            </w:r>
            <w:r w:rsidR="007B0E83">
              <w:rPr>
                <w:rFonts w:cs="Arial"/>
                <w:b/>
                <w:color w:val="000000"/>
                <w:sz w:val="18"/>
                <w:szCs w:val="18"/>
              </w:rPr>
              <w:t> %</w:t>
            </w:r>
            <w:r w:rsidR="002F4AD8" w:rsidRPr="00793D78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spacing w:after="0"/>
            </w:pPr>
            <w:r w:rsidRPr="00793D78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3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</w:tbl>
    <w:p w:rsidR="00B4411A" w:rsidRDefault="00935BD4" w:rsidP="000D3058">
      <w:pPr>
        <w:pStyle w:val="Nadpis11"/>
      </w:pPr>
      <w:bookmarkStart w:id="10" w:name="_Toc525046025"/>
      <w:r w:rsidRPr="009110F7">
        <w:lastRenderedPageBreak/>
        <w:t>6</w:t>
      </w:r>
      <w:r w:rsidR="000D3058" w:rsidRPr="009110F7">
        <w:t xml:space="preserve">. </w:t>
      </w:r>
      <w:r w:rsidRPr="009110F7">
        <w:t>Trh práce</w:t>
      </w:r>
      <w:bookmarkEnd w:id="1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78"/>
        <w:gridCol w:w="247"/>
        <w:gridCol w:w="7514"/>
      </w:tblGrid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>Neuspokojená robustní poptávka po pracovní síle je v posledních čtvrtletích hlavním zdrojem sílícího napětí na pracovním trhu.</w:t>
            </w: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  <w:r>
              <w:t>Navzdory tenčícím se rezervám potenciální pracovní síly tempo růstu zaměstnanosti nepolevovalo.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B4411A" w:rsidRDefault="00B4411A" w:rsidP="00B4411A">
            <w:pPr>
              <w:spacing w:after="220"/>
              <w:rPr>
                <w:spacing w:val="-4"/>
              </w:rPr>
            </w:pPr>
            <w:r w:rsidRPr="00B4411A">
              <w:rPr>
                <w:spacing w:val="-4"/>
              </w:rPr>
              <w:t>Trh práce v Česku se v první půli roku 2018 vyznačoval sílícím napětím pramenícím z neuspokojené robustní poptávky po pracovní síle. Podíl podniků pociťujících současný nedostatek volné pracovní síly jako bariéru svého růstu se ve všech hlavních odvětvích ekonomiky zvyšoval. V případě průmyslu šlo o hlavní růstovou bariéru (již od poloviny loňského roku), v jiných odvětvích (např. stavebnictví) se situace na počátku letního období tomuto stavu již silně přibližovala. Navzdory tenčícím se rezervám disponibilní pracovní síly (primárně z řad nezaměstnaných) tempo růstu zaměstnanosti stále neochabovalo. Počet pracovníků</w:t>
            </w:r>
            <w:r w:rsidRPr="00B4411A">
              <w:rPr>
                <w:rStyle w:val="Znakapoznpodarou"/>
                <w:color w:val="0D0D0D" w:themeColor="text1" w:themeTint="F2"/>
                <w:spacing w:val="-4"/>
              </w:rPr>
              <w:footnoteReference w:id="30"/>
            </w:r>
            <w:r w:rsidRPr="00B4411A">
              <w:rPr>
                <w:spacing w:val="-4"/>
              </w:rPr>
              <w:t xml:space="preserve"> se ve 2. čtvrtletí </w:t>
            </w:r>
            <w:proofErr w:type="spellStart"/>
            <w:r w:rsidRPr="00B4411A">
              <w:rPr>
                <w:spacing w:val="-4"/>
              </w:rPr>
              <w:t>mezikvartálně</w:t>
            </w:r>
            <w:proofErr w:type="spellEnd"/>
            <w:r w:rsidRPr="00B4411A">
              <w:rPr>
                <w:spacing w:val="-4"/>
              </w:rPr>
              <w:t xml:space="preserve"> zvýšil o 0,6</w:t>
            </w:r>
            <w:r w:rsidR="007B0E83">
              <w:rPr>
                <w:spacing w:val="-4"/>
              </w:rPr>
              <w:t> %</w:t>
            </w:r>
            <w:r w:rsidRPr="00B4411A">
              <w:rPr>
                <w:spacing w:val="-4"/>
              </w:rPr>
              <w:t xml:space="preserve"> a</w:t>
            </w:r>
            <w:r w:rsidR="00247E60">
              <w:rPr>
                <w:spacing w:val="-4"/>
              </w:rPr>
              <w:t> </w:t>
            </w:r>
            <w:r w:rsidRPr="00B4411A">
              <w:rPr>
                <w:spacing w:val="-4"/>
              </w:rPr>
              <w:t xml:space="preserve">zopakoval tak výsledek první čtvrtiny roku. Růstové tempo bylo v obou případech mírně vyšší než v EU. V meziročním srovnání se růst zaměstnanosti přiblížil 2% hranici. Fyzický </w:t>
            </w:r>
            <w:r w:rsidRPr="00B4411A">
              <w:rPr>
                <w:rFonts w:cs="Arial"/>
                <w:color w:val="0D0D0D" w:themeColor="text1" w:themeTint="F2"/>
                <w:spacing w:val="-4"/>
              </w:rPr>
              <w:t>počet pracovníků v tuzemsku ustanovil nové maximum v historii ČR (5,44 mil.). Stály za tím z velké míry osoby na sklonku produktivního věku, na jejichž pracovní aktivitu působila prodlužující se věková hranice odchodu do důchodu. Pracovní trh také pomocí zvýšené nabídky kratších úvazků</w:t>
            </w:r>
            <w:r w:rsidRPr="00B4411A">
              <w:rPr>
                <w:rStyle w:val="Znakapoznpodarou"/>
                <w:color w:val="0D0D0D" w:themeColor="text1" w:themeTint="F2"/>
                <w:spacing w:val="-4"/>
              </w:rPr>
              <w:footnoteReference w:id="31"/>
            </w:r>
            <w:r w:rsidRPr="00B4411A">
              <w:rPr>
                <w:rFonts w:cs="Arial"/>
                <w:color w:val="0D0D0D" w:themeColor="text1" w:themeTint="F2"/>
                <w:spacing w:val="-4"/>
              </w:rPr>
              <w:t xml:space="preserve"> více absorboval </w:t>
            </w:r>
            <w:r>
              <w:rPr>
                <w:rFonts w:cs="Arial"/>
                <w:color w:val="0D0D0D" w:themeColor="text1" w:themeTint="F2"/>
                <w:spacing w:val="-4"/>
              </w:rPr>
              <w:t>i</w:t>
            </w:r>
            <w:r w:rsidRPr="00B4411A">
              <w:rPr>
                <w:rFonts w:cs="Arial"/>
                <w:color w:val="0D0D0D" w:themeColor="text1" w:themeTint="F2"/>
                <w:spacing w:val="-4"/>
              </w:rPr>
              <w:t xml:space="preserve"> početně silné ročníky ekonomicky neaktivních osob. Stále významně působil i pokles nezaměstnanosti, byť role tohoto faktoru slábla</w:t>
            </w:r>
            <w:r w:rsidRPr="00B4411A">
              <w:rPr>
                <w:rStyle w:val="Znakapoznpodarou"/>
                <w:color w:val="0D0D0D" w:themeColor="text1" w:themeTint="F2"/>
                <w:spacing w:val="-4"/>
              </w:rPr>
              <w:footnoteReference w:id="32"/>
            </w:r>
            <w:r w:rsidRPr="00B4411A">
              <w:rPr>
                <w:rFonts w:cs="Arial"/>
                <w:color w:val="0D0D0D" w:themeColor="text1" w:themeTint="F2"/>
                <w:spacing w:val="-4"/>
              </w:rPr>
              <w:t>. Naopak dále rostl význam pracovní síly ze zahraničí</w:t>
            </w:r>
            <w:r w:rsidRPr="00B4411A">
              <w:rPr>
                <w:rStyle w:val="Znakapoznpodarou"/>
                <w:color w:val="0D0D0D" w:themeColor="text1" w:themeTint="F2"/>
                <w:spacing w:val="-4"/>
              </w:rPr>
              <w:footnoteReference w:id="33"/>
            </w:r>
            <w:r w:rsidRPr="00B4411A">
              <w:rPr>
                <w:rFonts w:cs="Arial"/>
                <w:color w:val="0D0D0D" w:themeColor="text1" w:themeTint="F2"/>
                <w:spacing w:val="-4"/>
              </w:rPr>
              <w:t>.</w:t>
            </w:r>
          </w:p>
        </w:tc>
      </w:tr>
      <w:tr w:rsidR="00B4411A" w:rsidTr="00B4411A">
        <w:trPr>
          <w:trHeight w:val="170"/>
        </w:trPr>
        <w:tc>
          <w:tcPr>
            <w:tcW w:w="1878" w:type="dxa"/>
            <w:vMerge w:val="restart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vMerge w:val="restart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F704D2" w:rsidRDefault="00B4411A" w:rsidP="00B4411A">
            <w:pPr>
              <w:spacing w:after="0" w:line="240" w:lineRule="auto"/>
              <w:jc w:val="left"/>
              <w:rPr>
                <w:rFonts w:cs="Arial"/>
                <w:bCs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Graf č. </w:t>
            </w:r>
            <w:proofErr w:type="gramStart"/>
            <w:r>
              <w:rPr>
                <w:rFonts w:cs="Arial"/>
                <w:b/>
                <w:bCs/>
                <w:color w:val="000000"/>
                <w:szCs w:val="20"/>
              </w:rPr>
              <w:t>14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lang w:eastAsia="en-US"/>
              </w:rPr>
              <w:t>Počet</w:t>
            </w:r>
            <w:proofErr w:type="gramEnd"/>
            <w:r>
              <w:rPr>
                <w:b/>
                <w:lang w:eastAsia="en-US"/>
              </w:rPr>
              <w:t xml:space="preserve"> zaměstnaných ve vybraných odvětvích </w:t>
            </w:r>
            <w:r w:rsidRPr="00886A8F">
              <w:rPr>
                <w:b/>
                <w:lang w:eastAsia="en-US"/>
              </w:rPr>
              <w:t xml:space="preserve">a </w:t>
            </w:r>
            <w:r>
              <w:rPr>
                <w:b/>
                <w:lang w:eastAsia="en-US"/>
              </w:rPr>
              <w:t xml:space="preserve">celkový počet </w:t>
            </w:r>
            <w:r w:rsidRPr="00886A8F">
              <w:rPr>
                <w:b/>
                <w:lang w:eastAsia="en-US"/>
              </w:rPr>
              <w:t xml:space="preserve">zaměstnanců </w:t>
            </w:r>
            <w:r>
              <w:rPr>
                <w:spacing w:val="-4"/>
                <w:lang w:eastAsia="en-US"/>
              </w:rPr>
              <w:t>(</w:t>
            </w:r>
            <w:r w:rsidRPr="00582DA0">
              <w:rPr>
                <w:spacing w:val="-4"/>
                <w:lang w:eastAsia="en-US"/>
              </w:rPr>
              <w:t>dle</w:t>
            </w:r>
            <w:r>
              <w:rPr>
                <w:spacing w:val="-4"/>
                <w:lang w:eastAsia="en-US"/>
              </w:rPr>
              <w:t xml:space="preserve"> národních účtů</w:t>
            </w:r>
            <w:r w:rsidRPr="00582DA0">
              <w:rPr>
                <w:spacing w:val="-4"/>
                <w:lang w:eastAsia="en-US"/>
              </w:rPr>
              <w:t xml:space="preserve">, </w:t>
            </w:r>
            <w:r>
              <w:rPr>
                <w:spacing w:val="-4"/>
                <w:lang w:eastAsia="en-US"/>
              </w:rPr>
              <w:t xml:space="preserve">sezónně očištěno, 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 w:rsidR="007B0E83"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</w:p>
        </w:tc>
      </w:tr>
      <w:tr w:rsidR="00B4411A" w:rsidTr="00B4411A">
        <w:trPr>
          <w:trHeight w:val="170"/>
        </w:trPr>
        <w:tc>
          <w:tcPr>
            <w:tcW w:w="1878" w:type="dxa"/>
            <w:vMerge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vMerge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spacing w:after="0"/>
            </w:pPr>
            <w:r w:rsidRPr="00D03FF0">
              <w:rPr>
                <w:noProof/>
              </w:rPr>
              <w:drawing>
                <wp:inline distT="0" distB="0" distL="0" distR="0">
                  <wp:extent cx="4733925" cy="3409950"/>
                  <wp:effectExtent l="0" t="0" r="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B4411A" w:rsidTr="00B4411A">
        <w:trPr>
          <w:trHeight w:val="170"/>
        </w:trPr>
        <w:tc>
          <w:tcPr>
            <w:tcW w:w="1878" w:type="dxa"/>
            <w:vMerge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vMerge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7B3A78" w:rsidRDefault="00B4411A" w:rsidP="00B4411A">
            <w:pPr>
              <w:spacing w:after="220" w:line="240" w:lineRule="auto"/>
              <w:jc w:val="left"/>
              <w:rPr>
                <w:rFonts w:cs="Arial"/>
                <w:sz w:val="14"/>
                <w:szCs w:val="1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 (národní účty)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>Míra zaměstnanosti ve věku 15 až 64 let se již blížila hranici 75</w:t>
            </w:r>
            <w:r w:rsidR="007B0E83">
              <w:t> %</w:t>
            </w:r>
            <w:r>
              <w:t xml:space="preserve">. 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D95458" w:rsidRDefault="00B4411A" w:rsidP="00B4411A">
            <w:pPr>
              <w:spacing w:after="220"/>
              <w:rPr>
                <w:spacing w:val="-3"/>
              </w:rPr>
            </w:pPr>
            <w:r>
              <w:rPr>
                <w:spacing w:val="-3"/>
              </w:rPr>
              <w:t>Vzhledem k tomu,</w:t>
            </w:r>
            <w:r w:rsidRPr="00D95458">
              <w:rPr>
                <w:spacing w:val="-3"/>
              </w:rPr>
              <w:t xml:space="preserve"> ž</w:t>
            </w:r>
            <w:r>
              <w:rPr>
                <w:spacing w:val="-3"/>
              </w:rPr>
              <w:t xml:space="preserve">e četnost obyvatel ve věku 15 až </w:t>
            </w:r>
            <w:r w:rsidRPr="00D95458">
              <w:rPr>
                <w:spacing w:val="-3"/>
              </w:rPr>
              <w:t>64 let po roce 2008 v </w:t>
            </w:r>
            <w:r>
              <w:rPr>
                <w:spacing w:val="-3"/>
              </w:rPr>
              <w:t>ČR</w:t>
            </w:r>
            <w:r w:rsidRPr="00D95458">
              <w:rPr>
                <w:spacing w:val="-3"/>
              </w:rPr>
              <w:t xml:space="preserve"> setrvale klesá, byl rostoucí počet zaměstnaných tažen efektem sílící participace. Míra zaměstnanosti 15</w:t>
            </w:r>
            <w:r w:rsidR="00247E60">
              <w:rPr>
                <w:spacing w:val="-3"/>
              </w:rPr>
              <w:t>-</w:t>
            </w:r>
            <w:r w:rsidRPr="00D95458">
              <w:rPr>
                <w:spacing w:val="-3"/>
              </w:rPr>
              <w:t xml:space="preserve"> až 64letých se meziročně zvýšila o 1,4</w:t>
            </w:r>
            <w:r w:rsidR="00EA4402">
              <w:rPr>
                <w:spacing w:val="-3"/>
              </w:rPr>
              <w:t> </w:t>
            </w:r>
            <w:proofErr w:type="gramStart"/>
            <w:r w:rsidR="00EA4402">
              <w:rPr>
                <w:spacing w:val="-3"/>
              </w:rPr>
              <w:t>p. b.</w:t>
            </w:r>
            <w:r w:rsidRPr="00D95458">
              <w:rPr>
                <w:spacing w:val="-3"/>
              </w:rPr>
              <w:t xml:space="preserve"> a ve</w:t>
            </w:r>
            <w:proofErr w:type="gramEnd"/>
            <w:r w:rsidRPr="00D95458">
              <w:rPr>
                <w:spacing w:val="-3"/>
              </w:rPr>
              <w:t xml:space="preserve"> 2. čtvrtletí již </w:t>
            </w:r>
            <w:r w:rsidRPr="00D95458">
              <w:rPr>
                <w:spacing w:val="-3"/>
              </w:rPr>
              <w:lastRenderedPageBreak/>
              <w:t>atakovala 75% hranici, čímž přiblížila ČR k první pětici zemí EU s nejvyšší zaměstnaností.</w:t>
            </w:r>
            <w:r>
              <w:rPr>
                <w:spacing w:val="-3"/>
              </w:rPr>
              <w:t xml:space="preserve"> Pokračoval svižnější</w:t>
            </w:r>
            <w:r w:rsidRPr="00D95458">
              <w:rPr>
                <w:spacing w:val="-3"/>
              </w:rPr>
              <w:t xml:space="preserve"> růs</w:t>
            </w:r>
            <w:r>
              <w:rPr>
                <w:spacing w:val="-3"/>
              </w:rPr>
              <w:t>t</w:t>
            </w:r>
            <w:r w:rsidRPr="00D95458">
              <w:rPr>
                <w:spacing w:val="-3"/>
              </w:rPr>
              <w:t xml:space="preserve"> zaměstnanosti žen než mužů</w:t>
            </w:r>
            <w:r>
              <w:rPr>
                <w:rStyle w:val="Znakapoznpodarou"/>
                <w:spacing w:val="-3"/>
              </w:rPr>
              <w:footnoteReference w:id="34"/>
            </w:r>
            <w:r w:rsidRPr="00D95458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Míra </w:t>
            </w:r>
            <w:r w:rsidRPr="004C2C3B">
              <w:rPr>
                <w:spacing w:val="-4"/>
              </w:rPr>
              <w:t>zaměstnanosti meziročně vzrostla ve všech věkových skupinách (vyjma osob do 25 let).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lastRenderedPageBreak/>
              <w:t>K meziročnímu růstu zaměstnanosti letos přispěli téměř výhradně jen zaměstnanci. Ze všech odvětví zajistily více než dvě třetiny přírůstku služby.</w:t>
            </w:r>
          </w:p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 xml:space="preserve">Na rozdíl od první poloviny loňského roku byl letošní růst zaměstnanosti v ekonomice tažen téměř výhradně lidmi v zaměstnaneckém postavení. Počet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sebezaměstnaných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stagnoval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5"/>
            </w:r>
            <w:r>
              <w:rPr>
                <w:rFonts w:cs="Arial"/>
                <w:color w:val="0D0D0D" w:themeColor="text1" w:themeTint="F2"/>
                <w:spacing w:val="-4"/>
              </w:rPr>
              <w:t>, neboť jejich mírný růst ve zpracovatelském průmyslu, nemovitostech či uskupení obchod,</w:t>
            </w:r>
            <w:r>
              <w:t xml:space="preserve"> </w:t>
            </w:r>
            <w:r w:rsidRPr="006266B2">
              <w:rPr>
                <w:rFonts w:cs="Arial"/>
                <w:color w:val="0D0D0D" w:themeColor="text1" w:themeTint="F2"/>
                <w:spacing w:val="-4"/>
              </w:rPr>
              <w:t>doprava, ubytování a pohostinství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byl kompenzován meziročním poklesem v ostatních odvětvích služeb, ve stavebnictví a v primárním sektoru. Z pohledu odvětví přispěl v 1. pololetí 2018 k růstu celkové zaměstnanosti (+96 tis. meziročně) nejvíce terciární sektor (+67 tis.), tedy obdobně jako v předchozích dvou letech. Stavy pracovníků rozšiřovala všechna odvětví služeb, jen v peněžnictví a pojišťovnictví stagnovaly (zaměstnanost v tomto odvětví mírně oscilovala již šest let v řadě). Nejvíce se dařilo informačním a komunikačním činnostem (+4,4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 a činnostem</w:t>
            </w:r>
            <w:r w:rsidRPr="003A106B">
              <w:rPr>
                <w:rFonts w:cs="Arial"/>
                <w:color w:val="0D0D0D" w:themeColor="text1" w:themeTint="F2"/>
                <w:spacing w:val="-4"/>
              </w:rPr>
              <w:t xml:space="preserve"> v oblasti nemovitostí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(+3,3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). Pracovníky nabíralo i váhově významné odvětví obchod,</w:t>
            </w:r>
            <w:r>
              <w:t xml:space="preserve"> </w:t>
            </w:r>
            <w:r w:rsidRPr="006266B2">
              <w:rPr>
                <w:rFonts w:cs="Arial"/>
                <w:color w:val="0D0D0D" w:themeColor="text1" w:themeTint="F2"/>
                <w:spacing w:val="-4"/>
              </w:rPr>
              <w:t>doprava, ubytování a pohostinství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(+1,7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). K růstu sektoru služeb nejvíce př</w:t>
            </w:r>
            <w:r w:rsidR="00F03F8D">
              <w:rPr>
                <w:rFonts w:cs="Arial"/>
                <w:color w:val="0D0D0D" w:themeColor="text1" w:themeTint="F2"/>
                <w:spacing w:val="-4"/>
              </w:rPr>
              <w:t xml:space="preserve">ispěla odvětví s dominancí </w:t>
            </w:r>
            <w:r w:rsidR="00F03F8D" w:rsidRPr="00F03F8D">
              <w:rPr>
                <w:spacing w:val="-2"/>
              </w:rPr>
              <w:t>veřejných institucí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(+2,6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), v nichž síli</w:t>
            </w:r>
            <w:r w:rsidR="00F03F8D">
              <w:rPr>
                <w:rFonts w:cs="Arial"/>
                <w:color w:val="0D0D0D" w:themeColor="text1" w:themeTint="F2"/>
                <w:spacing w:val="-4"/>
              </w:rPr>
              <w:t>la zaměstnanost ve vzdělávání i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v oblastech souvisejících s bezpečností státu. 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 xml:space="preserve">Navzdory obtížím při </w:t>
            </w:r>
            <w:r w:rsidR="00472AF6">
              <w:t xml:space="preserve">náboru </w:t>
            </w:r>
            <w:r>
              <w:t>pracovníků zaměstnanost ve zpracovatelském průmyslu rostla. Míst nadále ubývalo ve stavebnictví i těžebním průmyslu.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Mimo oblast služeb přetrvávala silná poptávka po lidských zdrojích i ve zpracovatelském průmyslu. Navzdory potížím s obsazováním pracovních pozic zde zaměstnanost vzrostla o 2,3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Redukce zaměstnanosti v nezpracovatelských oborech průmyslu se letos zastavila. Přispělo k tomu zmírnění úbytku míst v těžbě a dobývání při současném zrychlení růstu zaměstnanosti v energetice i v oblasti vodního hospodářství a nakládání s odpady. Naopak v odvětví zemědělství, lesnictví a rybářství, podobně jako ve stavebnictví, pracovníků mírně ubylo. Při minimálním pohybu v zaměstnaneckém segmentu o tom v obou případech rozhodl meziročně nižší počet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sebezaměstnaných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</w:p>
        </w:tc>
      </w:tr>
      <w:tr w:rsidR="00B4411A" w:rsidRPr="00A85DE1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425211" w:rsidRDefault="00B4411A" w:rsidP="00B4411A">
            <w:pPr>
              <w:pStyle w:val="Textpoznpodarou"/>
              <w:rPr>
                <w:spacing w:val="-2"/>
              </w:rPr>
            </w:pPr>
            <w:r w:rsidRPr="00425211">
              <w:rPr>
                <w:b/>
                <w:spacing w:val="-2"/>
              </w:rPr>
              <w:t xml:space="preserve">Graf č. </w:t>
            </w:r>
            <w:proofErr w:type="gramStart"/>
            <w:r w:rsidRPr="00425211">
              <w:rPr>
                <w:b/>
                <w:spacing w:val="-2"/>
              </w:rPr>
              <w:t xml:space="preserve">15  </w:t>
            </w:r>
            <w:r w:rsidRPr="00425211">
              <w:rPr>
                <w:rFonts w:cs="Arial"/>
                <w:b/>
                <w:bCs/>
                <w:spacing w:val="-2"/>
              </w:rPr>
              <w:t>Obecná</w:t>
            </w:r>
            <w:proofErr w:type="gramEnd"/>
            <w:r w:rsidRPr="00425211">
              <w:rPr>
                <w:rFonts w:cs="Arial"/>
                <w:b/>
                <w:bCs/>
                <w:spacing w:val="-2"/>
              </w:rPr>
              <w:t xml:space="preserve"> míra nezaměstnanosti mužů a žen</w:t>
            </w:r>
            <w:r>
              <w:rPr>
                <w:rFonts w:cs="Arial"/>
                <w:b/>
                <w:bCs/>
                <w:spacing w:val="-2"/>
              </w:rPr>
              <w:t xml:space="preserve">, podíl </w:t>
            </w:r>
            <w:proofErr w:type="spellStart"/>
            <w:r>
              <w:rPr>
                <w:rFonts w:cs="Arial"/>
                <w:b/>
                <w:bCs/>
                <w:spacing w:val="-2"/>
              </w:rPr>
              <w:t>vybr</w:t>
            </w:r>
            <w:proofErr w:type="spellEnd"/>
            <w:r>
              <w:rPr>
                <w:rFonts w:cs="Arial"/>
                <w:b/>
                <w:bCs/>
                <w:spacing w:val="-2"/>
              </w:rPr>
              <w:t>.</w:t>
            </w:r>
            <w:r w:rsidRPr="00425211">
              <w:rPr>
                <w:rFonts w:cs="Arial"/>
                <w:b/>
                <w:bCs/>
                <w:spacing w:val="-2"/>
              </w:rPr>
              <w:t xml:space="preserve"> skupin osob na </w:t>
            </w:r>
            <w:r>
              <w:rPr>
                <w:rFonts w:cs="Arial"/>
                <w:b/>
                <w:bCs/>
                <w:spacing w:val="-2"/>
              </w:rPr>
              <w:t>všech</w:t>
            </w:r>
            <w:r w:rsidRPr="00425211">
              <w:rPr>
                <w:rFonts w:cs="Arial"/>
                <w:b/>
                <w:bCs/>
                <w:spacing w:val="-2"/>
              </w:rPr>
              <w:t xml:space="preserve"> nezaměstnaných </w:t>
            </w:r>
            <w:r w:rsidRPr="00425211">
              <w:rPr>
                <w:rFonts w:cs="Arial"/>
                <w:bCs/>
                <w:spacing w:val="-2"/>
              </w:rPr>
              <w:t>(v</w:t>
            </w:r>
            <w:r w:rsidR="007B0E83">
              <w:rPr>
                <w:rFonts w:cs="Arial"/>
                <w:bCs/>
                <w:spacing w:val="-2"/>
              </w:rPr>
              <w:t> %</w:t>
            </w:r>
            <w:r w:rsidRPr="00425211">
              <w:rPr>
                <w:rFonts w:cs="Arial"/>
                <w:bCs/>
                <w:spacing w:val="-2"/>
              </w:rPr>
              <w:t xml:space="preserve">) </w:t>
            </w:r>
            <w:r w:rsidRPr="00425211">
              <w:rPr>
                <w:rFonts w:cs="Arial"/>
                <w:b/>
                <w:bCs/>
                <w:spacing w:val="-2"/>
              </w:rPr>
              <w:t xml:space="preserve">a ekonomicky neaktivní chtějící pracovat </w:t>
            </w:r>
            <w:r w:rsidRPr="00425211">
              <w:rPr>
                <w:rFonts w:cs="Arial"/>
                <w:bCs/>
                <w:spacing w:val="-2"/>
              </w:rPr>
              <w:t>(v tis.)</w:t>
            </w:r>
            <w:r>
              <w:rPr>
                <w:rFonts w:cs="Arial"/>
                <w:bCs/>
                <w:spacing w:val="-2"/>
              </w:rPr>
              <w:t>*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970E6F" w:rsidRDefault="00ED0EF0" w:rsidP="00B4411A">
            <w:pPr>
              <w:spacing w:after="0" w:line="240" w:lineRule="auto"/>
              <w:rPr>
                <w:spacing w:val="-2"/>
                <w:szCs w:val="20"/>
              </w:rPr>
            </w:pPr>
            <w:r w:rsidRPr="00ED0EF0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49800" cy="3257550"/>
                  <wp:effectExtent l="19050" t="0" r="0" b="0"/>
                  <wp:docPr id="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FF12EF" w:rsidRDefault="00B4411A" w:rsidP="00B4411A">
            <w:pPr>
              <w:spacing w:after="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Poznámka: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všechny 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údaje týkající se nezaměstnanosti jsou sezónně očištěny.</w:t>
            </w:r>
          </w:p>
          <w:p w:rsidR="00B4411A" w:rsidRPr="00343AC1" w:rsidRDefault="00B4411A" w:rsidP="00B4411A">
            <w:pPr>
              <w:spacing w:after="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*</w:t>
            </w:r>
            <w:r w:rsidRPr="00FF12EF">
              <w:rPr>
                <w:rFonts w:cs="Arial"/>
                <w:bCs/>
                <w:color w:val="0D0D0D" w:themeColor="text1" w:themeTint="F2"/>
                <w:sz w:val="14"/>
                <w:szCs w:val="14"/>
              </w:rPr>
              <w:t>Jde o osoby, které nepracují, aktivně práci nehledají (a nesplňují tak podmínky ILO pro nezaměstnané),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ale přitom uvádějí, že by chtěly pracovat.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                                                          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Zdroj: ČSÚ (VŠPS</w:t>
            </w:r>
            <w:r w:rsidR="00472AF6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– 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výběrové šetření pracovních sil)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lastRenderedPageBreak/>
              <w:t>Obecná míra nezaměstnanosti se v průběhu první poloviny roku snižovala jen nepatrně. Nadále však ubývalo dlouhodobě nezaměstnaných.</w:t>
            </w: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  <w:r>
              <w:t>Počet ekonomicky neaktivních chtějících pracovat dosáhl minima za dobu sledování.</w:t>
            </w:r>
          </w:p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4621FE" w:rsidRDefault="00B4411A" w:rsidP="00B62316">
            <w:pPr>
              <w:spacing w:after="20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Data z VŠPS naznačují, že obecná míra nezaměstnanosti (nejnižší v historii samostatné ČR) se v 1. polovině roku 2018 pohybovala již blízko svého dna. Dle sezónně očištěných údajů se počet nezaměstnaných mezi 1. a 2. čtvrtletím snížil jen o 3 tis (obdobného výsledku bylo dosaženo i v prvních třech měsících roku). V červnu bylo bez práce 2,9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ekonomicky aktivních žen, resp. 2,0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mužů ve věku 15 až 64 let. Meziročně se míra nezaměstnanosti snižovala u žen dvakrát vyšším tempem než u mužů (u nichž je potenciál další redukce nezaměstnanosti patrně již výrazně omezený). Nižší počet nezaměstnaných byl ve 2. čtvrtletí z drtivé většiny výsledkem menší četnosti osob, jež byly bez práce déle než rok (</w:t>
            </w:r>
            <w:r w:rsidR="00644137">
              <w:rPr>
                <w:rFonts w:cs="Arial"/>
                <w:color w:val="0D0D0D" w:themeColor="text1" w:themeTint="F2"/>
                <w:spacing w:val="-4"/>
              </w:rPr>
              <w:t xml:space="preserve">ta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se </w:t>
            </w:r>
            <w:r w:rsidR="00644137">
              <w:rPr>
                <w:rFonts w:cs="Arial"/>
                <w:color w:val="0D0D0D" w:themeColor="text1" w:themeTint="F2"/>
                <w:spacing w:val="-4"/>
              </w:rPr>
              <w:t xml:space="preserve">snížila </w:t>
            </w:r>
            <w:r>
              <w:rPr>
                <w:rFonts w:cs="Arial"/>
                <w:color w:val="0D0D0D" w:themeColor="text1" w:themeTint="F2"/>
                <w:spacing w:val="-4"/>
              </w:rPr>
              <w:t>o 24 tis na 36 tis). Jejich podíl na celkovém počtu nezaměstnaných klesl na 30 % (nejníže od roku 2009) a byl bezmála o třetinu slabší než v celé EU. Tento vývoj v ČR ale vede také k tomu, že se mezi dlouhodobě nezaměstnanými stále výrazněji prosazují osoby s minimálními či obsoletními pracovními zkušenostmi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6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Silnou absorpční schopnost pracovního trhu dokládá i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pokles</w:t>
            </w:r>
            <w:r w:rsidRPr="006E0E03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ekonomicky neaktivních </w:t>
            </w:r>
            <w:r w:rsidRPr="006E0E03">
              <w:rPr>
                <w:rFonts w:cs="Arial"/>
                <w:bCs/>
                <w:color w:val="0D0D0D" w:themeColor="text1" w:themeTint="F2"/>
                <w:szCs w:val="20"/>
              </w:rPr>
              <w:t>osob, které nepracují, aktivně</w:t>
            </w:r>
            <w:r>
              <w:rPr>
                <w:rFonts w:cs="Arial"/>
                <w:bCs/>
                <w:color w:val="0D0D0D" w:themeColor="text1" w:themeTint="F2"/>
                <w:szCs w:val="20"/>
              </w:rPr>
              <w:t xml:space="preserve"> práci nehledají</w:t>
            </w:r>
            <w:r w:rsidRPr="006E0E03">
              <w:rPr>
                <w:rFonts w:cs="Arial"/>
                <w:color w:val="0D0D0D" w:themeColor="text1" w:themeTint="F2"/>
                <w:szCs w:val="20"/>
              </w:rPr>
              <w:t>, ale přitom uvádějí, že by chtěly pracovat</w:t>
            </w:r>
            <w:r>
              <w:rPr>
                <w:rFonts w:cs="Arial"/>
                <w:color w:val="0D0D0D" w:themeColor="text1" w:themeTint="F2"/>
                <w:szCs w:val="20"/>
              </w:rPr>
              <w:t xml:space="preserve">. Ve 2. čtvrtletí jich bylo 108 tis., nejméně v historii sledování. Jen necelá třetina z nich ale byla schopna rychle nastoupit do zaměstnání, často jde přitom o lidi se specifickými nároky na pracovní úvazky. 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>Nabídka volných míst prostřednictví</w:t>
            </w:r>
            <w:r w:rsidR="006A6565">
              <w:t>m</w:t>
            </w:r>
            <w:r>
              <w:t xml:space="preserve"> ÚP ustavila z pohledu absolutní výše i dynamiky nové rekordy.</w:t>
            </w: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  <w:r>
              <w:t>Přibývala hlavně místa s nízkými nároky na kvalifikaci. Disproporce mezi volnými místy a uchazeči o práci se tak prohloubila.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4621FE" w:rsidRDefault="00B4411A" w:rsidP="00B62316">
            <w:pPr>
              <w:spacing w:after="20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V průběhu června překonala nabídka volných pracovních pozic prostřednictvím úřadů práce (ÚP) poprvé v historii jejich fungování 300tis. hranici. Rekordní byl i meziměsíční přírůstek (18,3 tis.), částečně ovlivněný i příznivým počasím. Navzdory sezónním vlivům se nabídka míst meziměsíčně rozšiřuje nepřetržitě od konce roku 2016. Přírůstek volných míst byl však z pohledu kvalifikačních nároků i regionů značně nerovnoměrný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7"/>
            </w:r>
            <w:r>
              <w:rPr>
                <w:rFonts w:cs="Arial"/>
                <w:color w:val="0D0D0D" w:themeColor="text1" w:themeTint="F2"/>
                <w:spacing w:val="-4"/>
              </w:rPr>
              <w:t>. Prohloubila se tak disproporce mezi skladbou nabízených míst a registrovanými uchazeči o práci. Z 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makropohledu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však přetrvával příznivý vývoj, neboť počínaje letošním dubnem celkový počet volných míst již převýšil četnost uchazečů. Obdobná situace panovala na konci června téměř ve dvou třetinách okresů ČR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8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Největší šanci na nalezení místa měli bez ohledu na kvalifikaci manuální pracovníci (obsluha strojů, řemeslníci a opraváři či pomocní pracovníci), resp. lidé se základním vzděláním a vyučení. Naopak u maturantů a vysokoškoláků registrovaných na ÚP stavy nezaměstnaných nadále počty pro ně nabízených míst převyšovaly. 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>Česko si nadále udržovalo výsadní pozici mezi státy EU v míře nezaměstnanosti i míře volných pracovních míst.</w:t>
            </w: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  <w:r>
              <w:t>Nezaměstnanost meziročně klesla ve všech státech Unie, v mnohých z nich však přetrvávají strukturální problémy.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4621FE" w:rsidRDefault="00B4411A" w:rsidP="00B4411A">
            <w:pPr>
              <w:spacing w:after="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Míra volných pracovních míst vzrostla meziročně o polovinu a ve 2. čtvrtletí se rovnala 5,4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9"/>
            </w:r>
            <w:r>
              <w:rPr>
                <w:rFonts w:cs="Arial"/>
                <w:color w:val="0D0D0D" w:themeColor="text1" w:themeTint="F2"/>
                <w:spacing w:val="-4"/>
              </w:rPr>
              <w:t>. Česko s výrazným odstupem (před Belgií a Německem) vévodilo všem státům EU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40"/>
            </w:r>
            <w:r>
              <w:rPr>
                <w:rFonts w:cs="Arial"/>
                <w:color w:val="0D0D0D" w:themeColor="text1" w:themeTint="F2"/>
                <w:spacing w:val="-4"/>
              </w:rPr>
              <w:t>. Čelní pozici si ČR udržuje i v míře nezaměstnanosti – a to již bezmála tři roky. Nezaměstnanost se snižovala napříč všemi státy Unie. Oproti 2. čtvrtletí 2017 klesla nejvíce na Kypru (o 3,3</w:t>
            </w:r>
            <w:r w:rsidR="00EA4402">
              <w:rPr>
                <w:rFonts w:cs="Arial"/>
                <w:color w:val="0D0D0D" w:themeColor="text1" w:themeTint="F2"/>
                <w:spacing w:val="-4"/>
              </w:rPr>
              <w:t> p. b.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meziročně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) a </w:t>
            </w:r>
            <w:r w:rsidR="00E76B9B">
              <w:rPr>
                <w:rFonts w:cs="Arial"/>
                <w:color w:val="0D0D0D" w:themeColor="text1" w:themeTint="F2"/>
                <w:spacing w:val="-4"/>
              </w:rPr>
              <w:t>v </w:t>
            </w:r>
            <w:r>
              <w:rPr>
                <w:rFonts w:cs="Arial"/>
                <w:color w:val="0D0D0D" w:themeColor="text1" w:themeTint="F2"/>
                <w:spacing w:val="-4"/>
              </w:rPr>
              <w:t>Chorvatsku (2,4</w:t>
            </w:r>
            <w:r w:rsidR="00EA4402">
              <w:rPr>
                <w:rFonts w:cs="Arial"/>
                <w:color w:val="0D0D0D" w:themeColor="text1" w:themeTint="F2"/>
                <w:spacing w:val="-4"/>
              </w:rPr>
              <w:t> p. b.</w:t>
            </w:r>
            <w:r>
              <w:rPr>
                <w:rFonts w:cs="Arial"/>
                <w:color w:val="0D0D0D" w:themeColor="text1" w:themeTint="F2"/>
                <w:spacing w:val="-4"/>
              </w:rPr>
              <w:t>), i tak šlo stále o</w:t>
            </w:r>
            <w:r w:rsidR="00E76B9B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nejvíce zasažené ekonomiky (v rámci států, které vstoupily do EU po roce 2000). Z větších států zaznamenalo výraznější posun Španělsko (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ze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17,2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 15,3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), naopak v Itálii a Francii klesla nezaměstnanost jen mírně (o 0,4</w:t>
            </w:r>
            <w:r w:rsidR="00EA4402">
              <w:rPr>
                <w:rFonts w:cs="Arial"/>
                <w:color w:val="0D0D0D" w:themeColor="text1" w:themeTint="F2"/>
                <w:spacing w:val="-4"/>
              </w:rPr>
              <w:t> p. b.</w:t>
            </w:r>
            <w:r>
              <w:rPr>
                <w:rFonts w:cs="Arial"/>
                <w:color w:val="0D0D0D" w:themeColor="text1" w:themeTint="F2"/>
                <w:spacing w:val="-4"/>
              </w:rPr>
              <w:t>). Z největších ekonomik držely příznivé postavení Německo (3,5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 i Velká Británie (4,0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). Míra nezaměstnanosti v celé EU byla (shodně jako v ČR) meziročně o 0,8</w:t>
            </w:r>
            <w:r w:rsidR="00EA4402">
              <w:rPr>
                <w:rFonts w:cs="Arial"/>
                <w:color w:val="0D0D0D" w:themeColor="text1" w:themeTint="F2"/>
                <w:spacing w:val="-4"/>
              </w:rPr>
              <w:t> p. b.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nižší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a činila 6,8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Poprvé se tak vyrovnala svému minimu z roku 2008. V zemích současné </w:t>
            </w:r>
            <w:proofErr w:type="spellStart"/>
            <w:r w:rsidR="00E76B9B">
              <w:rPr>
                <w:rFonts w:cs="Arial"/>
                <w:color w:val="0D0D0D" w:themeColor="text1" w:themeTint="F2"/>
                <w:spacing w:val="-4"/>
              </w:rPr>
              <w:t>eurozóny</w:t>
            </w:r>
            <w:proofErr w:type="spellEnd"/>
            <w:r w:rsidR="00E76B9B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se ale stále držela o celý 1</w:t>
            </w:r>
            <w:r w:rsidR="00EA4402">
              <w:rPr>
                <w:rFonts w:cs="Arial"/>
                <w:color w:val="0D0D0D" w:themeColor="text1" w:themeTint="F2"/>
                <w:spacing w:val="-4"/>
              </w:rPr>
              <w:t> p. b.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nad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minimem předchozího </w:t>
            </w:r>
            <w:r w:rsidR="00E76B9B">
              <w:rPr>
                <w:rFonts w:cs="Arial"/>
                <w:color w:val="0D0D0D" w:themeColor="text1" w:themeTint="F2"/>
                <w:spacing w:val="-4"/>
              </w:rPr>
              <w:t xml:space="preserve">období </w:t>
            </w:r>
            <w:r>
              <w:rPr>
                <w:rFonts w:cs="Arial"/>
                <w:color w:val="0D0D0D" w:themeColor="text1" w:themeTint="F2"/>
                <w:spacing w:val="-4"/>
              </w:rPr>
              <w:t>konjunktury (7,2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). V některých zemích s příznivým stavem či vývojem celkové nezaměstnanosti přetrvávají strukturální problémy, např. s dlouhodobou nezaměstnaností (Slovensko, Bulharsko, Belgie) či zapojením mladých na pracovní</w:t>
            </w:r>
            <w:r w:rsidR="00E76B9B">
              <w:rPr>
                <w:rFonts w:cs="Arial"/>
                <w:color w:val="0D0D0D" w:themeColor="text1" w:themeTint="F2"/>
                <w:spacing w:val="-4"/>
              </w:rPr>
              <w:t>m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trh</w:t>
            </w:r>
            <w:r w:rsidR="00E76B9B">
              <w:rPr>
                <w:rFonts w:cs="Arial"/>
                <w:color w:val="0D0D0D" w:themeColor="text1" w:themeTint="F2"/>
                <w:spacing w:val="-4"/>
              </w:rPr>
              <w:t>u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(Chorvatsko, Portugalsko).</w:t>
            </w:r>
          </w:p>
        </w:tc>
      </w:tr>
      <w:tr w:rsidR="00B4411A" w:rsidRPr="00F704D2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F704D2" w:rsidRDefault="00B4411A" w:rsidP="00B4411A">
            <w:pPr>
              <w:pStyle w:val="Textpoznpodarou"/>
            </w:pPr>
            <w:r>
              <w:rPr>
                <w:b/>
              </w:rPr>
              <w:t xml:space="preserve">Graf č. </w:t>
            </w:r>
            <w:proofErr w:type="gramStart"/>
            <w:r>
              <w:rPr>
                <w:b/>
              </w:rPr>
              <w:t xml:space="preserve">16  </w:t>
            </w:r>
            <w:r>
              <w:rPr>
                <w:rFonts w:cs="Arial"/>
                <w:b/>
                <w:bCs/>
                <w:spacing w:val="-2"/>
              </w:rPr>
              <w:t>Průměrná</w:t>
            </w:r>
            <w:proofErr w:type="gramEnd"/>
            <w:r>
              <w:rPr>
                <w:rFonts w:cs="Arial"/>
                <w:b/>
                <w:bCs/>
                <w:spacing w:val="-2"/>
              </w:rPr>
              <w:t xml:space="preserve"> hrubá měsíční mzda, rozpětí jejího tempa mezi odvětvími*, mzdový medián </w:t>
            </w:r>
            <w:r>
              <w:rPr>
                <w:rFonts w:cs="Arial"/>
                <w:bCs/>
                <w:spacing w:val="-2"/>
              </w:rPr>
              <w:t>(meziročně</w:t>
            </w:r>
            <w:r w:rsidRPr="0006150D">
              <w:rPr>
                <w:rFonts w:cs="Arial"/>
                <w:bCs/>
                <w:spacing w:val="-2"/>
              </w:rPr>
              <w:t>, v</w:t>
            </w:r>
            <w:r w:rsidR="007B0E83">
              <w:rPr>
                <w:rFonts w:cs="Arial"/>
                <w:bCs/>
                <w:spacing w:val="-2"/>
              </w:rPr>
              <w:t> %</w:t>
            </w:r>
            <w:r w:rsidRPr="0006150D">
              <w:rPr>
                <w:rFonts w:cs="Arial"/>
                <w:bCs/>
                <w:spacing w:val="-2"/>
              </w:rPr>
              <w:t>)</w:t>
            </w:r>
            <w:r>
              <w:rPr>
                <w:rFonts w:cs="Arial"/>
                <w:bCs/>
                <w:spacing w:val="-2"/>
              </w:rPr>
              <w:t xml:space="preserve"> </w:t>
            </w:r>
            <w:r w:rsidRPr="00560905">
              <w:rPr>
                <w:rFonts w:cs="Arial"/>
                <w:b/>
                <w:bCs/>
                <w:spacing w:val="-2"/>
              </w:rPr>
              <w:t>a produktivita práce</w:t>
            </w:r>
            <w:r>
              <w:rPr>
                <w:rFonts w:cs="Arial"/>
                <w:b/>
                <w:bCs/>
                <w:spacing w:val="-2"/>
              </w:rPr>
              <w:t>**</w:t>
            </w:r>
          </w:p>
        </w:tc>
      </w:tr>
      <w:tr w:rsidR="00B4411A" w:rsidRPr="00970E6F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970E6F" w:rsidRDefault="00B4411A" w:rsidP="00B4411A">
            <w:pPr>
              <w:spacing w:after="0" w:line="240" w:lineRule="auto"/>
              <w:rPr>
                <w:spacing w:val="-2"/>
                <w:szCs w:val="20"/>
              </w:rPr>
            </w:pPr>
            <w:r w:rsidRPr="009A3389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35773" cy="3248167"/>
                  <wp:effectExtent l="19050" t="0" r="0" b="0"/>
                  <wp:docPr id="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B4411A" w:rsidRPr="00970E6F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*Odvětví s relativně nejvyšším, resp. nejnižším meziročním tempem průměrné mzdy. Na přelomu let 2012 a 2013, resp. 2013 a 2014 nebyly vzhledem k nestandardnímu průběhu zahrnuta odvětví energetiky a peněžnictví i pojišťovnictví.</w:t>
            </w:r>
          </w:p>
          <w:p w:rsidR="00B4411A" w:rsidRPr="00970E6F" w:rsidRDefault="00B4411A" w:rsidP="00B4411A">
            <w:pPr>
              <w:spacing w:after="200"/>
              <w:rPr>
                <w:spacing w:val="-2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**Podíl sez</w:t>
            </w:r>
            <w:r w:rsidR="005E24F0">
              <w:rPr>
                <w:rFonts w:cs="Arial"/>
                <w:sz w:val="14"/>
                <w:szCs w:val="14"/>
              </w:rPr>
              <w:t>ó</w:t>
            </w:r>
            <w:r>
              <w:rPr>
                <w:rFonts w:cs="Arial"/>
                <w:sz w:val="14"/>
                <w:szCs w:val="14"/>
              </w:rPr>
              <w:t xml:space="preserve">nně neočištěného HDP a zaměstnanosti (v pojetí národních účtů).                                              </w:t>
            </w: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B4411A" w:rsidRPr="00B80CE7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>Tempo růstu průměrných nominálních mezd nadále rostlo a dosáhlo desetiletého maxima.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Tempo růstu průměrné nominální mzdy se nadále zvyšovalo. V 1. i 2. čtvrtletí činilo dle podnikových statistik shodně 8,6 % a bylo nejvyšší za posledních deset let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41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Faktory stojící za mzdovou dynamizací zůstávají v posledních čtvrtletích shodné (dobré hospodářské výsledky firem, převažující pozitivní očekávání v klíčových odvětvích ekonomiky, sílící nedostatek disponibilních zaměstnanců a z něj plynoucí konkurenční tlak, pravidelné navyšování minimální mzdy s dopadem i na výši zaručené mzdy). Zatímco v předchozích třech letech byl typickým rysem vývoje silný růst průměrných výdělků v odvětvích s velmi nízkou mzdovou úrovní, letos se jako zásadní ukázala silná mzdová dynamika mezd v odvětvích s dominancí </w:t>
            </w:r>
            <w:r w:rsidR="00F03F8D" w:rsidRPr="00F03F8D">
              <w:rPr>
                <w:spacing w:val="-2"/>
              </w:rPr>
              <w:t>veřejných institucí.</w:t>
            </w:r>
          </w:p>
        </w:tc>
      </w:tr>
      <w:tr w:rsidR="00B4411A" w:rsidRPr="00B80CE7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>Mzdový růst akceleroval ve všech odvětvích s domina</w:t>
            </w:r>
            <w:r w:rsidR="001D556E">
              <w:t>n</w:t>
            </w:r>
            <w:r w:rsidR="00F03F8D">
              <w:t>cí veřejných institucí</w:t>
            </w:r>
            <w:r>
              <w:t>. Naopak ve zpracovatelském průmyslu rostl jen mírně vyšším tempem než vloni.</w:t>
            </w: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  <w:r>
              <w:t>Relativní mzdové rozdíly mezi odvětvími či regiony se mírně snížily.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3607F1" w:rsidRDefault="00B4411A" w:rsidP="00B4411A">
            <w:pPr>
              <w:spacing w:after="0"/>
              <w:rPr>
                <w:color w:val="0D0D0D" w:themeColor="text1" w:themeTint="F2"/>
                <w:spacing w:val="-4"/>
              </w:rPr>
            </w:pPr>
            <w:r w:rsidRPr="003607F1">
              <w:rPr>
                <w:rFonts w:cs="Arial"/>
                <w:color w:val="0D0D0D" w:themeColor="text1" w:themeTint="F2"/>
                <w:spacing w:val="-4"/>
              </w:rPr>
              <w:t>Že se obě tendence zčásti prolínají, dokládá odvětví kulturní, zábavní a rekreační činnosti (s růstem mezd v 1. pololetí o 13,2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). Nejvýrazněji zrychlilo růstové tempo mezd ve vzdělávání (12,4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, o rok dříve 4,9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). </w:t>
            </w:r>
            <w:r w:rsidR="00A00E71">
              <w:rPr>
                <w:rFonts w:cs="Arial"/>
                <w:color w:val="0D0D0D" w:themeColor="text1" w:themeTint="F2"/>
                <w:spacing w:val="-4"/>
              </w:rPr>
              <w:t>Mimo veřejné služby následovaly s výraznějším odstupem</w:t>
            </w:r>
            <w:r w:rsidR="007B1396" w:rsidRPr="003607F1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ostatní odvětví služeb, kde byl relativně slabší růst prů</w:t>
            </w:r>
            <w:r>
              <w:rPr>
                <w:rFonts w:cs="Arial"/>
                <w:color w:val="0D0D0D" w:themeColor="text1" w:themeTint="F2"/>
                <w:spacing w:val="-4"/>
              </w:rPr>
              <w:t>měrných výdělků (typicky mezi 6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 až 8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) většinou doprovázen svižným růstem zaměstnanosti</w:t>
            </w:r>
            <w:r>
              <w:rPr>
                <w:rFonts w:cs="Arial"/>
                <w:color w:val="0D0D0D" w:themeColor="text1" w:themeTint="F2"/>
                <w:spacing w:val="-4"/>
              </w:rPr>
              <w:t>. Ve zpracovatelském průmyslu růst průměrných mezd zrychlil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 jen mírně (na 7,8 % z loňských 6,5 %), poprvé za posledních šest let zde objem vyplacených mezd zaostal za tempem v celé ekonomice. Ten naopak v nejmenší odvětvové sekci – těžbě a dobývání – poprvé po pěti letech vzrostl (zásluhou vysokého tempa průměrných mezd: 9,4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).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Přestože růst výdělků v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 peněžnictví a pojišťovnictví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zaostal 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za tempem v celé ekonomice již čtvrtým rokem v řadě, stále šlo o odvětví s nejvyšší úrovní průměrných hrubých měsíčních mezd (</w:t>
            </w:r>
            <w:r>
              <w:rPr>
                <w:rFonts w:cs="Arial"/>
                <w:color w:val="0D0D0D" w:themeColor="text1" w:themeTint="F2"/>
                <w:spacing w:val="-4"/>
              </w:rPr>
              <w:t>57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 tis., 3,1krát vyšší než v ubytování, stravování a pohostinství). Mzdová diferenciace mezi odvětvími či regiony se mírně snižovala. Mediánová mzda se ve 2. čtvrtletí meziročně zvýšila o 9,6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 (u žen dokonce o 10,1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). </w:t>
            </w:r>
            <w:r w:rsidRPr="003607F1">
              <w:rPr>
                <w:color w:val="0D0D0D" w:themeColor="text1" w:themeTint="F2"/>
                <w:spacing w:val="-4"/>
              </w:rPr>
              <w:t>Předstih růstu mediánové mzdy nad tempem průměrné mzdy přetrvává s drobnými výkyvy již tř</w:t>
            </w:r>
            <w:r>
              <w:rPr>
                <w:color w:val="0D0D0D" w:themeColor="text1" w:themeTint="F2"/>
                <w:spacing w:val="-4"/>
              </w:rPr>
              <w:t>i roky. Pozitivní také bylo, že</w:t>
            </w:r>
            <w:r w:rsidRPr="003607F1">
              <w:rPr>
                <w:color w:val="0D0D0D" w:themeColor="text1" w:themeTint="F2"/>
                <w:spacing w:val="-4"/>
              </w:rPr>
              <w:t xml:space="preserve"> ku</w:t>
            </w:r>
            <w:r w:rsidR="00F03F8D">
              <w:rPr>
                <w:color w:val="0D0D0D" w:themeColor="text1" w:themeTint="F2"/>
                <w:spacing w:val="-4"/>
              </w:rPr>
              <w:t>pní síla mezd</w:t>
            </w:r>
            <w:r w:rsidRPr="003607F1">
              <w:rPr>
                <w:color w:val="0D0D0D" w:themeColor="text1" w:themeTint="F2"/>
                <w:spacing w:val="-4"/>
              </w:rPr>
              <w:t xml:space="preserve"> silně rostla. </w:t>
            </w:r>
            <w:r w:rsidRPr="00F03F8D">
              <w:rPr>
                <w:color w:val="0D0D0D" w:themeColor="text1" w:themeTint="F2"/>
                <w:spacing w:val="-2"/>
              </w:rPr>
              <w:t>Za celé pololetí byla meziročně vyšší o 6,4</w:t>
            </w:r>
            <w:r w:rsidR="007B0E83" w:rsidRPr="00F03F8D">
              <w:rPr>
                <w:color w:val="0D0D0D" w:themeColor="text1" w:themeTint="F2"/>
                <w:spacing w:val="-2"/>
              </w:rPr>
              <w:t> %</w:t>
            </w:r>
            <w:r w:rsidRPr="00F03F8D">
              <w:rPr>
                <w:color w:val="0D0D0D" w:themeColor="text1" w:themeTint="F2"/>
                <w:spacing w:val="-2"/>
              </w:rPr>
              <w:t xml:space="preserve"> a dosáhla nejlepšího výsledku za posledních 15 let.</w:t>
            </w:r>
            <w:r w:rsidRPr="003607F1">
              <w:rPr>
                <w:color w:val="0D0D0D" w:themeColor="text1" w:themeTint="F2"/>
                <w:spacing w:val="-4"/>
              </w:rPr>
              <w:t xml:space="preserve"> </w:t>
            </w:r>
          </w:p>
        </w:tc>
      </w:tr>
    </w:tbl>
    <w:p w:rsidR="00935BD4" w:rsidRPr="009110F7" w:rsidRDefault="00935BD4" w:rsidP="00935BD4">
      <w:pPr>
        <w:rPr>
          <w:sz w:val="2"/>
          <w:szCs w:val="2"/>
        </w:rPr>
      </w:pPr>
    </w:p>
    <w:p w:rsidR="00935BD4" w:rsidRPr="009110F7" w:rsidRDefault="00935BD4" w:rsidP="000D3058">
      <w:pPr>
        <w:pStyle w:val="Nadpis11"/>
      </w:pPr>
      <w:bookmarkStart w:id="11" w:name="_Toc525046026"/>
      <w:r w:rsidRPr="009110F7">
        <w:lastRenderedPageBreak/>
        <w:t>7. Měnové podmínky</w:t>
      </w:r>
      <w:bookmarkEnd w:id="11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2F4AD8" w:rsidRPr="009110F7" w:rsidTr="002F4AD8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t xml:space="preserve">Pokračovalo navyšování </w:t>
            </w:r>
            <w:proofErr w:type="spellStart"/>
            <w:r>
              <w:t>měnověpolitických</w:t>
            </w:r>
            <w:proofErr w:type="spellEnd"/>
            <w:r>
              <w:t xml:space="preserve"> sazeb.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7E4C70">
            <w:r>
              <w:t xml:space="preserve">Ve 2. čtvrtletí 2018 </w:t>
            </w:r>
            <w:r w:rsidR="00B32F57">
              <w:t>uplynul</w:t>
            </w:r>
            <w:r>
              <w:t xml:space="preserve"> rok </w:t>
            </w:r>
            <w:r w:rsidR="00B32F57">
              <w:t>od ukončení</w:t>
            </w:r>
            <w:r>
              <w:t xml:space="preserve"> kurzové intervence. Postupný přechod ke standardnímu pojetí monetární politiky pokračoval a reakcí na zrychlení inflace a možné přehřívání ekonomiky bylo zvýšení </w:t>
            </w:r>
            <w:proofErr w:type="spellStart"/>
            <w:r>
              <w:t>měnověpolitických</w:t>
            </w:r>
            <w:proofErr w:type="spellEnd"/>
            <w:r>
              <w:t xml:space="preserve"> sazeb k 28. 6. Dvoutýdenní </w:t>
            </w:r>
            <w:proofErr w:type="spellStart"/>
            <w:r>
              <w:t>repo</w:t>
            </w:r>
            <w:proofErr w:type="spellEnd"/>
            <w:r>
              <w:t xml:space="preserve"> sazba byla </w:t>
            </w:r>
            <w:r w:rsidR="00B32F57">
              <w:t>zvýšena</w:t>
            </w:r>
            <w:r>
              <w:t xml:space="preserve"> o 0,25</w:t>
            </w:r>
            <w:r w:rsidR="00EA4402">
              <w:t> p. b.</w:t>
            </w:r>
            <w:r>
              <w:t xml:space="preserve"> </w:t>
            </w:r>
            <w:proofErr w:type="gramStart"/>
            <w:r>
              <w:t>na</w:t>
            </w:r>
            <w:proofErr w:type="gramEnd"/>
            <w:r>
              <w:t xml:space="preserve"> 1,00</w:t>
            </w:r>
            <w:r w:rsidR="007B0E83">
              <w:t> %</w:t>
            </w:r>
            <w:r>
              <w:t xml:space="preserve"> a lombardní sazba o</w:t>
            </w:r>
            <w:r w:rsidR="007E4C70">
              <w:t> </w:t>
            </w:r>
            <w:r>
              <w:t>0,50</w:t>
            </w:r>
            <w:r w:rsidR="00EA4402">
              <w:t> p. b.</w:t>
            </w:r>
            <w:r>
              <w:t xml:space="preserve"> na 2,00</w:t>
            </w:r>
            <w:r w:rsidR="007B0E83">
              <w:t> %</w:t>
            </w:r>
            <w:r>
              <w:t xml:space="preserve">. Kurz koruny vůči euru </w:t>
            </w:r>
            <w:r w:rsidR="00B32F57">
              <w:t xml:space="preserve">ve </w:t>
            </w:r>
            <w:r>
              <w:t>2. čtvrtletí započal na úrovni přibližně 25,30</w:t>
            </w:r>
            <w:r w:rsidRPr="009110F7">
              <w:rPr>
                <w:rStyle w:val="Znakapoznpodarou"/>
              </w:rPr>
              <w:footnoteReference w:id="42"/>
            </w:r>
            <w:r>
              <w:t xml:space="preserve"> korun za euro. Od dubna však postupně oslaboval a ke konci června těsně překonal 26 korun. </w:t>
            </w:r>
          </w:p>
        </w:tc>
      </w:tr>
      <w:tr w:rsidR="002F4AD8" w:rsidRPr="009110F7" w:rsidTr="002F4AD8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t xml:space="preserve">Výraznější roli než dříve v peněžní zásobě získaly </w:t>
            </w:r>
            <w:proofErr w:type="spellStart"/>
            <w:r>
              <w:t>repo</w:t>
            </w:r>
            <w:proofErr w:type="spellEnd"/>
            <w:r>
              <w:t xml:space="preserve"> operace.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r>
              <w:t>Růst množství peněz v ekonomice v letošním roce zpomalil v porovnání s loňským dvouciferným tempem. Výrazně pomaleji narůstal objem oběživa a jednodenních vkladů, které v posledních letech dynamice peněžní zásoby vévodily. Na druhou stranu, od začátku roku můžeme sledovat výrazný nárůst vkladů s dohodnutou splatností do 2 let. Za prvních šest měsíců roku jejich objem narostl o 30,5</w:t>
            </w:r>
            <w:r w:rsidR="007B0E83">
              <w:t> %</w:t>
            </w:r>
            <w:r>
              <w:t xml:space="preserve">. Poměrně výraznou roli v 1. pololetí začaly hrát </w:t>
            </w:r>
            <w:proofErr w:type="spellStart"/>
            <w:r>
              <w:t>repo</w:t>
            </w:r>
            <w:proofErr w:type="spellEnd"/>
            <w:r>
              <w:t xml:space="preserve"> operace, jejichž objem ke konci června tvořil 2,9</w:t>
            </w:r>
            <w:r w:rsidR="007B0E83">
              <w:t> %</w:t>
            </w:r>
            <w:r>
              <w:t xml:space="preserve"> z celkové peněžní zásoby (129,6 mld. korun). Od ledna do června letošního roku tato položka narostla o 44,1 mld. korun.</w:t>
            </w:r>
          </w:p>
        </w:tc>
      </w:tr>
      <w:tr w:rsidR="002F4AD8" w:rsidRPr="009110F7" w:rsidTr="002F4AD8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t>Narůstaly i měnověpoli</w:t>
            </w:r>
            <w:r w:rsidR="00964B35">
              <w:t>-</w:t>
            </w:r>
            <w:r>
              <w:t>tické sazby a výnosy na dluhopisech.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r>
              <w:t xml:space="preserve">Postupný růst </w:t>
            </w:r>
            <w:proofErr w:type="spellStart"/>
            <w:r>
              <w:t>měnověpolitických</w:t>
            </w:r>
            <w:proofErr w:type="spellEnd"/>
            <w:r>
              <w:t xml:space="preserve"> sazeb tlačil vzhůru i úrokové sazby na mezibankovním trhu. Tříměsíční sazba PRIBOR zareagovala zvýšením na 0,9</w:t>
            </w:r>
            <w:r w:rsidR="007B0E83">
              <w:t> %</w:t>
            </w:r>
            <w:r>
              <w:t xml:space="preserve"> již v únoru, posun </w:t>
            </w:r>
            <w:proofErr w:type="spellStart"/>
            <w:r>
              <w:t>repo</w:t>
            </w:r>
            <w:proofErr w:type="spellEnd"/>
            <w:r>
              <w:t xml:space="preserve"> sazby </w:t>
            </w:r>
            <w:r w:rsidR="00964B35">
              <w:t xml:space="preserve">jí </w:t>
            </w:r>
            <w:r>
              <w:t xml:space="preserve">pak dal další </w:t>
            </w:r>
            <w:r w:rsidR="00964B35">
              <w:t xml:space="preserve">impulz </w:t>
            </w:r>
            <w:r>
              <w:t xml:space="preserve">a </w:t>
            </w:r>
            <w:r w:rsidR="00964B35">
              <w:t>v </w:t>
            </w:r>
            <w:r>
              <w:t>červnu vyskočila na 0,93</w:t>
            </w:r>
            <w:r w:rsidR="007B0E83">
              <w:t> %</w:t>
            </w:r>
            <w:r>
              <w:t xml:space="preserve"> (jde o průměr ovlivněný až posledními dvěma červnovými dny, lepší obrázek dává červencová hodnota 1,18</w:t>
            </w:r>
            <w:r w:rsidR="007B0E83">
              <w:t> %</w:t>
            </w:r>
            <w:r>
              <w:t>). Podobnou dynamiku v 1. pololetí vykazovaly všechny mezibankovní sazby. Výnosy státních dluhopisů rovněž rostly bez ohledu na splatnost. Krátkodobé dluhopisy od konce minulého roku zvýšily úrokové sazby o 0,7</w:t>
            </w:r>
            <w:r w:rsidR="00EA4402">
              <w:t> p. b.</w:t>
            </w:r>
            <w:r>
              <w:t xml:space="preserve"> </w:t>
            </w:r>
            <w:proofErr w:type="gramStart"/>
            <w:r>
              <w:t>na</w:t>
            </w:r>
            <w:proofErr w:type="gramEnd"/>
            <w:r>
              <w:t xml:space="preserve"> 0,89</w:t>
            </w:r>
            <w:r w:rsidR="007B0E83">
              <w:t> %</w:t>
            </w:r>
            <w:r>
              <w:t>, u střednědobých dosáhlo navýšení 0,73</w:t>
            </w:r>
            <w:r w:rsidR="00EA4402">
              <w:t> p. b.</w:t>
            </w:r>
            <w:r>
              <w:t xml:space="preserve"> na 1,41</w:t>
            </w:r>
            <w:r w:rsidR="007B0E83">
              <w:t> %</w:t>
            </w:r>
            <w:r>
              <w:t xml:space="preserve"> a nejnižší byl posun u dluhopisů s dlouhodobou splatností – 0,64</w:t>
            </w:r>
            <w:r w:rsidR="00EA4402">
              <w:t> p. b.</w:t>
            </w:r>
            <w:r>
              <w:t xml:space="preserve"> na 2,14</w:t>
            </w:r>
            <w:r w:rsidR="007B0E83">
              <w:t> %</w:t>
            </w:r>
            <w:r>
              <w:t xml:space="preserve">. </w:t>
            </w:r>
          </w:p>
        </w:tc>
      </w:tr>
      <w:tr w:rsidR="002F4AD8" w:rsidRPr="009110F7" w:rsidTr="002F4AD8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t>Změny na mezibankovním trhu se však nepromítaly do vývoje na klientských účtech, zejména těch běžných.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7E4C70">
            <w:r>
              <w:t>Růst mezibankovních sazeb se výrazněji nepromítal do prostředí na klientských účtech. Průměrné úročení na běžných účtech domácností v 1. pololetí činilo 0,05</w:t>
            </w:r>
            <w:r w:rsidR="007B0E83">
              <w:t> %</w:t>
            </w:r>
            <w:r>
              <w:t xml:space="preserve">, což lze považovat za úroveň technické nuly, </w:t>
            </w:r>
            <w:r w:rsidR="00477B96">
              <w:t>a v podstatě se</w:t>
            </w:r>
            <w:r>
              <w:t xml:space="preserve"> neměnilo poslední dva roky. Podobně se vyvíjely úrokové sazby na běžných účtech nefinančních podniků. Jiná situace je u vkladů s dohodnutou splatností. U nich došlo na počátku roku 2018 k navýšení úrokových sazeb oproti úrovni minulého roku, dále však úročení spíš stagnovalo. Prakticky nulové úročení na jednodenních vkladech vedlo k poklesu objemu </w:t>
            </w:r>
            <w:r w:rsidR="00B32F57">
              <w:t xml:space="preserve">uložených </w:t>
            </w:r>
            <w:r>
              <w:t>prostředků nefinančních podniků na nich. Za celé 1.</w:t>
            </w:r>
            <w:r w:rsidR="007E4C70">
              <w:t> </w:t>
            </w:r>
            <w:r>
              <w:t xml:space="preserve">pololetí to bylo 36,4 mld. korun. Naopak objem vkladů s dohodnutou splatností se od ledna do června navýšil o 18,0 mld. korun. Domácnosti své prostředky </w:t>
            </w:r>
            <w:r w:rsidR="00477B96">
              <w:t xml:space="preserve">směrovaly </w:t>
            </w:r>
            <w:r>
              <w:t xml:space="preserve">spíše na jednodenní vklady – jejich objem se navýšil o 103,9 mld. </w:t>
            </w:r>
          </w:p>
        </w:tc>
      </w:tr>
      <w:tr w:rsidR="002F4AD8" w:rsidRPr="009110F7" w:rsidTr="002F4AD8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t>Domácnostem zlevnily spotřebitelské úvěry.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B65CEF">
            <w:r>
              <w:t xml:space="preserve">Na úrokové sazby na úvěrech </w:t>
            </w:r>
            <w:r w:rsidR="00477B96">
              <w:t xml:space="preserve">pro domácnosti </w:t>
            </w:r>
            <w:r>
              <w:t>působily dva protikladné faktory. Úrokové sazby na úvěrech na spotřebu v první polovině roku pokračovaly v klesajícím trendu a ve 2. čtvrtletí bylo průměrné úročení na 8,53</w:t>
            </w:r>
            <w:r w:rsidR="007B0E83">
              <w:t> %</w:t>
            </w:r>
            <w:r>
              <w:t>. Na druhé straně, úrokové sazby na úvěrech na koupi nemovitosti se od začátku roku mírně zvyšovaly. Ve 2. čtvrtletí se průměrné úročení udržovalo na úrovni 2,62</w:t>
            </w:r>
            <w:r w:rsidR="007B0E83">
              <w:t> %</w:t>
            </w:r>
            <w:r>
              <w:t xml:space="preserve">. Objem poskytnutých spotřebitelských úvěrů od ledna do června vzrostl o 9,4 mld. korun, což je více než ve stejném období minulého roku. Naopak objem úvěrů na bydlení během 1. pololetí narostl méně než v minulém roce (44,5 mld. korun). Počet nových smluv v 1. </w:t>
            </w:r>
            <w:r w:rsidR="00B65CEF">
              <w:t>pololetí</w:t>
            </w:r>
            <w:r>
              <w:t xml:space="preserve"> dosáhl </w:t>
            </w:r>
            <w:r w:rsidR="00B65CEF">
              <w:t>93,1</w:t>
            </w:r>
            <w:r>
              <w:t xml:space="preserve"> tisíc. To je o </w:t>
            </w:r>
            <w:r w:rsidR="00B65CEF">
              <w:t>8,1</w:t>
            </w:r>
            <w:r w:rsidR="007B0E83">
              <w:t> %</w:t>
            </w:r>
            <w:r>
              <w:t xml:space="preserve"> méně než loni. Celkové zadlužení domácností ke konci června dosáhlo 1 651,5 mld. korun a od počátku roku se </w:t>
            </w:r>
            <w:r>
              <w:lastRenderedPageBreak/>
              <w:t>zvýšilo o 53,6 mld. Hlavní vliv mělo stále zadlužení kvůli bydlení, jeho meziroční růst se však letos mírně zpomalil oproti loňsku. Naopak zadlužení na spotřebu rostlo silněji.</w:t>
            </w:r>
          </w:p>
        </w:tc>
      </w:tr>
      <w:tr w:rsidR="002F4AD8" w:rsidRPr="009110F7" w:rsidTr="002F4AD8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lastRenderedPageBreak/>
              <w:t>Úrokové sazby na úvěrech pro podniky zatím výrazněji nerostly.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7E4C70">
            <w:r>
              <w:t xml:space="preserve">Pro firmy úroky na úvěrech v 1. pololetí spíše kolísaly. Od ledna do dubna </w:t>
            </w:r>
            <w:r w:rsidR="00B32F57">
              <w:t>bylo možné</w:t>
            </w:r>
            <w:r>
              <w:t xml:space="preserve"> pozorovat mírně růstové tendence, v následujících měsících však sazby klesaly. Růstový trend se po celé pololetí projevoval u úvěrů do 7,5 mil. korun. Od ledna do konce června došlo k posunu průměrného úročení vzhůru o 0,35</w:t>
            </w:r>
            <w:r w:rsidR="00EA4402">
              <w:t> p. b.</w:t>
            </w:r>
            <w:r>
              <w:t xml:space="preserve"> </w:t>
            </w:r>
            <w:proofErr w:type="gramStart"/>
            <w:r>
              <w:t>na</w:t>
            </w:r>
            <w:proofErr w:type="gramEnd"/>
            <w:r>
              <w:t xml:space="preserve"> 3,67</w:t>
            </w:r>
            <w:r w:rsidR="007B0E83">
              <w:t> %</w:t>
            </w:r>
            <w:r>
              <w:t>. Popsaná dynamika celkového růstu úrokových sazeb se projevovala u</w:t>
            </w:r>
            <w:r w:rsidR="007E4C70">
              <w:t> </w:t>
            </w:r>
            <w:r>
              <w:t>vyšších objemů úvěrů, nejvýrazněji u těch nad 30 mil. korun. Ke konci června se jejich průměrné úročení pohybovalo na 2,33</w:t>
            </w:r>
            <w:r w:rsidR="007B0E83">
              <w:t> %</w:t>
            </w:r>
            <w:r>
              <w:t>. Celkově se zvýšil objem úvěrů a pohledávek nefinančních podniků od ledna do června o 43,0 mld. korun (4,2</w:t>
            </w:r>
            <w:r w:rsidR="007B0E83">
              <w:t> %</w:t>
            </w:r>
            <w:r>
              <w:t>). Rostly zejména střednědobé úvěry. Jejich objem se zvýšil od ledna do června o 19,8 mld</w:t>
            </w:r>
            <w:r w:rsidR="008734E7">
              <w:t>.</w:t>
            </w:r>
            <w:r>
              <w:t xml:space="preserve"> (10,0</w:t>
            </w:r>
            <w:r w:rsidR="007B0E83">
              <w:t> %</w:t>
            </w:r>
            <w:r>
              <w:t>). Výraznější byl rovněž nárůst objemu úvěrů a pohledávek v cizí měně. Celkově se za 1. pololetí zvýšil o 20,7 mld. (6,9</w:t>
            </w:r>
            <w:r w:rsidR="007B0E83">
              <w:t> %</w:t>
            </w:r>
            <w:r>
              <w:t>). Poměrně vyrovnaný byl přitom růst objemu jednotlivých splatností úvěrů v cizí měně.</w:t>
            </w:r>
          </w:p>
        </w:tc>
      </w:tr>
      <w:tr w:rsidR="002F4AD8" w:rsidRPr="009110F7" w:rsidTr="002F4AD8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  <w:r>
              <w:t>Vývoj úvěrů v jednotlivých odvětvích zrcadlil celkový ekonomický vývoj.</w:t>
            </w:r>
          </w:p>
          <w:p w:rsidR="002F4AD8" w:rsidRDefault="002F4AD8" w:rsidP="009B05B3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rPr>
                <w:spacing w:val="-4"/>
              </w:rPr>
            </w:pPr>
          </w:p>
          <w:p w:rsidR="002F4AD8" w:rsidRDefault="002F4AD8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Default="002F4AD8" w:rsidP="00B32F57">
            <w:r>
              <w:t>Dynamika vývoje úvěrů podle jednotlivých odvětví do značné míry odrážela celkový ekonomický vývoj. Nejvýraznější byl nárůst úvěrů pro peněžnictví a pojišťovnictví (62,4 mld., 24,0</w:t>
            </w:r>
            <w:r w:rsidR="007B0E83">
              <w:t> %</w:t>
            </w:r>
            <w:r>
              <w:t xml:space="preserve"> od ledna do června). Výrazné oživení však nastartovalo růst objemu úvěrů ve stavebnictví (7,7 mld. korun, 17,7</w:t>
            </w:r>
            <w:r w:rsidR="007B0E83">
              <w:t> %</w:t>
            </w:r>
            <w:r>
              <w:t>). Ve zpracovatelském průmyslu se objem úvěrů zvýšil o 18,4 mld. korun (7,0</w:t>
            </w:r>
            <w:r w:rsidR="007B0E83">
              <w:t> %</w:t>
            </w:r>
            <w:r>
              <w:t xml:space="preserve">). Již v minulém roce se ukázaly zvýšené nároky zrychlené ekonomiky na odvětví </w:t>
            </w:r>
            <w:r w:rsidR="008734E7">
              <w:t xml:space="preserve">dopravy </w:t>
            </w:r>
            <w:r>
              <w:t>a skladování. Za 1. pololetí 2018 se rovněž výrazně zvýšil objem úvěr</w:t>
            </w:r>
            <w:r w:rsidR="00B32F57">
              <w:t>ů</w:t>
            </w:r>
            <w:r>
              <w:t xml:space="preserve"> v tomto odvětví (2,8 mld. korun, 5,9</w:t>
            </w:r>
            <w:r w:rsidR="007B0E83">
              <w:t> %</w:t>
            </w:r>
            <w:r>
              <w:t>). V 1.</w:t>
            </w:r>
            <w:r w:rsidR="008734E7">
              <w:t> </w:t>
            </w:r>
            <w:r>
              <w:t xml:space="preserve">pololetí naopak poklesl </w:t>
            </w:r>
            <w:r w:rsidR="00B32F57">
              <w:t xml:space="preserve">jejich </w:t>
            </w:r>
            <w:r>
              <w:t>objem</w:t>
            </w:r>
            <w:r w:rsidR="00B32F57">
              <w:t xml:space="preserve"> </w:t>
            </w:r>
            <w:r>
              <w:t>ve výrobě a rozvodu elektřiny, plynu, tepla</w:t>
            </w:r>
            <w:r w:rsidR="0073186D">
              <w:t xml:space="preserve"> a</w:t>
            </w:r>
            <w:r>
              <w:t xml:space="preserve"> vzduchu o 14,4 mld. </w:t>
            </w:r>
            <w:proofErr w:type="gramStart"/>
            <w:r>
              <w:t>korun (</w:t>
            </w:r>
            <w:r w:rsidR="008625D3">
              <w:t>–</w:t>
            </w:r>
            <w:r>
              <w:t>10,3</w:t>
            </w:r>
            <w:proofErr w:type="gramEnd"/>
            <w:r w:rsidR="007B0E83">
              <w:t> %</w:t>
            </w:r>
            <w:r>
              <w:t xml:space="preserve">). Pokračoval rovněž dlouhodobý pokles objemu úvěrů v těžbě a </w:t>
            </w:r>
            <w:proofErr w:type="gramStart"/>
            <w:r>
              <w:t>dobývání (</w:t>
            </w:r>
            <w:r w:rsidR="008625D3">
              <w:t>–</w:t>
            </w:r>
            <w:r>
              <w:t>3,2</w:t>
            </w:r>
            <w:proofErr w:type="gramEnd"/>
            <w:r>
              <w:t xml:space="preserve"> mld., </w:t>
            </w:r>
            <w:r w:rsidR="008625D3">
              <w:t>–</w:t>
            </w:r>
            <w:r>
              <w:t>28,5</w:t>
            </w:r>
            <w:r w:rsidR="007B0E83">
              <w:t> %</w:t>
            </w:r>
            <w:r>
              <w:t>).</w:t>
            </w:r>
          </w:p>
        </w:tc>
      </w:tr>
      <w:tr w:rsidR="002F4AD8" w:rsidRPr="009110F7" w:rsidTr="002F4AD8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Default="002F4AD8" w:rsidP="009B05B3">
            <w:pPr>
              <w:pStyle w:val="Textpoznpodarou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9110F7" w:rsidRDefault="002F4AD8" w:rsidP="00435C69">
            <w:pPr>
              <w:spacing w:after="0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č. </w:t>
            </w:r>
            <w:proofErr w:type="gramStart"/>
            <w:r w:rsidR="00435C69">
              <w:rPr>
                <w:rFonts w:cs="Arial"/>
                <w:b/>
                <w:bCs/>
                <w:color w:val="000000"/>
                <w:sz w:val="18"/>
                <w:szCs w:val="18"/>
              </w:rPr>
              <w:t>17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spacing w:val="-4"/>
                <w:sz w:val="18"/>
                <w:szCs w:val="18"/>
              </w:rPr>
              <w:t>Tržní</w:t>
            </w:r>
            <w:proofErr w:type="gramEnd"/>
            <w:r>
              <w:rPr>
                <w:b/>
                <w:spacing w:val="-4"/>
                <w:sz w:val="18"/>
                <w:szCs w:val="18"/>
              </w:rPr>
              <w:t xml:space="preserve"> úrokové sazby (v</w:t>
            </w:r>
            <w:r w:rsidR="007B0E83">
              <w:rPr>
                <w:b/>
                <w:spacing w:val="-4"/>
                <w:sz w:val="18"/>
                <w:szCs w:val="18"/>
              </w:rPr>
              <w:t> %</w:t>
            </w:r>
            <w:r>
              <w:rPr>
                <w:b/>
                <w:spacing w:val="-4"/>
                <w:sz w:val="18"/>
                <w:szCs w:val="18"/>
              </w:rPr>
              <w:t>)</w:t>
            </w:r>
          </w:p>
        </w:tc>
      </w:tr>
      <w:tr w:rsidR="002F4AD8" w:rsidRPr="009110F7" w:rsidTr="002F4AD8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9110F7" w:rsidRDefault="002F4AD8" w:rsidP="009B05B3">
            <w:pPr>
              <w:spacing w:after="0"/>
              <w:rPr>
                <w:sz w:val="14"/>
                <w:szCs w:val="14"/>
              </w:rPr>
            </w:pPr>
            <w:r w:rsidRPr="002B3223">
              <w:rPr>
                <w:noProof/>
              </w:rPr>
              <w:drawing>
                <wp:inline distT="0" distB="0" distL="0" distR="0">
                  <wp:extent cx="4737600" cy="3553200"/>
                  <wp:effectExtent l="19050" t="0" r="5850" b="0"/>
                  <wp:docPr id="3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2F4AD8" w:rsidRPr="009110F7" w:rsidTr="002F4AD8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ČNB</w:t>
            </w:r>
          </w:p>
        </w:tc>
      </w:tr>
    </w:tbl>
    <w:p w:rsidR="00965797" w:rsidRPr="009110F7" w:rsidRDefault="00965797" w:rsidP="00965797">
      <w:pPr>
        <w:pStyle w:val="Nadpis11"/>
      </w:pPr>
      <w:bookmarkStart w:id="12" w:name="_Toc525046027"/>
      <w:r w:rsidRPr="009110F7">
        <w:lastRenderedPageBreak/>
        <w:t>8. Státní rozpočet</w:t>
      </w:r>
      <w:bookmarkEnd w:id="12"/>
    </w:p>
    <w:tbl>
      <w:tblPr>
        <w:tblW w:w="9644" w:type="dxa"/>
        <w:tblInd w:w="-20" w:type="dxa"/>
        <w:tblCellMar>
          <w:left w:w="0" w:type="dxa"/>
          <w:right w:w="0" w:type="dxa"/>
        </w:tblCellMar>
        <w:tblLook w:val="00A0"/>
      </w:tblPr>
      <w:tblGrid>
        <w:gridCol w:w="1871"/>
        <w:gridCol w:w="8"/>
        <w:gridCol w:w="237"/>
        <w:gridCol w:w="10"/>
        <w:gridCol w:w="7518"/>
      </w:tblGrid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Saldo státního rozpočtu se vlivem slabší bilance ve 2.</w:t>
            </w:r>
            <w:r w:rsidRPr="00B1426F">
              <w:rPr>
                <w:spacing w:val="-3"/>
              </w:rPr>
              <w:t> </w:t>
            </w:r>
            <w:r>
              <w:t>čtvrtletí propadlo do mírného deficitu. Pololetní saldo bylo nejslabší za posledních pět let.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0C638B" w:rsidRDefault="00830AEA" w:rsidP="00333CD0">
            <w:pPr>
              <w:spacing w:after="220"/>
              <w:rPr>
                <w:spacing w:val="-2"/>
              </w:rPr>
            </w:pPr>
            <w:r>
              <w:rPr>
                <w:spacing w:val="-2"/>
              </w:rPr>
              <w:t>V</w:t>
            </w:r>
            <w:r w:rsidRPr="000C638B">
              <w:rPr>
                <w:spacing w:val="-2"/>
              </w:rPr>
              <w:t xml:space="preserve"> první</w:t>
            </w:r>
            <w:r>
              <w:rPr>
                <w:spacing w:val="-2"/>
              </w:rPr>
              <w:t xml:space="preserve"> polovině</w:t>
            </w:r>
            <w:r w:rsidRPr="000C638B">
              <w:rPr>
                <w:spacing w:val="-2"/>
              </w:rPr>
              <w:t xml:space="preserve"> letošního roku </w:t>
            </w:r>
            <w:r w:rsidR="006D18B3">
              <w:rPr>
                <w:spacing w:val="-2"/>
              </w:rPr>
              <w:t xml:space="preserve">skončil </w:t>
            </w:r>
            <w:r w:rsidRPr="000C638B">
              <w:rPr>
                <w:spacing w:val="-2"/>
              </w:rPr>
              <w:t>státní rozpočet (SR)</w:t>
            </w:r>
            <w:r w:rsidRPr="000C638B">
              <w:rPr>
                <w:rStyle w:val="Znakapoznpodarou"/>
                <w:spacing w:val="-2"/>
              </w:rPr>
              <w:footnoteReference w:id="43"/>
            </w:r>
            <w:r w:rsidR="006D18B3">
              <w:rPr>
                <w:spacing w:val="-2"/>
              </w:rPr>
              <w:t xml:space="preserve"> </w:t>
            </w:r>
            <w:r w:rsidRPr="000C638B">
              <w:rPr>
                <w:spacing w:val="-2"/>
              </w:rPr>
              <w:t>mírným schodkem ve výši 5,9 mld. korun</w:t>
            </w:r>
            <w:r>
              <w:rPr>
                <w:rStyle w:val="Znakapoznpodarou"/>
                <w:spacing w:val="-2"/>
              </w:rPr>
              <w:footnoteReference w:id="44"/>
            </w:r>
            <w:r w:rsidRPr="000C638B">
              <w:rPr>
                <w:spacing w:val="-2"/>
              </w:rPr>
              <w:t xml:space="preserve">. Rozpočtové saldo se v rámci tohoto období roku propadlo do deficitů poprvé za posledních pět let. Podepsala se na tom </w:t>
            </w:r>
            <w:r w:rsidR="008734E7" w:rsidRPr="000C638B">
              <w:rPr>
                <w:spacing w:val="-2"/>
              </w:rPr>
              <w:t>tradičn</w:t>
            </w:r>
            <w:r w:rsidR="008734E7">
              <w:rPr>
                <w:spacing w:val="-2"/>
              </w:rPr>
              <w:t>ě</w:t>
            </w:r>
            <w:r w:rsidR="008734E7" w:rsidRPr="000C638B">
              <w:rPr>
                <w:spacing w:val="-2"/>
              </w:rPr>
              <w:t xml:space="preserve"> </w:t>
            </w:r>
            <w:r w:rsidRPr="000C638B">
              <w:rPr>
                <w:spacing w:val="-2"/>
              </w:rPr>
              <w:t>slabší bilance hospodaření během 2. čtvrtletí, neboť za první tři měsíce roku docílil SR přebytku (16,3</w:t>
            </w:r>
            <w:r w:rsidR="008734E7">
              <w:rPr>
                <w:spacing w:val="-2"/>
              </w:rPr>
              <w:t> </w:t>
            </w:r>
            <w:r w:rsidRPr="000C638B">
              <w:rPr>
                <w:spacing w:val="-2"/>
              </w:rPr>
              <w:t xml:space="preserve">mld.). Na hospodaření státu měl i přes náznaky zpomalování klíčový vliv </w:t>
            </w:r>
            <w:r>
              <w:rPr>
                <w:spacing w:val="-2"/>
              </w:rPr>
              <w:t>ekonomic</w:t>
            </w:r>
            <w:r w:rsidRPr="000C638B">
              <w:rPr>
                <w:spacing w:val="-2"/>
              </w:rPr>
              <w:t xml:space="preserve">ký růst, jakož i výrazná nerovnoměrnost čerpání prostředků z evropských fondů (byť se letos </w:t>
            </w:r>
            <w:r>
              <w:rPr>
                <w:spacing w:val="-2"/>
              </w:rPr>
              <w:t>zřejmě</w:t>
            </w:r>
            <w:r w:rsidRPr="000C638B">
              <w:rPr>
                <w:spacing w:val="-2"/>
              </w:rPr>
              <w:t xml:space="preserve"> odrazila v menším rozsahu nežli v předešlých čtyřech letech)</w:t>
            </w:r>
            <w:r w:rsidRPr="000C638B">
              <w:rPr>
                <w:rStyle w:val="Znakapoznpodarou"/>
                <w:spacing w:val="-2"/>
              </w:rPr>
              <w:footnoteReference w:id="45"/>
            </w:r>
            <w:r w:rsidRPr="000C638B">
              <w:rPr>
                <w:spacing w:val="-2"/>
              </w:rPr>
              <w:t>. Projevil se ale také vliv akcelerace běžných výdajů SR, které letos vzrostly již o 8,4</w:t>
            </w:r>
            <w:r w:rsidR="007B0E83">
              <w:rPr>
                <w:spacing w:val="-2"/>
              </w:rPr>
              <w:t> %</w:t>
            </w:r>
            <w:r w:rsidRPr="000C638B">
              <w:rPr>
                <w:spacing w:val="-2"/>
              </w:rPr>
              <w:t xml:space="preserve">, nejsilnějším meziročním tempem za posledních dvanáct let. </w:t>
            </w:r>
            <w:r>
              <w:rPr>
                <w:rFonts w:cs="Arial"/>
                <w:color w:val="0D0D0D" w:themeColor="text1" w:themeTint="F2"/>
                <w:spacing w:val="-2"/>
              </w:rPr>
              <w:t>Saldo SR, tvořící</w:t>
            </w:r>
            <w:r w:rsidRPr="000C638B">
              <w:rPr>
                <w:color w:val="0D0D0D" w:themeColor="text1" w:themeTint="F2"/>
                <w:spacing w:val="-2"/>
              </w:rPr>
              <w:t> </w:t>
            </w:r>
            <w:r w:rsidRPr="000C638B">
              <w:rPr>
                <w:rFonts w:cs="Arial"/>
                <w:color w:val="0D0D0D" w:themeColor="text1" w:themeTint="F2"/>
                <w:spacing w:val="-2"/>
              </w:rPr>
              <w:t>klíčovou složku deficitu či přebytku hospodaření sektoru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vládních institucí, činilo v</w:t>
            </w:r>
            <w:r w:rsidRPr="000C638B">
              <w:rPr>
                <w:color w:val="0D0D0D" w:themeColor="text1" w:themeTint="F2"/>
                <w:spacing w:val="-2"/>
              </w:rPr>
              <w:t> </w:t>
            </w:r>
            <w:r w:rsidRPr="000C638B">
              <w:rPr>
                <w:rFonts w:cs="Arial"/>
                <w:color w:val="0D0D0D" w:themeColor="text1" w:themeTint="F2"/>
                <w:spacing w:val="-2"/>
              </w:rPr>
              <w:t>relaci k</w:t>
            </w:r>
            <w:r w:rsidRPr="000C638B">
              <w:rPr>
                <w:color w:val="0D0D0D" w:themeColor="text1" w:themeTint="F2"/>
                <w:spacing w:val="-2"/>
              </w:rPr>
              <w:t> </w:t>
            </w:r>
            <w:r w:rsidRPr="000C638B">
              <w:rPr>
                <w:rFonts w:cs="Arial"/>
                <w:color w:val="000000" w:themeColor="text1"/>
                <w:spacing w:val="-2"/>
              </w:rPr>
              <w:t xml:space="preserve">nominálnímu </w:t>
            </w:r>
            <w:r>
              <w:rPr>
                <w:rFonts w:cs="Arial"/>
                <w:color w:val="000000" w:themeColor="text1"/>
                <w:spacing w:val="-2"/>
              </w:rPr>
              <w:t>HDP v</w:t>
            </w:r>
            <w:r w:rsidR="008E292B">
              <w:rPr>
                <w:rFonts w:cs="Arial"/>
                <w:color w:val="000000" w:themeColor="text1"/>
                <w:spacing w:val="-2"/>
              </w:rPr>
              <w:t xml:space="preserve"> </w:t>
            </w:r>
            <w:r>
              <w:rPr>
                <w:rFonts w:cs="Arial"/>
                <w:color w:val="000000" w:themeColor="text1"/>
                <w:spacing w:val="-2"/>
              </w:rPr>
              <w:t xml:space="preserve">1. </w:t>
            </w:r>
            <w:proofErr w:type="gramStart"/>
            <w:r>
              <w:rPr>
                <w:rFonts w:cs="Arial"/>
                <w:color w:val="000000" w:themeColor="text1"/>
                <w:spacing w:val="-2"/>
              </w:rPr>
              <w:t>pololetí</w:t>
            </w:r>
            <w:r w:rsidRPr="000C638B">
              <w:rPr>
                <w:rFonts w:cs="Arial"/>
                <w:color w:val="000000" w:themeColor="text1"/>
                <w:spacing w:val="-2"/>
              </w:rPr>
              <w:t xml:space="preserve"> </w:t>
            </w:r>
            <w:r w:rsidR="008625D3">
              <w:rPr>
                <w:rFonts w:cs="Arial"/>
                <w:color w:val="000000" w:themeColor="text1"/>
                <w:spacing w:val="-2"/>
              </w:rPr>
              <w:t>–</w:t>
            </w:r>
            <w:r w:rsidRPr="000C638B">
              <w:rPr>
                <w:rFonts w:cs="Arial"/>
                <w:color w:val="000000" w:themeColor="text1"/>
                <w:spacing w:val="-2"/>
              </w:rPr>
              <w:t>0,2</w:t>
            </w:r>
            <w:proofErr w:type="gramEnd"/>
            <w:r w:rsidRPr="000C638B">
              <w:rPr>
                <w:rFonts w:cs="Arial"/>
                <w:color w:val="000000" w:themeColor="text1"/>
                <w:spacing w:val="-2"/>
              </w:rPr>
              <w:t> %</w:t>
            </w:r>
            <w:r w:rsidR="008E292B">
              <w:rPr>
                <w:rFonts w:cs="Arial"/>
                <w:color w:val="000000" w:themeColor="text1"/>
                <w:spacing w:val="-2"/>
              </w:rPr>
              <w:t>.</w:t>
            </w:r>
          </w:p>
        </w:tc>
      </w:tr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Tempo růstu celostátního výběru všech daňových příjmů oproti silným rokům 2016 i 2017 letos zvolnilo.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0C638B" w:rsidRDefault="00830AEA" w:rsidP="00333CD0">
            <w:pPr>
              <w:spacing w:after="220"/>
              <w:rPr>
                <w:spacing w:val="-2"/>
              </w:rPr>
            </w:pPr>
            <w:r>
              <w:rPr>
                <w:spacing w:val="-2"/>
              </w:rPr>
              <w:t>K posílení</w:t>
            </w:r>
            <w:r w:rsidRPr="000C638B">
              <w:rPr>
                <w:spacing w:val="-2"/>
              </w:rPr>
              <w:t xml:space="preserve"> pololetních příjmů SR (o 8,5</w:t>
            </w:r>
            <w:r w:rsidR="007B0E83">
              <w:rPr>
                <w:spacing w:val="-2"/>
              </w:rPr>
              <w:t> %</w:t>
            </w:r>
            <w:r w:rsidRPr="000C638B">
              <w:rPr>
                <w:spacing w:val="-2"/>
              </w:rPr>
              <w:t xml:space="preserve"> meziročně) přispěl </w:t>
            </w:r>
            <w:r>
              <w:rPr>
                <w:spacing w:val="-2"/>
              </w:rPr>
              <w:t>nejen vyš</w:t>
            </w:r>
            <w:r w:rsidRPr="000C638B">
              <w:rPr>
                <w:spacing w:val="-2"/>
              </w:rPr>
              <w:t>ší výběr daní, ale na rozdíl od loňského roku i růst n</w:t>
            </w:r>
            <w:r>
              <w:rPr>
                <w:spacing w:val="-2"/>
              </w:rPr>
              <w:t>edaňových příjmů tažených intenzivnějším</w:t>
            </w:r>
            <w:r w:rsidRPr="000C638B">
              <w:rPr>
                <w:spacing w:val="-2"/>
              </w:rPr>
              <w:t xml:space="preserve"> přílivem prostředků z EU. Nejednalo</w:t>
            </w:r>
            <w:r>
              <w:rPr>
                <w:spacing w:val="-2"/>
              </w:rPr>
              <w:t xml:space="preserve"> se</w:t>
            </w:r>
            <w:r w:rsidRPr="000C638B">
              <w:rPr>
                <w:spacing w:val="-2"/>
              </w:rPr>
              <w:t xml:space="preserve"> o </w:t>
            </w:r>
            <w:r>
              <w:rPr>
                <w:spacing w:val="-2"/>
              </w:rPr>
              <w:t xml:space="preserve">důsledek </w:t>
            </w:r>
            <w:r w:rsidRPr="000C638B">
              <w:rPr>
                <w:spacing w:val="-2"/>
              </w:rPr>
              <w:t>zrychlení čerpání evropských fondů</w:t>
            </w:r>
            <w:r>
              <w:rPr>
                <w:spacing w:val="-2"/>
              </w:rPr>
              <w:t xml:space="preserve"> v předchozích měsících, ale</w:t>
            </w:r>
            <w:r w:rsidRPr="000C638B">
              <w:rPr>
                <w:spacing w:val="-2"/>
              </w:rPr>
              <w:t xml:space="preserve"> o dobíhající platby vztahující se k již skončenému programovému období</w:t>
            </w:r>
            <w:r w:rsidRPr="000C638B">
              <w:rPr>
                <w:rStyle w:val="Znakapoznpodarou"/>
                <w:spacing w:val="-2"/>
              </w:rPr>
              <w:footnoteReference w:id="46"/>
            </w:r>
            <w:r w:rsidRPr="000C638B">
              <w:rPr>
                <w:spacing w:val="-2"/>
              </w:rPr>
              <w:t>. Celostátní výběr daňových příjmů dokumentující vliv kondice ekonomiky i efektivitu výběru daní, meziročně posílil (bez pojistného) o 6,2</w:t>
            </w:r>
            <w:r w:rsidR="007B0E83">
              <w:rPr>
                <w:spacing w:val="-2"/>
              </w:rPr>
              <w:t> %</w:t>
            </w:r>
            <w:r w:rsidRPr="000C638B">
              <w:rPr>
                <w:spacing w:val="-2"/>
              </w:rPr>
              <w:t xml:space="preserve"> (v první polovině let 2016 i 2017 však převyšoval 9% hranici). Ve vysoké loňské základně se projevil nejen vliv vr</w:t>
            </w:r>
            <w:r>
              <w:rPr>
                <w:spacing w:val="-2"/>
              </w:rPr>
              <w:t xml:space="preserve">cholící konjunktury, ale </w:t>
            </w:r>
            <w:r w:rsidRPr="000C638B">
              <w:rPr>
                <w:spacing w:val="-2"/>
              </w:rPr>
              <w:t>patrně i dopad kontrolních opatření zavedených na straně výběru daně. Vyšší</w:t>
            </w:r>
            <w:r>
              <w:rPr>
                <w:spacing w:val="-2"/>
              </w:rPr>
              <w:t xml:space="preserve"> výběr daní byl letos tažen hlavně inkasem daně z přidané hodnoty (</w:t>
            </w:r>
            <w:r w:rsidRPr="000C638B">
              <w:rPr>
                <w:spacing w:val="-2"/>
              </w:rPr>
              <w:t>DPH</w:t>
            </w:r>
            <w:r>
              <w:rPr>
                <w:spacing w:val="-2"/>
              </w:rPr>
              <w:t>)</w:t>
            </w:r>
            <w:r w:rsidRPr="000C638B">
              <w:rPr>
                <w:spacing w:val="-2"/>
              </w:rPr>
              <w:t xml:space="preserve"> a daně z příjmu fyzických osob ze závislé činnosti.</w:t>
            </w:r>
          </w:p>
        </w:tc>
      </w:tr>
      <w:tr w:rsidR="005F114F" w:rsidTr="00333CD0">
        <w:trPr>
          <w:trHeight w:val="170"/>
        </w:trPr>
        <w:tc>
          <w:tcPr>
            <w:tcW w:w="1879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spacing w:after="0" w:line="240" w:lineRule="auto"/>
              <w:rPr>
                <w:rFonts w:cs="Arial"/>
                <w:bCs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>Graf č. 18: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Celostátní inkasa vybraných daňových příjmů </w:t>
            </w:r>
            <w:r>
              <w:rPr>
                <w:rFonts w:cs="Arial"/>
                <w:bCs/>
              </w:rPr>
              <w:t>(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  <w:r>
              <w:rPr>
                <w:rFonts w:cs="Arial"/>
                <w:bCs/>
              </w:rPr>
              <w:t xml:space="preserve"> </w:t>
            </w:r>
          </w:p>
          <w:p w:rsidR="00830AEA" w:rsidRPr="00F704D2" w:rsidRDefault="00830AEA" w:rsidP="00333CD0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a saldo státního rozpočtu</w:t>
            </w:r>
            <w:r>
              <w:t xml:space="preserve"> </w:t>
            </w:r>
            <w:r>
              <w:rPr>
                <w:rFonts w:cs="Arial"/>
                <w:bCs/>
              </w:rPr>
              <w:t>(v mld. korun)</w:t>
            </w:r>
            <w:r w:rsidRPr="00EC1C49">
              <w:rPr>
                <w:rFonts w:cs="Arial"/>
                <w:b/>
                <w:bCs/>
              </w:rPr>
              <w:t xml:space="preserve"> v rámci 1. </w:t>
            </w:r>
            <w:r>
              <w:rPr>
                <w:rFonts w:cs="Arial"/>
                <w:b/>
                <w:bCs/>
              </w:rPr>
              <w:t>pololetí</w:t>
            </w:r>
          </w:p>
        </w:tc>
      </w:tr>
      <w:tr w:rsidR="005F114F" w:rsidTr="00333CD0">
        <w:trPr>
          <w:trHeight w:val="170"/>
        </w:trPr>
        <w:tc>
          <w:tcPr>
            <w:tcW w:w="1879" w:type="dxa"/>
            <w:gridSpan w:val="2"/>
            <w:vMerge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vMerge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spacing w:after="0"/>
            </w:pPr>
            <w:r w:rsidRPr="00283ABC">
              <w:rPr>
                <w:noProof/>
              </w:rPr>
              <w:drawing>
                <wp:inline distT="0" distB="0" distL="0" distR="0">
                  <wp:extent cx="4743450" cy="3143250"/>
                  <wp:effectExtent l="19050" t="0" r="0" b="0"/>
                  <wp:docPr id="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5F114F" w:rsidTr="00333CD0">
        <w:trPr>
          <w:trHeight w:val="170"/>
        </w:trPr>
        <w:tc>
          <w:tcPr>
            <w:tcW w:w="1879" w:type="dxa"/>
            <w:gridSpan w:val="2"/>
            <w:vMerge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vMerge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A85DE1" w:rsidRDefault="00830AEA" w:rsidP="00333CD0"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MF </w:t>
            </w:r>
            <w:r w:rsidR="00192F05">
              <w:rPr>
                <w:sz w:val="14"/>
                <w:szCs w:val="14"/>
              </w:rPr>
              <w:t>ČR</w:t>
            </w:r>
          </w:p>
        </w:tc>
      </w:tr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  <w:rPr>
                <w:spacing w:val="-3"/>
              </w:rPr>
            </w:pPr>
            <w:r w:rsidRPr="00B1426F">
              <w:rPr>
                <w:spacing w:val="-3"/>
              </w:rPr>
              <w:lastRenderedPageBreak/>
              <w:t>Po postupném vyprchávání mimořádných růstových faktorů se vývoj inkasa DPH začal opět sbližovat s vývojem výdajů na konečnou spotřebu</w:t>
            </w:r>
            <w:r>
              <w:rPr>
                <w:spacing w:val="-3"/>
              </w:rPr>
              <w:t>.</w:t>
            </w:r>
          </w:p>
          <w:p w:rsidR="00830AEA" w:rsidRDefault="00830AEA" w:rsidP="00333CD0">
            <w:pPr>
              <w:pStyle w:val="Marginlie"/>
              <w:rPr>
                <w:spacing w:val="-3"/>
              </w:rPr>
            </w:pPr>
          </w:p>
          <w:p w:rsidR="00830AEA" w:rsidRDefault="00830AEA" w:rsidP="00333CD0">
            <w:pPr>
              <w:pStyle w:val="Marginlie"/>
              <w:rPr>
                <w:spacing w:val="-3"/>
              </w:rPr>
            </w:pPr>
          </w:p>
          <w:p w:rsidR="00830AEA" w:rsidRPr="00B1426F" w:rsidRDefault="00830AEA" w:rsidP="00333CD0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t>Výběr klíčových položek spotřební daně zůstal vlivem protichůdně působících faktorů bez výraznějších změn.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6D18B3" w:rsidRDefault="00830AEA" w:rsidP="00B62316">
            <w:pPr>
              <w:spacing w:after="210"/>
              <w:rPr>
                <w:rFonts w:cs="Arial"/>
                <w:color w:val="000000" w:themeColor="text1"/>
                <w:spacing w:val="-4"/>
              </w:rPr>
            </w:pPr>
            <w:r w:rsidRPr="006D18B3">
              <w:rPr>
                <w:rFonts w:cs="Arial"/>
                <w:color w:val="000000" w:themeColor="text1"/>
                <w:spacing w:val="-4"/>
              </w:rPr>
              <w:t>Celostátní výběr objemově dominantní daně (DPH) vzrostl o 8,2</w:t>
            </w:r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 xml:space="preserve"> (na úrovni SR jen o 4,9</w:t>
            </w:r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>)</w:t>
            </w:r>
            <w:r w:rsidRPr="006D18B3">
              <w:rPr>
                <w:rStyle w:val="Znakapoznpodarou"/>
                <w:color w:val="000000" w:themeColor="text1"/>
                <w:spacing w:val="-4"/>
              </w:rPr>
              <w:footnoteReference w:id="47"/>
            </w:r>
            <w:r w:rsidRPr="006D18B3">
              <w:rPr>
                <w:rFonts w:cs="Arial"/>
                <w:color w:val="000000" w:themeColor="text1"/>
                <w:spacing w:val="-4"/>
              </w:rPr>
              <w:t>. Z rekordního tempa zaznamenaného v 1. pololetí 2017 (14,2</w:t>
            </w:r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>) značně slevil. V průběhu 2. čtvrtletí 2018 však efekt nestandardně vysoké základny</w:t>
            </w:r>
            <w:r w:rsidRPr="006D18B3">
              <w:rPr>
                <w:rStyle w:val="Znakapoznpodarou"/>
                <w:color w:val="000000" w:themeColor="text1"/>
                <w:spacing w:val="-4"/>
              </w:rPr>
              <w:footnoteReference w:id="48"/>
            </w:r>
            <w:r w:rsidRPr="006D18B3">
              <w:rPr>
                <w:rFonts w:cs="Arial"/>
                <w:color w:val="000000" w:themeColor="text1"/>
                <w:spacing w:val="-4"/>
              </w:rPr>
              <w:t xml:space="preserve"> postupně vyprchával a dynamika výběru DPH se výrazněji sbližovala s vývojem výdajů na konečnou spotřebu domácností či vlády. Souhrnný růst inkasa spotřebních daní zůstal letos (shodně jako v loňském 1. pololetí) těsně pod 1</w:t>
            </w:r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>. Mírný růst výběru váhově dominantní spotřební daně z minerálních olejů (o 1,8</w:t>
            </w:r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 xml:space="preserve">) vykompenzoval menší, ale rozpočtem očekávaný výpadek příjmů u daně z tabákových </w:t>
            </w:r>
            <w:proofErr w:type="gramStart"/>
            <w:r w:rsidRPr="006D18B3">
              <w:rPr>
                <w:rFonts w:cs="Arial"/>
                <w:color w:val="000000" w:themeColor="text1"/>
                <w:spacing w:val="-4"/>
              </w:rPr>
              <w:t>výrobků (</w:t>
            </w:r>
            <w:r w:rsidR="008625D3" w:rsidRPr="006D18B3">
              <w:rPr>
                <w:rFonts w:cs="Arial"/>
                <w:color w:val="000000" w:themeColor="text1"/>
                <w:spacing w:val="-4"/>
              </w:rPr>
              <w:t>–</w:t>
            </w:r>
            <w:r w:rsidRPr="006D18B3">
              <w:rPr>
                <w:rFonts w:cs="Arial"/>
                <w:color w:val="000000" w:themeColor="text1"/>
                <w:spacing w:val="-4"/>
              </w:rPr>
              <w:t>1,1</w:t>
            </w:r>
            <w:proofErr w:type="gramEnd"/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>)</w:t>
            </w:r>
            <w:r w:rsidRPr="006D18B3">
              <w:rPr>
                <w:rStyle w:val="Znakapoznpodarou"/>
                <w:color w:val="000000" w:themeColor="text1"/>
                <w:spacing w:val="-4"/>
              </w:rPr>
              <w:footnoteReference w:id="49"/>
            </w:r>
            <w:r w:rsidRPr="006D18B3">
              <w:rPr>
                <w:rFonts w:cs="Arial"/>
                <w:color w:val="000000" w:themeColor="text1"/>
                <w:spacing w:val="-4"/>
              </w:rPr>
              <w:t xml:space="preserve">. Robustnějšímu růstu výběru daně z minerálních olejů (v souvislosti </w:t>
            </w:r>
            <w:r w:rsidR="00220A43" w:rsidRPr="006D18B3">
              <w:rPr>
                <w:rFonts w:cs="Arial"/>
                <w:color w:val="000000" w:themeColor="text1"/>
                <w:spacing w:val="-4"/>
              </w:rPr>
              <w:t>s </w:t>
            </w:r>
            <w:r w:rsidRPr="006D18B3">
              <w:rPr>
                <w:rFonts w:cs="Arial"/>
                <w:color w:val="000000" w:themeColor="text1"/>
                <w:spacing w:val="-4"/>
              </w:rPr>
              <w:t>efektem příznivého ekonomického vývoje na rostoucí mobilitu podpořený</w:t>
            </w:r>
            <w:r w:rsidR="00220A43" w:rsidRPr="006D18B3">
              <w:rPr>
                <w:rFonts w:cs="Arial"/>
                <w:color w:val="000000" w:themeColor="text1"/>
                <w:spacing w:val="-4"/>
              </w:rPr>
              <w:t>m</w:t>
            </w:r>
            <w:r w:rsidRPr="006D18B3">
              <w:rPr>
                <w:rFonts w:cs="Arial"/>
                <w:color w:val="000000" w:themeColor="text1"/>
                <w:spacing w:val="-4"/>
              </w:rPr>
              <w:t xml:space="preserve"> i teplým počasím) bránily administrativní a cenové vlivy</w:t>
            </w:r>
            <w:r w:rsidRPr="006D18B3">
              <w:rPr>
                <w:rStyle w:val="Znakapoznpodarou"/>
                <w:color w:val="000000" w:themeColor="text1"/>
                <w:spacing w:val="-4"/>
              </w:rPr>
              <w:footnoteReference w:id="50"/>
            </w:r>
            <w:r w:rsidRPr="006D18B3">
              <w:rPr>
                <w:rFonts w:cs="Arial"/>
                <w:color w:val="000000" w:themeColor="text1"/>
                <w:spacing w:val="-4"/>
              </w:rPr>
              <w:t>. Zatímco dosavadní letošní výběr klíčových položek spotřební daně kopíruje rozpočtová očekávání, u DPH za nimi mírně zaostával.</w:t>
            </w:r>
          </w:p>
        </w:tc>
      </w:tr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 xml:space="preserve">Výběr korporátní daně zvolnil na nejnižší tempo od konce poslední recese. 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9E3710" w:rsidRDefault="00830AEA" w:rsidP="00B62316">
            <w:pPr>
              <w:spacing w:after="21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00000" w:themeColor="text1"/>
                <w:spacing w:val="-2"/>
              </w:rPr>
              <w:t xml:space="preserve">Objem vybrané daně </w:t>
            </w:r>
            <w:r>
              <w:t xml:space="preserve">z příjmu právnických osob v 1. pololetí meziročně stagnoval. Náznaky zpomalení růstu, související s nižší ziskovostí podniků zejména vlivem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sílících </w:t>
            </w:r>
            <w:r w:rsidRPr="00E12BB3">
              <w:rPr>
                <w:rFonts w:cs="Arial"/>
                <w:color w:val="0D0D0D" w:themeColor="text1" w:themeTint="F2"/>
                <w:spacing w:val="-4"/>
              </w:rPr>
              <w:t>mzdových nákladů</w:t>
            </w:r>
            <w:r>
              <w:rPr>
                <w:rFonts w:cs="Arial"/>
                <w:color w:val="0D0D0D" w:themeColor="text1" w:themeTint="F2"/>
                <w:spacing w:val="-4"/>
              </w:rPr>
              <w:t>, byly patrné již během loňského roku. Vzhledem k tomu, že celoroční úhrada</w:t>
            </w:r>
            <w:r w:rsidRPr="009E3710">
              <w:rPr>
                <w:rFonts w:cs="Arial"/>
                <w:color w:val="0D0D0D" w:themeColor="text1" w:themeTint="F2"/>
                <w:spacing w:val="-4"/>
              </w:rPr>
              <w:t xml:space="preserve"> daně od největších plátců se </w:t>
            </w:r>
            <w:r>
              <w:rPr>
                <w:rFonts w:cs="Arial"/>
                <w:color w:val="0D0D0D" w:themeColor="text1" w:themeTint="F2"/>
                <w:spacing w:val="-4"/>
              </w:rPr>
              <w:t>projevuje</w:t>
            </w:r>
            <w:r w:rsidRPr="009E3710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nejen v</w:t>
            </w:r>
            <w:r w:rsidR="00AB6456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červnu</w:t>
            </w:r>
            <w:r w:rsidR="00AB6456">
              <w:rPr>
                <w:rFonts w:cs="Arial"/>
                <w:color w:val="0D0D0D" w:themeColor="text1" w:themeTint="F2"/>
                <w:spacing w:val="-4"/>
              </w:rPr>
              <w:t>,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ale i v červenci, je vhodnější tuto daň srovnávat v kumulaci za prvních sedm měsíců v roce. V tomto případě činil meziroční růst inkasa 2,6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(blížil se tak rozpočtově očekávané dynamice). Zároveň byl ale nejslabší za posledních pět let (resp. od konce poslední recese). </w:t>
            </w:r>
          </w:p>
        </w:tc>
      </w:tr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 xml:space="preserve">Vývoj na pracovním trhu se příznivě promítl do inkasa DPFO ze závislé činnosti. </w:t>
            </w:r>
            <w:r w:rsidR="00AB6456">
              <w:t xml:space="preserve">To vzrostlo </w:t>
            </w:r>
            <w:r>
              <w:t>meziročně o rekordních 15,4</w:t>
            </w:r>
            <w:r w:rsidR="007B0E83">
              <w:t> %</w:t>
            </w:r>
            <w:r>
              <w:t>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BE7FC9" w:rsidRDefault="00830AEA" w:rsidP="00B62316">
            <w:pPr>
              <w:spacing w:after="200"/>
              <w:rPr>
                <w:rFonts w:cs="Arial"/>
                <w:spacing w:val="-4"/>
              </w:rPr>
            </w:pPr>
            <w:r>
              <w:rPr>
                <w:rFonts w:cs="Arial"/>
                <w:color w:val="000000" w:themeColor="text1"/>
                <w:spacing w:val="-2"/>
              </w:rPr>
              <w:t xml:space="preserve">Celostátní výběr </w:t>
            </w:r>
            <w:r w:rsidRPr="00E12BB3">
              <w:rPr>
                <w:rFonts w:cs="Arial"/>
                <w:color w:val="0D0D0D" w:themeColor="text1" w:themeTint="F2"/>
                <w:spacing w:val="-4"/>
              </w:rPr>
              <w:t>daně z příjmů fyzických osob (DPFO) ze závislé činnosti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nadále sílil. Zatímco v první polovině loňského roku rostl o 12,6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, letos již o 15,4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(meziroční tempa byla letos v obou čtvrtletích shodná). Podobné tempo se naposledy objevilo ve 2. čtvrtletí konjunkturního roku 2007. V současné dynamice inkasa se projevuje nejen dopad rekordního počtu pracujících i akcelerující průměrné mzdy (vlivem tržních faktorů i navyšování minimální mzdy), ale i daňová politika státu (zvýšená podpora rodin s dětmi). Inkaso </w:t>
            </w:r>
            <w:r w:rsidRPr="00E12BB3">
              <w:rPr>
                <w:rFonts w:cs="Arial"/>
                <w:spacing w:val="-4"/>
              </w:rPr>
              <w:t>DPFO ze sam</w:t>
            </w:r>
            <w:r>
              <w:rPr>
                <w:rFonts w:cs="Arial"/>
                <w:spacing w:val="-4"/>
              </w:rPr>
              <w:t>ostatné výdělečné činnosti (placené plátci) zůstalo na konci pololetí kladné již třetím rokem v řadě (letos +0,7 mld. korun). Zároveň však bylo meziročně o polovinu nižší</w:t>
            </w:r>
            <w:r>
              <w:rPr>
                <w:rStyle w:val="Znakapoznpodarou"/>
                <w:spacing w:val="-4"/>
              </w:rPr>
              <w:footnoteReference w:id="51"/>
            </w:r>
            <w:r>
              <w:rPr>
                <w:rFonts w:cs="Arial"/>
                <w:spacing w:val="-4"/>
              </w:rPr>
              <w:t>. Pod úrovní loňského roku se nacházelo inkaso i</w:t>
            </w:r>
            <w:r w:rsidR="00AB6456">
              <w:rPr>
                <w:rFonts w:cs="Arial"/>
                <w:spacing w:val="-4"/>
              </w:rPr>
              <w:t> </w:t>
            </w:r>
            <w:r>
              <w:rPr>
                <w:rFonts w:cs="Arial"/>
                <w:spacing w:val="-4"/>
              </w:rPr>
              <w:t>v 1.</w:t>
            </w:r>
            <w:r w:rsidR="00AB6456">
              <w:rPr>
                <w:rFonts w:cs="Arial"/>
                <w:spacing w:val="-4"/>
              </w:rPr>
              <w:t> </w:t>
            </w:r>
            <w:r>
              <w:rPr>
                <w:rFonts w:cs="Arial"/>
                <w:spacing w:val="-4"/>
              </w:rPr>
              <w:t>čtvrtletí (</w:t>
            </w:r>
            <w:r w:rsidRPr="00BF16D4">
              <w:rPr>
                <w:rFonts w:cs="Arial"/>
                <w:spacing w:val="-4"/>
                <w:szCs w:val="20"/>
              </w:rPr>
              <w:t xml:space="preserve">před </w:t>
            </w:r>
            <w:r w:rsidRPr="00BF16D4">
              <w:rPr>
                <w:szCs w:val="20"/>
              </w:rPr>
              <w:t xml:space="preserve">ročním zúčtováním záloh na základě podání daňových přiznání). Navzdory </w:t>
            </w:r>
            <w:r w:rsidRPr="00F9009F">
              <w:rPr>
                <w:szCs w:val="20"/>
              </w:rPr>
              <w:t xml:space="preserve">dlouhodobějšímu růstu ekonomiky i mírnému </w:t>
            </w:r>
            <w:proofErr w:type="gramStart"/>
            <w:r w:rsidRPr="00F9009F">
              <w:rPr>
                <w:szCs w:val="20"/>
              </w:rPr>
              <w:t>navyšovaní</w:t>
            </w:r>
            <w:proofErr w:type="gramEnd"/>
            <w:r w:rsidRPr="00F9009F">
              <w:rPr>
                <w:szCs w:val="20"/>
              </w:rPr>
              <w:t xml:space="preserve"> počtu podnikajících osob zatím zůstává výběr této daně za rozpočtovým očekáváním. Inkaso DPFO plynoucí z kapitálových výnosů bylo meziročně o téměř osminu vyšší</w:t>
            </w:r>
            <w:r>
              <w:rPr>
                <w:szCs w:val="20"/>
              </w:rPr>
              <w:t xml:space="preserve"> (v loňském roce přitom výběr meziročně mírně klesal)</w:t>
            </w:r>
            <w:r w:rsidR="00AB6456">
              <w:rPr>
                <w:szCs w:val="20"/>
              </w:rPr>
              <w:t>, p</w:t>
            </w:r>
            <w:r>
              <w:rPr>
                <w:szCs w:val="20"/>
              </w:rPr>
              <w:t>ozitivní dopad na příjmy SR byl však vzhledem k nízké váze této daně prakticky zanedbatelný.</w:t>
            </w:r>
          </w:p>
        </w:tc>
      </w:tr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Růst celkových výdajů SR letos akceleroval na desetileté maximum. Stály za tím jak vyšší běžné výdaje, tak i zrychlené čerpání prostředků z rozpočtu EU…</w:t>
            </w:r>
            <w:r w:rsidR="00676736">
              <w:t>,</w:t>
            </w:r>
          </w:p>
          <w:p w:rsidR="00830AEA" w:rsidRDefault="00830AEA" w:rsidP="00333CD0">
            <w:pPr>
              <w:pStyle w:val="Marginlie"/>
            </w:pPr>
            <w:r>
              <w:lastRenderedPageBreak/>
              <w:t>…</w:t>
            </w:r>
            <w:r w:rsidR="00676736">
              <w:t> </w:t>
            </w:r>
            <w:r>
              <w:t>velmi nízké čerpání investic ze SR na výhradně národní projekty ale přetrvávalo.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6D18B3" w:rsidRDefault="00830AEA" w:rsidP="00B62316">
            <w:pPr>
              <w:spacing w:after="210"/>
              <w:rPr>
                <w:rFonts w:cs="Arial"/>
                <w:color w:val="000000" w:themeColor="text1"/>
                <w:spacing w:val="-4"/>
              </w:rPr>
            </w:pPr>
            <w:r w:rsidRPr="006D18B3">
              <w:rPr>
                <w:rFonts w:cs="Arial"/>
                <w:color w:val="000000" w:themeColor="text1"/>
                <w:spacing w:val="-4"/>
              </w:rPr>
              <w:t xml:space="preserve">Tempo meziročního </w:t>
            </w:r>
            <w:r w:rsidRPr="006D18B3">
              <w:rPr>
                <w:spacing w:val="-4"/>
                <w:szCs w:val="20"/>
              </w:rPr>
              <w:t>růstu celkových výdajů SR v 1. pololetí výrazně zrychlilo (na 10,2 %, o rok dříve jen 2,5</w:t>
            </w:r>
            <w:r w:rsidR="007B0E83" w:rsidRPr="006D18B3">
              <w:rPr>
                <w:spacing w:val="-4"/>
                <w:szCs w:val="20"/>
              </w:rPr>
              <w:t> %</w:t>
            </w:r>
            <w:r w:rsidRPr="006D18B3">
              <w:rPr>
                <w:spacing w:val="-4"/>
                <w:szCs w:val="20"/>
              </w:rPr>
              <w:t>) a dosáhlo v tomto období roku desetileté</w:t>
            </w:r>
            <w:r w:rsidR="006D18B3">
              <w:rPr>
                <w:spacing w:val="-4"/>
                <w:szCs w:val="20"/>
              </w:rPr>
              <w:t>ho maxima. Výdaje sílily i</w:t>
            </w:r>
            <w:r w:rsidR="006D18B3" w:rsidRPr="006D18B3">
              <w:rPr>
                <w:spacing w:val="-4"/>
                <w:szCs w:val="20"/>
              </w:rPr>
              <w:t> </w:t>
            </w:r>
            <w:r w:rsidRPr="006D18B3">
              <w:rPr>
                <w:spacing w:val="-4"/>
                <w:szCs w:val="20"/>
              </w:rPr>
              <w:t>v průběhu roku 2018 (v 1. čtvrtletí +8,7</w:t>
            </w:r>
            <w:r w:rsidR="007B0E83" w:rsidRPr="006D18B3">
              <w:rPr>
                <w:spacing w:val="-4"/>
                <w:szCs w:val="20"/>
              </w:rPr>
              <w:t> %</w:t>
            </w:r>
            <w:r w:rsidRPr="006D18B3">
              <w:rPr>
                <w:spacing w:val="-4"/>
                <w:szCs w:val="20"/>
              </w:rPr>
              <w:t xml:space="preserve">, </w:t>
            </w:r>
            <w:r w:rsidR="00B3563B" w:rsidRPr="006D18B3">
              <w:rPr>
                <w:spacing w:val="-4"/>
                <w:szCs w:val="20"/>
              </w:rPr>
              <w:t xml:space="preserve">ve </w:t>
            </w:r>
            <w:r w:rsidRPr="006D18B3">
              <w:rPr>
                <w:spacing w:val="-4"/>
                <w:szCs w:val="20"/>
              </w:rPr>
              <w:t>2. čtvrtletí +11,5</w:t>
            </w:r>
            <w:r w:rsidR="007B0E83" w:rsidRPr="006D18B3">
              <w:rPr>
                <w:spacing w:val="-4"/>
                <w:szCs w:val="20"/>
              </w:rPr>
              <w:t> %</w:t>
            </w:r>
            <w:r w:rsidRPr="006D18B3">
              <w:rPr>
                <w:spacing w:val="-4"/>
                <w:szCs w:val="20"/>
              </w:rPr>
              <w:t xml:space="preserve">). Pololetní růst celkových výdajů byl tažen primárně běžnými výdaji, z pětiny však přispěly i investice. Propad investic se tak po dvou letech zastavil. Jejich letošní objem (33 mld. korun) převýšil loňskou skutečnost o bezmála 13 mld. (v samotném 1. čtvrtletí jen o 5,5 mld.). </w:t>
            </w:r>
            <w:r w:rsidRPr="006D18B3">
              <w:rPr>
                <w:spacing w:val="-4"/>
                <w:szCs w:val="20"/>
              </w:rPr>
              <w:lastRenderedPageBreak/>
              <w:t>Postupné zrychlování investiční aktivity státu dokládá i aktuálnější srpnová statistka</w:t>
            </w:r>
            <w:r w:rsidRPr="006D18B3">
              <w:rPr>
                <w:rStyle w:val="Znakapoznpodarou"/>
                <w:spacing w:val="-4"/>
                <w:szCs w:val="20"/>
              </w:rPr>
              <w:footnoteReference w:id="52"/>
            </w:r>
            <w:r w:rsidRPr="006D18B3">
              <w:rPr>
                <w:spacing w:val="-4"/>
                <w:szCs w:val="20"/>
              </w:rPr>
              <w:t>. V pozadí tohoto oživení stály výdaje na společné programy ČR a</w:t>
            </w:r>
            <w:r w:rsidR="00676736" w:rsidRPr="006D18B3">
              <w:rPr>
                <w:spacing w:val="-4"/>
                <w:szCs w:val="20"/>
              </w:rPr>
              <w:t> </w:t>
            </w:r>
            <w:r w:rsidR="006D18B3">
              <w:rPr>
                <w:spacing w:val="-4"/>
                <w:szCs w:val="20"/>
              </w:rPr>
              <w:t>EU (při objemu 22,9</w:t>
            </w:r>
            <w:r w:rsidR="006D18B3" w:rsidRPr="006D18B3">
              <w:rPr>
                <w:spacing w:val="-4"/>
                <w:szCs w:val="20"/>
              </w:rPr>
              <w:t> </w:t>
            </w:r>
            <w:r w:rsidRPr="006D18B3">
              <w:rPr>
                <w:spacing w:val="-4"/>
                <w:szCs w:val="20"/>
              </w:rPr>
              <w:t>mld. byly meziročně o 13,2 mld. korun vyšší). I</w:t>
            </w:r>
            <w:r w:rsidRPr="006D18B3">
              <w:rPr>
                <w:rFonts w:cs="Arial"/>
                <w:color w:val="000000" w:themeColor="text1"/>
                <w:spacing w:val="-4"/>
              </w:rPr>
              <w:t> </w:t>
            </w:r>
            <w:r w:rsidRPr="006D18B3">
              <w:rPr>
                <w:spacing w:val="-4"/>
                <w:szCs w:val="20"/>
              </w:rPr>
              <w:t>přes dílčí zlepšení činilo pololetní čerpání všech investic SR jen 36</w:t>
            </w:r>
            <w:r w:rsidR="007B0E83" w:rsidRPr="006D18B3">
              <w:rPr>
                <w:spacing w:val="-4"/>
                <w:szCs w:val="20"/>
              </w:rPr>
              <w:t> %</w:t>
            </w:r>
            <w:r w:rsidRPr="006D18B3">
              <w:rPr>
                <w:spacing w:val="-4"/>
                <w:szCs w:val="20"/>
              </w:rPr>
              <w:t xml:space="preserve"> celoročně rozpočtované částky. Projevuje se dosud velmi nízké čerpání financí na </w:t>
            </w:r>
            <w:r w:rsidRPr="006D18B3">
              <w:rPr>
                <w:spacing w:val="-4"/>
              </w:rPr>
              <w:t>výhradně národní projekty (bez vztahu k EU)</w:t>
            </w:r>
            <w:r w:rsidRPr="006D18B3">
              <w:rPr>
                <w:rStyle w:val="Znakapoznpodarou"/>
                <w:spacing w:val="-4"/>
              </w:rPr>
              <w:footnoteReference w:id="53"/>
            </w:r>
            <w:r w:rsidRPr="006D18B3">
              <w:rPr>
                <w:spacing w:val="-4"/>
                <w:szCs w:val="20"/>
              </w:rPr>
              <w:t xml:space="preserve">. </w:t>
            </w:r>
            <w:r w:rsidRPr="006D18B3">
              <w:rPr>
                <w:rFonts w:cs="Arial"/>
                <w:color w:val="000000" w:themeColor="text1"/>
                <w:spacing w:val="-4"/>
              </w:rPr>
              <w:t>Podíl investic na celkových výdajích SR činil v 1. pololetí 4,8</w:t>
            </w:r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>. Přestože byl meziročně skoro o třetinu vyšší, šlo zároveň o</w:t>
            </w:r>
            <w:r w:rsidRPr="006D18B3">
              <w:rPr>
                <w:spacing w:val="-4"/>
                <w:szCs w:val="20"/>
              </w:rPr>
              <w:t> </w:t>
            </w:r>
            <w:r w:rsidRPr="006D18B3">
              <w:rPr>
                <w:rFonts w:cs="Arial"/>
                <w:color w:val="000000" w:themeColor="text1"/>
                <w:spacing w:val="-4"/>
              </w:rPr>
              <w:t>druhý nejnižší podíl za posledních čtrnáct let. V konjunkturním roce 2008 pololetní podíl investic atakoval 10% hranici.</w:t>
            </w:r>
          </w:p>
        </w:tc>
      </w:tr>
      <w:tr w:rsidR="005F114F" w:rsidRPr="00124DF8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F9009F" w:rsidRDefault="00830AEA" w:rsidP="00333CD0">
            <w:pPr>
              <w:pStyle w:val="Textpoznpodarou"/>
            </w:pPr>
            <w:r w:rsidRPr="00F9009F">
              <w:rPr>
                <w:b/>
              </w:rPr>
              <w:t>Graf č. 19: Skladba příjmů ČR z rozpoč</w:t>
            </w:r>
            <w:r>
              <w:rPr>
                <w:b/>
              </w:rPr>
              <w:t xml:space="preserve">tu EU a čistá pozice ČR vůči EU </w:t>
            </w:r>
            <w:r w:rsidRPr="00F9009F">
              <w:rPr>
                <w:b/>
              </w:rPr>
              <w:t>v rámci 1. pololetí</w:t>
            </w:r>
            <w:r w:rsidRPr="00F9009F">
              <w:t xml:space="preserve"> (v mld. korun)</w:t>
            </w:r>
          </w:p>
        </w:tc>
      </w:tr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</w:pPr>
            <w:r w:rsidRPr="00593110">
              <w:rPr>
                <w:noProof/>
              </w:rPr>
              <w:drawing>
                <wp:inline distT="0" distB="0" distL="0" distR="0">
                  <wp:extent cx="4749421" cy="3289111"/>
                  <wp:effectExtent l="0" t="0" r="0" b="0"/>
                  <wp:docPr id="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5F114F" w:rsidRPr="00593110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F9009F" w:rsidRDefault="00830AEA" w:rsidP="00B62316">
            <w:pPr>
              <w:pStyle w:val="Textpoznpodarou"/>
              <w:spacing w:after="200" w:line="276" w:lineRule="auto"/>
              <w:rPr>
                <w:sz w:val="14"/>
                <w:szCs w:val="14"/>
              </w:rPr>
            </w:pPr>
            <w:r w:rsidRPr="00F9009F">
              <w:rPr>
                <w:sz w:val="14"/>
                <w:szCs w:val="14"/>
              </w:rPr>
              <w:t>* Zahrnuje také tržní operace a veterinární opatření.                                                                                       Zdroj: MF ČR</w:t>
            </w:r>
          </w:p>
        </w:tc>
      </w:tr>
      <w:tr w:rsidR="005F114F" w:rsidRPr="00124DF8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Výše čisté pozice ČR vůči EU meziročně o třetinu oslabila vlivem pomalého náběhu čerpání v oblasti strukturální a kohezní politiky.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124DF8" w:rsidRDefault="00830AEA" w:rsidP="00B62316">
            <w:pPr>
              <w:pStyle w:val="Textpoznpodarou"/>
              <w:spacing w:after="210" w:line="276" w:lineRule="auto"/>
              <w:jc w:val="both"/>
            </w:pPr>
            <w:r>
              <w:t>Pomalejší náběh čerpání prostředků z rozpočtu EU v první třetině současného programového období dokládá i souhrnná čistá pozice ČR vůči EU. Kladné saldo ČR se meziročně snížilo o více než třetinu a za celé 1. pololetí činilo 10,4 mld. korun. Při srovnatelném objemu pololetních plateb do rozpočtu EU (necelých 23 mld.) bylo nižší saldo výhradně výsledkem slabších příjmů. Ty klesly o šestinu (na 32,9 mld. korun)</w:t>
            </w:r>
            <w:r>
              <w:rPr>
                <w:rStyle w:val="Znakapoznpodarou"/>
              </w:rPr>
              <w:footnoteReference w:id="54"/>
            </w:r>
            <w:r>
              <w:t>. Ze struktury příjmů vyplývá, že za pomalejším čerpáním stály toky vztahující se ke strukturálním fondům a fondu soudržnosti. Platby v oblasti společné zemědělské politiky jsou naopak v posledních letech prosty výraznějších výkyvů.</w:t>
            </w:r>
          </w:p>
        </w:tc>
      </w:tr>
      <w:tr w:rsidR="005F114F" w:rsidRPr="00124DF8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Akcelerace běžných výdajů SR z velké části souvisela s navýšením mzdových prostředků pro pracovníky rozpočtové sféry.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D35F87" w:rsidRDefault="00830AEA" w:rsidP="00333CD0">
            <w:pPr>
              <w:pStyle w:val="Textpoznpodarou"/>
              <w:spacing w:line="276" w:lineRule="auto"/>
              <w:jc w:val="both"/>
              <w:rPr>
                <w:spacing w:val="-2"/>
              </w:rPr>
            </w:pPr>
            <w:r w:rsidRPr="00D35F87">
              <w:rPr>
                <w:spacing w:val="-2"/>
              </w:rPr>
              <w:t>Růst běžných výdajů SR zrychloval již druhým rokem v řadě. Zatímco v 1. loňském pololetí byly tyto výdaje taženy hlavně vyššími sociálními dávkami (primárně důchody), letos se na jejich meziročním růstu (+51,4 mld. korun) podílely nejvíce neinvestiční transfery územním rozpočtům (+15,9 mld., resp. růst o 18,6</w:t>
            </w:r>
            <w:r w:rsidR="007B0E83">
              <w:rPr>
                <w:spacing w:val="-2"/>
              </w:rPr>
              <w:t> %</w:t>
            </w:r>
            <w:r w:rsidRPr="00D35F87">
              <w:rPr>
                <w:spacing w:val="-2"/>
              </w:rPr>
              <w:t>)</w:t>
            </w:r>
            <w:r w:rsidRPr="00D35F87">
              <w:rPr>
                <w:rStyle w:val="Znakapoznpodarou"/>
                <w:spacing w:val="-2"/>
              </w:rPr>
              <w:footnoteReference w:id="55"/>
            </w:r>
            <w:r w:rsidRPr="00D35F87">
              <w:rPr>
                <w:spacing w:val="-2"/>
              </w:rPr>
              <w:t>. Výdaje na platy v ústředních orgánech státní správy vzrostly o sedminu, meziročně téměř dvojnásobným tempem. Vyšší výdaje s</w:t>
            </w:r>
            <w:r>
              <w:rPr>
                <w:spacing w:val="-2"/>
              </w:rPr>
              <w:t>ouvisely primárně</w:t>
            </w:r>
            <w:r w:rsidRPr="00D35F87">
              <w:rPr>
                <w:spacing w:val="-2"/>
              </w:rPr>
              <w:t xml:space="preserve"> s </w:t>
            </w:r>
            <w:r w:rsidRPr="00D35F87">
              <w:rPr>
                <w:bCs/>
                <w:spacing w:val="-2"/>
              </w:rPr>
              <w:t xml:space="preserve">navýšením platových tarifů. </w:t>
            </w:r>
          </w:p>
        </w:tc>
      </w:tr>
      <w:tr w:rsidR="005F114F" w:rsidRPr="00A85DE1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spacing w:after="0" w:line="240" w:lineRule="auto"/>
              <w:rPr>
                <w:rFonts w:cs="Arial"/>
                <w:bCs/>
                <w:spacing w:val="-4"/>
              </w:rPr>
            </w:pPr>
            <w:r>
              <w:rPr>
                <w:b/>
              </w:rPr>
              <w:t>Graf č. 20</w:t>
            </w:r>
            <w:r w:rsidRPr="00F704D2">
              <w:rPr>
                <w:b/>
              </w:rPr>
              <w:t xml:space="preserve">: </w:t>
            </w:r>
            <w:r w:rsidRPr="00F704D2">
              <w:rPr>
                <w:rFonts w:cs="Arial"/>
                <w:b/>
                <w:bCs/>
                <w:spacing w:val="-4"/>
              </w:rPr>
              <w:t>Příjemci</w:t>
            </w:r>
            <w:r w:rsidRPr="001356FC">
              <w:rPr>
                <w:rFonts w:cs="Arial"/>
                <w:b/>
                <w:bCs/>
                <w:spacing w:val="-4"/>
              </w:rPr>
              <w:t xml:space="preserve"> důchodů</w:t>
            </w:r>
            <w:r w:rsidRPr="001356FC">
              <w:rPr>
                <w:rFonts w:cs="Arial"/>
                <w:bCs/>
                <w:spacing w:val="-4"/>
              </w:rPr>
              <w:t>,</w:t>
            </w:r>
            <w:r w:rsidRPr="001356FC">
              <w:rPr>
                <w:rFonts w:cs="Arial"/>
                <w:b/>
                <w:bCs/>
                <w:spacing w:val="-4"/>
              </w:rPr>
              <w:t xml:space="preserve"> příjmy i výdaje na důchody ze SR </w:t>
            </w:r>
            <w:r w:rsidRPr="001356FC">
              <w:rPr>
                <w:rFonts w:cs="Arial"/>
                <w:bCs/>
                <w:spacing w:val="-4"/>
              </w:rPr>
              <w:t>(</w:t>
            </w:r>
            <w:r w:rsidRPr="001356FC">
              <w:rPr>
                <w:spacing w:val="-4"/>
              </w:rPr>
              <w:t>meziročně</w:t>
            </w:r>
            <w:r w:rsidRPr="001356FC">
              <w:rPr>
                <w:bCs/>
                <w:spacing w:val="-4"/>
              </w:rPr>
              <w:t xml:space="preserve"> v %)</w:t>
            </w:r>
            <w:r w:rsidRPr="001356FC">
              <w:rPr>
                <w:rFonts w:cs="Arial"/>
                <w:bCs/>
                <w:spacing w:val="-4"/>
              </w:rPr>
              <w:t xml:space="preserve"> </w:t>
            </w:r>
          </w:p>
          <w:p w:rsidR="00830AEA" w:rsidRDefault="00920EC4" w:rsidP="00333CD0">
            <w:pPr>
              <w:pStyle w:val="Textpoznpodarou"/>
              <w:jc w:val="both"/>
            </w:pPr>
            <w:r>
              <w:rPr>
                <w:rFonts w:cs="Arial"/>
                <w:b/>
                <w:bCs/>
                <w:spacing w:val="-4"/>
              </w:rPr>
              <w:t>a jejich</w:t>
            </w:r>
            <w:r w:rsidR="00830AEA">
              <w:rPr>
                <w:rFonts w:cs="Arial"/>
                <w:b/>
                <w:bCs/>
                <w:spacing w:val="-4"/>
              </w:rPr>
              <w:t xml:space="preserve"> saldo</w:t>
            </w:r>
            <w:r w:rsidR="00830AEA" w:rsidRPr="001356FC">
              <w:rPr>
                <w:rFonts w:cs="Arial"/>
                <w:b/>
                <w:bCs/>
                <w:spacing w:val="-4"/>
              </w:rPr>
              <w:t xml:space="preserve"> </w:t>
            </w:r>
            <w:r w:rsidR="00830AEA" w:rsidRPr="001356FC">
              <w:rPr>
                <w:rFonts w:cs="Arial"/>
                <w:bCs/>
                <w:spacing w:val="-4"/>
              </w:rPr>
              <w:t>(v mld. korun)</w:t>
            </w:r>
            <w:r w:rsidR="00830AEA">
              <w:rPr>
                <w:rFonts w:cs="Arial"/>
                <w:bCs/>
                <w:spacing w:val="-4"/>
              </w:rPr>
              <w:t xml:space="preserve"> </w:t>
            </w:r>
            <w:r w:rsidR="00830AEA">
              <w:rPr>
                <w:rFonts w:cs="Arial"/>
                <w:b/>
                <w:bCs/>
              </w:rPr>
              <w:t>v rámci 1. pololetí</w:t>
            </w:r>
          </w:p>
        </w:tc>
      </w:tr>
      <w:tr w:rsidR="005F114F" w:rsidRPr="00A85DE1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36077F" w:rsidP="00333CD0">
            <w:pPr>
              <w:pStyle w:val="Textpoznpodarou"/>
              <w:jc w:val="both"/>
            </w:pPr>
            <w:r w:rsidRPr="0036077F">
              <w:rPr>
                <w:noProof/>
              </w:rPr>
              <w:drawing>
                <wp:inline distT="0" distB="0" distL="0" distR="0">
                  <wp:extent cx="4752000" cy="3528000"/>
                  <wp:effectExtent l="19050" t="0" r="0" b="0"/>
                  <wp:docPr id="1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5F114F" w:rsidRPr="00A85DE1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B3757E" w:rsidRDefault="00830AEA" w:rsidP="00333CD0">
            <w:pPr>
              <w:spacing w:after="0" w:line="240" w:lineRule="auto"/>
              <w:rPr>
                <w:sz w:val="14"/>
                <w:szCs w:val="14"/>
              </w:rPr>
            </w:pPr>
            <w:r w:rsidRPr="00B3757E">
              <w:rPr>
                <w:sz w:val="14"/>
                <w:szCs w:val="14"/>
              </w:rPr>
              <w:t xml:space="preserve">*Jde o starobní důchod přiznaný před dosažením důchodového věku a krácený za předčasnost po celou dobu </w:t>
            </w:r>
          </w:p>
          <w:p w:rsidR="00830AEA" w:rsidRDefault="00830AEA" w:rsidP="00333CD0">
            <w:pPr>
              <w:pStyle w:val="Textpoznpodarou"/>
              <w:spacing w:after="240" w:line="276" w:lineRule="auto"/>
              <w:jc w:val="both"/>
            </w:pPr>
            <w:r w:rsidRPr="00B3757E">
              <w:rPr>
                <w:sz w:val="14"/>
                <w:szCs w:val="14"/>
              </w:rPr>
              <w:t xml:space="preserve">pobírání důchodu.                                                                                                                          </w:t>
            </w:r>
            <w:r w:rsidRPr="007E5880">
              <w:rPr>
                <w:sz w:val="14"/>
                <w:szCs w:val="14"/>
              </w:rPr>
              <w:t>Zdroj: MF, ČSSZ</w:t>
            </w:r>
          </w:p>
        </w:tc>
      </w:tr>
      <w:tr w:rsidR="005F114F" w:rsidRPr="00A85DE1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Výdaje na důchody rostly bezmála o 5</w:t>
            </w:r>
            <w:r w:rsidR="007B0E83">
              <w:t> %</w:t>
            </w:r>
            <w:r>
              <w:t>. Počet lidí pobírajících důchod stagnoval. Růst počtu příjemců trvale krácených starobních důchodů nadále oslaboval.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F704D2" w:rsidRDefault="00830AEA" w:rsidP="00333CD0">
            <w:pPr>
              <w:pStyle w:val="Textpoznpodarou"/>
              <w:spacing w:after="240" w:line="276" w:lineRule="auto"/>
              <w:jc w:val="both"/>
            </w:pPr>
            <w:r>
              <w:t>Výdaje na sociální dávky</w:t>
            </w:r>
            <w:r w:rsidR="006C6681">
              <w:t>,</w:t>
            </w:r>
            <w:r>
              <w:t xml:space="preserve"> tvořící více než dvě pětiny běžných výdajů SR</w:t>
            </w:r>
            <w:r w:rsidR="006C6681">
              <w:t>,</w:t>
            </w:r>
            <w:r>
              <w:t xml:space="preserve"> v 1. pololetí 2018 meziročně vzrostly o 13 mld. korun (o 0,5 mld. méně než před rokem). Více než tři čtvrtiny prostředků na </w:t>
            </w:r>
            <w:r>
              <w:rPr>
                <w:rFonts w:cs="Arial"/>
                <w:color w:val="0D0D0D" w:themeColor="text1" w:themeTint="F2"/>
                <w:spacing w:val="-2"/>
              </w:rPr>
              <w:t>sociální dávky směřovaly na důchody, na něž stát vydal o 4,9</w:t>
            </w:r>
            <w:r w:rsidR="007B0E83">
              <w:rPr>
                <w:rFonts w:cs="Arial"/>
                <w:color w:val="0D0D0D" w:themeColor="text1" w:themeTint="F2"/>
                <w:spacing w:val="-2"/>
              </w:rPr>
              <w:t> %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více. Při stagnaci počtu lidí pobírajících důchod (2,89 mil.) bylo pro vývoj výdajů zcela určující nastavení valor</w:t>
            </w:r>
            <w:r w:rsidRPr="00BD1D97">
              <w:rPr>
                <w:rFonts w:cs="Arial"/>
                <w:color w:val="0D0D0D" w:themeColor="text1" w:themeTint="F2"/>
                <w:spacing w:val="-2"/>
              </w:rPr>
              <w:t>izace</w:t>
            </w:r>
            <w:r w:rsidRPr="00BD1D97">
              <w:rPr>
                <w:rStyle w:val="Znakapoznpodarou"/>
                <w:color w:val="0D0D0D" w:themeColor="text1" w:themeTint="F2"/>
                <w:spacing w:val="-2"/>
              </w:rPr>
              <w:footnoteReference w:id="56"/>
            </w:r>
            <w:r w:rsidRPr="00BD1D97">
              <w:rPr>
                <w:rFonts w:cs="Arial"/>
                <w:color w:val="0D0D0D" w:themeColor="text1" w:themeTint="F2"/>
                <w:spacing w:val="-2"/>
              </w:rPr>
              <w:t>. Průměrná měsíční výše starobního důchodu (sólo) činila dle ČSSZ v letošním 2. čtvrtletí u mužů 13 633 korun, u žen 11 247 korun.  Pozitivní bylo, že navzdory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prodlužujícímu se </w:t>
            </w:r>
            <w:r w:rsidR="0036077F">
              <w:rPr>
                <w:rFonts w:cs="Arial"/>
                <w:color w:val="0D0D0D" w:themeColor="text1" w:themeTint="F2"/>
                <w:spacing w:val="-2"/>
              </w:rPr>
              <w:t>věku pro odchod důchodu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se již třetím rokem v řadě oslabuje relativní přírůstek osob s trvale kráceným starobním důchodem. Při sílícím všeobecném nedostatku pracovníků se zvyšují šance na uplatnění i pro osoby v seniorském věku a pro některé z nich se možnost pracovního přivýdělku stává i atraktivní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57"/>
            </w:r>
            <w:r>
              <w:rPr>
                <w:rFonts w:cs="Arial"/>
                <w:color w:val="0D0D0D" w:themeColor="text1" w:themeTint="F2"/>
                <w:spacing w:val="-2"/>
              </w:rPr>
              <w:t>. Příznivá situace na pracovním trhu stimulovala růst výběru pojistného na důchody. Jeho meziroční tempo letos vyšplhalo již nad 10</w:t>
            </w:r>
            <w:r w:rsidR="007B0E83">
              <w:rPr>
                <w:rFonts w:cs="Arial"/>
                <w:color w:val="0D0D0D" w:themeColor="text1" w:themeTint="F2"/>
                <w:spacing w:val="-2"/>
              </w:rPr>
              <w:t> %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a blížilo se dosud rekordní dynamice z roku 2007. Saldo důchodového účtu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58"/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tak poprvé za poslední</w:t>
            </w:r>
            <w:r w:rsidR="006C6681">
              <w:rPr>
                <w:rFonts w:cs="Arial"/>
                <w:color w:val="0D0D0D" w:themeColor="text1" w:themeTint="F2"/>
                <w:spacing w:val="-2"/>
              </w:rPr>
              <w:t>ch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deset let skončilo přebytkem (necelých 7 mld. korun). Na celkovém pojistném na sociální zabezpečení získal stát meziročně o 23,5 mld. korun více a šlo současně o nejvýznamnější položku, jež letos přispěla k růstu celkových příjmů SR.</w:t>
            </w:r>
          </w:p>
        </w:tc>
      </w:tr>
      <w:tr w:rsidR="005F114F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Růst výdajů na nedůchodové sociální dávky zrychlil zejména vlivem vyššího čerpání nemocenských dávek.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593379" w:rsidRDefault="00830AEA" w:rsidP="00B62316">
            <w:pPr>
              <w:spacing w:after="210"/>
              <w:rPr>
                <w:spacing w:val="-4"/>
              </w:rPr>
            </w:pPr>
            <w:r>
              <w:rPr>
                <w:spacing w:val="-4"/>
              </w:rPr>
              <w:t>Na ostatní sociální dávky (mimo důchody) vydal SR v 1. pololetí 62 mld. korun, (meziročně o 4,8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více, o rok dříve o 2,8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>). Jestliže v předchozích třech letech byla dynamika ostatních sociálních dávek slabší než u důchodů, letos se jejich tempa prakticky srovnala. K růstu výdajů na nedůchodové sociální dávky letos (podobně jako v předchozích třech letech) přispěly nejvíce dávky nemocenského pojištění, jejichž tempo se oproti loňsku zdvojnásobilo (na 17,4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). To souviselo s pokračujícím růstem </w:t>
            </w:r>
            <w:r>
              <w:rPr>
                <w:spacing w:val="-4"/>
              </w:rPr>
              <w:lastRenderedPageBreak/>
              <w:t>dočasné pracovní neschopnosti i vyššími průměrnými denními dávkami nemocenské (</w:t>
            </w:r>
            <w:r w:rsidR="00084BFF">
              <w:rPr>
                <w:spacing w:val="-4"/>
              </w:rPr>
              <w:t xml:space="preserve">odvozenými </w:t>
            </w:r>
            <w:r>
              <w:rPr>
                <w:spacing w:val="-4"/>
              </w:rPr>
              <w:t xml:space="preserve">od úrovně výdělků v předchozích měsících). Řádově menší vliv mělo </w:t>
            </w:r>
            <w:r>
              <w:rPr>
                <w:color w:val="000000" w:themeColor="text1"/>
                <w:spacing w:val="-4"/>
              </w:rPr>
              <w:t>silněj</w:t>
            </w:r>
            <w:r>
              <w:rPr>
                <w:spacing w:val="-4"/>
              </w:rPr>
              <w:t>ší čerpání</w:t>
            </w:r>
            <w:r w:rsidRPr="00751FC1">
              <w:rPr>
                <w:spacing w:val="-4"/>
              </w:rPr>
              <w:t xml:space="preserve"> peněžité pomoci v</w:t>
            </w:r>
            <w:r>
              <w:rPr>
                <w:spacing w:val="-4"/>
              </w:rPr>
              <w:t> </w:t>
            </w:r>
            <w:r w:rsidRPr="00751FC1">
              <w:rPr>
                <w:spacing w:val="-4"/>
              </w:rPr>
              <w:t>mateřstv</w:t>
            </w:r>
            <w:r>
              <w:rPr>
                <w:spacing w:val="-4"/>
              </w:rPr>
              <w:t>í (vlivem vyšší porodnosti) i letošní zavedení nových dávek (dlouhodobá ošetřovatelská péče, otcovská poporodní péče). Dále SR vydal více také na některých dávkách</w:t>
            </w:r>
            <w:r w:rsidRPr="00F11EF2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sociální péče – </w:t>
            </w:r>
            <w:r w:rsidRPr="00F11EF2">
              <w:rPr>
                <w:spacing w:val="-4"/>
              </w:rPr>
              <w:t>pro zdravotně postižené</w:t>
            </w:r>
            <w:r>
              <w:rPr>
                <w:spacing w:val="-4"/>
              </w:rPr>
              <w:t xml:space="preserve"> i na příspěvcích na péči (pro dlouhodobě nemocné).</w:t>
            </w:r>
          </w:p>
        </w:tc>
      </w:tr>
      <w:tr w:rsidR="005F114F" w:rsidRPr="00F704D2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830AEA" w:rsidRPr="00B3757E" w:rsidRDefault="00830AEA" w:rsidP="00333CD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</w:rPr>
              <w:t>Graf č. 21</w:t>
            </w:r>
            <w:r w:rsidRPr="00F704D2">
              <w:rPr>
                <w:b/>
              </w:rPr>
              <w:t xml:space="preserve">: </w:t>
            </w:r>
            <w:r>
              <w:rPr>
                <w:rFonts w:cs="Arial"/>
                <w:b/>
                <w:bCs/>
              </w:rPr>
              <w:t xml:space="preserve">Vybrané výdaje státního rozpočtu </w:t>
            </w:r>
            <w:r w:rsidRPr="00EC1C49">
              <w:rPr>
                <w:rFonts w:cs="Arial"/>
                <w:b/>
                <w:bCs/>
              </w:rPr>
              <w:t xml:space="preserve">v rámci 1. </w:t>
            </w:r>
            <w:r>
              <w:rPr>
                <w:rFonts w:cs="Arial"/>
                <w:b/>
                <w:bCs/>
              </w:rPr>
              <w:t>pololetí</w:t>
            </w:r>
            <w:r>
              <w:rPr>
                <w:rFonts w:cs="Arial"/>
                <w:bCs/>
              </w:rPr>
              <w:t xml:space="preserve"> (</w:t>
            </w:r>
            <w:r w:rsidRPr="00DB06E9">
              <w:rPr>
                <w:rFonts w:cs="Arial"/>
                <w:bCs/>
              </w:rPr>
              <w:t>v</w:t>
            </w:r>
            <w:r>
              <w:rPr>
                <w:rFonts w:cs="Arial"/>
                <w:bCs/>
              </w:rPr>
              <w:t> mld.</w:t>
            </w:r>
            <w:r w:rsidRPr="00DB06E9">
              <w:rPr>
                <w:rFonts w:cs="Arial"/>
                <w:bCs/>
              </w:rPr>
              <w:t xml:space="preserve"> korun</w:t>
            </w:r>
            <w:r>
              <w:rPr>
                <w:rFonts w:cs="Arial"/>
                <w:bCs/>
              </w:rPr>
              <w:t>)</w:t>
            </w:r>
          </w:p>
        </w:tc>
      </w:tr>
      <w:tr w:rsidR="005F114F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B3757E" w:rsidRDefault="00830AEA" w:rsidP="00333CD0">
            <w:pPr>
              <w:spacing w:after="0" w:line="240" w:lineRule="auto"/>
              <w:rPr>
                <w:sz w:val="14"/>
                <w:szCs w:val="14"/>
              </w:rPr>
            </w:pPr>
            <w:r w:rsidRPr="000315DB">
              <w:rPr>
                <w:noProof/>
                <w:sz w:val="14"/>
                <w:szCs w:val="14"/>
              </w:rPr>
              <w:drawing>
                <wp:inline distT="0" distB="0" distL="0" distR="0">
                  <wp:extent cx="4728949" cy="3480179"/>
                  <wp:effectExtent l="0" t="0" r="0" b="0"/>
                  <wp:docPr id="1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5F114F" w:rsidRPr="00970E6F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E7331D" w:rsidRDefault="00830AEA" w:rsidP="00333CD0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*Zahrnuje i dávky pěstounské péče. **Zahrnuje d</w:t>
            </w:r>
            <w:r w:rsidRPr="007E5880">
              <w:rPr>
                <w:sz w:val="14"/>
                <w:szCs w:val="14"/>
              </w:rPr>
              <w:t>ávky pomoci</w:t>
            </w:r>
            <w:r>
              <w:rPr>
                <w:sz w:val="14"/>
                <w:szCs w:val="14"/>
              </w:rPr>
              <w:t xml:space="preserve"> v hmotné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 w:rsidRPr="007E5880">
              <w:rPr>
                <w:sz w:val="14"/>
                <w:szCs w:val="14"/>
              </w:rPr>
              <w:t>ouzi,</w:t>
            </w:r>
            <w:r>
              <w:rPr>
                <w:sz w:val="14"/>
                <w:szCs w:val="14"/>
              </w:rPr>
              <w:t xml:space="preserve"> dávky osobám se zdravotním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 w:rsidRPr="007E5880">
              <w:rPr>
                <w:sz w:val="14"/>
                <w:szCs w:val="14"/>
              </w:rPr>
              <w:t>ostižením, pří</w:t>
            </w:r>
            <w:r>
              <w:rPr>
                <w:sz w:val="14"/>
                <w:szCs w:val="14"/>
              </w:rPr>
              <w:t>spěvek na péči dle zákona o sociálních službách. ***V čistých výdajích jsou započítány i příjmy kapitoly Státní dluh.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</w:t>
            </w:r>
          </w:p>
          <w:p w:rsidR="00830AEA" w:rsidRPr="00B3757E" w:rsidRDefault="00830AEA" w:rsidP="00B62316">
            <w:pPr>
              <w:spacing w:after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MF </w:t>
            </w:r>
            <w:r w:rsidR="00084BFF">
              <w:rPr>
                <w:sz w:val="14"/>
                <w:szCs w:val="14"/>
              </w:rPr>
              <w:t>ČR</w:t>
            </w:r>
          </w:p>
        </w:tc>
      </w:tr>
      <w:tr w:rsidR="005F114F" w:rsidRPr="00F704D2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E84F16" w:rsidRDefault="00830AEA" w:rsidP="00333CD0">
            <w:pPr>
              <w:pStyle w:val="Marginlie"/>
              <w:rPr>
                <w:spacing w:val="-4"/>
              </w:rPr>
            </w:pPr>
            <w:r w:rsidRPr="00E84F16">
              <w:rPr>
                <w:spacing w:val="-4"/>
              </w:rPr>
              <w:t>Pokles objemu vyplacených d</w:t>
            </w:r>
            <w:r>
              <w:rPr>
                <w:spacing w:val="-4"/>
              </w:rPr>
              <w:t>ávek hmotné nouze se prohloubil. K</w:t>
            </w:r>
            <w:r w:rsidRPr="00E84F16">
              <w:rPr>
                <w:spacing w:val="-4"/>
              </w:rPr>
              <w:t>lesl</w:t>
            </w:r>
            <w:r>
              <w:rPr>
                <w:spacing w:val="-4"/>
              </w:rPr>
              <w:t>a</w:t>
            </w:r>
            <w:r w:rsidRPr="00E84F16">
              <w:rPr>
                <w:spacing w:val="-4"/>
              </w:rPr>
              <w:t xml:space="preserve"> i</w:t>
            </w:r>
            <w:r>
              <w:t> </w:t>
            </w:r>
            <w:r>
              <w:rPr>
                <w:spacing w:val="-4"/>
              </w:rPr>
              <w:t>výše</w:t>
            </w:r>
            <w:r w:rsidRPr="00E84F16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ostatních </w:t>
            </w:r>
            <w:r w:rsidRPr="00E84F16">
              <w:rPr>
                <w:spacing w:val="-4"/>
              </w:rPr>
              <w:t>dávek vyplácených ve vazbě na příjem domácnosti.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B62316">
            <w:pPr>
              <w:spacing w:after="210"/>
              <w:rPr>
                <w:spacing w:val="-4"/>
              </w:rPr>
            </w:pPr>
            <w:r>
              <w:rPr>
                <w:spacing w:val="-4"/>
              </w:rPr>
              <w:t>V ostatních druzích dávek se stále více projevoval vliv hospodářského růstu na příjmy domácností. Úspory bylo letos dosaženo na podporách v nezaměstnanosti (7,4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meziročně)</w:t>
            </w:r>
            <w:r>
              <w:rPr>
                <w:rStyle w:val="Znakapoznpodarou"/>
                <w:spacing w:val="-4"/>
              </w:rPr>
              <w:footnoteReference w:id="59"/>
            </w:r>
            <w:r>
              <w:rPr>
                <w:spacing w:val="-4"/>
              </w:rPr>
              <w:t xml:space="preserve"> i na dávkách</w:t>
            </w:r>
            <w:r w:rsidRPr="00120F81">
              <w:rPr>
                <w:spacing w:val="-4"/>
              </w:rPr>
              <w:t xml:space="preserve"> pomoci v hmotné nouzi</w:t>
            </w:r>
            <w:r>
              <w:rPr>
                <w:spacing w:val="-4"/>
              </w:rPr>
              <w:t xml:space="preserve"> (28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>, za čtyři roky dokonce 50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>). Téměř o desetinu méně vydal SR v úhrnu na dávkách státní sociální podpory, které jsou vypláceny ve vazbě na příjem domácnosti (přídavek na dítě, příspěvek na bydlení). Navyšoval se naopak objem váhově významných rodičovských pří</w:t>
            </w:r>
            <w:r w:rsidR="00687D27">
              <w:rPr>
                <w:spacing w:val="-4"/>
              </w:rPr>
              <w:t>s</w:t>
            </w:r>
            <w:r>
              <w:rPr>
                <w:spacing w:val="-4"/>
              </w:rPr>
              <w:t>pěvků (+8,1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>), o pětinu více šlo meziročně i na dosud relativně okrajovou podporu pěstounské péče.</w:t>
            </w:r>
          </w:p>
        </w:tc>
      </w:tr>
      <w:tr w:rsidR="005F114F" w:rsidRPr="00F704D2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Redukce čistých výdajů na státní dluh letos již nepokračovala. Nominální výše dluhu zůstala i přes dílčí kolísání stabilizovaná.</w:t>
            </w: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  <w:r>
              <w:t>Pokles váhy nerezidentů mezi držiteli státního dluhu se ve 2. čtvrtletí zastavil.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223B94" w:rsidRDefault="00830AEA" w:rsidP="00B62316">
            <w:pPr>
              <w:spacing w:after="220"/>
              <w:rPr>
                <w:spacing w:val="-3"/>
              </w:rPr>
            </w:pPr>
            <w:r w:rsidRPr="00223B94">
              <w:rPr>
                <w:spacing w:val="-3"/>
              </w:rPr>
              <w:t>Pokles čistých výdajů na státní dluh (započatý po roce 2013) se letos zastavil. V 1. pololetí překročily výdaje v této oblasti 20 mld. korun (meziročně vzrostly o 7</w:t>
            </w:r>
            <w:r w:rsidR="007B0E83">
              <w:rPr>
                <w:spacing w:val="-3"/>
              </w:rPr>
              <w:t> %</w:t>
            </w:r>
            <w:r w:rsidRPr="00223B94">
              <w:rPr>
                <w:spacing w:val="-3"/>
              </w:rPr>
              <w:t>)</w:t>
            </w:r>
            <w:r w:rsidRPr="00223B94">
              <w:rPr>
                <w:rStyle w:val="Znakapoznpodarou"/>
                <w:spacing w:val="-3"/>
              </w:rPr>
              <w:footnoteReference w:id="60"/>
            </w:r>
            <w:r w:rsidRPr="00223B94">
              <w:rPr>
                <w:spacing w:val="-3"/>
              </w:rPr>
              <w:t>. Státní dluh čítal na konci června 1 713,5 m</w:t>
            </w:r>
            <w:r w:rsidR="006D18B3">
              <w:rPr>
                <w:spacing w:val="-3"/>
              </w:rPr>
              <w:t>ld. korun a proti zvýšené</w:t>
            </w:r>
            <w:r w:rsidRPr="00223B94">
              <w:rPr>
                <w:spacing w:val="-3"/>
              </w:rPr>
              <w:t xml:space="preserve"> loňské základně</w:t>
            </w:r>
            <w:r w:rsidRPr="00223B94">
              <w:rPr>
                <w:rStyle w:val="Znakapoznpodarou"/>
                <w:spacing w:val="-3"/>
              </w:rPr>
              <w:footnoteReference w:id="61"/>
            </w:r>
            <w:r w:rsidRPr="00223B94">
              <w:rPr>
                <w:spacing w:val="-3"/>
              </w:rPr>
              <w:t xml:space="preserve"> klesl o 4,2</w:t>
            </w:r>
            <w:r w:rsidR="007B0E83">
              <w:rPr>
                <w:spacing w:val="-3"/>
              </w:rPr>
              <w:t> %</w:t>
            </w:r>
            <w:r w:rsidRPr="00223B94">
              <w:rPr>
                <w:spacing w:val="-3"/>
              </w:rPr>
              <w:t xml:space="preserve">. Ve srovnání s předešlým čtvrtletím </w:t>
            </w:r>
            <w:r w:rsidR="003A45E3">
              <w:rPr>
                <w:spacing w:val="-3"/>
              </w:rPr>
              <w:t xml:space="preserve">absolutní výše dluhu </w:t>
            </w:r>
            <w:r w:rsidRPr="00223B94">
              <w:rPr>
                <w:spacing w:val="-3"/>
              </w:rPr>
              <w:t>stagnoval</w:t>
            </w:r>
            <w:r w:rsidR="003A45E3">
              <w:rPr>
                <w:spacing w:val="-3"/>
              </w:rPr>
              <w:t>a</w:t>
            </w:r>
            <w:r w:rsidRPr="00223B94">
              <w:rPr>
                <w:spacing w:val="-3"/>
              </w:rPr>
              <w:t xml:space="preserve">. Stát nadále využíval příznivých podmínek v části peněžního trhu a ve větší míře prodával státní pokladniční poukázky splatné ještě v průběhu letošního roku. Výpůjční potřeba státu byla nadále soustředěna výhradně na domácí trh. Zatímco vnitřní dluh se tak navyšoval, korunová hodnota vnějšího dluhu meziročně klesla o více než čtvrtinu. Vnější dluh se na celkové zadluženosti státu podílel již méně než osminou (nižší podíl </w:t>
            </w:r>
            <w:r w:rsidRPr="00223B94">
              <w:rPr>
                <w:spacing w:val="-3"/>
              </w:rPr>
              <w:lastRenderedPageBreak/>
              <w:t xml:space="preserve">byl naposledy zaznamenán na konci roku 2004). Proměňuje </w:t>
            </w:r>
            <w:r w:rsidR="00A16545">
              <w:rPr>
                <w:spacing w:val="-3"/>
              </w:rPr>
              <w:t xml:space="preserve">se </w:t>
            </w:r>
            <w:r w:rsidRPr="00223B94">
              <w:rPr>
                <w:spacing w:val="-3"/>
              </w:rPr>
              <w:t>i skladba držitelů dluhu. Zhruba tři čtvrtě roku trvající odliv spekulativního kapitálu projevující se poklesem objemu dluhu v držbě nerezidentů se letos na počátku jar</w:t>
            </w:r>
            <w:r>
              <w:rPr>
                <w:spacing w:val="-3"/>
              </w:rPr>
              <w:t>ního období (souběžně s kurzovým posilováním</w:t>
            </w:r>
            <w:r w:rsidRPr="00223B94">
              <w:rPr>
                <w:spacing w:val="-3"/>
              </w:rPr>
              <w:t xml:space="preserve"> koruny) zastavil. Od té doby podíl takto drženého dluhu mírně roste. Dlouhodobě se naopak snižuje podíl státního dluhu v držbě sektoru domácností. </w:t>
            </w:r>
          </w:p>
        </w:tc>
      </w:tr>
      <w:tr w:rsidR="005F114F" w:rsidRPr="00F704D2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lastRenderedPageBreak/>
              <w:t>I přes mírné zhoršení patřilo i letos Česko v rámci EU do pětice nejméně zadlužených ekonomik.</w:t>
            </w: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  <w:r>
              <w:t>Míra zadluženosti se meziročně snížila téměř ve</w:t>
            </w:r>
            <w:r w:rsidR="00695065">
              <w:t> </w:t>
            </w:r>
            <w:r>
              <w:t>všech státech Unie.</w:t>
            </w:r>
          </w:p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B62316">
            <w:pPr>
              <w:spacing w:after="220"/>
              <w:rPr>
                <w:spacing w:val="-4"/>
              </w:rPr>
            </w:pPr>
            <w:r>
              <w:rPr>
                <w:color w:val="000000" w:themeColor="text1"/>
                <w:spacing w:val="-4"/>
              </w:rPr>
              <w:t>D</w:t>
            </w:r>
            <w:r w:rsidRPr="004739FE">
              <w:rPr>
                <w:color w:val="000000" w:themeColor="text1"/>
                <w:spacing w:val="-4"/>
              </w:rPr>
              <w:t>luh</w:t>
            </w:r>
            <w:r w:rsidRPr="004739FE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 xml:space="preserve">celého </w:t>
            </w:r>
            <w:r w:rsidRPr="004739FE">
              <w:rPr>
                <w:color w:val="0D0D0D" w:themeColor="text1" w:themeTint="F2"/>
                <w:spacing w:val="-4"/>
              </w:rPr>
              <w:t>sektoru vládních institucí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62"/>
            </w:r>
            <w:r w:rsidRPr="004739FE">
              <w:rPr>
                <w:color w:val="0D0D0D" w:themeColor="text1" w:themeTint="F2"/>
                <w:spacing w:val="-4"/>
              </w:rPr>
              <w:t xml:space="preserve"> </w:t>
            </w:r>
            <w:r w:rsidRPr="0043535F">
              <w:rPr>
                <w:color w:val="000000" w:themeColor="text1"/>
                <w:spacing w:val="-4"/>
              </w:rPr>
              <w:t>dosáhl d</w:t>
            </w:r>
            <w:r>
              <w:rPr>
                <w:color w:val="000000" w:themeColor="text1"/>
                <w:spacing w:val="-4"/>
              </w:rPr>
              <w:t>le aktuálních dat ČSÚ na konci 1</w:t>
            </w:r>
            <w:r w:rsidRPr="0043535F">
              <w:rPr>
                <w:color w:val="000000" w:themeColor="text1"/>
                <w:spacing w:val="-4"/>
              </w:rPr>
              <w:t>.</w:t>
            </w:r>
            <w:r>
              <w:rPr>
                <w:color w:val="000000" w:themeColor="text1"/>
                <w:spacing w:val="-4"/>
              </w:rPr>
              <w:t> čtvrt</w:t>
            </w:r>
            <w:r w:rsidRPr="0043535F">
              <w:rPr>
                <w:color w:val="000000" w:themeColor="text1"/>
                <w:spacing w:val="-4"/>
              </w:rPr>
              <w:t>letí 201</w:t>
            </w:r>
            <w:r>
              <w:rPr>
                <w:color w:val="000000" w:themeColor="text1"/>
                <w:spacing w:val="-4"/>
              </w:rPr>
              <w:t>8</w:t>
            </w:r>
            <w:r w:rsidRPr="0043535F">
              <w:rPr>
                <w:rStyle w:val="Znakapoznpodarou"/>
                <w:color w:val="000000" w:themeColor="text1"/>
                <w:spacing w:val="-4"/>
              </w:rPr>
              <w:footnoteReference w:id="63"/>
            </w:r>
            <w:r>
              <w:rPr>
                <w:color w:val="000000" w:themeColor="text1"/>
                <w:spacing w:val="-4"/>
              </w:rPr>
              <w:t xml:space="preserve"> výše 1 832,4 mld.</w:t>
            </w:r>
            <w:r w:rsidRPr="0043535F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korun. Nominální výše dluhu meziročně klesla (o</w:t>
            </w:r>
            <w:r w:rsidRPr="00223B94">
              <w:rPr>
                <w:spacing w:val="-3"/>
              </w:rPr>
              <w:t> </w:t>
            </w:r>
            <w:r>
              <w:rPr>
                <w:color w:val="000000" w:themeColor="text1"/>
                <w:spacing w:val="-4"/>
              </w:rPr>
              <w:t xml:space="preserve">4,1 %), ve srovnání s obdobím 2014 až 2015 se ale téměř nezměnila. Na redukci absolutní výše zadlužení se vedle 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>ústřední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ch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vládní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ch institucí podílely také místní vládní instituce. Letošní míra zadluženosti (35,8</w:t>
            </w:r>
            <w:r w:rsidR="007B0E83">
              <w:rPr>
                <w:rFonts w:cs="Arial"/>
                <w:bCs/>
                <w:iCs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HDP) </w:t>
            </w:r>
            <w:r w:rsidR="00695065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řadila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Česko do pětice nejlépe postavených států EU. </w:t>
            </w:r>
            <w:r w:rsidR="00695065">
              <w:rPr>
                <w:rFonts w:cs="Arial"/>
                <w:bCs/>
                <w:iCs/>
                <w:color w:val="0D0D0D" w:themeColor="text1" w:themeTint="F2"/>
                <w:spacing w:val="-4"/>
              </w:rPr>
              <w:t>V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ýrazně příznivější </w:t>
            </w:r>
            <w:r w:rsidR="00695065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pozici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než ČR se dlouhodobě těší jen Estonsko, Bulharsko a Lucembursko. Přestože meziroční pokles míry zadluženost</w:t>
            </w:r>
            <w:r w:rsidR="00695065">
              <w:rPr>
                <w:rFonts w:cs="Arial"/>
                <w:bCs/>
                <w:iCs/>
                <w:color w:val="0D0D0D" w:themeColor="text1" w:themeTint="F2"/>
                <w:spacing w:val="-4"/>
              </w:rPr>
              <w:t>i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v celé EU přetrvává již bezmála tři roky, jeho tempo se příliš nezvyšuje (v průměru za celé </w:t>
            </w:r>
            <w:r w:rsidR="00695065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období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činilo </w:t>
            </w:r>
            <w:proofErr w:type="gramStart"/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ročně </w:t>
            </w:r>
            <w:r w:rsidR="008625D3">
              <w:rPr>
                <w:rFonts w:cs="Arial"/>
                <w:bCs/>
                <w:iCs/>
                <w:color w:val="0D0D0D" w:themeColor="text1" w:themeTint="F2"/>
                <w:spacing w:val="-4"/>
              </w:rPr>
              <w:t>–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1,7</w:t>
            </w:r>
            <w:proofErr w:type="gramEnd"/>
            <w:r w:rsidR="00EA4402">
              <w:rPr>
                <w:rFonts w:cs="Arial"/>
                <w:bCs/>
                <w:iCs/>
                <w:color w:val="0D0D0D" w:themeColor="text1" w:themeTint="F2"/>
                <w:spacing w:val="-4"/>
              </w:rPr>
              <w:t> p. </w:t>
            </w:r>
            <w:proofErr w:type="spellStart"/>
            <w:r w:rsidR="00EA4402">
              <w:rPr>
                <w:rFonts w:cs="Arial"/>
                <w:bCs/>
                <w:iCs/>
                <w:color w:val="0D0D0D" w:themeColor="text1" w:themeTint="F2"/>
                <w:spacing w:val="-4"/>
              </w:rPr>
              <w:t>b</w:t>
            </w:r>
            <w:proofErr w:type="spellEnd"/>
            <w:r w:rsidR="00EA4402">
              <w:rPr>
                <w:rFonts w:cs="Arial"/>
                <w:bCs/>
                <w:iCs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). Pozitivní však bylo, že alespoň mírně zredukovali letos svou zadluženost všichni členové Unie (vyjma Řecka). O pomalém pokroku svědčí skutečnost, že ve srovnání s mírou zadluženosti dosaženou před deseti lety byly letos v lepším postavení jen Německo a Malta. Zadlužeností pod úrovní Maastrichtského kritéria (60</w:t>
            </w:r>
            <w:r w:rsidR="007B0E83">
              <w:rPr>
                <w:rFonts w:cs="Arial"/>
                <w:bCs/>
                <w:iCs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HDP) se dle údajů z 1. čtvrtletí vyznačovala jen necelá polovina členských států </w:t>
            </w:r>
            <w:proofErr w:type="spellStart"/>
            <w:r w:rsidR="00695065">
              <w:rPr>
                <w:rFonts w:cs="Arial"/>
                <w:bCs/>
                <w:iCs/>
                <w:color w:val="0D0D0D" w:themeColor="text1" w:themeTint="F2"/>
                <w:spacing w:val="-4"/>
              </w:rPr>
              <w:t>eurozóny</w:t>
            </w:r>
            <w:proofErr w:type="spellEnd"/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. Kromě Nizozemska šlo přitom vesměs o malé ekonomiky.  </w:t>
            </w:r>
          </w:p>
        </w:tc>
      </w:tr>
      <w:tr w:rsidR="005F114F" w:rsidRPr="00F704D2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9110F7" w:rsidRDefault="00830AEA" w:rsidP="00333CD0">
            <w:pPr>
              <w:pStyle w:val="Marginlie"/>
              <w:rPr>
                <w:color w:val="0D0D0D" w:themeColor="text1" w:themeTint="F2"/>
              </w:rPr>
            </w:pPr>
            <w:r w:rsidRPr="009110F7">
              <w:rPr>
                <w:color w:val="0D0D0D" w:themeColor="text1" w:themeTint="F2"/>
              </w:rPr>
              <w:t xml:space="preserve">Sektor vládních institucí </w:t>
            </w:r>
            <w:r>
              <w:rPr>
                <w:color w:val="0D0D0D" w:themeColor="text1" w:themeTint="F2"/>
              </w:rPr>
              <w:t>pokračoval v přebytkovém hospodaření. Přispěly k</w:t>
            </w:r>
            <w:r>
              <w:t> </w:t>
            </w:r>
            <w:r>
              <w:rPr>
                <w:color w:val="0D0D0D" w:themeColor="text1" w:themeTint="F2"/>
              </w:rPr>
              <w:t>tomu nejvíce výsledky obecních a krajských rozpočtů.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9110F7" w:rsidRDefault="00830AEA" w:rsidP="00333CD0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9D09CD" w:rsidRDefault="00830AEA" w:rsidP="003A45E3">
            <w:pPr>
              <w:spacing w:after="220"/>
              <w:rPr>
                <w:color w:val="0D0D0D" w:themeColor="text1" w:themeTint="F2"/>
                <w:spacing w:val="-2"/>
                <w:szCs w:val="20"/>
              </w:rPr>
            </w:pPr>
            <w:r w:rsidRPr="009D09CD">
              <w:rPr>
                <w:color w:val="0D0D0D" w:themeColor="text1" w:themeTint="F2"/>
                <w:spacing w:val="-2"/>
                <w:szCs w:val="20"/>
              </w:rPr>
              <w:t>Sektor vládních institucí v Česku vykázal za 1. čtvrtletí 2018 (</w:t>
            </w:r>
            <w:r w:rsidR="006D18B3">
              <w:rPr>
                <w:color w:val="0D0D0D" w:themeColor="text1" w:themeTint="F2"/>
                <w:spacing w:val="-2"/>
                <w:szCs w:val="20"/>
              </w:rPr>
              <w:t>v metodice národního účetnictví</w:t>
            </w:r>
            <w:r w:rsidRPr="009D09CD">
              <w:rPr>
                <w:color w:val="0D0D0D" w:themeColor="text1" w:themeTint="F2"/>
                <w:spacing w:val="-2"/>
                <w:szCs w:val="20"/>
              </w:rPr>
              <w:t>) přebytek 8,6 mld. korun, resp. 0,7 % HDP (po sez</w:t>
            </w:r>
            <w:r>
              <w:rPr>
                <w:color w:val="0D0D0D" w:themeColor="text1" w:themeTint="F2"/>
                <w:spacing w:val="-2"/>
                <w:szCs w:val="20"/>
              </w:rPr>
              <w:t>ónním očištění 1,7</w:t>
            </w:r>
            <w:r w:rsidR="007B0E83">
              <w:rPr>
                <w:color w:val="0D0D0D" w:themeColor="text1" w:themeTint="F2"/>
                <w:spacing w:val="-2"/>
                <w:szCs w:val="20"/>
              </w:rPr>
              <w:t> %</w:t>
            </w:r>
            <w:r w:rsidRPr="009D09CD">
              <w:rPr>
                <w:color w:val="0D0D0D" w:themeColor="text1" w:themeTint="F2"/>
                <w:spacing w:val="-2"/>
                <w:szCs w:val="20"/>
              </w:rPr>
              <w:t xml:space="preserve"> HDP). K meziročnímu navýšení přebytku (o 5,4 mld.) přispěly nejvíce </w:t>
            </w:r>
            <w:r>
              <w:rPr>
                <w:color w:val="0D0D0D" w:themeColor="text1" w:themeTint="F2"/>
                <w:spacing w:val="-2"/>
                <w:szCs w:val="20"/>
              </w:rPr>
              <w:t>m</w:t>
            </w:r>
            <w:r w:rsidRPr="009D09CD">
              <w:rPr>
                <w:color w:val="0D0D0D" w:themeColor="text1" w:themeTint="F2"/>
                <w:spacing w:val="-2"/>
                <w:szCs w:val="20"/>
              </w:rPr>
              <w:t>í</w:t>
            </w:r>
            <w:r>
              <w:rPr>
                <w:color w:val="0D0D0D" w:themeColor="text1" w:themeTint="F2"/>
                <w:spacing w:val="-2"/>
                <w:szCs w:val="20"/>
              </w:rPr>
              <w:t>s</w:t>
            </w:r>
            <w:r w:rsidRPr="009D09CD">
              <w:rPr>
                <w:color w:val="0D0D0D" w:themeColor="text1" w:themeTint="F2"/>
                <w:spacing w:val="-2"/>
                <w:szCs w:val="20"/>
              </w:rPr>
              <w:t>tní vládní instituce. Příznivější bylo i hospodaření zdravotní</w:t>
            </w:r>
            <w:r w:rsidR="00695065">
              <w:rPr>
                <w:color w:val="0D0D0D" w:themeColor="text1" w:themeTint="F2"/>
                <w:spacing w:val="-2"/>
                <w:szCs w:val="20"/>
              </w:rPr>
              <w:t>ch</w:t>
            </w:r>
            <w:r w:rsidRPr="009D09CD">
              <w:rPr>
                <w:color w:val="0D0D0D" w:themeColor="text1" w:themeTint="F2"/>
                <w:spacing w:val="-2"/>
                <w:szCs w:val="20"/>
              </w:rPr>
              <w:t xml:space="preserve"> pojišťoven. Naopak deficit ústředních vládních institucí se mírně prohloubil (na necelých 16 mld.</w:t>
            </w:r>
            <w:r>
              <w:rPr>
                <w:color w:val="0D0D0D" w:themeColor="text1" w:themeTint="F2"/>
                <w:spacing w:val="-2"/>
                <w:szCs w:val="20"/>
              </w:rPr>
              <w:t xml:space="preserve"> korun</w:t>
            </w:r>
            <w:r w:rsidRPr="009D09CD">
              <w:rPr>
                <w:color w:val="0D0D0D" w:themeColor="text1" w:themeTint="F2"/>
                <w:spacing w:val="-2"/>
                <w:szCs w:val="20"/>
              </w:rPr>
              <w:t xml:space="preserve">). </w:t>
            </w:r>
          </w:p>
        </w:tc>
      </w:tr>
      <w:tr w:rsidR="005F114F" w:rsidRPr="009D6791" w:rsidTr="005F1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7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b/>
                <w:szCs w:val="20"/>
              </w:rPr>
              <w:t>Graf č. 22</w:t>
            </w:r>
            <w:r w:rsidRPr="009D6791">
              <w:rPr>
                <w:b/>
                <w:szCs w:val="20"/>
              </w:rPr>
              <w:t>:</w:t>
            </w:r>
            <w:r w:rsidRPr="009D6791">
              <w:rPr>
                <w:szCs w:val="20"/>
              </w:rPr>
              <w:t xml:space="preserve"> </w:t>
            </w:r>
            <w:r w:rsidRPr="006808C5">
              <w:rPr>
                <w:rFonts w:cs="Arial"/>
                <w:b/>
                <w:bCs/>
              </w:rPr>
              <w:t>Struktura státního dluh</w:t>
            </w:r>
            <w:r w:rsidR="00841901">
              <w:rPr>
                <w:rFonts w:cs="Arial"/>
                <w:b/>
                <w:bCs/>
              </w:rPr>
              <w:t>u</w:t>
            </w:r>
            <w:r w:rsidRPr="006808C5">
              <w:rPr>
                <w:rFonts w:cs="Arial"/>
                <w:b/>
                <w:bCs/>
              </w:rPr>
              <w:t xml:space="preserve"> ČR </w:t>
            </w:r>
            <w:r>
              <w:rPr>
                <w:rFonts w:cs="Arial"/>
                <w:bCs/>
              </w:rPr>
              <w:t>(stav na konci polo</w:t>
            </w:r>
            <w:r w:rsidRPr="006808C5">
              <w:rPr>
                <w:rFonts w:cs="Arial"/>
                <w:bCs/>
              </w:rPr>
              <w:t xml:space="preserve">letí, v mld. korun) </w:t>
            </w:r>
          </w:p>
          <w:p w:rsidR="00830AEA" w:rsidRDefault="00830AEA" w:rsidP="00333CD0">
            <w:pPr>
              <w:spacing w:after="0"/>
              <w:rPr>
                <w:rFonts w:cs="Arial"/>
                <w:bCs/>
              </w:rPr>
            </w:pPr>
            <w:r w:rsidRPr="006808C5">
              <w:rPr>
                <w:rFonts w:cs="Arial"/>
                <w:b/>
                <w:bCs/>
              </w:rPr>
              <w:t xml:space="preserve">a podíl korunových dluhopisů v držbě nerezidentů </w:t>
            </w:r>
            <w:r w:rsidRPr="006808C5">
              <w:rPr>
                <w:rFonts w:cs="Arial"/>
                <w:bCs/>
              </w:rPr>
              <w:t>(v</w:t>
            </w:r>
            <w:r w:rsidR="007B0E83">
              <w:rPr>
                <w:rFonts w:cs="Arial"/>
                <w:bCs/>
              </w:rPr>
              <w:t> %</w:t>
            </w:r>
            <w:r>
              <w:rPr>
                <w:rFonts w:cs="Arial"/>
                <w:bCs/>
              </w:rPr>
              <w:t>, pravá osa</w:t>
            </w:r>
            <w:r w:rsidRPr="006808C5">
              <w:rPr>
                <w:rFonts w:cs="Arial"/>
                <w:bCs/>
              </w:rPr>
              <w:t>)</w:t>
            </w:r>
          </w:p>
          <w:p w:rsidR="00830AEA" w:rsidRPr="009D6791" w:rsidRDefault="0036077F" w:rsidP="00333CD0">
            <w:pPr>
              <w:spacing w:after="0"/>
              <w:rPr>
                <w:szCs w:val="20"/>
              </w:rPr>
            </w:pPr>
            <w:r w:rsidRPr="0036077F">
              <w:rPr>
                <w:noProof/>
                <w:szCs w:val="20"/>
              </w:rPr>
              <w:drawing>
                <wp:inline distT="0" distB="0" distL="0" distR="0">
                  <wp:extent cx="4762500" cy="3511550"/>
                  <wp:effectExtent l="0" t="0" r="0" b="0"/>
                  <wp:docPr id="1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5F114F" w:rsidRPr="009D6791" w:rsidTr="00B6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9D6791" w:rsidRDefault="00830AEA" w:rsidP="00333CD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MF </w:t>
            </w:r>
            <w:r w:rsidR="00841901">
              <w:rPr>
                <w:sz w:val="14"/>
                <w:szCs w:val="14"/>
              </w:rPr>
              <w:t>ČR</w:t>
            </w:r>
          </w:p>
        </w:tc>
      </w:tr>
    </w:tbl>
    <w:p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A03B10">
      <w:headerReference w:type="even" r:id="rId31"/>
      <w:headerReference w:type="default" r:id="rId32"/>
      <w:footerReference w:type="even" r:id="rId33"/>
      <w:footerReference w:type="default" r:id="rId34"/>
      <w:pgSz w:w="11906" w:h="16838" w:code="9"/>
      <w:pgMar w:top="1134" w:right="1134" w:bottom="1418" w:left="1134" w:header="680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E760D" w15:done="0"/>
  <w15:commentEx w15:paraId="3B519ED9" w15:done="0"/>
  <w15:commentEx w15:paraId="588A2EF8" w15:done="0"/>
  <w15:commentEx w15:paraId="4BDBDFCE" w15:done="0"/>
  <w15:commentEx w15:paraId="4D4FFA55" w15:done="0"/>
  <w15:commentEx w15:paraId="420266E6" w15:done="0"/>
  <w15:commentEx w15:paraId="2F6E1997" w15:done="0"/>
  <w15:commentEx w15:paraId="1361B781" w15:done="0"/>
  <w15:commentEx w15:paraId="6AB9BB51" w15:done="0"/>
  <w15:commentEx w15:paraId="76A98BA5" w15:done="0"/>
  <w15:commentEx w15:paraId="0F376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E760D" w16cid:durableId="1F49FDD6"/>
  <w16cid:commentId w16cid:paraId="3B519ED9" w16cid:durableId="1F4A0B4B"/>
  <w16cid:commentId w16cid:paraId="588A2EF8" w16cid:durableId="1F4A0D4D"/>
  <w16cid:commentId w16cid:paraId="4BDBDFCE" w16cid:durableId="1F4A116C"/>
  <w16cid:commentId w16cid:paraId="4D4FFA55" w16cid:durableId="1F4A4EB7"/>
  <w16cid:commentId w16cid:paraId="420266E6" w16cid:durableId="1F4A80EA"/>
  <w16cid:commentId w16cid:paraId="2F6E1997" w16cid:durableId="1F4A86F8"/>
  <w16cid:commentId w16cid:paraId="1361B781" w16cid:durableId="1F4A88EC"/>
  <w16cid:commentId w16cid:paraId="6AB9BB51" w16cid:durableId="1F4B66E4"/>
  <w16cid:commentId w16cid:paraId="76A98BA5" w16cid:durableId="1F4B67FD"/>
  <w16cid:commentId w16cid:paraId="0F376D82" w16cid:durableId="1F4B72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59" w:rsidRDefault="00684D59" w:rsidP="00E71A58">
      <w:r>
        <w:separator/>
      </w:r>
    </w:p>
  </w:endnote>
  <w:endnote w:type="continuationSeparator" w:id="0">
    <w:p w:rsidR="00684D59" w:rsidRDefault="00684D5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71972">
      <w:rPr>
        <w:szCs w:val="16"/>
      </w:rPr>
      <w:t>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t>1. pololetí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pololetí 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71972">
      <w:rPr>
        <w:rStyle w:val="ZpatChar"/>
        <w:szCs w:val="16"/>
      </w:rPr>
      <w:t>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59" w:rsidRDefault="00684D59" w:rsidP="00E71A58">
      <w:r>
        <w:separator/>
      </w:r>
    </w:p>
  </w:footnote>
  <w:footnote w:type="continuationSeparator" w:id="0">
    <w:p w:rsidR="00684D59" w:rsidRDefault="00684D59" w:rsidP="00E71A58">
      <w:r>
        <w:continuationSeparator/>
      </w:r>
    </w:p>
  </w:footnote>
  <w:footnote w:id="1">
    <w:p w:rsidR="00077FF0" w:rsidRPr="0021507A" w:rsidRDefault="00077FF0" w:rsidP="00D43ED2">
      <w:pPr>
        <w:pStyle w:val="Textpoznpodarou"/>
        <w:rPr>
          <w:sz w:val="16"/>
          <w:szCs w:val="16"/>
        </w:rPr>
      </w:pPr>
      <w:r w:rsidRPr="0021507A">
        <w:rPr>
          <w:rStyle w:val="Znakapoznpodarou"/>
          <w:sz w:val="16"/>
          <w:szCs w:val="16"/>
        </w:rPr>
        <w:footnoteRef/>
      </w:r>
      <w:r w:rsidRPr="0021507A">
        <w:rPr>
          <w:sz w:val="16"/>
          <w:szCs w:val="16"/>
        </w:rPr>
        <w:t xml:space="preserve"> Data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HDP, hrubé přidané hodnotě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jejich složkách jsou vyjádřena ve stálých cenách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v očištění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sezónní a kalendářní vlivy.</w:t>
      </w:r>
    </w:p>
  </w:footnote>
  <w:footnote w:id="2">
    <w:p w:rsidR="00077FF0" w:rsidRPr="00B4223A" w:rsidRDefault="00077FF0" w:rsidP="00D43ED2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Údaje o 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jsou uvedeny </w:t>
      </w:r>
      <w:r w:rsidRPr="00B4223A">
        <w:rPr>
          <w:sz w:val="16"/>
          <w:szCs w:val="16"/>
        </w:rPr>
        <w:t>v pojetí národních účtů v očištění o</w:t>
      </w:r>
      <w:r>
        <w:rPr>
          <w:sz w:val="16"/>
          <w:szCs w:val="16"/>
        </w:rPr>
        <w:t> </w:t>
      </w:r>
      <w:r w:rsidRPr="00B4223A">
        <w:rPr>
          <w:sz w:val="16"/>
          <w:szCs w:val="16"/>
        </w:rPr>
        <w:t>sezónní vlivy.</w:t>
      </w:r>
    </w:p>
  </w:footnote>
  <w:footnote w:id="3">
    <w:p w:rsidR="00077FF0" w:rsidRPr="00EF1EE3" w:rsidRDefault="00077FF0" w:rsidP="00FE2C7E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Vývoj</w:t>
      </w:r>
      <w:r w:rsidRPr="00EF1EE3">
        <w:rPr>
          <w:sz w:val="16"/>
          <w:szCs w:val="16"/>
        </w:rPr>
        <w:t xml:space="preserve"> HDP, hrubé přidané hodnot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jejich slož</w:t>
      </w:r>
      <w:r>
        <w:rPr>
          <w:sz w:val="16"/>
          <w:szCs w:val="16"/>
        </w:rPr>
        <w:t>e</w:t>
      </w:r>
      <w:r w:rsidRPr="00EF1EE3">
        <w:rPr>
          <w:sz w:val="16"/>
          <w:szCs w:val="16"/>
        </w:rPr>
        <w:t xml:space="preserve">k </w:t>
      </w:r>
      <w:r>
        <w:rPr>
          <w:sz w:val="16"/>
          <w:szCs w:val="16"/>
        </w:rPr>
        <w:t xml:space="preserve">je </w:t>
      </w:r>
      <w:r w:rsidRPr="00EF1EE3">
        <w:rPr>
          <w:sz w:val="16"/>
          <w:szCs w:val="16"/>
        </w:rPr>
        <w:t>vyjádřen</w:t>
      </w:r>
      <w:r>
        <w:rPr>
          <w:sz w:val="16"/>
          <w:szCs w:val="16"/>
        </w:rPr>
        <w:t xml:space="preserve"> prostřednictvím objemových indexů (tj. očištěn o vliv cen)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v očištění o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sezónní a kalendářn</w:t>
      </w:r>
      <w:r>
        <w:rPr>
          <w:sz w:val="16"/>
          <w:szCs w:val="16"/>
        </w:rPr>
        <w:t>í vlivy. Údaje byly zveřejněny 31. 8. </w:t>
      </w:r>
      <w:r w:rsidRPr="00EF1EE3">
        <w:rPr>
          <w:sz w:val="16"/>
          <w:szCs w:val="16"/>
        </w:rPr>
        <w:t>2018 a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z</w:t>
      </w:r>
      <w:r>
        <w:rPr>
          <w:sz w:val="16"/>
          <w:szCs w:val="16"/>
        </w:rPr>
        <w:t xml:space="preserve">revidované údaje </w:t>
      </w:r>
      <w:r w:rsidRPr="00EF1EE3">
        <w:rPr>
          <w:sz w:val="16"/>
          <w:szCs w:val="16"/>
        </w:rPr>
        <w:t>bud</w:t>
      </w:r>
      <w:r>
        <w:rPr>
          <w:sz w:val="16"/>
          <w:szCs w:val="16"/>
        </w:rPr>
        <w:t>ou</w:t>
      </w:r>
      <w:r w:rsidRPr="00EF1EE3">
        <w:rPr>
          <w:sz w:val="16"/>
          <w:szCs w:val="16"/>
        </w:rPr>
        <w:t xml:space="preserve"> publikován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2. 10. </w:t>
      </w:r>
      <w:r w:rsidRPr="00EF1EE3">
        <w:rPr>
          <w:sz w:val="16"/>
          <w:szCs w:val="16"/>
        </w:rPr>
        <w:t>201</w:t>
      </w:r>
      <w:r>
        <w:rPr>
          <w:sz w:val="16"/>
          <w:szCs w:val="16"/>
        </w:rPr>
        <w:t>8</w:t>
      </w:r>
      <w:r w:rsidRPr="00EF1EE3">
        <w:rPr>
          <w:sz w:val="16"/>
          <w:szCs w:val="16"/>
        </w:rPr>
        <w:t>.</w:t>
      </w:r>
    </w:p>
  </w:footnote>
  <w:footnote w:id="4">
    <w:p w:rsidR="00077FF0" w:rsidRPr="00BB319F" w:rsidRDefault="00077FF0" w:rsidP="00FE2C7E">
      <w:pPr>
        <w:pStyle w:val="Textpoznpodarou"/>
        <w:rPr>
          <w:sz w:val="16"/>
          <w:szCs w:val="16"/>
        </w:rPr>
      </w:pPr>
      <w:r w:rsidRPr="00AF6B7C">
        <w:rPr>
          <w:rStyle w:val="Znakapoznpodarou"/>
          <w:sz w:val="16"/>
          <w:szCs w:val="16"/>
        </w:rPr>
        <w:footnoteRef/>
      </w:r>
      <w:r w:rsidRPr="00AF6B7C"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Nedostupná data za Irsko</w:t>
      </w:r>
      <w:r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a</w:t>
      </w:r>
      <w:r>
        <w:rPr>
          <w:sz w:val="16"/>
          <w:szCs w:val="16"/>
        </w:rPr>
        <w:t> </w:t>
      </w:r>
      <w:r w:rsidRPr="00BB319F">
        <w:rPr>
          <w:sz w:val="16"/>
          <w:szCs w:val="16"/>
        </w:rPr>
        <w:t>Lucembursko.</w:t>
      </w:r>
      <w:r>
        <w:rPr>
          <w:sz w:val="16"/>
          <w:szCs w:val="16"/>
        </w:rPr>
        <w:t xml:space="preserve"> Data za Slovensko nejsou očištěna o kalendářní vlivy.</w:t>
      </w:r>
    </w:p>
  </w:footnote>
  <w:footnote w:id="5">
    <w:p w:rsidR="00077FF0" w:rsidRPr="009C6EA8" w:rsidRDefault="00077FF0" w:rsidP="00FE2C7E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6">
    <w:p w:rsidR="00077FF0" w:rsidRPr="007933CD" w:rsidRDefault="00077FF0" w:rsidP="00FE2C7E">
      <w:pPr>
        <w:pStyle w:val="Textpoznpodarou"/>
        <w:rPr>
          <w:sz w:val="16"/>
          <w:szCs w:val="16"/>
        </w:rPr>
      </w:pPr>
      <w:r w:rsidRPr="007933CD">
        <w:rPr>
          <w:rStyle w:val="Znakapoznpodarou"/>
          <w:sz w:val="16"/>
          <w:szCs w:val="16"/>
        </w:rPr>
        <w:footnoteRef/>
      </w:r>
      <w:r w:rsidRPr="007933CD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7933CD">
        <w:rPr>
          <w:sz w:val="16"/>
          <w:szCs w:val="16"/>
        </w:rPr>
        <w:t>spotřebě domácností podle trvanlivosti statků nejsou sezónně očištěny.</w:t>
      </w:r>
    </w:p>
  </w:footnote>
  <w:footnote w:id="7">
    <w:p w:rsidR="00077FF0" w:rsidRPr="009C6EA8" w:rsidRDefault="00077FF0" w:rsidP="00FE2C7E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Do reálného vyjádření převedeno s využitím deflátoru výdajů na konečnou spotřebu domácností.</w:t>
      </w:r>
    </w:p>
  </w:footnote>
  <w:footnote w:id="8">
    <w:p w:rsidR="00077FF0" w:rsidRDefault="00077FF0" w:rsidP="00FE2C7E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V pojetí národních účtů, sezónně očištěno</w:t>
      </w:r>
      <w:r w:rsidRPr="00004BA8">
        <w:rPr>
          <w:sz w:val="16"/>
        </w:rPr>
        <w:t>.</w:t>
      </w:r>
    </w:p>
  </w:footnote>
  <w:footnote w:id="9">
    <w:p w:rsidR="00771972" w:rsidRPr="00771972" w:rsidRDefault="00771972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 obrana, vzdělávání, zdravotní a sociální péče.</w:t>
      </w:r>
    </w:p>
  </w:footnote>
  <w:footnote w:id="10">
    <w:p w:rsidR="00077FF0" w:rsidRPr="0021552C" w:rsidRDefault="00077FF0" w:rsidP="00FE2C7E">
      <w:pPr>
        <w:pStyle w:val="Textpoznpodarou"/>
        <w:rPr>
          <w:sz w:val="16"/>
          <w:szCs w:val="16"/>
        </w:rPr>
      </w:pPr>
      <w:r w:rsidRPr="0021552C">
        <w:rPr>
          <w:rStyle w:val="Znakapoznpodarou"/>
          <w:sz w:val="16"/>
          <w:szCs w:val="16"/>
        </w:rPr>
        <w:footnoteRef/>
      </w:r>
      <w:r w:rsidRPr="0021552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</w:t>
      </w:r>
      <w:r w:rsidRPr="0021552C">
        <w:rPr>
          <w:rFonts w:cs="Arial"/>
          <w:sz w:val="16"/>
          <w:szCs w:val="16"/>
        </w:rPr>
        <w:t>ata o</w:t>
      </w:r>
      <w:r>
        <w:rPr>
          <w:rFonts w:cs="Arial"/>
          <w:sz w:val="16"/>
          <w:szCs w:val="16"/>
        </w:rPr>
        <w:t> </w:t>
      </w:r>
      <w:r w:rsidRPr="0021552C">
        <w:rPr>
          <w:rFonts w:cs="Arial"/>
          <w:sz w:val="16"/>
          <w:szCs w:val="16"/>
        </w:rPr>
        <w:t xml:space="preserve">věcném členění tvorby </w:t>
      </w:r>
      <w:r>
        <w:rPr>
          <w:rFonts w:cs="Arial"/>
          <w:sz w:val="16"/>
          <w:szCs w:val="16"/>
        </w:rPr>
        <w:t>hrubého fixního kapitálu</w:t>
      </w:r>
      <w:r w:rsidRPr="0021552C">
        <w:rPr>
          <w:rFonts w:cs="Arial"/>
          <w:sz w:val="16"/>
          <w:szCs w:val="16"/>
        </w:rPr>
        <w:t xml:space="preserve"> nejsou sezónně očištěna</w:t>
      </w:r>
      <w:r>
        <w:rPr>
          <w:rFonts w:cs="Arial"/>
          <w:sz w:val="16"/>
          <w:szCs w:val="16"/>
        </w:rPr>
        <w:t>.</w:t>
      </w:r>
    </w:p>
  </w:footnote>
  <w:footnote w:id="11">
    <w:p w:rsidR="00077FF0" w:rsidRPr="00167B30" w:rsidRDefault="00077FF0" w:rsidP="00FE2C7E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</w:t>
      </w:r>
    </w:p>
  </w:footnote>
  <w:footnote w:id="12">
    <w:p w:rsidR="00077FF0" w:rsidRPr="0027583D" w:rsidRDefault="00077FF0" w:rsidP="00F93688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27583D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 HPH jsou vyjádřeny ve stálých cenách a v očištění o sezónní a kalendářní vlivy.</w:t>
      </w:r>
    </w:p>
  </w:footnote>
  <w:footnote w:id="13">
    <w:p w:rsidR="00077FF0" w:rsidRPr="0027583D" w:rsidRDefault="00077FF0" w:rsidP="0087368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27583D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 xml:space="preserve"> Zahrnutá odvětví: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t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 xml:space="preserve">ěžba a dobývání,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z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 xml:space="preserve">pracovatelský průmysl,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e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 xml:space="preserve">nergetika. Všechna meziroční tempa produkce (na úrovni odvětvových sekcí i oddílů) jsou očištěna o kalendářní vlivy.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Mezičtvrtletní tempa pak kromě toho také o vliv sezónnosti.</w:t>
      </w:r>
    </w:p>
  </w:footnote>
  <w:footnote w:id="14">
    <w:p w:rsidR="00077FF0" w:rsidRPr="00E41CD5" w:rsidRDefault="00077FF0" w:rsidP="00E41CD5">
      <w:pPr>
        <w:pStyle w:val="Textpoznpodarou"/>
        <w:jc w:val="both"/>
        <w:rPr>
          <w:rFonts w:cs="Arial"/>
          <w:color w:val="0D0D0D" w:themeColor="text1" w:themeTint="F2"/>
          <w:spacing w:val="-3"/>
          <w:sz w:val="16"/>
          <w:szCs w:val="16"/>
        </w:rPr>
      </w:pPr>
      <w:r w:rsidRPr="0027583D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7583D">
        <w:rPr>
          <w:rFonts w:cs="Arial"/>
          <w:color w:val="0D0D0D" w:themeColor="text1" w:themeTint="F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V 1. pololetí</w:t>
      </w:r>
      <w:r w:rsidRPr="0027583D">
        <w:rPr>
          <w:rFonts w:cs="Arial"/>
          <w:color w:val="0D0D0D" w:themeColor="text1" w:themeTint="F2"/>
          <w:spacing w:val="-3"/>
          <w:sz w:val="16"/>
          <w:szCs w:val="16"/>
        </w:rPr>
        <w:t> 2018 bylo ve srovnání se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 xml:space="preserve"> stejným obdobím roku </w:t>
      </w:r>
      <w:r w:rsidRPr="003220A5">
        <w:rPr>
          <w:rFonts w:cs="Arial"/>
          <w:color w:val="0D0D0D" w:themeColor="text1" w:themeTint="F2"/>
          <w:spacing w:val="-3"/>
          <w:sz w:val="16"/>
          <w:szCs w:val="16"/>
        </w:rPr>
        <w:t>2017 o jeden pracovní den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 xml:space="preserve"> méně. Bez očištění o tento vliv činil letos meziroční růst jen 2,4 %.</w:t>
      </w:r>
    </w:p>
  </w:footnote>
  <w:footnote w:id="15">
    <w:p w:rsidR="00077FF0" w:rsidRPr="00A2731E" w:rsidRDefault="00077FF0">
      <w:pPr>
        <w:pStyle w:val="Textpoznpodarou"/>
        <w:rPr>
          <w:sz w:val="16"/>
          <w:szCs w:val="16"/>
        </w:rPr>
      </w:pPr>
      <w:r w:rsidRPr="00A2731E">
        <w:rPr>
          <w:rStyle w:val="Znakapoznpodarou"/>
          <w:sz w:val="16"/>
          <w:szCs w:val="16"/>
        </w:rPr>
        <w:footnoteRef/>
      </w:r>
      <w:r w:rsidRPr="00A2731E">
        <w:rPr>
          <w:sz w:val="16"/>
          <w:szCs w:val="16"/>
        </w:rPr>
        <w:t xml:space="preserve"> Společně s opravou strojů a zařízení však šlo o jediné zpracovatelské obory, jejichž produkce </w:t>
      </w:r>
      <w:r>
        <w:rPr>
          <w:sz w:val="16"/>
          <w:szCs w:val="16"/>
        </w:rPr>
        <w:t>v </w:t>
      </w:r>
      <w:r w:rsidRPr="00A2731E">
        <w:rPr>
          <w:sz w:val="16"/>
          <w:szCs w:val="16"/>
        </w:rPr>
        <w:t xml:space="preserve">letošním 1. pololetí meziročně klesla. </w:t>
      </w:r>
    </w:p>
  </w:footnote>
  <w:footnote w:id="16">
    <w:p w:rsidR="00077FF0" w:rsidRPr="00CC0834" w:rsidRDefault="00077FF0">
      <w:pPr>
        <w:pStyle w:val="Textpoznpodarou"/>
        <w:rPr>
          <w:sz w:val="16"/>
          <w:szCs w:val="16"/>
        </w:rPr>
      </w:pPr>
      <w:r w:rsidRPr="00CC0834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 letošním červenci převýšil meziroční růst zakázek 11 % (dvou</w:t>
      </w:r>
      <w:r w:rsidRPr="00CC0834">
        <w:rPr>
          <w:sz w:val="16"/>
          <w:szCs w:val="16"/>
        </w:rPr>
        <w:t>ciferného temp</w:t>
      </w:r>
      <w:r>
        <w:rPr>
          <w:sz w:val="16"/>
          <w:szCs w:val="16"/>
        </w:rPr>
        <w:t>a dosáhla</w:t>
      </w:r>
      <w:r w:rsidRPr="00CC0834">
        <w:rPr>
          <w:sz w:val="16"/>
          <w:szCs w:val="16"/>
        </w:rPr>
        <w:t xml:space="preserve"> jak tuzemská, tak zahraniční po</w:t>
      </w:r>
      <w:r>
        <w:rPr>
          <w:sz w:val="16"/>
          <w:szCs w:val="16"/>
        </w:rPr>
        <w:t>p</w:t>
      </w:r>
      <w:r w:rsidRPr="00CC0834">
        <w:rPr>
          <w:sz w:val="16"/>
          <w:szCs w:val="16"/>
        </w:rPr>
        <w:t>távka).</w:t>
      </w:r>
      <w:r>
        <w:rPr>
          <w:sz w:val="16"/>
          <w:szCs w:val="16"/>
        </w:rPr>
        <w:t xml:space="preserve"> Hodnota zakázek se podstatně zvýšila i ve výrobě motorových vozidel (+8 %).</w:t>
      </w:r>
    </w:p>
  </w:footnote>
  <w:footnote w:id="17">
    <w:p w:rsidR="00077FF0" w:rsidRPr="00E47854" w:rsidRDefault="00077FF0">
      <w:pPr>
        <w:pStyle w:val="Textpoznpodarou"/>
        <w:rPr>
          <w:sz w:val="16"/>
          <w:szCs w:val="16"/>
        </w:rPr>
      </w:pPr>
      <w:r w:rsidRPr="00E47854">
        <w:rPr>
          <w:rStyle w:val="Znakapoznpodarou"/>
          <w:sz w:val="16"/>
          <w:szCs w:val="16"/>
        </w:rPr>
        <w:footnoteRef/>
      </w:r>
      <w:r w:rsidRPr="00E47854">
        <w:rPr>
          <w:sz w:val="16"/>
          <w:szCs w:val="16"/>
        </w:rPr>
        <w:t xml:space="preserve"> Podle </w:t>
      </w:r>
      <w:r>
        <w:rPr>
          <w:sz w:val="16"/>
          <w:szCs w:val="16"/>
        </w:rPr>
        <w:t xml:space="preserve">sezónně očištěných </w:t>
      </w:r>
      <w:r w:rsidRPr="00E47854">
        <w:rPr>
          <w:sz w:val="16"/>
          <w:szCs w:val="16"/>
        </w:rPr>
        <w:t xml:space="preserve">údajů </w:t>
      </w:r>
      <w:proofErr w:type="spellStart"/>
      <w:r w:rsidRPr="00E47854">
        <w:rPr>
          <w:sz w:val="16"/>
          <w:szCs w:val="16"/>
        </w:rPr>
        <w:t>Eurostatu</w:t>
      </w:r>
      <w:proofErr w:type="spellEnd"/>
      <w:r w:rsidRPr="00E47854">
        <w:rPr>
          <w:sz w:val="16"/>
          <w:szCs w:val="16"/>
        </w:rPr>
        <w:t xml:space="preserve">. </w:t>
      </w:r>
      <w:r>
        <w:rPr>
          <w:sz w:val="16"/>
          <w:szCs w:val="16"/>
        </w:rPr>
        <w:t>Podniky mohly uvést i více druhů bariér současně. V celé EU považovalo na počátku 3. čtvrtletí 2018 nedostatečnou poptávku za bariéru svého růstu 24 % průmyslových podniků, nedostatek pracovníků pak 20 %.</w:t>
      </w:r>
    </w:p>
  </w:footnote>
  <w:footnote w:id="18">
    <w:p w:rsidR="00077FF0" w:rsidRPr="00D85B50" w:rsidRDefault="00077FF0" w:rsidP="00F07C4C">
      <w:pPr>
        <w:pStyle w:val="Textpoznpodarou"/>
        <w:jc w:val="both"/>
        <w:rPr>
          <w:spacing w:val="-4"/>
          <w:sz w:val="16"/>
          <w:szCs w:val="16"/>
        </w:rPr>
      </w:pPr>
      <w:r w:rsidRPr="00D85B50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D85B50">
        <w:rPr>
          <w:color w:val="0D0D0D" w:themeColor="text1" w:themeTint="F2"/>
          <w:spacing w:val="-4"/>
          <w:sz w:val="16"/>
          <w:szCs w:val="16"/>
        </w:rPr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Všechny m</w:t>
      </w:r>
      <w:r w:rsidRPr="00D85B50">
        <w:rPr>
          <w:color w:val="0D0D0D" w:themeColor="text1" w:themeTint="F2"/>
          <w:spacing w:val="-4"/>
          <w:sz w:val="16"/>
          <w:szCs w:val="16"/>
        </w:rPr>
        <w:t>eziroční údaje o s</w:t>
      </w:r>
      <w:r>
        <w:rPr>
          <w:color w:val="0D0D0D" w:themeColor="text1" w:themeTint="F2"/>
          <w:spacing w:val="-4"/>
          <w:sz w:val="16"/>
          <w:szCs w:val="16"/>
        </w:rPr>
        <w:t>tavební produkci jsou očištěny</w:t>
      </w:r>
      <w:r w:rsidRPr="00D85B50">
        <w:rPr>
          <w:color w:val="0D0D0D" w:themeColor="text1" w:themeTint="F2"/>
          <w:spacing w:val="-4"/>
          <w:sz w:val="16"/>
          <w:szCs w:val="16"/>
        </w:rPr>
        <w:t xml:space="preserve"> o kalendářní vlivy</w:t>
      </w:r>
      <w:r>
        <w:rPr>
          <w:color w:val="0D0D0D" w:themeColor="text1" w:themeTint="F2"/>
          <w:spacing w:val="-4"/>
          <w:sz w:val="16"/>
          <w:szCs w:val="16"/>
        </w:rPr>
        <w:t xml:space="preserve">, </w:t>
      </w:r>
      <w:proofErr w:type="spellStart"/>
      <w:r>
        <w:rPr>
          <w:rFonts w:cs="Arial"/>
          <w:color w:val="0D0D0D" w:themeColor="text1" w:themeTint="F2"/>
          <w:spacing w:val="-2"/>
          <w:sz w:val="16"/>
          <w:szCs w:val="16"/>
        </w:rPr>
        <w:t>mezičtvrtletní</w:t>
      </w:r>
      <w:proofErr w:type="spellEnd"/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tempa pak kromě toho také o vliv sezónnosti.</w:t>
      </w:r>
    </w:p>
  </w:footnote>
  <w:footnote w:id="19">
    <w:p w:rsidR="00077FF0" w:rsidRPr="0070398A" w:rsidRDefault="00077FF0">
      <w:pPr>
        <w:pStyle w:val="Textpoznpodarou"/>
        <w:rPr>
          <w:sz w:val="16"/>
          <w:szCs w:val="16"/>
        </w:rPr>
      </w:pPr>
      <w:r w:rsidRPr="0070398A">
        <w:rPr>
          <w:rStyle w:val="Znakapoznpodarou"/>
          <w:sz w:val="16"/>
          <w:szCs w:val="16"/>
        </w:rPr>
        <w:footnoteRef/>
      </w:r>
      <w:r w:rsidRPr="0070398A">
        <w:rPr>
          <w:sz w:val="16"/>
          <w:szCs w:val="16"/>
        </w:rPr>
        <w:t xml:space="preserve"> V 1. pololetí roku 2013, kdy v celé ekonomice i samotném stavebnictví doznívala recese, se počet zahájených bytů pohyboval těsně pod 11 tis. Ve stejném období konjunkturního roku 2008 byl dvojnásobný.</w:t>
      </w:r>
    </w:p>
  </w:footnote>
  <w:footnote w:id="20">
    <w:p w:rsidR="00077FF0" w:rsidRPr="00BC327F" w:rsidRDefault="00077FF0">
      <w:pPr>
        <w:pStyle w:val="Textpoznpodarou"/>
        <w:rPr>
          <w:sz w:val="16"/>
          <w:szCs w:val="16"/>
        </w:rPr>
      </w:pPr>
      <w:r w:rsidRPr="00BC327F">
        <w:rPr>
          <w:rStyle w:val="Znakapoznpodarou"/>
          <w:sz w:val="16"/>
          <w:szCs w:val="16"/>
        </w:rPr>
        <w:footnoteRef/>
      </w:r>
      <w:r w:rsidRPr="00BC327F">
        <w:rPr>
          <w:sz w:val="16"/>
          <w:szCs w:val="16"/>
        </w:rPr>
        <w:t xml:space="preserve"> V 1. pololetí 2016 klesla četnost </w:t>
      </w:r>
      <w:r>
        <w:rPr>
          <w:sz w:val="16"/>
          <w:szCs w:val="16"/>
        </w:rPr>
        <w:t>zaháje</w:t>
      </w:r>
      <w:r w:rsidRPr="00BC327F">
        <w:rPr>
          <w:sz w:val="16"/>
          <w:szCs w:val="16"/>
        </w:rPr>
        <w:t>ných bytů v metropoli na nejnižší hodnotu od poloviny 90. let</w:t>
      </w:r>
      <w:r>
        <w:rPr>
          <w:sz w:val="16"/>
          <w:szCs w:val="16"/>
        </w:rPr>
        <w:t xml:space="preserve"> (1037).</w:t>
      </w:r>
    </w:p>
  </w:footnote>
  <w:footnote w:id="21">
    <w:p w:rsidR="00077FF0" w:rsidRPr="001459BC" w:rsidRDefault="00077FF0" w:rsidP="00F93688">
      <w:pPr>
        <w:pStyle w:val="Textpoznpodarou"/>
        <w:rPr>
          <w:sz w:val="16"/>
          <w:szCs w:val="16"/>
        </w:rPr>
      </w:pPr>
      <w:r w:rsidRPr="001459BC">
        <w:rPr>
          <w:rStyle w:val="Znakapoznpodarou"/>
          <w:sz w:val="16"/>
          <w:szCs w:val="16"/>
        </w:rPr>
        <w:footnoteRef/>
      </w:r>
      <w:r w:rsidRPr="001459BC">
        <w:rPr>
          <w:sz w:val="16"/>
          <w:szCs w:val="16"/>
        </w:rPr>
        <w:t xml:space="preserve"> Pokrývá pouze podniky s 50 a více zaměstnanci.</w:t>
      </w:r>
    </w:p>
  </w:footnote>
  <w:footnote w:id="22">
    <w:p w:rsidR="00077FF0" w:rsidRPr="00DE38E6" w:rsidRDefault="00077FF0" w:rsidP="00252AB9">
      <w:pPr>
        <w:spacing w:after="0" w:line="240" w:lineRule="auto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>
        <w:rPr>
          <w:color w:val="0D0D0D" w:themeColor="text1" w:themeTint="F2"/>
          <w:sz w:val="16"/>
          <w:szCs w:val="16"/>
        </w:rPr>
        <w:t>šťovnictví, vědy, výzkumu a 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</w:t>
      </w:r>
      <w:r>
        <w:rPr>
          <w:color w:val="0D0D0D" w:themeColor="text1" w:themeTint="F2"/>
          <w:sz w:val="16"/>
          <w:szCs w:val="16"/>
        </w:rPr>
        <w:t xml:space="preserve">ve stálých cenách, meziroční údaje jsou </w:t>
      </w:r>
      <w:r w:rsidRPr="004A26AF">
        <w:rPr>
          <w:color w:val="0D0D0D" w:themeColor="text1" w:themeTint="F2"/>
          <w:sz w:val="16"/>
          <w:szCs w:val="16"/>
        </w:rPr>
        <w:t>očištěny o kal</w:t>
      </w:r>
      <w:r>
        <w:rPr>
          <w:color w:val="0D0D0D" w:themeColor="text1" w:themeTint="F2"/>
          <w:sz w:val="16"/>
          <w:szCs w:val="16"/>
        </w:rPr>
        <w:t xml:space="preserve">endářní vlivy, </w:t>
      </w:r>
      <w:proofErr w:type="spellStart"/>
      <w:r>
        <w:rPr>
          <w:color w:val="0D0D0D" w:themeColor="text1" w:themeTint="F2"/>
          <w:sz w:val="16"/>
          <w:szCs w:val="16"/>
        </w:rPr>
        <w:t>mezičtvrtletní</w:t>
      </w:r>
      <w:proofErr w:type="spellEnd"/>
      <w:r>
        <w:rPr>
          <w:color w:val="0D0D0D" w:themeColor="text1" w:themeTint="F2"/>
          <w:sz w:val="16"/>
          <w:szCs w:val="16"/>
        </w:rPr>
        <w:t xml:space="preserve"> jsou očištěny o 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23">
    <w:p w:rsidR="00077FF0" w:rsidRPr="00FD3CF7" w:rsidRDefault="00077FF0">
      <w:pPr>
        <w:pStyle w:val="Textpoznpodarou"/>
        <w:rPr>
          <w:sz w:val="16"/>
          <w:szCs w:val="16"/>
        </w:rPr>
      </w:pPr>
      <w:r w:rsidRPr="00FD3CF7">
        <w:rPr>
          <w:rStyle w:val="Znakapoznpodarou"/>
          <w:sz w:val="16"/>
          <w:szCs w:val="16"/>
        </w:rPr>
        <w:footnoteRef/>
      </w:r>
      <w:r w:rsidRPr="00FD3CF7">
        <w:rPr>
          <w:sz w:val="16"/>
          <w:szCs w:val="16"/>
        </w:rPr>
        <w:t xml:space="preserve"> V 1. </w:t>
      </w:r>
      <w:r>
        <w:rPr>
          <w:sz w:val="16"/>
          <w:szCs w:val="16"/>
        </w:rPr>
        <w:t>p</w:t>
      </w:r>
      <w:r w:rsidRPr="00FD3CF7">
        <w:rPr>
          <w:sz w:val="16"/>
          <w:szCs w:val="16"/>
        </w:rPr>
        <w:t>ololetí 2017 meziroční růst tržeb ve službách akceleroval, když dosáhl 5,7</w:t>
      </w:r>
      <w:r>
        <w:rPr>
          <w:sz w:val="16"/>
          <w:szCs w:val="16"/>
        </w:rPr>
        <w:t> %</w:t>
      </w:r>
      <w:r w:rsidRPr="00FD3CF7">
        <w:rPr>
          <w:sz w:val="16"/>
          <w:szCs w:val="16"/>
        </w:rPr>
        <w:t xml:space="preserve"> (nejvyšší</w:t>
      </w:r>
      <w:r>
        <w:rPr>
          <w:sz w:val="16"/>
          <w:szCs w:val="16"/>
        </w:rPr>
        <w:t>ho</w:t>
      </w:r>
      <w:r w:rsidRPr="00FD3CF7">
        <w:rPr>
          <w:sz w:val="16"/>
          <w:szCs w:val="16"/>
        </w:rPr>
        <w:t xml:space="preserve"> temp</w:t>
      </w:r>
      <w:r>
        <w:rPr>
          <w:sz w:val="16"/>
          <w:szCs w:val="16"/>
        </w:rPr>
        <w:t>a</w:t>
      </w:r>
      <w:r w:rsidRPr="00FD3CF7">
        <w:rPr>
          <w:sz w:val="16"/>
          <w:szCs w:val="16"/>
        </w:rPr>
        <w:t xml:space="preserve"> od konce roku 2007).</w:t>
      </w:r>
    </w:p>
  </w:footnote>
  <w:footnote w:id="24">
    <w:p w:rsidR="00077FF0" w:rsidRPr="00252AB9" w:rsidRDefault="00077FF0">
      <w:pPr>
        <w:pStyle w:val="Textpoznpodarou"/>
        <w:rPr>
          <w:sz w:val="16"/>
          <w:szCs w:val="16"/>
        </w:rPr>
      </w:pPr>
      <w:r w:rsidRPr="00252AB9">
        <w:rPr>
          <w:rStyle w:val="Znakapoznpodarou"/>
          <w:sz w:val="16"/>
          <w:szCs w:val="16"/>
        </w:rPr>
        <w:footnoteRef/>
      </w:r>
      <w:r w:rsidRPr="00252AB9">
        <w:rPr>
          <w:sz w:val="16"/>
          <w:szCs w:val="16"/>
        </w:rPr>
        <w:t xml:space="preserve"> Bez očištění o rozdílný počet pracovních dn</w:t>
      </w:r>
      <w:r>
        <w:rPr>
          <w:sz w:val="16"/>
          <w:szCs w:val="16"/>
        </w:rPr>
        <w:t>ů</w:t>
      </w:r>
      <w:r w:rsidRPr="00252AB9">
        <w:rPr>
          <w:sz w:val="16"/>
          <w:szCs w:val="16"/>
        </w:rPr>
        <w:t xml:space="preserve"> činil růst 3,3</w:t>
      </w:r>
      <w:r>
        <w:rPr>
          <w:sz w:val="16"/>
          <w:szCs w:val="16"/>
        </w:rPr>
        <w:t> %</w:t>
      </w:r>
      <w:r w:rsidRPr="00252AB9">
        <w:rPr>
          <w:sz w:val="16"/>
          <w:szCs w:val="16"/>
        </w:rPr>
        <w:t>.</w:t>
      </w:r>
    </w:p>
  </w:footnote>
  <w:footnote w:id="25">
    <w:p w:rsidR="00077FF0" w:rsidRPr="00FE48E4" w:rsidRDefault="00077FF0">
      <w:pPr>
        <w:pStyle w:val="Textpoznpodarou"/>
        <w:rPr>
          <w:sz w:val="16"/>
          <w:szCs w:val="16"/>
        </w:rPr>
      </w:pPr>
      <w:r w:rsidRPr="00FE48E4">
        <w:rPr>
          <w:rStyle w:val="Znakapoznpodarou"/>
          <w:sz w:val="16"/>
          <w:szCs w:val="16"/>
        </w:rPr>
        <w:footnoteRef/>
      </w:r>
      <w:r w:rsidRPr="00FE48E4">
        <w:rPr>
          <w:sz w:val="16"/>
          <w:szCs w:val="16"/>
        </w:rPr>
        <w:t xml:space="preserve"> To bylo patrné i v naturálních ukazatelích. Počet přenocování hostů v hromadných ubytovacích zařízeních </w:t>
      </w:r>
      <w:r>
        <w:rPr>
          <w:sz w:val="16"/>
          <w:szCs w:val="16"/>
        </w:rPr>
        <w:t>v ČR rostl ve 2. čtvrtletí 2018 meziročně již jen o 2,2 %. Ve stejném období loňského roku přitom dosahoval růst mimořádných 12,7 %.</w:t>
      </w:r>
    </w:p>
  </w:footnote>
  <w:footnote w:id="26">
    <w:p w:rsidR="00077FF0" w:rsidRPr="00F12CFB" w:rsidRDefault="00077FF0">
      <w:pPr>
        <w:pStyle w:val="Textpoznpodarou"/>
        <w:rPr>
          <w:sz w:val="16"/>
          <w:szCs w:val="16"/>
        </w:rPr>
      </w:pPr>
      <w:r w:rsidRPr="00F12CFB">
        <w:rPr>
          <w:rStyle w:val="Znakapoznpodarou"/>
          <w:sz w:val="16"/>
          <w:szCs w:val="16"/>
        </w:rPr>
        <w:footnoteRef/>
      </w:r>
      <w:r w:rsidRPr="00F12CFB">
        <w:rPr>
          <w:sz w:val="16"/>
          <w:szCs w:val="16"/>
        </w:rPr>
        <w:t xml:space="preserve"> Šlo o důsledek zvyšování minimální mzdy. </w:t>
      </w:r>
      <w:r w:rsidRPr="00F12CFB">
        <w:rPr>
          <w:color w:val="0D0D0D" w:themeColor="text1" w:themeTint="F2"/>
          <w:spacing w:val="-2"/>
          <w:sz w:val="16"/>
          <w:szCs w:val="16"/>
        </w:rPr>
        <w:t xml:space="preserve">V běžných cenách dvojciferný </w:t>
      </w:r>
      <w:r>
        <w:rPr>
          <w:color w:val="0D0D0D" w:themeColor="text1" w:themeTint="F2"/>
          <w:spacing w:val="-2"/>
          <w:sz w:val="16"/>
          <w:szCs w:val="16"/>
        </w:rPr>
        <w:t xml:space="preserve">meziroční </w:t>
      </w:r>
      <w:r w:rsidRPr="00F12CFB">
        <w:rPr>
          <w:color w:val="0D0D0D" w:themeColor="text1" w:themeTint="F2"/>
          <w:spacing w:val="-2"/>
          <w:sz w:val="16"/>
          <w:szCs w:val="16"/>
        </w:rPr>
        <w:t>růst tržeb agentur pokračoval.</w:t>
      </w:r>
    </w:p>
  </w:footnote>
  <w:footnote w:id="27">
    <w:p w:rsidR="00077FF0" w:rsidRPr="00122994" w:rsidRDefault="00077FF0" w:rsidP="00D87C06">
      <w:pPr>
        <w:pStyle w:val="Textpoznpodarou"/>
      </w:pPr>
      <w:r w:rsidRPr="004A62A0">
        <w:rPr>
          <w:rStyle w:val="Znakapoznpodarou"/>
          <w:sz w:val="16"/>
          <w:szCs w:val="16"/>
        </w:rPr>
        <w:footnoteRef/>
      </w:r>
      <w:r w:rsidRPr="004A62A0">
        <w:rPr>
          <w:sz w:val="16"/>
          <w:szCs w:val="16"/>
        </w:rPr>
        <w:t xml:space="preserve"> Data nezahrnují motoristický segment. Údaje o maloobchodu jsou vyjádřeny ve stálých cenách a očištěny o kalendářní vlivy.</w:t>
      </w:r>
      <w:r w:rsidRPr="00122994">
        <w:t xml:space="preserve"> </w:t>
      </w:r>
    </w:p>
  </w:footnote>
  <w:footnote w:id="28">
    <w:p w:rsidR="00077FF0" w:rsidRPr="006C52EC" w:rsidRDefault="00077FF0" w:rsidP="00E47854">
      <w:pPr>
        <w:pStyle w:val="Textpoznpodarou"/>
        <w:rPr>
          <w:sz w:val="16"/>
          <w:szCs w:val="16"/>
        </w:rPr>
      </w:pPr>
      <w:r w:rsidRPr="006C52EC">
        <w:rPr>
          <w:rStyle w:val="Znakapoznpodarou"/>
          <w:sz w:val="16"/>
          <w:szCs w:val="16"/>
        </w:rPr>
        <w:footnoteRef/>
      </w:r>
      <w:r w:rsidRPr="006C52EC">
        <w:rPr>
          <w:sz w:val="16"/>
          <w:szCs w:val="16"/>
        </w:rPr>
        <w:t xml:space="preserve"> Zahrnuje maloobchod s železářským zbožím, barvami, sklem, potřebami pro kutily, textilem, koberci, podlahovými krytinami, nástěnnými obklady, elektrospotřebiči, elektronikou, nábytkem či svítidly.</w:t>
      </w:r>
    </w:p>
  </w:footnote>
  <w:footnote w:id="29">
    <w:p w:rsidR="00077FF0" w:rsidRPr="003279A7" w:rsidRDefault="00077FF0" w:rsidP="009B05B3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národním pojetí v nominálním vyjádření zahrnující pouze obchod se zbožím. Hodnota vývozu je zachycena v cenách FOB, tj. včetně nákladů souvisejících s dopravou na hranice ČR. Dovoz</w:t>
      </w:r>
      <w:r>
        <w:rPr>
          <w:sz w:val="16"/>
          <w:szCs w:val="16"/>
        </w:rPr>
        <w:t xml:space="preserve"> uvedený níže v této kapitole</w:t>
      </w:r>
      <w:r w:rsidRPr="003279A7">
        <w:rPr>
          <w:sz w:val="16"/>
          <w:szCs w:val="16"/>
        </w:rPr>
        <w:t xml:space="preserve"> je v cenách CIF, tj. včetně nákladů souvisejících s dopravou v zahraničí na hranice ČR. Data jsou platná k </w:t>
      </w:r>
      <w:r>
        <w:rPr>
          <w:sz w:val="16"/>
          <w:szCs w:val="16"/>
        </w:rPr>
        <w:t>6. 6. 2018.</w:t>
      </w:r>
    </w:p>
  </w:footnote>
  <w:footnote w:id="30">
    <w:p w:rsidR="00077FF0" w:rsidRPr="00B4223A" w:rsidRDefault="00077FF0" w:rsidP="00B4411A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Pok</w:t>
      </w:r>
      <w:r>
        <w:rPr>
          <w:sz w:val="16"/>
          <w:szCs w:val="16"/>
        </w:rPr>
        <w:t xml:space="preserve">ud není uvedeno jinak, jsou </w:t>
      </w:r>
      <w:r w:rsidRPr="00B4223A">
        <w:rPr>
          <w:sz w:val="16"/>
          <w:szCs w:val="16"/>
        </w:rPr>
        <w:t xml:space="preserve">v této kapitole </w:t>
      </w:r>
      <w:r>
        <w:rPr>
          <w:sz w:val="16"/>
          <w:szCs w:val="16"/>
        </w:rPr>
        <w:t>údaje o 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uvedeny </w:t>
      </w:r>
      <w:r w:rsidRPr="00B4223A">
        <w:rPr>
          <w:sz w:val="16"/>
          <w:szCs w:val="16"/>
        </w:rPr>
        <w:t>v pojetí národních účtů v očištění o sezónní vlivy.</w:t>
      </w:r>
    </w:p>
  </w:footnote>
  <w:footnote w:id="31">
    <w:p w:rsidR="00077FF0" w:rsidRPr="00AC0F50" w:rsidRDefault="00077FF0" w:rsidP="00B4411A">
      <w:pPr>
        <w:pStyle w:val="Textpoznpodarou"/>
        <w:jc w:val="both"/>
        <w:rPr>
          <w:sz w:val="16"/>
          <w:szCs w:val="16"/>
        </w:rPr>
      </w:pPr>
      <w:r w:rsidRPr="00AC0F50">
        <w:rPr>
          <w:rStyle w:val="Znakapoznpodarou"/>
          <w:sz w:val="16"/>
          <w:szCs w:val="16"/>
        </w:rPr>
        <w:footnoteRef/>
      </w:r>
      <w:r w:rsidRPr="00AC0F50">
        <w:rPr>
          <w:sz w:val="16"/>
          <w:szCs w:val="16"/>
        </w:rPr>
        <w:t xml:space="preserve"> Ve 2. čtvrtletí 2018 se počet zaměstnaných pracujících na kratší </w:t>
      </w:r>
      <w:r>
        <w:rPr>
          <w:sz w:val="16"/>
          <w:szCs w:val="16"/>
        </w:rPr>
        <w:t>úvazek</w:t>
      </w:r>
      <w:r w:rsidRPr="00AC0F50">
        <w:rPr>
          <w:sz w:val="16"/>
          <w:szCs w:val="16"/>
        </w:rPr>
        <w:t xml:space="preserve"> meziročně zvýšil o 20 tis. V drtiv</w:t>
      </w:r>
      <w:r>
        <w:rPr>
          <w:sz w:val="16"/>
          <w:szCs w:val="16"/>
        </w:rPr>
        <w:t>é</w:t>
      </w:r>
      <w:r w:rsidRPr="00AC0F50">
        <w:rPr>
          <w:sz w:val="16"/>
          <w:szCs w:val="16"/>
        </w:rPr>
        <w:t xml:space="preserve"> většině k tomu </w:t>
      </w:r>
      <w:r>
        <w:rPr>
          <w:sz w:val="16"/>
          <w:szCs w:val="16"/>
        </w:rPr>
        <w:t>přispěli</w:t>
      </w:r>
      <w:r w:rsidRPr="00AC0F50">
        <w:rPr>
          <w:sz w:val="16"/>
          <w:szCs w:val="16"/>
        </w:rPr>
        <w:t xml:space="preserve"> lidé ve věk</w:t>
      </w:r>
      <w:r>
        <w:rPr>
          <w:sz w:val="16"/>
          <w:szCs w:val="16"/>
        </w:rPr>
        <w:t>u 65 a více let a také osoby ve</w:t>
      </w:r>
      <w:r w:rsidRPr="00AC0F50">
        <w:rPr>
          <w:sz w:val="16"/>
          <w:szCs w:val="16"/>
        </w:rPr>
        <w:t xml:space="preserve"> skupině 25</w:t>
      </w:r>
      <w:r>
        <w:rPr>
          <w:sz w:val="16"/>
          <w:szCs w:val="16"/>
        </w:rPr>
        <w:t>–</w:t>
      </w:r>
      <w:r w:rsidRPr="00AC0F50">
        <w:rPr>
          <w:sz w:val="16"/>
          <w:szCs w:val="16"/>
        </w:rPr>
        <w:t xml:space="preserve">29 let. </w:t>
      </w:r>
      <w:r>
        <w:rPr>
          <w:sz w:val="16"/>
          <w:szCs w:val="16"/>
        </w:rPr>
        <w:t>I přesto patřilo Česko nadále v rámci EU mezi čtvrtinu států s nejnižším podílem osob v produktivním věku pracujících na zkrácené úvazky.</w:t>
      </w:r>
    </w:p>
  </w:footnote>
  <w:footnote w:id="32">
    <w:p w:rsidR="00077FF0" w:rsidRPr="00733707" w:rsidRDefault="00077FF0" w:rsidP="00B4411A">
      <w:pPr>
        <w:pStyle w:val="Textpoznpodarou"/>
        <w:jc w:val="both"/>
        <w:rPr>
          <w:sz w:val="16"/>
          <w:szCs w:val="16"/>
        </w:rPr>
      </w:pPr>
      <w:r w:rsidRPr="00733707">
        <w:rPr>
          <w:rStyle w:val="Znakapoznpodarou"/>
          <w:sz w:val="16"/>
          <w:szCs w:val="16"/>
        </w:rPr>
        <w:footnoteRef/>
      </w:r>
      <w:r w:rsidRPr="00733707">
        <w:rPr>
          <w:sz w:val="16"/>
          <w:szCs w:val="16"/>
        </w:rPr>
        <w:t xml:space="preserve"> Dle dosu</w:t>
      </w:r>
      <w:r>
        <w:rPr>
          <w:sz w:val="16"/>
          <w:szCs w:val="16"/>
        </w:rPr>
        <w:t>d</w:t>
      </w:r>
      <w:r w:rsidRPr="00733707">
        <w:rPr>
          <w:sz w:val="16"/>
          <w:szCs w:val="16"/>
        </w:rPr>
        <w:t xml:space="preserve"> nejaktuálnějších </w:t>
      </w:r>
      <w:r>
        <w:rPr>
          <w:sz w:val="16"/>
          <w:szCs w:val="16"/>
        </w:rPr>
        <w:t xml:space="preserve">sezónně neočištěných </w:t>
      </w:r>
      <w:r w:rsidRPr="00733707">
        <w:rPr>
          <w:sz w:val="16"/>
          <w:szCs w:val="16"/>
        </w:rPr>
        <w:t xml:space="preserve">údajů </w:t>
      </w:r>
      <w:r>
        <w:rPr>
          <w:sz w:val="16"/>
          <w:szCs w:val="16"/>
        </w:rPr>
        <w:t xml:space="preserve">z výběrového šetření pracovních sil (VŠPS) </w:t>
      </w:r>
      <w:r w:rsidRPr="00733707">
        <w:rPr>
          <w:sz w:val="16"/>
          <w:szCs w:val="16"/>
        </w:rPr>
        <w:t>o tocích na pracovním trhu přešlo mezi 4. čtvrtletí</w:t>
      </w:r>
      <w:r>
        <w:rPr>
          <w:sz w:val="16"/>
          <w:szCs w:val="16"/>
        </w:rPr>
        <w:t>m</w:t>
      </w:r>
      <w:r w:rsidRPr="00733707">
        <w:rPr>
          <w:sz w:val="16"/>
          <w:szCs w:val="16"/>
        </w:rPr>
        <w:t xml:space="preserve"> 2017 a 1. čtvrtletím 2018</w:t>
      </w:r>
      <w:r>
        <w:rPr>
          <w:sz w:val="16"/>
          <w:szCs w:val="16"/>
        </w:rPr>
        <w:t xml:space="preserve"> ze stavu nezaměstnaných do zaměstnaných 31 tis. osob (o rok dříve téměř 40 tis.). Naopak ze stavu ekonomicky neaktivních směrem k zaměstnaným zamířilo 44 tis. osob (obdobně jako na počátku roku 2017).</w:t>
      </w:r>
    </w:p>
  </w:footnote>
  <w:footnote w:id="33">
    <w:p w:rsidR="00077FF0" w:rsidRPr="0061214C" w:rsidRDefault="00077FF0" w:rsidP="00B4411A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61214C">
        <w:rPr>
          <w:rStyle w:val="Znakapoznpodarou"/>
          <w:color w:val="0D0D0D" w:themeColor="text1" w:themeTint="F2"/>
          <w:sz w:val="16"/>
          <w:szCs w:val="16"/>
        </w:rPr>
        <w:footnoteRef/>
      </w:r>
      <w:r w:rsidRPr="0061214C">
        <w:rPr>
          <w:color w:val="0D0D0D" w:themeColor="text1" w:themeTint="F2"/>
          <w:sz w:val="16"/>
          <w:szCs w:val="16"/>
        </w:rPr>
        <w:t xml:space="preserve"> Dle </w:t>
      </w:r>
      <w:r>
        <w:rPr>
          <w:color w:val="0D0D0D" w:themeColor="text1" w:themeTint="F2"/>
          <w:sz w:val="16"/>
          <w:szCs w:val="16"/>
        </w:rPr>
        <w:t xml:space="preserve">předběžných </w:t>
      </w:r>
      <w:r w:rsidRPr="0061214C">
        <w:rPr>
          <w:color w:val="0D0D0D" w:themeColor="text1" w:themeTint="F2"/>
          <w:sz w:val="16"/>
          <w:szCs w:val="16"/>
        </w:rPr>
        <w:t xml:space="preserve">údajů demografické statistiky </w:t>
      </w:r>
      <w:r>
        <w:rPr>
          <w:color w:val="0D0D0D" w:themeColor="text1" w:themeTint="F2"/>
          <w:sz w:val="16"/>
          <w:szCs w:val="16"/>
        </w:rPr>
        <w:t>se v 1. pololetí 2018 počet přistěhovalých do ČR meziročně navýšil o více než třetinu. Kladné saldo zahraničního stěhování (17,7 tis.) bylo v tomto období roku nejvyšší za posledních devět let.</w:t>
      </w:r>
    </w:p>
  </w:footnote>
  <w:footnote w:id="34">
    <w:p w:rsidR="00077FF0" w:rsidRPr="00A00E71" w:rsidRDefault="00077FF0" w:rsidP="00A03B10">
      <w:pPr>
        <w:pStyle w:val="Textpoznpodarou"/>
        <w:rPr>
          <w:spacing w:val="-3"/>
          <w:sz w:val="16"/>
          <w:szCs w:val="16"/>
        </w:rPr>
      </w:pPr>
      <w:r w:rsidRPr="00A00E71">
        <w:rPr>
          <w:rStyle w:val="Znakapoznpodarou"/>
          <w:spacing w:val="-3"/>
          <w:sz w:val="16"/>
          <w:szCs w:val="16"/>
        </w:rPr>
        <w:footnoteRef/>
      </w:r>
      <w:r w:rsidRPr="00A00E71">
        <w:rPr>
          <w:spacing w:val="-3"/>
          <w:sz w:val="16"/>
          <w:szCs w:val="16"/>
        </w:rPr>
        <w:t xml:space="preserve"> Ve 2. čtvrtletí 2018 činila dle údajů VŠPS míra zaměstnanosti u mužů 81,8 % (meziročně byla vyšší o 1,1 p. b.), u žen 67,6 % (o 1,7 p. </w:t>
      </w:r>
      <w:proofErr w:type="spellStart"/>
      <w:r w:rsidRPr="00A00E71">
        <w:rPr>
          <w:spacing w:val="-3"/>
          <w:sz w:val="16"/>
          <w:szCs w:val="16"/>
        </w:rPr>
        <w:t>b</w:t>
      </w:r>
      <w:proofErr w:type="spellEnd"/>
      <w:r w:rsidRPr="00A00E71">
        <w:rPr>
          <w:spacing w:val="-3"/>
          <w:sz w:val="16"/>
          <w:szCs w:val="16"/>
        </w:rPr>
        <w:t>.).</w:t>
      </w:r>
    </w:p>
  </w:footnote>
  <w:footnote w:id="35">
    <w:p w:rsidR="00077FF0" w:rsidRPr="00912E7F" w:rsidRDefault="00077FF0" w:rsidP="00B4411A">
      <w:pPr>
        <w:pStyle w:val="Textpoznpodarou"/>
        <w:jc w:val="both"/>
        <w:rPr>
          <w:spacing w:val="-2"/>
          <w:sz w:val="16"/>
          <w:szCs w:val="16"/>
        </w:rPr>
      </w:pPr>
      <w:r w:rsidRPr="00912E7F">
        <w:rPr>
          <w:rStyle w:val="Znakapoznpodarou"/>
          <w:spacing w:val="-2"/>
          <w:sz w:val="16"/>
          <w:szCs w:val="16"/>
        </w:rPr>
        <w:footnoteRef/>
      </w:r>
      <w:r w:rsidRPr="00912E7F">
        <w:rPr>
          <w:spacing w:val="-2"/>
          <w:sz w:val="16"/>
          <w:szCs w:val="16"/>
        </w:rPr>
        <w:t xml:space="preserve"> Údaje VŠPS indikují, že letos stagnoval počet podnikatelů se zaměstnanci i početně významnější skupina podnikatelů bez zaměstnanců.</w:t>
      </w:r>
    </w:p>
  </w:footnote>
  <w:footnote w:id="36">
    <w:p w:rsidR="00077FF0" w:rsidRPr="00005745" w:rsidRDefault="00077FF0" w:rsidP="00B4411A">
      <w:pPr>
        <w:pStyle w:val="Textpoznpodarou"/>
        <w:jc w:val="both"/>
        <w:rPr>
          <w:sz w:val="16"/>
          <w:szCs w:val="16"/>
        </w:rPr>
      </w:pPr>
      <w:r w:rsidRPr="00005745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 1. čtvrtletí 2018</w:t>
      </w:r>
      <w:r w:rsidRPr="000057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bylo téměř 30 % </w:t>
      </w:r>
      <w:r w:rsidRPr="00005745">
        <w:rPr>
          <w:sz w:val="16"/>
          <w:szCs w:val="16"/>
        </w:rPr>
        <w:t>všech</w:t>
      </w:r>
      <w:r>
        <w:rPr>
          <w:sz w:val="16"/>
          <w:szCs w:val="16"/>
        </w:rPr>
        <w:t xml:space="preserve"> dlouhodobě nezaměstnaných bez práce déle</w:t>
      </w:r>
      <w:r w:rsidRPr="00005745">
        <w:rPr>
          <w:sz w:val="16"/>
          <w:szCs w:val="16"/>
        </w:rPr>
        <w:t xml:space="preserve"> </w:t>
      </w:r>
      <w:r>
        <w:rPr>
          <w:sz w:val="16"/>
          <w:szCs w:val="16"/>
        </w:rPr>
        <w:t>než čtyři roky.</w:t>
      </w:r>
    </w:p>
  </w:footnote>
  <w:footnote w:id="37">
    <w:p w:rsidR="00077FF0" w:rsidRPr="006939A4" w:rsidRDefault="00077FF0" w:rsidP="00B4411A">
      <w:pPr>
        <w:pStyle w:val="Textpoznpodarou"/>
        <w:jc w:val="both"/>
        <w:rPr>
          <w:spacing w:val="-4"/>
          <w:sz w:val="16"/>
          <w:szCs w:val="16"/>
        </w:rPr>
      </w:pPr>
      <w:r w:rsidRPr="006939A4">
        <w:rPr>
          <w:rStyle w:val="Znakapoznpodarou"/>
          <w:spacing w:val="-4"/>
          <w:sz w:val="16"/>
          <w:szCs w:val="16"/>
        </w:rPr>
        <w:footnoteRef/>
      </w:r>
      <w:r w:rsidRPr="006939A4">
        <w:rPr>
          <w:spacing w:val="-4"/>
          <w:sz w:val="16"/>
          <w:szCs w:val="16"/>
        </w:rPr>
        <w:t xml:space="preserve"> Z celkového přírůstku míst mezi letošním a loňským červnem (118 tis.) jich 81</w:t>
      </w:r>
      <w:r>
        <w:rPr>
          <w:spacing w:val="-4"/>
          <w:sz w:val="16"/>
          <w:szCs w:val="16"/>
        </w:rPr>
        <w:t> %</w:t>
      </w:r>
      <w:r w:rsidRPr="006939A4">
        <w:rPr>
          <w:spacing w:val="-4"/>
          <w:sz w:val="16"/>
          <w:szCs w:val="16"/>
        </w:rPr>
        <w:t xml:space="preserve"> připadalo na pozice, na které postačovalo maximálně základní vzdělání, naopak jen 2,5</w:t>
      </w:r>
      <w:r>
        <w:rPr>
          <w:spacing w:val="-4"/>
          <w:sz w:val="16"/>
          <w:szCs w:val="16"/>
        </w:rPr>
        <w:t> %</w:t>
      </w:r>
      <w:r w:rsidRPr="006939A4">
        <w:rPr>
          <w:spacing w:val="-4"/>
          <w:sz w:val="16"/>
          <w:szCs w:val="16"/>
        </w:rPr>
        <w:t xml:space="preserve"> míst vyžadovalo terciární vzdělání. Celková nabídka míst se nejvíce rozšiřovala v krajích s podprůměrnou nezaměstnaností – jen na Prahu, Středočeský, Plzeňský a Pardubický kraj připadaly skoro dvě třetiny celorepublikového nárůstu míst. </w:t>
      </w:r>
    </w:p>
  </w:footnote>
  <w:footnote w:id="38">
    <w:p w:rsidR="00077FF0" w:rsidRPr="00A615C3" w:rsidRDefault="00077FF0" w:rsidP="00B4411A">
      <w:pPr>
        <w:pStyle w:val="Textpoznpodarou"/>
        <w:rPr>
          <w:sz w:val="16"/>
          <w:szCs w:val="16"/>
        </w:rPr>
      </w:pPr>
      <w:r w:rsidRPr="00A615C3">
        <w:rPr>
          <w:rStyle w:val="Znakapoznpodarou"/>
          <w:sz w:val="16"/>
          <w:szCs w:val="16"/>
        </w:rPr>
        <w:footnoteRef/>
      </w:r>
      <w:r w:rsidRPr="00A615C3">
        <w:rPr>
          <w:sz w:val="16"/>
          <w:szCs w:val="16"/>
        </w:rPr>
        <w:t xml:space="preserve"> </w:t>
      </w:r>
      <w:r>
        <w:rPr>
          <w:sz w:val="16"/>
          <w:szCs w:val="16"/>
        </w:rPr>
        <w:t>Více než 2,5 uchazeče</w:t>
      </w:r>
      <w:r w:rsidRPr="00A615C3">
        <w:rPr>
          <w:sz w:val="16"/>
          <w:szCs w:val="16"/>
        </w:rPr>
        <w:t xml:space="preserve"> na volné míst</w:t>
      </w:r>
      <w:r>
        <w:rPr>
          <w:sz w:val="16"/>
          <w:szCs w:val="16"/>
        </w:rPr>
        <w:t>o registrovaly ÚP na konci letošního června již jen ve čtyřech okresech – Karviná (5,8</w:t>
      </w:r>
      <w:r w:rsidRPr="00A615C3">
        <w:rPr>
          <w:sz w:val="16"/>
          <w:szCs w:val="16"/>
        </w:rPr>
        <w:t xml:space="preserve">), </w:t>
      </w:r>
      <w:r>
        <w:rPr>
          <w:sz w:val="16"/>
          <w:szCs w:val="16"/>
        </w:rPr>
        <w:t>Most (4,1), Ústí nad Labem (4,0) a Jeseník (3,4).</w:t>
      </w:r>
      <w:r w:rsidRPr="00A615C3">
        <w:rPr>
          <w:sz w:val="16"/>
          <w:szCs w:val="16"/>
        </w:rPr>
        <w:t xml:space="preserve"> </w:t>
      </w:r>
    </w:p>
  </w:footnote>
  <w:footnote w:id="39">
    <w:p w:rsidR="00077FF0" w:rsidRPr="00A00E71" w:rsidRDefault="00077FF0" w:rsidP="00B4411A">
      <w:pPr>
        <w:pStyle w:val="Textpoznpodarou"/>
        <w:jc w:val="both"/>
        <w:rPr>
          <w:spacing w:val="-4"/>
          <w:sz w:val="16"/>
          <w:szCs w:val="16"/>
        </w:rPr>
      </w:pPr>
      <w:r w:rsidRPr="00A00E71">
        <w:rPr>
          <w:rStyle w:val="Znakapoznpodarou"/>
          <w:spacing w:val="-4"/>
          <w:sz w:val="16"/>
          <w:szCs w:val="16"/>
        </w:rPr>
        <w:footnoteRef/>
      </w:r>
      <w:r w:rsidRPr="00A00E71">
        <w:rPr>
          <w:spacing w:val="-4"/>
          <w:sz w:val="16"/>
          <w:szCs w:val="16"/>
        </w:rPr>
        <w:t xml:space="preserve"> </w:t>
      </w:r>
      <w:r w:rsidRPr="00A00E71">
        <w:rPr>
          <w:rFonts w:cs="Arial"/>
          <w:color w:val="000000"/>
          <w:spacing w:val="-4"/>
          <w:sz w:val="16"/>
          <w:szCs w:val="16"/>
        </w:rPr>
        <w:t>Jde o podíl volných pracovních míst na celkovém počtu míst (volných i obsazených). Není zahrnuto odvětví zemědělství, lesnictví a rybářství.</w:t>
      </w:r>
    </w:p>
  </w:footnote>
  <w:footnote w:id="40">
    <w:p w:rsidR="00077FF0" w:rsidRPr="001763DD" w:rsidRDefault="00077FF0" w:rsidP="00B4411A">
      <w:pPr>
        <w:pStyle w:val="Textpoznpodarou"/>
        <w:rPr>
          <w:sz w:val="16"/>
          <w:szCs w:val="16"/>
        </w:rPr>
      </w:pPr>
      <w:r w:rsidRPr="001763DD">
        <w:rPr>
          <w:rStyle w:val="Znakapoznpodarou"/>
          <w:sz w:val="16"/>
          <w:szCs w:val="16"/>
        </w:rPr>
        <w:footnoteRef/>
      </w:r>
      <w:r w:rsidRPr="001763DD">
        <w:rPr>
          <w:sz w:val="16"/>
          <w:szCs w:val="16"/>
        </w:rPr>
        <w:t xml:space="preserve"> Srovnání nezahrnuje Dánsko, Francii, </w:t>
      </w:r>
      <w:r>
        <w:rPr>
          <w:sz w:val="16"/>
          <w:szCs w:val="16"/>
        </w:rPr>
        <w:t>Itálii a Maltu,</w:t>
      </w:r>
      <w:r w:rsidRPr="001763DD">
        <w:rPr>
          <w:sz w:val="16"/>
          <w:szCs w:val="16"/>
        </w:rPr>
        <w:t xml:space="preserve"> za něž nejsou údaje dlouhodobě dostupné.</w:t>
      </w:r>
    </w:p>
  </w:footnote>
  <w:footnote w:id="41">
    <w:p w:rsidR="00077FF0" w:rsidRPr="00435D59" w:rsidRDefault="00077FF0" w:rsidP="00B4411A">
      <w:pPr>
        <w:pStyle w:val="Textpoznpodarou"/>
        <w:rPr>
          <w:sz w:val="16"/>
          <w:szCs w:val="16"/>
        </w:rPr>
      </w:pPr>
      <w:r w:rsidRPr="00435D59">
        <w:rPr>
          <w:rStyle w:val="Znakapoznpodarou"/>
          <w:sz w:val="16"/>
          <w:szCs w:val="16"/>
        </w:rPr>
        <w:footnoteRef/>
      </w:r>
      <w:r w:rsidRPr="00435D59">
        <w:rPr>
          <w:sz w:val="16"/>
          <w:szCs w:val="16"/>
        </w:rPr>
        <w:t xml:space="preserve"> Objem vyplacených mezd (zohled</w:t>
      </w:r>
      <w:r>
        <w:rPr>
          <w:sz w:val="16"/>
          <w:szCs w:val="16"/>
        </w:rPr>
        <w:t>ňující</w:t>
      </w:r>
      <w:r w:rsidRPr="00435D59">
        <w:rPr>
          <w:sz w:val="16"/>
          <w:szCs w:val="16"/>
        </w:rPr>
        <w:t xml:space="preserve"> i vývoj počtu zaměstnanců) byl letos oproti 1. pololetí 2017 vyšší o 10,8</w:t>
      </w:r>
      <w:r>
        <w:rPr>
          <w:sz w:val="16"/>
          <w:szCs w:val="16"/>
        </w:rPr>
        <w:t> %</w:t>
      </w:r>
      <w:r w:rsidRPr="00435D59">
        <w:rPr>
          <w:sz w:val="16"/>
          <w:szCs w:val="16"/>
        </w:rPr>
        <w:t xml:space="preserve">. V rámci 1. pololetí šlo o nejvyšší nominální růst v celé srovnatelné časové řadě (počínaje rokem 2000). </w:t>
      </w:r>
    </w:p>
  </w:footnote>
  <w:footnote w:id="42">
    <w:p w:rsidR="00077FF0" w:rsidRPr="00E83936" w:rsidRDefault="00077FF0" w:rsidP="009B05B3">
      <w:pPr>
        <w:pStyle w:val="Textpoznpodarou"/>
        <w:rPr>
          <w:sz w:val="16"/>
          <w:szCs w:val="16"/>
        </w:rPr>
      </w:pPr>
      <w:r w:rsidRPr="00E83936">
        <w:rPr>
          <w:rStyle w:val="Znakapoznpodarou"/>
          <w:sz w:val="16"/>
          <w:szCs w:val="16"/>
        </w:rPr>
        <w:footnoteRef/>
      </w:r>
      <w:r w:rsidRPr="00E83936">
        <w:rPr>
          <w:sz w:val="16"/>
          <w:szCs w:val="16"/>
        </w:rPr>
        <w:t xml:space="preserve"> Kurzy devizového trhu vyhlašované ČNB</w:t>
      </w:r>
      <w:r>
        <w:rPr>
          <w:sz w:val="16"/>
          <w:szCs w:val="16"/>
        </w:rPr>
        <w:t xml:space="preserve"> v pracovních dnech</w:t>
      </w:r>
      <w:r w:rsidRPr="00E83936">
        <w:rPr>
          <w:sz w:val="16"/>
          <w:szCs w:val="16"/>
        </w:rPr>
        <w:t>.</w:t>
      </w:r>
      <w:r>
        <w:rPr>
          <w:sz w:val="16"/>
          <w:szCs w:val="16"/>
        </w:rPr>
        <w:t xml:space="preserve"> Není-li uvedeno jinak, jsou veškeré údaje převzaty z databáze ARAD České národní banky.</w:t>
      </w:r>
      <w:r w:rsidRPr="00E83936">
        <w:rPr>
          <w:sz w:val="16"/>
          <w:szCs w:val="16"/>
        </w:rPr>
        <w:t xml:space="preserve"> </w:t>
      </w:r>
    </w:p>
  </w:footnote>
  <w:footnote w:id="43">
    <w:p w:rsidR="00077FF0" w:rsidRPr="00795437" w:rsidRDefault="00077FF0" w:rsidP="00830AEA">
      <w:pPr>
        <w:pStyle w:val="Textpoznpodarou"/>
        <w:jc w:val="both"/>
        <w:rPr>
          <w:sz w:val="16"/>
          <w:szCs w:val="16"/>
        </w:rPr>
      </w:pPr>
      <w:r w:rsidRPr="00795437">
        <w:rPr>
          <w:rStyle w:val="Znakapoznpodarou"/>
          <w:sz w:val="16"/>
          <w:szCs w:val="16"/>
        </w:rPr>
        <w:footnoteRef/>
      </w:r>
      <w:r w:rsidRPr="00795437">
        <w:rPr>
          <w:sz w:val="16"/>
          <w:szCs w:val="16"/>
        </w:rPr>
        <w:t xml:space="preserve"> </w:t>
      </w:r>
      <w:r w:rsidRPr="00795437">
        <w:rPr>
          <w:color w:val="0D0D0D" w:themeColor="text1" w:themeTint="F2"/>
          <w:spacing w:val="-2"/>
          <w:sz w:val="16"/>
          <w:szCs w:val="16"/>
        </w:rPr>
        <w:t xml:space="preserve">Pokud není uvedeno jinak, vycházejí všechny údaje týkající se státního rozpočtu </w:t>
      </w:r>
      <w:r w:rsidRPr="00795437">
        <w:rPr>
          <w:rFonts w:cs="Arial"/>
          <w:color w:val="0D0D0D" w:themeColor="text1" w:themeTint="F2"/>
          <w:spacing w:val="-2"/>
          <w:sz w:val="16"/>
          <w:szCs w:val="16"/>
        </w:rPr>
        <w:t>z dat Ministerstva financí o pokladním plnění.</w:t>
      </w:r>
    </w:p>
  </w:footnote>
  <w:footnote w:id="44">
    <w:p w:rsidR="00077FF0" w:rsidRPr="00A6555B" w:rsidRDefault="00077FF0" w:rsidP="00830AEA">
      <w:pPr>
        <w:pStyle w:val="Textpoznpodarou"/>
        <w:jc w:val="both"/>
        <w:rPr>
          <w:sz w:val="16"/>
          <w:szCs w:val="16"/>
        </w:rPr>
      </w:pPr>
      <w:r w:rsidRPr="00A6555B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Výši salda ovlivňovaly</w:t>
      </w:r>
      <w:r w:rsidRPr="00A6555B">
        <w:rPr>
          <w:sz w:val="16"/>
          <w:szCs w:val="16"/>
        </w:rPr>
        <w:t xml:space="preserve"> i některé nepravidelné transfery. Šlo zejména o letošní výdaj na doplnění pojistných fondů EGAP (4,3 mld.</w:t>
      </w:r>
      <w:r>
        <w:rPr>
          <w:sz w:val="16"/>
          <w:szCs w:val="16"/>
        </w:rPr>
        <w:t>) a</w:t>
      </w:r>
      <w:r w:rsidRPr="00795437"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>
        <w:rPr>
          <w:sz w:val="16"/>
          <w:szCs w:val="16"/>
        </w:rPr>
        <w:t xml:space="preserve">loňský převod 5,8 mld. korun z </w:t>
      </w:r>
      <w:r w:rsidRPr="00A6555B">
        <w:rPr>
          <w:sz w:val="16"/>
          <w:szCs w:val="16"/>
        </w:rPr>
        <w:t>účtů pr</w:t>
      </w:r>
      <w:r>
        <w:rPr>
          <w:sz w:val="16"/>
          <w:szCs w:val="16"/>
        </w:rPr>
        <w:t>ivatizace na krytí schodku</w:t>
      </w:r>
      <w:r w:rsidRPr="00A6555B">
        <w:rPr>
          <w:sz w:val="16"/>
          <w:szCs w:val="16"/>
        </w:rPr>
        <w:t xml:space="preserve"> důchodového účtu</w:t>
      </w:r>
      <w:r>
        <w:rPr>
          <w:sz w:val="16"/>
          <w:szCs w:val="16"/>
        </w:rPr>
        <w:t xml:space="preserve"> (tento příjem SR se letos neuskutečnil).</w:t>
      </w:r>
    </w:p>
  </w:footnote>
  <w:footnote w:id="45">
    <w:p w:rsidR="00077FF0" w:rsidRPr="008E292B" w:rsidRDefault="00077FF0" w:rsidP="00830AEA">
      <w:pPr>
        <w:pStyle w:val="Textpoznpodarou"/>
        <w:jc w:val="both"/>
        <w:rPr>
          <w:i/>
          <w:sz w:val="16"/>
          <w:szCs w:val="16"/>
        </w:rPr>
      </w:pPr>
      <w:r w:rsidRPr="00795437">
        <w:rPr>
          <w:rStyle w:val="Znakapoznpodarou"/>
          <w:sz w:val="16"/>
          <w:szCs w:val="16"/>
        </w:rPr>
        <w:footnoteRef/>
      </w:r>
      <w:r w:rsidRPr="00795437">
        <w:rPr>
          <w:sz w:val="16"/>
          <w:szCs w:val="16"/>
        </w:rPr>
        <w:t xml:space="preserve"> </w:t>
      </w:r>
      <w:r>
        <w:rPr>
          <w:sz w:val="16"/>
          <w:szCs w:val="16"/>
        </w:rPr>
        <w:t>Dle propočtů MF ČR dosáhlo saldo</w:t>
      </w:r>
      <w:r w:rsidRPr="00795437">
        <w:rPr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SR očištěné</w:t>
      </w:r>
      <w:r w:rsidRPr="00795437">
        <w:rPr>
          <w:color w:val="0D0D0D" w:themeColor="text1" w:themeTint="F2"/>
          <w:spacing w:val="-2"/>
          <w:sz w:val="16"/>
          <w:szCs w:val="16"/>
        </w:rPr>
        <w:t xml:space="preserve"> na příjmové i výdajové straně</w:t>
      </w:r>
      <w:r w:rsidRPr="00795437">
        <w:rPr>
          <w:rStyle w:val="Zvraznn"/>
          <w:color w:val="0D0D0D" w:themeColor="text1" w:themeTint="F2"/>
          <w:spacing w:val="-2"/>
          <w:sz w:val="16"/>
          <w:szCs w:val="16"/>
        </w:rPr>
        <w:t xml:space="preserve"> </w:t>
      </w:r>
      <w:r w:rsidRPr="00477820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 xml:space="preserve">o prostředky na programy z rozpočtu EU a Finančních mechanismů (EHP a Norské fondy, Program švýcarsko-české spolupráce) v 1. pololetí 2018 –28,8 mld. korun (o rok </w:t>
      </w:r>
      <w:proofErr w:type="gramStart"/>
      <w:r w:rsidRPr="00477820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dříve –13,2</w:t>
      </w:r>
      <w:proofErr w:type="gramEnd"/>
      <w:r w:rsidRPr="00477820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 mld.).</w:t>
      </w:r>
    </w:p>
  </w:footnote>
  <w:footnote w:id="46">
    <w:p w:rsidR="00077FF0" w:rsidRPr="00D468A8" w:rsidRDefault="00077FF0" w:rsidP="00830AEA">
      <w:pPr>
        <w:pStyle w:val="Textpoznpodarou"/>
        <w:jc w:val="both"/>
        <w:rPr>
          <w:sz w:val="16"/>
          <w:szCs w:val="16"/>
        </w:rPr>
      </w:pPr>
      <w:r w:rsidRPr="00795437">
        <w:rPr>
          <w:rStyle w:val="Znakapoznpodarou"/>
          <w:sz w:val="16"/>
          <w:szCs w:val="16"/>
        </w:rPr>
        <w:footnoteRef/>
      </w:r>
      <w:r w:rsidRPr="00795437">
        <w:rPr>
          <w:sz w:val="16"/>
          <w:szCs w:val="16"/>
        </w:rPr>
        <w:t xml:space="preserve"> Jednalo se o inkaso v prvních dvou měsících roku ve výši bezmála 20 mld. korun, které představovalo část závěrečných plateb vztahujících se k programovému období 2007–2013. Bez této mimořádné platby by byl objem přijatých prostředků z rozpočtu EU (vč.</w:t>
      </w:r>
      <w:r>
        <w:rPr>
          <w:sz w:val="16"/>
          <w:szCs w:val="16"/>
        </w:rPr>
        <w:t> </w:t>
      </w:r>
      <w:r w:rsidRPr="00795437">
        <w:rPr>
          <w:sz w:val="16"/>
          <w:szCs w:val="16"/>
        </w:rPr>
        <w:t>FM) za celé 1. pololetí 2018 naopak meziročně o 1 mld. korun nižší.</w:t>
      </w:r>
    </w:p>
  </w:footnote>
  <w:footnote w:id="47">
    <w:p w:rsidR="00077FF0" w:rsidRPr="003D7302" w:rsidRDefault="00077FF0" w:rsidP="00830AEA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3D730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3D7302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Od ledna 2018 vstoupila v platnost změna</w:t>
      </w:r>
      <w:r w:rsidRPr="003D7302">
        <w:rPr>
          <w:sz w:val="16"/>
          <w:szCs w:val="16"/>
        </w:rPr>
        <w:t xml:space="preserve"> rozpočtového určení daní</w:t>
      </w:r>
      <w:r>
        <w:rPr>
          <w:sz w:val="16"/>
          <w:szCs w:val="16"/>
        </w:rPr>
        <w:t>, která snížila</w:t>
      </w:r>
      <w:r w:rsidRPr="003D7302">
        <w:rPr>
          <w:sz w:val="16"/>
          <w:szCs w:val="16"/>
        </w:rPr>
        <w:t xml:space="preserve"> podíl státního rozpo</w:t>
      </w:r>
      <w:r>
        <w:rPr>
          <w:sz w:val="16"/>
          <w:szCs w:val="16"/>
        </w:rPr>
        <w:t>čtu na celostátním výnosu DPH z </w:t>
      </w:r>
      <w:r w:rsidRPr="003D7302">
        <w:rPr>
          <w:sz w:val="16"/>
          <w:szCs w:val="16"/>
        </w:rPr>
        <w:t>69,68</w:t>
      </w:r>
      <w:r>
        <w:rPr>
          <w:sz w:val="16"/>
          <w:szCs w:val="16"/>
        </w:rPr>
        <w:t> %</w:t>
      </w:r>
      <w:r w:rsidRPr="003D7302">
        <w:rPr>
          <w:sz w:val="16"/>
          <w:szCs w:val="16"/>
        </w:rPr>
        <w:t xml:space="preserve"> na 67,5</w:t>
      </w:r>
      <w:r>
        <w:rPr>
          <w:sz w:val="16"/>
          <w:szCs w:val="16"/>
        </w:rPr>
        <w:t> %</w:t>
      </w:r>
      <w:r w:rsidRPr="003D7302">
        <w:rPr>
          <w:sz w:val="16"/>
          <w:szCs w:val="16"/>
        </w:rPr>
        <w:t xml:space="preserve"> ve prospěch podílu obcí.</w:t>
      </w:r>
    </w:p>
  </w:footnote>
  <w:footnote w:id="48">
    <w:p w:rsidR="00077FF0" w:rsidRPr="00E7769B" w:rsidRDefault="00077FF0" w:rsidP="00830AEA">
      <w:pPr>
        <w:pStyle w:val="Textpoznpodarou"/>
        <w:jc w:val="both"/>
        <w:rPr>
          <w:sz w:val="16"/>
          <w:szCs w:val="16"/>
        </w:rPr>
      </w:pPr>
      <w:r w:rsidRPr="00E7769B">
        <w:rPr>
          <w:rStyle w:val="Znakapoznpodarou"/>
          <w:sz w:val="16"/>
          <w:szCs w:val="16"/>
        </w:rPr>
        <w:footnoteRef/>
      </w:r>
      <w:r w:rsidRPr="00E7769B">
        <w:rPr>
          <w:sz w:val="16"/>
          <w:szCs w:val="16"/>
        </w:rPr>
        <w:t xml:space="preserve"> Šlo zejm</w:t>
      </w:r>
      <w:r>
        <w:rPr>
          <w:sz w:val="16"/>
          <w:szCs w:val="16"/>
        </w:rPr>
        <w:t>éna</w:t>
      </w:r>
      <w:r w:rsidRPr="00E7769B">
        <w:rPr>
          <w:sz w:val="16"/>
          <w:szCs w:val="16"/>
        </w:rPr>
        <w:t xml:space="preserve"> o vliv zavedení kontrolních hlášení a elektronick</w:t>
      </w:r>
      <w:r>
        <w:rPr>
          <w:sz w:val="16"/>
          <w:szCs w:val="16"/>
        </w:rPr>
        <w:t>é</w:t>
      </w:r>
      <w:r w:rsidRPr="00E7769B">
        <w:rPr>
          <w:sz w:val="16"/>
          <w:szCs w:val="16"/>
        </w:rPr>
        <w:t xml:space="preserve"> evidenc</w:t>
      </w:r>
      <w:r>
        <w:rPr>
          <w:sz w:val="16"/>
          <w:szCs w:val="16"/>
        </w:rPr>
        <w:t>e</w:t>
      </w:r>
      <w:r w:rsidRPr="00E7769B">
        <w:rPr>
          <w:sz w:val="16"/>
          <w:szCs w:val="16"/>
        </w:rPr>
        <w:t xml:space="preserve"> tržeb – hlavně její druhé vlny (účinné od dubna 2017 pro maloobchod, velkoobchod). V dubnu 2018 tak výběr DPH již narážel na vyšší srovnávací základnu a jeho meziroční růst se po šestnácti měsících </w:t>
      </w:r>
      <w:proofErr w:type="gramStart"/>
      <w:r w:rsidRPr="00E7769B">
        <w:rPr>
          <w:sz w:val="16"/>
          <w:szCs w:val="16"/>
        </w:rPr>
        <w:t>zastavil (</w:t>
      </w:r>
      <w:r>
        <w:rPr>
          <w:sz w:val="16"/>
          <w:szCs w:val="16"/>
        </w:rPr>
        <w:t>–</w:t>
      </w:r>
      <w:r w:rsidRPr="00E7769B">
        <w:rPr>
          <w:sz w:val="16"/>
          <w:szCs w:val="16"/>
        </w:rPr>
        <w:t>2,6</w:t>
      </w:r>
      <w:proofErr w:type="gramEnd"/>
      <w:r>
        <w:rPr>
          <w:sz w:val="16"/>
          <w:szCs w:val="16"/>
        </w:rPr>
        <w:t> %</w:t>
      </w:r>
      <w:r w:rsidRPr="00E7769B">
        <w:rPr>
          <w:sz w:val="16"/>
          <w:szCs w:val="16"/>
        </w:rPr>
        <w:t>). V následujících měsících se sice růst DPH obnovil, ale dosahoval slabších temp než na počátku roku 2018.</w:t>
      </w:r>
    </w:p>
  </w:footnote>
  <w:footnote w:id="49">
    <w:p w:rsidR="00077FF0" w:rsidRPr="0022547E" w:rsidRDefault="00077FF0" w:rsidP="00830AEA">
      <w:pPr>
        <w:pStyle w:val="Textpoznpodarou"/>
        <w:jc w:val="both"/>
        <w:rPr>
          <w:sz w:val="16"/>
          <w:szCs w:val="16"/>
        </w:rPr>
      </w:pPr>
      <w:r w:rsidRPr="0022547E">
        <w:rPr>
          <w:rStyle w:val="Znakapoznpodarou"/>
          <w:sz w:val="16"/>
          <w:szCs w:val="16"/>
        </w:rPr>
        <w:footnoteRef/>
      </w:r>
      <w:r w:rsidRPr="0022547E">
        <w:rPr>
          <w:sz w:val="16"/>
          <w:szCs w:val="16"/>
        </w:rPr>
        <w:t xml:space="preserve"> Mírný pokles výběru této daně </w:t>
      </w:r>
      <w:r>
        <w:rPr>
          <w:sz w:val="16"/>
          <w:szCs w:val="16"/>
        </w:rPr>
        <w:t xml:space="preserve">patrně </w:t>
      </w:r>
      <w:r w:rsidRPr="0022547E">
        <w:rPr>
          <w:sz w:val="16"/>
          <w:szCs w:val="16"/>
        </w:rPr>
        <w:t xml:space="preserve">souvisí </w:t>
      </w:r>
      <w:r w:rsidRPr="0022547E">
        <w:rPr>
          <w:rFonts w:cs="Arial"/>
          <w:color w:val="000000" w:themeColor="text1"/>
          <w:spacing w:val="-2"/>
          <w:sz w:val="16"/>
          <w:szCs w:val="16"/>
        </w:rPr>
        <w:t>s přijetím protikuřáckého zákona (platného od června 2017)</w:t>
      </w:r>
      <w:r>
        <w:rPr>
          <w:rFonts w:cs="Arial"/>
          <w:color w:val="000000" w:themeColor="text1"/>
          <w:spacing w:val="-2"/>
          <w:sz w:val="16"/>
          <w:szCs w:val="16"/>
        </w:rPr>
        <w:t xml:space="preserve">. Jeho dopad na omezení spotřeby cigaret, popř. přesun spotřeby k alternativním produktům </w:t>
      </w:r>
      <w:r w:rsidRPr="00E7769B">
        <w:rPr>
          <w:sz w:val="16"/>
          <w:szCs w:val="16"/>
        </w:rPr>
        <w:t>–</w:t>
      </w:r>
      <w:r>
        <w:rPr>
          <w:rFonts w:cs="Arial"/>
          <w:color w:val="000000" w:themeColor="text1"/>
          <w:spacing w:val="-2"/>
          <w:sz w:val="16"/>
          <w:szCs w:val="16"/>
        </w:rPr>
        <w:t xml:space="preserve"> např. elektronickým cigaretám – se tak prozatím ukazuje jako rozpočtově významnější nežli vliv opětovného navýšení sazeb z tabákových výrobků (platného od ledna 2018).</w:t>
      </w:r>
    </w:p>
  </w:footnote>
  <w:footnote w:id="50">
    <w:p w:rsidR="00077FF0" w:rsidRPr="002101D5" w:rsidRDefault="00077FF0" w:rsidP="00830AEA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2101D5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 Jde o tzv. zelenou naftu umožňující vrácení této daně v oblasti živočišné prvovýroby. Tento odpočet se v letošním roce (na rozdíl od loňska) projevuje již v plné výši. Na spotřebu benz</w:t>
      </w:r>
      <w:r>
        <w:rPr>
          <w:rFonts w:cs="Arial"/>
          <w:color w:val="0D0D0D" w:themeColor="text1" w:themeTint="F2"/>
          <w:sz w:val="16"/>
          <w:szCs w:val="16"/>
        </w:rPr>
        <w:t>i</w:t>
      </w:r>
      <w:r w:rsidRPr="002101D5">
        <w:rPr>
          <w:rFonts w:cs="Arial"/>
          <w:color w:val="0D0D0D" w:themeColor="text1" w:themeTint="F2"/>
          <w:sz w:val="16"/>
          <w:szCs w:val="16"/>
        </w:rPr>
        <w:t>nu a motorové nafty mohly mít zčásti negativní vliv i rostoucí ceny. Zatímco v první polovině roku 2017 spotřebitelské ceny PHM klesaly, letos tomu bylo naopak. P</w:t>
      </w:r>
      <w:r w:rsidRPr="002101D5"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>růměrná červencová cena motorové nafty (32,4 Kč/l) byla nejvyšší od července 2015, cena benzinu </w:t>
      </w:r>
      <w:r w:rsidRPr="002101D5">
        <w:rPr>
          <w:rStyle w:val="spelle"/>
          <w:rFonts w:cs="Arial"/>
          <w:color w:val="0D0D0D" w:themeColor="text1" w:themeTint="F2"/>
          <w:sz w:val="16"/>
          <w:szCs w:val="16"/>
          <w:bdr w:val="none" w:sz="0" w:space="0" w:color="auto" w:frame="1"/>
          <w:shd w:val="clear" w:color="auto" w:fill="FFFFFF"/>
        </w:rPr>
        <w:t>Natural</w:t>
      </w:r>
      <w:r w:rsidRPr="002101D5"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> 95 (33,1</w:t>
      </w:r>
      <w:r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> Kč/l) dokonce od prosince 2014</w:t>
      </w:r>
      <w:r w:rsidRPr="002101D5"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>.</w:t>
      </w:r>
    </w:p>
  </w:footnote>
  <w:footnote w:id="51">
    <w:p w:rsidR="00077FF0" w:rsidRPr="00BF16D4" w:rsidRDefault="00077FF0" w:rsidP="00830AEA">
      <w:pPr>
        <w:pStyle w:val="Textpoznpodarou"/>
        <w:rPr>
          <w:sz w:val="16"/>
          <w:szCs w:val="16"/>
        </w:rPr>
      </w:pPr>
      <w:r w:rsidRPr="00BF16D4">
        <w:rPr>
          <w:rStyle w:val="Znakapoznpodarou"/>
          <w:sz w:val="16"/>
          <w:szCs w:val="16"/>
        </w:rPr>
        <w:footnoteRef/>
      </w:r>
      <w:r w:rsidRPr="00BF16D4">
        <w:rPr>
          <w:sz w:val="16"/>
          <w:szCs w:val="16"/>
        </w:rPr>
        <w:t xml:space="preserve"> </w:t>
      </w:r>
      <w:r w:rsidRPr="00BF16D4">
        <w:rPr>
          <w:rFonts w:cs="Arial"/>
          <w:spacing w:val="-4"/>
          <w:sz w:val="16"/>
          <w:szCs w:val="16"/>
        </w:rPr>
        <w:t>Vzhledem k relativně nízkému objemu této daně je její meziročn</w:t>
      </w:r>
      <w:r>
        <w:rPr>
          <w:rFonts w:cs="Arial"/>
          <w:spacing w:val="-4"/>
          <w:sz w:val="16"/>
          <w:szCs w:val="16"/>
        </w:rPr>
        <w:t>í</w:t>
      </w:r>
      <w:r w:rsidRPr="00BF16D4">
        <w:rPr>
          <w:rFonts w:cs="Arial"/>
          <w:spacing w:val="-4"/>
          <w:sz w:val="16"/>
          <w:szCs w:val="16"/>
        </w:rPr>
        <w:t xml:space="preserve"> srovn</w:t>
      </w:r>
      <w:r>
        <w:rPr>
          <w:rFonts w:cs="Arial"/>
          <w:spacing w:val="-4"/>
          <w:sz w:val="16"/>
          <w:szCs w:val="16"/>
        </w:rPr>
        <w:t>ání velmi citlivé na změny v mož</w:t>
      </w:r>
      <w:r w:rsidRPr="00BF16D4">
        <w:rPr>
          <w:rFonts w:cs="Arial"/>
          <w:spacing w:val="-4"/>
          <w:sz w:val="16"/>
          <w:szCs w:val="16"/>
        </w:rPr>
        <w:t>nostech daňových odpočtů (</w:t>
      </w:r>
      <w:r w:rsidRPr="00BF16D4">
        <w:rPr>
          <w:sz w:val="16"/>
          <w:szCs w:val="16"/>
        </w:rPr>
        <w:t>slev</w:t>
      </w:r>
      <w:r>
        <w:rPr>
          <w:sz w:val="16"/>
          <w:szCs w:val="16"/>
        </w:rPr>
        <w:t>y</w:t>
      </w:r>
      <w:r w:rsidRPr="00BF16D4">
        <w:rPr>
          <w:sz w:val="16"/>
          <w:szCs w:val="16"/>
        </w:rPr>
        <w:t xml:space="preserve"> na druhého z</w:t>
      </w:r>
      <w:r w:rsidRPr="00BF16D4">
        <w:rPr>
          <w:rFonts w:cs="Arial"/>
          <w:color w:val="0D0D0D" w:themeColor="text1" w:themeTint="F2"/>
          <w:spacing w:val="-4"/>
          <w:sz w:val="16"/>
          <w:szCs w:val="16"/>
        </w:rPr>
        <w:t> </w:t>
      </w:r>
      <w:r w:rsidRPr="00BF16D4">
        <w:rPr>
          <w:sz w:val="16"/>
          <w:szCs w:val="16"/>
        </w:rPr>
        <w:t>manželů a</w:t>
      </w:r>
      <w:r w:rsidRPr="00BF16D4">
        <w:rPr>
          <w:rFonts w:cs="Arial"/>
          <w:color w:val="0D0D0D" w:themeColor="text1" w:themeTint="F2"/>
          <w:spacing w:val="-4"/>
          <w:sz w:val="16"/>
          <w:szCs w:val="16"/>
        </w:rPr>
        <w:t> </w:t>
      </w:r>
      <w:r w:rsidRPr="00BF16D4">
        <w:rPr>
          <w:sz w:val="16"/>
          <w:szCs w:val="16"/>
        </w:rPr>
        <w:t>daňového zvýhodnění na děti).</w:t>
      </w:r>
      <w:r>
        <w:rPr>
          <w:sz w:val="16"/>
          <w:szCs w:val="16"/>
        </w:rPr>
        <w:t xml:space="preserve"> </w:t>
      </w:r>
    </w:p>
  </w:footnote>
  <w:footnote w:id="52">
    <w:p w:rsidR="00077FF0" w:rsidRPr="00E33F69" w:rsidRDefault="00077FF0" w:rsidP="00830AEA">
      <w:pPr>
        <w:pStyle w:val="Textpoznpodarou"/>
        <w:rPr>
          <w:sz w:val="16"/>
          <w:szCs w:val="16"/>
        </w:rPr>
      </w:pPr>
      <w:r w:rsidRPr="00E33F69">
        <w:rPr>
          <w:rStyle w:val="Znakapoznpodarou"/>
          <w:sz w:val="16"/>
          <w:szCs w:val="16"/>
        </w:rPr>
        <w:footnoteRef/>
      </w:r>
      <w:r w:rsidRPr="00E33F69">
        <w:rPr>
          <w:sz w:val="16"/>
          <w:szCs w:val="16"/>
        </w:rPr>
        <w:t xml:space="preserve"> Objem kapitálových</w:t>
      </w:r>
      <w:r>
        <w:rPr>
          <w:sz w:val="16"/>
          <w:szCs w:val="16"/>
        </w:rPr>
        <w:t xml:space="preserve"> výdajů SR za osm měsíců dosáhl již 48,4 mld. korun (meziročně byl vyšší o 14,1</w:t>
      </w:r>
      <w:r w:rsidRPr="002101D5">
        <w:rPr>
          <w:sz w:val="16"/>
          <w:szCs w:val="16"/>
        </w:rPr>
        <w:t xml:space="preserve"> mld.). </w:t>
      </w:r>
      <w:r>
        <w:rPr>
          <w:sz w:val="16"/>
          <w:szCs w:val="16"/>
        </w:rPr>
        <w:t>Téměř d</w:t>
      </w:r>
      <w:r w:rsidRPr="002101D5">
        <w:rPr>
          <w:sz w:val="16"/>
          <w:szCs w:val="16"/>
        </w:rPr>
        <w:t>vě třetiny</w:t>
      </w:r>
      <w:r>
        <w:rPr>
          <w:sz w:val="16"/>
          <w:szCs w:val="16"/>
        </w:rPr>
        <w:t xml:space="preserve"> z této částky putovaly letos na financování společných programů ČR a EU (včetně společné zemědělské politiky).</w:t>
      </w:r>
    </w:p>
  </w:footnote>
  <w:footnote w:id="53">
    <w:p w:rsidR="00077FF0" w:rsidRPr="00904DA3" w:rsidRDefault="00077FF0" w:rsidP="00830AEA">
      <w:pPr>
        <w:pStyle w:val="Textpoznpodarou"/>
        <w:rPr>
          <w:spacing w:val="-2"/>
          <w:sz w:val="16"/>
          <w:szCs w:val="16"/>
        </w:rPr>
      </w:pPr>
      <w:r w:rsidRPr="00904DA3">
        <w:rPr>
          <w:rStyle w:val="Znakapoznpodarou"/>
          <w:spacing w:val="-2"/>
          <w:sz w:val="16"/>
          <w:szCs w:val="16"/>
        </w:rPr>
        <w:footnoteRef/>
      </w:r>
      <w:r w:rsidRPr="00904DA3">
        <w:rPr>
          <w:spacing w:val="-2"/>
          <w:sz w:val="16"/>
          <w:szCs w:val="16"/>
        </w:rPr>
        <w:t xml:space="preserve"> Z celoročně očekávané částky (dle schváleného SR) ve výši 54 mld. bylo za letošní 1. pololetí na tyto účely čerpáno jen 10 mld. korun.</w:t>
      </w:r>
    </w:p>
  </w:footnote>
  <w:footnote w:id="54">
    <w:p w:rsidR="00077FF0" w:rsidRPr="0096533A" w:rsidRDefault="00077FF0" w:rsidP="00830AEA">
      <w:pPr>
        <w:pStyle w:val="Textpoznpodarou"/>
        <w:jc w:val="both"/>
        <w:rPr>
          <w:sz w:val="16"/>
          <w:szCs w:val="16"/>
        </w:rPr>
      </w:pPr>
      <w:r w:rsidRPr="0096533A">
        <w:rPr>
          <w:rStyle w:val="Znakapoznpodarou"/>
          <w:sz w:val="16"/>
          <w:szCs w:val="16"/>
        </w:rPr>
        <w:footnoteRef/>
      </w:r>
      <w:r w:rsidRPr="0096533A">
        <w:rPr>
          <w:sz w:val="16"/>
          <w:szCs w:val="16"/>
        </w:rPr>
        <w:t xml:space="preserve"> Meziroční pokles celkových příjmů ČR z EU není v rozporu </w:t>
      </w:r>
      <w:r>
        <w:rPr>
          <w:sz w:val="16"/>
          <w:szCs w:val="16"/>
        </w:rPr>
        <w:t>s</w:t>
      </w:r>
      <w:r w:rsidRPr="0096533A">
        <w:rPr>
          <w:sz w:val="16"/>
          <w:szCs w:val="16"/>
        </w:rPr>
        <w:t> výše uvedeným tvrzení</w:t>
      </w:r>
      <w:r>
        <w:rPr>
          <w:sz w:val="16"/>
          <w:szCs w:val="16"/>
        </w:rPr>
        <w:t>m</w:t>
      </w:r>
      <w:r w:rsidRPr="0096533A">
        <w:rPr>
          <w:sz w:val="16"/>
          <w:szCs w:val="16"/>
        </w:rPr>
        <w:t xml:space="preserve"> o letošním dílčím pokroku v čerpání prostředků z rozpočtu EU. </w:t>
      </w:r>
      <w:r>
        <w:rPr>
          <w:sz w:val="16"/>
          <w:szCs w:val="16"/>
        </w:rPr>
        <w:t>Investiční výdaje SR na společné projekty ČR a EU vyjadřují objem všech předfinancovaných prostředků. Ty se teprve s určitým zpožděním projevují v celkovém vztahu ČR vůči rozpočtu EU (na příjmové straně, ve formě zpětně proplacených prostředků).</w:t>
      </w:r>
    </w:p>
  </w:footnote>
  <w:footnote w:id="55">
    <w:p w:rsidR="00077FF0" w:rsidRPr="00FB1763" w:rsidRDefault="00077FF0" w:rsidP="00830AEA">
      <w:pPr>
        <w:pStyle w:val="Textpoznpodarou"/>
        <w:jc w:val="both"/>
        <w:rPr>
          <w:sz w:val="16"/>
          <w:szCs w:val="16"/>
        </w:rPr>
      </w:pPr>
      <w:r w:rsidRPr="00FB1763">
        <w:rPr>
          <w:rStyle w:val="Znakapoznpodarou"/>
          <w:sz w:val="16"/>
          <w:szCs w:val="16"/>
        </w:rPr>
        <w:footnoteRef/>
      </w:r>
      <w:r w:rsidRPr="00FB176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Šlo o </w:t>
      </w:r>
      <w:r w:rsidRPr="00FB1763">
        <w:rPr>
          <w:sz w:val="16"/>
          <w:szCs w:val="16"/>
        </w:rPr>
        <w:t>dotace na přímé náklady zákl</w:t>
      </w:r>
      <w:r>
        <w:rPr>
          <w:sz w:val="16"/>
          <w:szCs w:val="16"/>
        </w:rPr>
        <w:t xml:space="preserve">adních a středních škol (růst o </w:t>
      </w:r>
      <w:r w:rsidRPr="00FB1763">
        <w:rPr>
          <w:sz w:val="16"/>
          <w:szCs w:val="16"/>
        </w:rPr>
        <w:t>10,4 mld. Kč</w:t>
      </w:r>
      <w:r>
        <w:rPr>
          <w:sz w:val="16"/>
          <w:szCs w:val="16"/>
        </w:rPr>
        <w:t>) a</w:t>
      </w:r>
      <w:r w:rsidRPr="00FB176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transfery obcím a krajům </w:t>
      </w:r>
      <w:r w:rsidRPr="00FB1763">
        <w:rPr>
          <w:sz w:val="16"/>
          <w:szCs w:val="16"/>
        </w:rPr>
        <w:t>dle z</w:t>
      </w:r>
      <w:r>
        <w:rPr>
          <w:sz w:val="16"/>
          <w:szCs w:val="16"/>
        </w:rPr>
        <w:t>ákona o sociálních službách (+</w:t>
      </w:r>
      <w:r w:rsidRPr="00FB1763">
        <w:rPr>
          <w:sz w:val="16"/>
          <w:szCs w:val="16"/>
        </w:rPr>
        <w:t>5,5 mld. Kč</w:t>
      </w:r>
      <w:r>
        <w:rPr>
          <w:sz w:val="16"/>
          <w:szCs w:val="16"/>
        </w:rPr>
        <w:t>). Meziroční zvýšení souviselo především s navýšením mzdových prostředků.</w:t>
      </w:r>
    </w:p>
  </w:footnote>
  <w:footnote w:id="56">
    <w:p w:rsidR="00077FF0" w:rsidRPr="000315DB" w:rsidRDefault="00077FF0" w:rsidP="00830AEA">
      <w:pPr>
        <w:pStyle w:val="Textpoznpodarou"/>
        <w:rPr>
          <w:sz w:val="16"/>
          <w:szCs w:val="16"/>
        </w:rPr>
      </w:pP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Od ledna 2018 došlo ke zvýšení základní výměry důchodu o 150 Kč a procentní výměry o 3,5</w:t>
      </w:r>
      <w:r>
        <w:rPr>
          <w:sz w:val="16"/>
          <w:szCs w:val="16"/>
        </w:rPr>
        <w:t> %</w:t>
      </w:r>
      <w:r w:rsidRPr="000315DB">
        <w:rPr>
          <w:sz w:val="16"/>
          <w:szCs w:val="16"/>
        </w:rPr>
        <w:t xml:space="preserve"> (tj. v průměru o 475 Kč měsíčně).</w:t>
      </w:r>
    </w:p>
  </w:footnote>
  <w:footnote w:id="57">
    <w:p w:rsidR="00077FF0" w:rsidRPr="000315DB" w:rsidRDefault="00077FF0" w:rsidP="00830AEA">
      <w:pPr>
        <w:pStyle w:val="Textpoznpodarou"/>
        <w:jc w:val="both"/>
        <w:rPr>
          <w:sz w:val="16"/>
          <w:szCs w:val="16"/>
        </w:rPr>
      </w:pP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Nepřímo to dokládají i údaje ČSÚ z</w:t>
      </w:r>
      <w:r>
        <w:rPr>
          <w:sz w:val="16"/>
          <w:szCs w:val="16"/>
        </w:rPr>
        <w:t>e</w:t>
      </w:r>
      <w:r w:rsidRPr="000315DB">
        <w:rPr>
          <w:sz w:val="16"/>
          <w:szCs w:val="16"/>
        </w:rPr>
        <w:t xml:space="preserve"> šetření v domácnostech. Míra zaměstnanosti </w:t>
      </w:r>
      <w:r w:rsidRPr="00BD1D97">
        <w:rPr>
          <w:sz w:val="16"/>
          <w:szCs w:val="16"/>
        </w:rPr>
        <w:t>osob ve věku 65 až 69 let se v</w:t>
      </w:r>
      <w:r w:rsidRPr="000315DB">
        <w:rPr>
          <w:sz w:val="16"/>
          <w:szCs w:val="16"/>
        </w:rPr>
        <w:t> 1. čtvrt</w:t>
      </w:r>
      <w:r>
        <w:rPr>
          <w:sz w:val="16"/>
          <w:szCs w:val="16"/>
        </w:rPr>
        <w:t>letí 2018 rovnala 13,6 %</w:t>
      </w:r>
      <w:r w:rsidRPr="000315DB">
        <w:rPr>
          <w:sz w:val="16"/>
          <w:szCs w:val="16"/>
        </w:rPr>
        <w:t xml:space="preserve">. Meziročně vzrostla o </w:t>
      </w:r>
      <w:r>
        <w:rPr>
          <w:sz w:val="16"/>
          <w:szCs w:val="16"/>
        </w:rPr>
        <w:t>rovné 2 p. b.</w:t>
      </w:r>
      <w:r w:rsidRPr="000315DB">
        <w:rPr>
          <w:sz w:val="16"/>
          <w:szCs w:val="16"/>
        </w:rPr>
        <w:t>, za poslední čtyři roky dokonce</w:t>
      </w:r>
      <w:r>
        <w:rPr>
          <w:sz w:val="16"/>
          <w:szCs w:val="16"/>
        </w:rPr>
        <w:t xml:space="preserve"> o 4,6</w:t>
      </w:r>
      <w:r w:rsidRPr="000315DB">
        <w:rPr>
          <w:sz w:val="16"/>
          <w:szCs w:val="16"/>
        </w:rPr>
        <w:t xml:space="preserve"> p.</w:t>
      </w:r>
      <w:r>
        <w:rPr>
          <w:sz w:val="16"/>
          <w:szCs w:val="16"/>
        </w:rPr>
        <w:t xml:space="preserve"> </w:t>
      </w:r>
      <w:r w:rsidRPr="000315DB">
        <w:rPr>
          <w:sz w:val="16"/>
          <w:szCs w:val="16"/>
        </w:rPr>
        <w:t>b.</w:t>
      </w:r>
    </w:p>
  </w:footnote>
  <w:footnote w:id="58">
    <w:p w:rsidR="00077FF0" w:rsidRDefault="00077FF0" w:rsidP="00830AEA">
      <w:pPr>
        <w:pStyle w:val="Textpoznpodarou"/>
      </w:pPr>
      <w:r w:rsidRPr="000315DB">
        <w:rPr>
          <w:sz w:val="16"/>
          <w:szCs w:val="16"/>
        </w:rPr>
        <w:t xml:space="preserve"> </w:t>
      </w: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Je vyjádřeno jako 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rozdíl mezi příjmy a výdaji na důchody ze SR (z předběžných údajů).</w:t>
      </w:r>
    </w:p>
  </w:footnote>
  <w:footnote w:id="59">
    <w:p w:rsidR="00077FF0" w:rsidRPr="00BE68DE" w:rsidRDefault="00077FF0" w:rsidP="00830AEA">
      <w:pPr>
        <w:pStyle w:val="Textpoznpodarou"/>
        <w:jc w:val="both"/>
        <w:rPr>
          <w:sz w:val="16"/>
          <w:szCs w:val="16"/>
        </w:rPr>
      </w:pPr>
      <w:r w:rsidRPr="00BE68DE">
        <w:rPr>
          <w:rStyle w:val="Znakapoznpodarou"/>
          <w:sz w:val="16"/>
          <w:szCs w:val="16"/>
        </w:rPr>
        <w:footnoteRef/>
      </w:r>
      <w:r w:rsidRPr="00BE68DE">
        <w:rPr>
          <w:sz w:val="16"/>
          <w:szCs w:val="16"/>
        </w:rPr>
        <w:t xml:space="preserve"> V červnu 2018 pobíralo podporu v nezaměstnanosti 66 tis. registrovaných uchazečů (meziročně o osminu méně). Šlo o necelých 30 % všech uchazečů o práci. Průměrná výše měsíční dávky v nezaměstnanosti činila 7 382 korun.</w:t>
      </w:r>
    </w:p>
  </w:footnote>
  <w:footnote w:id="60">
    <w:p w:rsidR="00077FF0" w:rsidRPr="00EC34C3" w:rsidRDefault="00077FF0" w:rsidP="00830AEA">
      <w:pPr>
        <w:pStyle w:val="Textpoznpodarou"/>
        <w:rPr>
          <w:sz w:val="16"/>
          <w:szCs w:val="16"/>
        </w:rPr>
      </w:pPr>
      <w:r w:rsidRPr="006D18B3">
        <w:rPr>
          <w:rStyle w:val="Znakapoznpodarou"/>
          <w:sz w:val="16"/>
          <w:szCs w:val="16"/>
        </w:rPr>
        <w:footnoteRef/>
      </w:r>
      <w:r w:rsidRPr="006D18B3">
        <w:rPr>
          <w:sz w:val="16"/>
          <w:szCs w:val="16"/>
        </w:rPr>
        <w:t xml:space="preserve"> Jde o </w:t>
      </w:r>
      <w:r w:rsidRPr="006D18B3">
        <w:rPr>
          <w:rFonts w:cs="Verdana"/>
          <w:iCs/>
          <w:color w:val="000000"/>
          <w:sz w:val="16"/>
          <w:szCs w:val="16"/>
        </w:rPr>
        <w:t>saldo rozpočtové kapitoly 396 – Státní dluh</w:t>
      </w:r>
      <w:r>
        <w:rPr>
          <w:rFonts w:cs="Verdana"/>
          <w:iCs/>
          <w:color w:val="000000"/>
          <w:sz w:val="16"/>
          <w:szCs w:val="16"/>
        </w:rPr>
        <w:t xml:space="preserve">. </w:t>
      </w:r>
      <w:r>
        <w:rPr>
          <w:rFonts w:cs="Verdana"/>
          <w:i/>
          <w:iCs/>
          <w:color w:val="000000"/>
          <w:sz w:val="12"/>
          <w:szCs w:val="12"/>
        </w:rPr>
        <w:t xml:space="preserve"> </w:t>
      </w:r>
      <w:r w:rsidRPr="00EC34C3">
        <w:rPr>
          <w:sz w:val="16"/>
          <w:szCs w:val="16"/>
        </w:rPr>
        <w:t>Výdaje na splátku dluhu jsou ovlivněny nejen výpůjční potřebou státu, ale i s</w:t>
      </w:r>
      <w:r>
        <w:rPr>
          <w:sz w:val="16"/>
          <w:szCs w:val="16"/>
        </w:rPr>
        <w:t xml:space="preserve">ituací na dluhopisových trzích. Od poloviny loňského roku průměrné výnosy tuzemských státních dluhopisů </w:t>
      </w:r>
      <w:r>
        <w:rPr>
          <w:spacing w:val="-2"/>
          <w:sz w:val="16"/>
          <w:szCs w:val="16"/>
        </w:rPr>
        <w:t>vytrvale rostou.</w:t>
      </w:r>
    </w:p>
  </w:footnote>
  <w:footnote w:id="61">
    <w:p w:rsidR="00077FF0" w:rsidRDefault="00077FF0" w:rsidP="00830AEA">
      <w:pPr>
        <w:pStyle w:val="Textpoznpodarou"/>
        <w:jc w:val="both"/>
      </w:pPr>
      <w:r w:rsidRPr="00BE68DE">
        <w:rPr>
          <w:rStyle w:val="Znakapoznpodarou"/>
          <w:sz w:val="16"/>
          <w:szCs w:val="16"/>
        </w:rPr>
        <w:footnoteRef/>
      </w:r>
      <w:r w:rsidRPr="00BE68DE">
        <w:rPr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V</w:t>
      </w:r>
      <w:r w:rsidRPr="00BE68DE">
        <w:rPr>
          <w:rFonts w:cs="Arial"/>
          <w:color w:val="0D0D0D" w:themeColor="text1" w:themeTint="F2"/>
          <w:spacing w:val="-4"/>
          <w:sz w:val="16"/>
          <w:szCs w:val="16"/>
        </w:rPr>
        <w:t xml:space="preserve"> 1. čtvrtletí 2017 dluh vystoupal na</w:t>
      </w:r>
      <w:r w:rsidRPr="00BE68DE">
        <w:rPr>
          <w:spacing w:val="-2"/>
          <w:sz w:val="16"/>
          <w:szCs w:val="16"/>
        </w:rPr>
        <w:t xml:space="preserve"> 1 789</w:t>
      </w:r>
      <w:r w:rsidRPr="00BE68DE">
        <w:rPr>
          <w:rFonts w:cs="Arial"/>
          <w:color w:val="0D0D0D" w:themeColor="text1" w:themeTint="F2"/>
          <w:spacing w:val="-4"/>
          <w:sz w:val="16"/>
          <w:szCs w:val="16"/>
        </w:rPr>
        <w:t> mld.</w:t>
      </w:r>
      <w:r w:rsidRPr="00BE68DE">
        <w:rPr>
          <w:spacing w:val="-2"/>
          <w:sz w:val="16"/>
          <w:szCs w:val="16"/>
        </w:rPr>
        <w:t xml:space="preserve"> korun a zaznamenal nejrychl</w:t>
      </w:r>
      <w:r>
        <w:rPr>
          <w:spacing w:val="-2"/>
          <w:sz w:val="16"/>
          <w:szCs w:val="16"/>
        </w:rPr>
        <w:t>ejší mezičtvrtletní růst od roku</w:t>
      </w:r>
      <w:r w:rsidRPr="00BE68DE">
        <w:rPr>
          <w:spacing w:val="-2"/>
          <w:sz w:val="16"/>
          <w:szCs w:val="16"/>
        </w:rPr>
        <w:t xml:space="preserve"> 2010 (+</w:t>
      </w:r>
      <w:r w:rsidRPr="00BE68DE">
        <w:rPr>
          <w:rFonts w:cs="Arial"/>
          <w:spacing w:val="-2"/>
          <w:sz w:val="16"/>
          <w:szCs w:val="16"/>
        </w:rPr>
        <w:t>11 %</w:t>
      </w:r>
      <w:r w:rsidRPr="00BE68DE">
        <w:rPr>
          <w:rFonts w:cs="Arial"/>
          <w:color w:val="0D0D0D" w:themeColor="text1" w:themeTint="F2"/>
          <w:spacing w:val="-4"/>
          <w:sz w:val="16"/>
          <w:szCs w:val="16"/>
        </w:rPr>
        <w:t>)</w:t>
      </w:r>
      <w:r w:rsidRPr="00BE68DE">
        <w:rPr>
          <w:spacing w:val="-2"/>
          <w:sz w:val="16"/>
          <w:szCs w:val="16"/>
        </w:rPr>
        <w:t xml:space="preserve">. Toto krátkodobé navýšení souviselo se specifickou situací na dluhopisovém trhu vlivem očekávání spojených s ukončením </w:t>
      </w:r>
      <w:r w:rsidRPr="00BE68DE">
        <w:rPr>
          <w:color w:val="000000" w:themeColor="text1"/>
          <w:spacing w:val="-4"/>
          <w:sz w:val="16"/>
          <w:szCs w:val="16"/>
        </w:rPr>
        <w:t>režimu devizových intervencí.</w:t>
      </w:r>
    </w:p>
  </w:footnote>
  <w:footnote w:id="62">
    <w:p w:rsidR="00077FF0" w:rsidRPr="001E2294" w:rsidRDefault="00077FF0" w:rsidP="00830AEA">
      <w:pPr>
        <w:pStyle w:val="Textpoznpodarou"/>
        <w:rPr>
          <w:spacing w:val="-3"/>
          <w:sz w:val="16"/>
          <w:szCs w:val="16"/>
        </w:rPr>
      </w:pPr>
      <w:r w:rsidRPr="001E2294">
        <w:rPr>
          <w:rStyle w:val="Znakapoznpodarou"/>
          <w:spacing w:val="-3"/>
          <w:sz w:val="16"/>
          <w:szCs w:val="16"/>
        </w:rPr>
        <w:footnoteRef/>
      </w:r>
      <w:r w:rsidRPr="001E2294">
        <w:rPr>
          <w:spacing w:val="-3"/>
          <w:sz w:val="16"/>
          <w:szCs w:val="16"/>
        </w:rPr>
        <w:t xml:space="preserve"> </w:t>
      </w:r>
      <w:r w:rsidRPr="001E2294">
        <w:rPr>
          <w:color w:val="0D0D0D" w:themeColor="text1" w:themeTint="F2"/>
          <w:spacing w:val="-3"/>
          <w:sz w:val="16"/>
          <w:szCs w:val="16"/>
        </w:rPr>
        <w:t>Zohledňuje</w:t>
      </w:r>
      <w:r w:rsidRPr="001E2294">
        <w:rPr>
          <w:color w:val="000000" w:themeColor="text1"/>
          <w:spacing w:val="-3"/>
          <w:sz w:val="16"/>
          <w:szCs w:val="16"/>
        </w:rPr>
        <w:t xml:space="preserve"> kromě státního rozpočtu i hospodaření </w:t>
      </w:r>
      <w:proofErr w:type="spellStart"/>
      <w:r w:rsidRPr="001E2294">
        <w:rPr>
          <w:color w:val="000000" w:themeColor="text1"/>
          <w:spacing w:val="-3"/>
          <w:sz w:val="16"/>
          <w:szCs w:val="16"/>
        </w:rPr>
        <w:t>ost</w:t>
      </w:r>
      <w:proofErr w:type="spellEnd"/>
      <w:r w:rsidRPr="001E2294">
        <w:rPr>
          <w:color w:val="000000" w:themeColor="text1"/>
          <w:spacing w:val="-3"/>
          <w:sz w:val="16"/>
          <w:szCs w:val="16"/>
        </w:rPr>
        <w:t xml:space="preserve">. </w:t>
      </w:r>
      <w:proofErr w:type="gramStart"/>
      <w:r w:rsidRPr="001E2294">
        <w:rPr>
          <w:color w:val="000000" w:themeColor="text1"/>
          <w:spacing w:val="-3"/>
          <w:sz w:val="16"/>
          <w:szCs w:val="16"/>
        </w:rPr>
        <w:t>ústředních</w:t>
      </w:r>
      <w:proofErr w:type="gramEnd"/>
      <w:r w:rsidRPr="001E2294">
        <w:rPr>
          <w:color w:val="000000" w:themeColor="text1"/>
          <w:spacing w:val="-3"/>
          <w:sz w:val="16"/>
          <w:szCs w:val="16"/>
        </w:rPr>
        <w:t xml:space="preserve"> vládních institucí a též územně správních celků i zdravotních pojišťoven.</w:t>
      </w:r>
    </w:p>
  </w:footnote>
  <w:footnote w:id="63">
    <w:p w:rsidR="00077FF0" w:rsidRPr="001E2294" w:rsidRDefault="00077FF0" w:rsidP="00830AEA">
      <w:pPr>
        <w:pStyle w:val="Textpoznpodarou"/>
        <w:rPr>
          <w:color w:val="0D0D0D" w:themeColor="text1" w:themeTint="F2"/>
          <w:spacing w:val="-2"/>
          <w:sz w:val="16"/>
          <w:szCs w:val="16"/>
        </w:rPr>
      </w:pPr>
      <w:r w:rsidRPr="001E2294">
        <w:rPr>
          <w:rStyle w:val="Znakapoznpodarou"/>
          <w:color w:val="0D0D0D" w:themeColor="text1" w:themeTint="F2"/>
          <w:spacing w:val="-3"/>
          <w:sz w:val="16"/>
          <w:szCs w:val="16"/>
        </w:rPr>
        <w:footnoteRef/>
      </w:r>
      <w:r w:rsidRPr="001E2294">
        <w:rPr>
          <w:color w:val="0D0D0D" w:themeColor="text1" w:themeTint="F2"/>
          <w:spacing w:val="-3"/>
          <w:sz w:val="16"/>
          <w:szCs w:val="16"/>
        </w:rPr>
        <w:t xml:space="preserve"> Předběžné údaje o dluhu i deficitu sektoru vládních institucí za 2. čtvrtletí 2018 zveřejní ČSÚ 3. října 2018, </w:t>
      </w:r>
      <w:proofErr w:type="spellStart"/>
      <w:r w:rsidRPr="001E2294">
        <w:rPr>
          <w:color w:val="0D0D0D" w:themeColor="text1" w:themeTint="F2"/>
          <w:spacing w:val="-3"/>
          <w:sz w:val="16"/>
          <w:szCs w:val="16"/>
        </w:rPr>
        <w:t>Eurostat</w:t>
      </w:r>
      <w:proofErr w:type="spellEnd"/>
      <w:r w:rsidRPr="001E2294">
        <w:rPr>
          <w:color w:val="0D0D0D" w:themeColor="text1" w:themeTint="F2"/>
          <w:spacing w:val="-3"/>
          <w:sz w:val="16"/>
          <w:szCs w:val="16"/>
        </w:rPr>
        <w:t xml:space="preserve"> posléze 23. října 2018</w:t>
      </w:r>
      <w:r w:rsidRPr="001E2294">
        <w:rPr>
          <w:color w:val="0D0D0D" w:themeColor="text1" w:themeTint="F2"/>
          <w:spacing w:val="-2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33D1"/>
    <w:rsid w:val="000234D6"/>
    <w:rsid w:val="00023D29"/>
    <w:rsid w:val="00026389"/>
    <w:rsid w:val="00031AE0"/>
    <w:rsid w:val="000322EF"/>
    <w:rsid w:val="00033FCD"/>
    <w:rsid w:val="00034DF7"/>
    <w:rsid w:val="00034E68"/>
    <w:rsid w:val="00036195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7FF0"/>
    <w:rsid w:val="00081A55"/>
    <w:rsid w:val="0008263E"/>
    <w:rsid w:val="00082C19"/>
    <w:rsid w:val="000837CD"/>
    <w:rsid w:val="00084BFF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A7377"/>
    <w:rsid w:val="000B03CC"/>
    <w:rsid w:val="000B4212"/>
    <w:rsid w:val="000C0EA8"/>
    <w:rsid w:val="000C13A2"/>
    <w:rsid w:val="000C3408"/>
    <w:rsid w:val="000C35AB"/>
    <w:rsid w:val="000C6AFD"/>
    <w:rsid w:val="000D3058"/>
    <w:rsid w:val="000D310A"/>
    <w:rsid w:val="000D5637"/>
    <w:rsid w:val="000E0E96"/>
    <w:rsid w:val="000E2C7D"/>
    <w:rsid w:val="000E4AC5"/>
    <w:rsid w:val="000E6253"/>
    <w:rsid w:val="000E6FBD"/>
    <w:rsid w:val="00100F5C"/>
    <w:rsid w:val="00101CDA"/>
    <w:rsid w:val="00102037"/>
    <w:rsid w:val="00103DCB"/>
    <w:rsid w:val="00104C4C"/>
    <w:rsid w:val="001057C2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32C4D"/>
    <w:rsid w:val="00133FC1"/>
    <w:rsid w:val="001405FA"/>
    <w:rsid w:val="001425C3"/>
    <w:rsid w:val="0014262D"/>
    <w:rsid w:val="001459BC"/>
    <w:rsid w:val="001554C2"/>
    <w:rsid w:val="001571C0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92F05"/>
    <w:rsid w:val="00194729"/>
    <w:rsid w:val="00195234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0F17"/>
    <w:rsid w:val="001C1B66"/>
    <w:rsid w:val="001C31A2"/>
    <w:rsid w:val="001D22C2"/>
    <w:rsid w:val="001D54C1"/>
    <w:rsid w:val="001D556E"/>
    <w:rsid w:val="001D5DF2"/>
    <w:rsid w:val="001D68B2"/>
    <w:rsid w:val="001D7F60"/>
    <w:rsid w:val="001E504C"/>
    <w:rsid w:val="001E5A17"/>
    <w:rsid w:val="001F4597"/>
    <w:rsid w:val="00200085"/>
    <w:rsid w:val="00203332"/>
    <w:rsid w:val="00203CD5"/>
    <w:rsid w:val="00203D8F"/>
    <w:rsid w:val="00203DA4"/>
    <w:rsid w:val="002071D5"/>
    <w:rsid w:val="002118B9"/>
    <w:rsid w:val="002142C0"/>
    <w:rsid w:val="00217C5B"/>
    <w:rsid w:val="00220A43"/>
    <w:rsid w:val="0022139E"/>
    <w:rsid w:val="00222729"/>
    <w:rsid w:val="0022441D"/>
    <w:rsid w:val="002252E0"/>
    <w:rsid w:val="002255F6"/>
    <w:rsid w:val="00227605"/>
    <w:rsid w:val="00227850"/>
    <w:rsid w:val="00227A53"/>
    <w:rsid w:val="00227E2E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47E60"/>
    <w:rsid w:val="00252AB9"/>
    <w:rsid w:val="00253C0F"/>
    <w:rsid w:val="002558C1"/>
    <w:rsid w:val="00256207"/>
    <w:rsid w:val="002603E1"/>
    <w:rsid w:val="0026291D"/>
    <w:rsid w:val="00267B49"/>
    <w:rsid w:val="0027025F"/>
    <w:rsid w:val="00271022"/>
    <w:rsid w:val="00271465"/>
    <w:rsid w:val="00272DF4"/>
    <w:rsid w:val="0027583D"/>
    <w:rsid w:val="00275DEF"/>
    <w:rsid w:val="00276B33"/>
    <w:rsid w:val="002812E3"/>
    <w:rsid w:val="002837AE"/>
    <w:rsid w:val="002853FA"/>
    <w:rsid w:val="00285412"/>
    <w:rsid w:val="00291640"/>
    <w:rsid w:val="0029237E"/>
    <w:rsid w:val="00292997"/>
    <w:rsid w:val="0029588F"/>
    <w:rsid w:val="00297256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0C7"/>
    <w:rsid w:val="002E222E"/>
    <w:rsid w:val="002E37D1"/>
    <w:rsid w:val="002E3BEE"/>
    <w:rsid w:val="002E4E4C"/>
    <w:rsid w:val="002E4EA7"/>
    <w:rsid w:val="002E5846"/>
    <w:rsid w:val="002F333D"/>
    <w:rsid w:val="002F498A"/>
    <w:rsid w:val="002F4AD8"/>
    <w:rsid w:val="002F5820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9D6"/>
    <w:rsid w:val="003217B9"/>
    <w:rsid w:val="00321924"/>
    <w:rsid w:val="00321EB6"/>
    <w:rsid w:val="003220A5"/>
    <w:rsid w:val="0032656E"/>
    <w:rsid w:val="00332190"/>
    <w:rsid w:val="00333CD0"/>
    <w:rsid w:val="003370C5"/>
    <w:rsid w:val="00341F05"/>
    <w:rsid w:val="0034335E"/>
    <w:rsid w:val="00344668"/>
    <w:rsid w:val="003462D9"/>
    <w:rsid w:val="00352C28"/>
    <w:rsid w:val="0036077F"/>
    <w:rsid w:val="00360C86"/>
    <w:rsid w:val="00360FBC"/>
    <w:rsid w:val="00361537"/>
    <w:rsid w:val="0036242A"/>
    <w:rsid w:val="00362E90"/>
    <w:rsid w:val="00364FA0"/>
    <w:rsid w:val="003657F3"/>
    <w:rsid w:val="00367F84"/>
    <w:rsid w:val="003738BD"/>
    <w:rsid w:val="00374A20"/>
    <w:rsid w:val="00374E21"/>
    <w:rsid w:val="003818DC"/>
    <w:rsid w:val="00383388"/>
    <w:rsid w:val="003834F8"/>
    <w:rsid w:val="003838D0"/>
    <w:rsid w:val="00384327"/>
    <w:rsid w:val="00385D98"/>
    <w:rsid w:val="003908A6"/>
    <w:rsid w:val="003927F6"/>
    <w:rsid w:val="003A04F6"/>
    <w:rsid w:val="003A2B4D"/>
    <w:rsid w:val="003A2D12"/>
    <w:rsid w:val="003A45E3"/>
    <w:rsid w:val="003A478C"/>
    <w:rsid w:val="003A5525"/>
    <w:rsid w:val="003A6B38"/>
    <w:rsid w:val="003A6B83"/>
    <w:rsid w:val="003A722F"/>
    <w:rsid w:val="003B0DF4"/>
    <w:rsid w:val="003B1F9D"/>
    <w:rsid w:val="003B461F"/>
    <w:rsid w:val="003B4998"/>
    <w:rsid w:val="003B5A32"/>
    <w:rsid w:val="003C3490"/>
    <w:rsid w:val="003C6221"/>
    <w:rsid w:val="003C7E62"/>
    <w:rsid w:val="003D242B"/>
    <w:rsid w:val="003D2492"/>
    <w:rsid w:val="003D2A99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099D"/>
    <w:rsid w:val="00402ADB"/>
    <w:rsid w:val="004059D2"/>
    <w:rsid w:val="00406C2E"/>
    <w:rsid w:val="00406EB0"/>
    <w:rsid w:val="00407C13"/>
    <w:rsid w:val="00410638"/>
    <w:rsid w:val="00412511"/>
    <w:rsid w:val="004125C2"/>
    <w:rsid w:val="00413465"/>
    <w:rsid w:val="0041501E"/>
    <w:rsid w:val="004159C3"/>
    <w:rsid w:val="00416DAC"/>
    <w:rsid w:val="00420880"/>
    <w:rsid w:val="00432A58"/>
    <w:rsid w:val="004331C3"/>
    <w:rsid w:val="00434617"/>
    <w:rsid w:val="00435051"/>
    <w:rsid w:val="00435C69"/>
    <w:rsid w:val="00437CED"/>
    <w:rsid w:val="00440900"/>
    <w:rsid w:val="0044121D"/>
    <w:rsid w:val="00441BF6"/>
    <w:rsid w:val="004441A0"/>
    <w:rsid w:val="00446D44"/>
    <w:rsid w:val="0045078A"/>
    <w:rsid w:val="0045086D"/>
    <w:rsid w:val="00451EF1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4F8A"/>
    <w:rsid w:val="004A5494"/>
    <w:rsid w:val="004A61C5"/>
    <w:rsid w:val="004A62A0"/>
    <w:rsid w:val="004A77DF"/>
    <w:rsid w:val="004B1417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165"/>
    <w:rsid w:val="004C6E0E"/>
    <w:rsid w:val="004C70DC"/>
    <w:rsid w:val="004D0211"/>
    <w:rsid w:val="004D0794"/>
    <w:rsid w:val="004E1A40"/>
    <w:rsid w:val="004E200A"/>
    <w:rsid w:val="004E23FC"/>
    <w:rsid w:val="004E6DE6"/>
    <w:rsid w:val="004E765E"/>
    <w:rsid w:val="004F06F5"/>
    <w:rsid w:val="004F12A4"/>
    <w:rsid w:val="004F253F"/>
    <w:rsid w:val="004F33A0"/>
    <w:rsid w:val="004F3BD2"/>
    <w:rsid w:val="0050689D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6BE"/>
    <w:rsid w:val="00525137"/>
    <w:rsid w:val="005251DD"/>
    <w:rsid w:val="00530A68"/>
    <w:rsid w:val="00532CE7"/>
    <w:rsid w:val="00532D8B"/>
    <w:rsid w:val="0053324C"/>
    <w:rsid w:val="00534A28"/>
    <w:rsid w:val="00535018"/>
    <w:rsid w:val="00537571"/>
    <w:rsid w:val="00541508"/>
    <w:rsid w:val="00541AE3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655DB"/>
    <w:rsid w:val="00570BC3"/>
    <w:rsid w:val="0057182A"/>
    <w:rsid w:val="00572079"/>
    <w:rsid w:val="00573602"/>
    <w:rsid w:val="0057364B"/>
    <w:rsid w:val="00574773"/>
    <w:rsid w:val="00577C07"/>
    <w:rsid w:val="00577DB1"/>
    <w:rsid w:val="00580DE7"/>
    <w:rsid w:val="00583E52"/>
    <w:rsid w:val="00583FFD"/>
    <w:rsid w:val="0058519A"/>
    <w:rsid w:val="005856BD"/>
    <w:rsid w:val="00590B28"/>
    <w:rsid w:val="005911BE"/>
    <w:rsid w:val="00591273"/>
    <w:rsid w:val="005927A4"/>
    <w:rsid w:val="00593152"/>
    <w:rsid w:val="005956A3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B121D"/>
    <w:rsid w:val="005B4853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4307"/>
    <w:rsid w:val="0060487F"/>
    <w:rsid w:val="00604EAD"/>
    <w:rsid w:val="006104FB"/>
    <w:rsid w:val="00612A2F"/>
    <w:rsid w:val="00612AAE"/>
    <w:rsid w:val="006156B4"/>
    <w:rsid w:val="00616E05"/>
    <w:rsid w:val="00617985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4137"/>
    <w:rsid w:val="006451E4"/>
    <w:rsid w:val="00645B33"/>
    <w:rsid w:val="006516CB"/>
    <w:rsid w:val="00654110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2EC"/>
    <w:rsid w:val="006C56D4"/>
    <w:rsid w:val="006C6681"/>
    <w:rsid w:val="006C6924"/>
    <w:rsid w:val="006C7CA6"/>
    <w:rsid w:val="006D18B3"/>
    <w:rsid w:val="006D3E8A"/>
    <w:rsid w:val="006D61F6"/>
    <w:rsid w:val="006E1332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398A"/>
    <w:rsid w:val="00705242"/>
    <w:rsid w:val="007065C5"/>
    <w:rsid w:val="00706AD4"/>
    <w:rsid w:val="00707150"/>
    <w:rsid w:val="00713549"/>
    <w:rsid w:val="007140BE"/>
    <w:rsid w:val="00715E4D"/>
    <w:rsid w:val="00716F48"/>
    <w:rsid w:val="00717114"/>
    <w:rsid w:val="0071779F"/>
    <w:rsid w:val="007211F5"/>
    <w:rsid w:val="007240E2"/>
    <w:rsid w:val="0072583E"/>
    <w:rsid w:val="00725BB5"/>
    <w:rsid w:val="00730AE8"/>
    <w:rsid w:val="00730F1B"/>
    <w:rsid w:val="0073186D"/>
    <w:rsid w:val="007343D9"/>
    <w:rsid w:val="00741493"/>
    <w:rsid w:val="007434E5"/>
    <w:rsid w:val="00752180"/>
    <w:rsid w:val="00752323"/>
    <w:rsid w:val="007532B7"/>
    <w:rsid w:val="00753CAB"/>
    <w:rsid w:val="00754A70"/>
    <w:rsid w:val="00755202"/>
    <w:rsid w:val="00755D3A"/>
    <w:rsid w:val="0075751D"/>
    <w:rsid w:val="007578D3"/>
    <w:rsid w:val="00760391"/>
    <w:rsid w:val="007609C6"/>
    <w:rsid w:val="007615F3"/>
    <w:rsid w:val="0076175D"/>
    <w:rsid w:val="00763B85"/>
    <w:rsid w:val="00764974"/>
    <w:rsid w:val="0076521E"/>
    <w:rsid w:val="007661E9"/>
    <w:rsid w:val="00767062"/>
    <w:rsid w:val="00771972"/>
    <w:rsid w:val="00774D2C"/>
    <w:rsid w:val="00776169"/>
    <w:rsid w:val="00776527"/>
    <w:rsid w:val="00777040"/>
    <w:rsid w:val="00780EF1"/>
    <w:rsid w:val="00786C87"/>
    <w:rsid w:val="007877C9"/>
    <w:rsid w:val="00790764"/>
    <w:rsid w:val="0079085F"/>
    <w:rsid w:val="00793D78"/>
    <w:rsid w:val="0079453C"/>
    <w:rsid w:val="00794677"/>
    <w:rsid w:val="007A33E2"/>
    <w:rsid w:val="007A3CAF"/>
    <w:rsid w:val="007A516D"/>
    <w:rsid w:val="007A5E65"/>
    <w:rsid w:val="007A775D"/>
    <w:rsid w:val="007B0834"/>
    <w:rsid w:val="007B0E83"/>
    <w:rsid w:val="007B11FA"/>
    <w:rsid w:val="007B1396"/>
    <w:rsid w:val="007B2011"/>
    <w:rsid w:val="007B2CFE"/>
    <w:rsid w:val="007B3DCB"/>
    <w:rsid w:val="007B6689"/>
    <w:rsid w:val="007B6F72"/>
    <w:rsid w:val="007C1FFB"/>
    <w:rsid w:val="007C2D94"/>
    <w:rsid w:val="007C5F92"/>
    <w:rsid w:val="007C6227"/>
    <w:rsid w:val="007C6BBD"/>
    <w:rsid w:val="007D0382"/>
    <w:rsid w:val="007D1A1F"/>
    <w:rsid w:val="007D40DF"/>
    <w:rsid w:val="007D4458"/>
    <w:rsid w:val="007E0D4A"/>
    <w:rsid w:val="007E1788"/>
    <w:rsid w:val="007E29B4"/>
    <w:rsid w:val="007E435A"/>
    <w:rsid w:val="007E49F7"/>
    <w:rsid w:val="007E4C70"/>
    <w:rsid w:val="007E7E61"/>
    <w:rsid w:val="007F0845"/>
    <w:rsid w:val="007F20F3"/>
    <w:rsid w:val="007F2390"/>
    <w:rsid w:val="007F708D"/>
    <w:rsid w:val="00801E13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5C4D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1901"/>
    <w:rsid w:val="00846121"/>
    <w:rsid w:val="008466C6"/>
    <w:rsid w:val="0084708F"/>
    <w:rsid w:val="008477C8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5E4C"/>
    <w:rsid w:val="00867DAB"/>
    <w:rsid w:val="008701E4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72D2"/>
    <w:rsid w:val="008A0ADD"/>
    <w:rsid w:val="008A388E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D33F5"/>
    <w:rsid w:val="008D35E4"/>
    <w:rsid w:val="008E292B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786F"/>
    <w:rsid w:val="009110F7"/>
    <w:rsid w:val="0091155E"/>
    <w:rsid w:val="00912A92"/>
    <w:rsid w:val="00915D07"/>
    <w:rsid w:val="009162AE"/>
    <w:rsid w:val="00917251"/>
    <w:rsid w:val="0091728D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3033E"/>
    <w:rsid w:val="009305FC"/>
    <w:rsid w:val="00930FB1"/>
    <w:rsid w:val="0093139F"/>
    <w:rsid w:val="00932443"/>
    <w:rsid w:val="00933F4A"/>
    <w:rsid w:val="00935BD4"/>
    <w:rsid w:val="009373B2"/>
    <w:rsid w:val="00937AE2"/>
    <w:rsid w:val="0094416B"/>
    <w:rsid w:val="0094427A"/>
    <w:rsid w:val="00944C7C"/>
    <w:rsid w:val="00945245"/>
    <w:rsid w:val="009568DC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05B3"/>
    <w:rsid w:val="009B3764"/>
    <w:rsid w:val="009B66CE"/>
    <w:rsid w:val="009B6FD3"/>
    <w:rsid w:val="009C1750"/>
    <w:rsid w:val="009C2E29"/>
    <w:rsid w:val="009C3E8F"/>
    <w:rsid w:val="009C554B"/>
    <w:rsid w:val="009C719E"/>
    <w:rsid w:val="009C7799"/>
    <w:rsid w:val="009D07A9"/>
    <w:rsid w:val="009D3ACD"/>
    <w:rsid w:val="009D7731"/>
    <w:rsid w:val="009E1922"/>
    <w:rsid w:val="009E4715"/>
    <w:rsid w:val="009E5273"/>
    <w:rsid w:val="009E5DDB"/>
    <w:rsid w:val="009F4982"/>
    <w:rsid w:val="009F4CA7"/>
    <w:rsid w:val="009F7D36"/>
    <w:rsid w:val="00A00E71"/>
    <w:rsid w:val="00A03B10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3CF8"/>
    <w:rsid w:val="00A43DF2"/>
    <w:rsid w:val="00A445A8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016A"/>
    <w:rsid w:val="00A7018D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89D"/>
    <w:rsid w:val="00A91E71"/>
    <w:rsid w:val="00A96116"/>
    <w:rsid w:val="00A9614E"/>
    <w:rsid w:val="00A96C0F"/>
    <w:rsid w:val="00AA212F"/>
    <w:rsid w:val="00AA2996"/>
    <w:rsid w:val="00AA2AF4"/>
    <w:rsid w:val="00AA52BF"/>
    <w:rsid w:val="00AA559A"/>
    <w:rsid w:val="00AA6C31"/>
    <w:rsid w:val="00AA7CE8"/>
    <w:rsid w:val="00AB2AF1"/>
    <w:rsid w:val="00AB5A64"/>
    <w:rsid w:val="00AB6456"/>
    <w:rsid w:val="00AC044E"/>
    <w:rsid w:val="00AC2395"/>
    <w:rsid w:val="00AC2960"/>
    <w:rsid w:val="00AC2AC4"/>
    <w:rsid w:val="00AC4284"/>
    <w:rsid w:val="00AC45BD"/>
    <w:rsid w:val="00AD0EE7"/>
    <w:rsid w:val="00AD168E"/>
    <w:rsid w:val="00AD306C"/>
    <w:rsid w:val="00AD5AD2"/>
    <w:rsid w:val="00AD6462"/>
    <w:rsid w:val="00AD68C4"/>
    <w:rsid w:val="00AD71F9"/>
    <w:rsid w:val="00AE09B3"/>
    <w:rsid w:val="00AE1A83"/>
    <w:rsid w:val="00AE7CE7"/>
    <w:rsid w:val="00AE7FAB"/>
    <w:rsid w:val="00AF1E87"/>
    <w:rsid w:val="00AF436B"/>
    <w:rsid w:val="00AF5179"/>
    <w:rsid w:val="00AF5CC2"/>
    <w:rsid w:val="00AF6F98"/>
    <w:rsid w:val="00B00913"/>
    <w:rsid w:val="00B01593"/>
    <w:rsid w:val="00B01FF9"/>
    <w:rsid w:val="00B023F2"/>
    <w:rsid w:val="00B06DB4"/>
    <w:rsid w:val="00B10A4D"/>
    <w:rsid w:val="00B10C90"/>
    <w:rsid w:val="00B11002"/>
    <w:rsid w:val="00B121B2"/>
    <w:rsid w:val="00B14BC1"/>
    <w:rsid w:val="00B16EB8"/>
    <w:rsid w:val="00B17E71"/>
    <w:rsid w:val="00B17FDE"/>
    <w:rsid w:val="00B20632"/>
    <w:rsid w:val="00B2379C"/>
    <w:rsid w:val="00B23D5D"/>
    <w:rsid w:val="00B2687D"/>
    <w:rsid w:val="00B32DDB"/>
    <w:rsid w:val="00B32F57"/>
    <w:rsid w:val="00B3345C"/>
    <w:rsid w:val="00B34528"/>
    <w:rsid w:val="00B34CC9"/>
    <w:rsid w:val="00B3563B"/>
    <w:rsid w:val="00B402FC"/>
    <w:rsid w:val="00B422E2"/>
    <w:rsid w:val="00B439DA"/>
    <w:rsid w:val="00B4411A"/>
    <w:rsid w:val="00B46604"/>
    <w:rsid w:val="00B47089"/>
    <w:rsid w:val="00B52151"/>
    <w:rsid w:val="00B530CD"/>
    <w:rsid w:val="00B55F5E"/>
    <w:rsid w:val="00B56B6F"/>
    <w:rsid w:val="00B5752E"/>
    <w:rsid w:val="00B62316"/>
    <w:rsid w:val="00B63A11"/>
    <w:rsid w:val="00B64425"/>
    <w:rsid w:val="00B64C24"/>
    <w:rsid w:val="00B65CEF"/>
    <w:rsid w:val="00B6608F"/>
    <w:rsid w:val="00B679FB"/>
    <w:rsid w:val="00B76D1E"/>
    <w:rsid w:val="00B77543"/>
    <w:rsid w:val="00B80EC6"/>
    <w:rsid w:val="00B81D70"/>
    <w:rsid w:val="00B83E07"/>
    <w:rsid w:val="00B84CF6"/>
    <w:rsid w:val="00B85016"/>
    <w:rsid w:val="00B8561A"/>
    <w:rsid w:val="00B92D1D"/>
    <w:rsid w:val="00B938C5"/>
    <w:rsid w:val="00B95940"/>
    <w:rsid w:val="00B95ACA"/>
    <w:rsid w:val="00B97ACC"/>
    <w:rsid w:val="00BA3787"/>
    <w:rsid w:val="00BA46E8"/>
    <w:rsid w:val="00BA6C2B"/>
    <w:rsid w:val="00BA7B64"/>
    <w:rsid w:val="00BB0351"/>
    <w:rsid w:val="00BB15C3"/>
    <w:rsid w:val="00BB1AF4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6D50"/>
    <w:rsid w:val="00BE0AD1"/>
    <w:rsid w:val="00BE0EF9"/>
    <w:rsid w:val="00BE18B9"/>
    <w:rsid w:val="00BE2495"/>
    <w:rsid w:val="00BF02C8"/>
    <w:rsid w:val="00BF1578"/>
    <w:rsid w:val="00BF1D12"/>
    <w:rsid w:val="00BF1D3A"/>
    <w:rsid w:val="00BF4E43"/>
    <w:rsid w:val="00BF5C4C"/>
    <w:rsid w:val="00C01410"/>
    <w:rsid w:val="00C052AA"/>
    <w:rsid w:val="00C06EE3"/>
    <w:rsid w:val="00C07749"/>
    <w:rsid w:val="00C11D48"/>
    <w:rsid w:val="00C21430"/>
    <w:rsid w:val="00C21E61"/>
    <w:rsid w:val="00C21F94"/>
    <w:rsid w:val="00C2590D"/>
    <w:rsid w:val="00C27913"/>
    <w:rsid w:val="00C33B68"/>
    <w:rsid w:val="00C35570"/>
    <w:rsid w:val="00C36A79"/>
    <w:rsid w:val="00C401D2"/>
    <w:rsid w:val="00C4031A"/>
    <w:rsid w:val="00C405D4"/>
    <w:rsid w:val="00C419D5"/>
    <w:rsid w:val="00C4513B"/>
    <w:rsid w:val="00C5390B"/>
    <w:rsid w:val="00C54697"/>
    <w:rsid w:val="00C553A5"/>
    <w:rsid w:val="00C55402"/>
    <w:rsid w:val="00C5603B"/>
    <w:rsid w:val="00C61F47"/>
    <w:rsid w:val="00C62828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B5E10"/>
    <w:rsid w:val="00CC0834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5C65"/>
    <w:rsid w:val="00D06D68"/>
    <w:rsid w:val="00D075BE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44E7"/>
    <w:rsid w:val="00D56FBF"/>
    <w:rsid w:val="00D57677"/>
    <w:rsid w:val="00D60415"/>
    <w:rsid w:val="00D63BE5"/>
    <w:rsid w:val="00D66223"/>
    <w:rsid w:val="00D70822"/>
    <w:rsid w:val="00D72076"/>
    <w:rsid w:val="00D743E0"/>
    <w:rsid w:val="00D77252"/>
    <w:rsid w:val="00D8084C"/>
    <w:rsid w:val="00D82EF1"/>
    <w:rsid w:val="00D84F43"/>
    <w:rsid w:val="00D85821"/>
    <w:rsid w:val="00D8598C"/>
    <w:rsid w:val="00D87C06"/>
    <w:rsid w:val="00D915EA"/>
    <w:rsid w:val="00D928BE"/>
    <w:rsid w:val="00D95C5D"/>
    <w:rsid w:val="00D97D00"/>
    <w:rsid w:val="00DA096C"/>
    <w:rsid w:val="00DA1AB6"/>
    <w:rsid w:val="00DA6364"/>
    <w:rsid w:val="00DA7114"/>
    <w:rsid w:val="00DA7C0C"/>
    <w:rsid w:val="00DB08A9"/>
    <w:rsid w:val="00DB2DFA"/>
    <w:rsid w:val="00DB2EC8"/>
    <w:rsid w:val="00DC17D0"/>
    <w:rsid w:val="00DC2B41"/>
    <w:rsid w:val="00DC435B"/>
    <w:rsid w:val="00DC56FE"/>
    <w:rsid w:val="00DC5B3B"/>
    <w:rsid w:val="00DC6C2D"/>
    <w:rsid w:val="00DC7B1A"/>
    <w:rsid w:val="00DD129F"/>
    <w:rsid w:val="00DD32DD"/>
    <w:rsid w:val="00DE0D8B"/>
    <w:rsid w:val="00DF3643"/>
    <w:rsid w:val="00DF42F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251C"/>
    <w:rsid w:val="00E2363D"/>
    <w:rsid w:val="00E253A2"/>
    <w:rsid w:val="00E27127"/>
    <w:rsid w:val="00E27233"/>
    <w:rsid w:val="00E31771"/>
    <w:rsid w:val="00E32080"/>
    <w:rsid w:val="00E3309D"/>
    <w:rsid w:val="00E417BE"/>
    <w:rsid w:val="00E41CD5"/>
    <w:rsid w:val="00E43A9E"/>
    <w:rsid w:val="00E453F9"/>
    <w:rsid w:val="00E45D7D"/>
    <w:rsid w:val="00E47854"/>
    <w:rsid w:val="00E47EBA"/>
    <w:rsid w:val="00E50156"/>
    <w:rsid w:val="00E5076C"/>
    <w:rsid w:val="00E53470"/>
    <w:rsid w:val="00E539F6"/>
    <w:rsid w:val="00E55791"/>
    <w:rsid w:val="00E578A2"/>
    <w:rsid w:val="00E61740"/>
    <w:rsid w:val="00E61EB5"/>
    <w:rsid w:val="00E6519D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30A1"/>
    <w:rsid w:val="00E93820"/>
    <w:rsid w:val="00E94A86"/>
    <w:rsid w:val="00E96143"/>
    <w:rsid w:val="00E96833"/>
    <w:rsid w:val="00EA0C68"/>
    <w:rsid w:val="00EA32BC"/>
    <w:rsid w:val="00EA35A7"/>
    <w:rsid w:val="00EA4402"/>
    <w:rsid w:val="00EA513E"/>
    <w:rsid w:val="00EB0E32"/>
    <w:rsid w:val="00EB4511"/>
    <w:rsid w:val="00EB4A8E"/>
    <w:rsid w:val="00EB5BF7"/>
    <w:rsid w:val="00EB5E79"/>
    <w:rsid w:val="00EB6FAC"/>
    <w:rsid w:val="00EC03D7"/>
    <w:rsid w:val="00EC13A7"/>
    <w:rsid w:val="00ED0EF0"/>
    <w:rsid w:val="00ED12B9"/>
    <w:rsid w:val="00ED16B8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A13"/>
    <w:rsid w:val="00EF5FF9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331"/>
    <w:rsid w:val="00F30C65"/>
    <w:rsid w:val="00F3364D"/>
    <w:rsid w:val="00F349BF"/>
    <w:rsid w:val="00F437CC"/>
    <w:rsid w:val="00F44537"/>
    <w:rsid w:val="00F46185"/>
    <w:rsid w:val="00F46423"/>
    <w:rsid w:val="00F4696A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688"/>
    <w:rsid w:val="00F939F3"/>
    <w:rsid w:val="00FA05A0"/>
    <w:rsid w:val="00FA17CC"/>
    <w:rsid w:val="00FA1F01"/>
    <w:rsid w:val="00FA5112"/>
    <w:rsid w:val="00FA5526"/>
    <w:rsid w:val="00FA5D4D"/>
    <w:rsid w:val="00FA70D3"/>
    <w:rsid w:val="00FB0EE2"/>
    <w:rsid w:val="00FB1A79"/>
    <w:rsid w:val="00FB208B"/>
    <w:rsid w:val="00FB2B2D"/>
    <w:rsid w:val="00FB542E"/>
    <w:rsid w:val="00FC05F8"/>
    <w:rsid w:val="00FC0E5F"/>
    <w:rsid w:val="00FC1A95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E27C7"/>
    <w:rsid w:val="00FE2C7E"/>
    <w:rsid w:val="00FE2F78"/>
    <w:rsid w:val="00FE3137"/>
    <w:rsid w:val="00FE48E4"/>
    <w:rsid w:val="00FE634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chart" Target="charts/chart13.xm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eader" Target="header2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Trh%20pr&#225;ce\Grafy-trh%20pr&#225;ce-2018-2q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Trh%20pr&#225;ce\Grafy-trh%20pr&#225;ce-2018-2q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Trh%20pr&#225;ce\Grafy-trh%20pr&#225;ce-2018-2q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.pololet&#237;-2018\Rozpo&#269;et\Grafy-st&#225;tn&#237;%20rozpo&#269;et-1.pol-20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\Rozpo&#269;et\Grafy-st&#225;tn&#237;%20rozpo&#269;et-1.pol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Rozpo&#269;et\Grafy-st&#225;tn&#237;%20rozpo&#269;et-1.pol-2018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.pololet&#237;-2018\Rozpo&#269;et\Grafy-st&#225;tn&#237;%20rozpo&#269;et-1.pol-2018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Rozpo&#269;et\Grafy-st&#225;tn&#237;%20rozpo&#269;et-1.pol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Odv&#283;tv&#237;\Odv&#283;tv&#237;%20grafy-2q-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Odv&#283;tv&#237;\Odv&#283;tv&#237;%20grafy-2q-2018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8\QMakro\1.pololet&#237;-2018\Odv&#283;tv&#237;\Odv&#283;tv&#237;%20grafy-2q-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Odv&#283;tv&#237;\Odv&#283;tv&#237;%20grafy-2q-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2240163796014245E-2"/>
          <c:y val="2.3046636085627001E-2"/>
          <c:w val="0.93617042384329663"/>
          <c:h val="0.74192840256672143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cat>
            <c:multiLvlStrRef>
              <c:f>'souhrnná výkonnost 1'!$A$9:$B$30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1'!$C$9:$C$30</c:f>
              <c:numCache>
                <c:formatCode>#,##0.0</c:formatCode>
                <c:ptCount val="22"/>
                <c:pt idx="0">
                  <c:v>-1.8</c:v>
                </c:pt>
                <c:pt idx="1">
                  <c:v>-1.1000000000000001</c:v>
                </c:pt>
                <c:pt idx="2">
                  <c:v>-0.30000000000000032</c:v>
                </c:pt>
                <c:pt idx="3">
                  <c:v>1.3</c:v>
                </c:pt>
                <c:pt idx="4">
                  <c:v>1.599692644421808</c:v>
                </c:pt>
                <c:pt idx="5">
                  <c:v>2.4019552100365473</c:v>
                </c:pt>
                <c:pt idx="6">
                  <c:v>3.4030564515715742</c:v>
                </c:pt>
                <c:pt idx="7">
                  <c:v>3.4380052076485867</c:v>
                </c:pt>
                <c:pt idx="8">
                  <c:v>5.2550726107844694</c:v>
                </c:pt>
                <c:pt idx="9">
                  <c:v>5.7987847820089087</c:v>
                </c:pt>
                <c:pt idx="10">
                  <c:v>5.5707669225332523</c:v>
                </c:pt>
                <c:pt idx="11">
                  <c:v>4.9148252973919755</c:v>
                </c:pt>
                <c:pt idx="12">
                  <c:v>3.5623906099722142</c:v>
                </c:pt>
                <c:pt idx="13">
                  <c:v>2.4146777549828045</c:v>
                </c:pt>
                <c:pt idx="14">
                  <c:v>1.6940486553423995</c:v>
                </c:pt>
                <c:pt idx="15">
                  <c:v>1.8037525372218333</c:v>
                </c:pt>
                <c:pt idx="16">
                  <c:v>2.8712499788678167</c:v>
                </c:pt>
                <c:pt idx="17">
                  <c:v>4.9310728663161996</c:v>
                </c:pt>
                <c:pt idx="18">
                  <c:v>5.0995207171135633</c:v>
                </c:pt>
                <c:pt idx="19">
                  <c:v>4.9881960614611103</c:v>
                </c:pt>
                <c:pt idx="20">
                  <c:v>4.1057179162214785</c:v>
                </c:pt>
                <c:pt idx="21" formatCode="General">
                  <c:v>2.4213773126889482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F4-45A8-8419-CC4DD959E78D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EU28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cat>
            <c:multiLvlStrRef>
              <c:f>'souhrnná výkonnost 1'!$A$9:$B$30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1'!$D$9:$D$30</c:f>
              <c:numCache>
                <c:formatCode>#,##0.0</c:formatCode>
                <c:ptCount val="22"/>
                <c:pt idx="0">
                  <c:v>-0.60000000000000064</c:v>
                </c:pt>
                <c:pt idx="1">
                  <c:v>0.1</c:v>
                </c:pt>
                <c:pt idx="2">
                  <c:v>0.5</c:v>
                </c:pt>
                <c:pt idx="3">
                  <c:v>1.2</c:v>
                </c:pt>
                <c:pt idx="4">
                  <c:v>1.8</c:v>
                </c:pt>
                <c:pt idx="5">
                  <c:v>1.6</c:v>
                </c:pt>
                <c:pt idx="6">
                  <c:v>1.7</c:v>
                </c:pt>
                <c:pt idx="7">
                  <c:v>1.9000000000000001</c:v>
                </c:pt>
                <c:pt idx="8">
                  <c:v>2.2000000000000002</c:v>
                </c:pt>
                <c:pt idx="9">
                  <c:v>2.2999999999999998</c:v>
                </c:pt>
                <c:pt idx="10">
                  <c:v>2.2000000000000002</c:v>
                </c:pt>
                <c:pt idx="11">
                  <c:v>2.2000000000000002</c:v>
                </c:pt>
                <c:pt idx="12">
                  <c:v>2</c:v>
                </c:pt>
                <c:pt idx="13">
                  <c:v>1.9000000000000001</c:v>
                </c:pt>
                <c:pt idx="14">
                  <c:v>1.8</c:v>
                </c:pt>
                <c:pt idx="15">
                  <c:v>2.1</c:v>
                </c:pt>
                <c:pt idx="16">
                  <c:v>2.2000000000000002</c:v>
                </c:pt>
                <c:pt idx="17">
                  <c:v>2.5</c:v>
                </c:pt>
                <c:pt idx="18">
                  <c:v>2.8</c:v>
                </c:pt>
                <c:pt idx="19">
                  <c:v>2.6</c:v>
                </c:pt>
                <c:pt idx="20">
                  <c:v>2.4</c:v>
                </c:pt>
                <c:pt idx="21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F4-45A8-8419-CC4DD959E78D}"/>
            </c:ext>
          </c:extLst>
        </c:ser>
        <c:gapWidth val="100"/>
        <c:axId val="115471104"/>
        <c:axId val="115473024"/>
      </c:barChart>
      <c:lineChart>
        <c:grouping val="standard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1'!$A$9:$B$30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1'!$E$9:$E$30</c:f>
              <c:numCache>
                <c:formatCode>#,##0.0</c:formatCode>
                <c:ptCount val="22"/>
                <c:pt idx="0">
                  <c:v>-0.5</c:v>
                </c:pt>
                <c:pt idx="1">
                  <c:v>0.2</c:v>
                </c:pt>
                <c:pt idx="2">
                  <c:v>0.30000000000000032</c:v>
                </c:pt>
                <c:pt idx="3">
                  <c:v>1.3</c:v>
                </c:pt>
                <c:pt idx="4">
                  <c:v>-0.15199361076162338</c:v>
                </c:pt>
                <c:pt idx="5">
                  <c:v>0.94354943170505123</c:v>
                </c:pt>
                <c:pt idx="6">
                  <c:v>1.300826710614875</c:v>
                </c:pt>
                <c:pt idx="7">
                  <c:v>1.3092680104703618</c:v>
                </c:pt>
                <c:pt idx="8">
                  <c:v>1.6020092561128079</c:v>
                </c:pt>
                <c:pt idx="9">
                  <c:v>1.4649897297471739</c:v>
                </c:pt>
                <c:pt idx="10">
                  <c:v>1.0825028639160736</c:v>
                </c:pt>
                <c:pt idx="11">
                  <c:v>0.67980430723309304</c:v>
                </c:pt>
                <c:pt idx="12">
                  <c:v>0.29227937532607701</c:v>
                </c:pt>
                <c:pt idx="13">
                  <c:v>0.34052096885529076</c:v>
                </c:pt>
                <c:pt idx="14">
                  <c:v>0.37124745966146122</c:v>
                </c:pt>
                <c:pt idx="15">
                  <c:v>0.78841405879090143</c:v>
                </c:pt>
                <c:pt idx="16">
                  <c:v>1.3439277574509034</c:v>
                </c:pt>
                <c:pt idx="17">
                  <c:v>2.3496702858179792</c:v>
                </c:pt>
                <c:pt idx="18">
                  <c:v>0.53237533584331231</c:v>
                </c:pt>
                <c:pt idx="19">
                  <c:v>0.68165586034911618</c:v>
                </c:pt>
                <c:pt idx="20">
                  <c:v>0.49208150469375961</c:v>
                </c:pt>
                <c:pt idx="21" formatCode="General">
                  <c:v>0.69374101631038043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F4-45A8-8419-CC4DD959E78D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EU28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1'!$A$9:$B$30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1'!$F$9:$F$30</c:f>
              <c:numCache>
                <c:formatCode>#,##0.0</c:formatCode>
                <c:ptCount val="22"/>
                <c:pt idx="0">
                  <c:v>-0.1</c:v>
                </c:pt>
                <c:pt idx="1">
                  <c:v>0.5</c:v>
                </c:pt>
                <c:pt idx="2">
                  <c:v>0.5</c:v>
                </c:pt>
                <c:pt idx="3">
                  <c:v>0.30000000000000032</c:v>
                </c:pt>
                <c:pt idx="4">
                  <c:v>0.5</c:v>
                </c:pt>
                <c:pt idx="5">
                  <c:v>0.30000000000000032</c:v>
                </c:pt>
                <c:pt idx="6">
                  <c:v>0.5</c:v>
                </c:pt>
                <c:pt idx="7">
                  <c:v>0.5</c:v>
                </c:pt>
                <c:pt idx="8">
                  <c:v>0.8</c:v>
                </c:pt>
                <c:pt idx="9">
                  <c:v>0.4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0.30000000000000032</c:v>
                </c:pt>
                <c:pt idx="14">
                  <c:v>0.4</c:v>
                </c:pt>
                <c:pt idx="15">
                  <c:v>0.8</c:v>
                </c:pt>
                <c:pt idx="16">
                  <c:v>0.60000000000000064</c:v>
                </c:pt>
                <c:pt idx="17">
                  <c:v>0.60000000000000064</c:v>
                </c:pt>
                <c:pt idx="18">
                  <c:v>0.70000000000000062</c:v>
                </c:pt>
                <c:pt idx="19">
                  <c:v>0.60000000000000064</c:v>
                </c:pt>
                <c:pt idx="20">
                  <c:v>0.4</c:v>
                </c:pt>
                <c:pt idx="2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F4-45A8-8419-CC4DD959E78D}"/>
            </c:ext>
          </c:extLst>
        </c:ser>
        <c:marker val="1"/>
        <c:axId val="115471104"/>
        <c:axId val="115473024"/>
      </c:lineChart>
      <c:catAx>
        <c:axId val="11547110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5473024"/>
        <c:crosses val="autoZero"/>
        <c:auto val="1"/>
        <c:lblAlgn val="ctr"/>
        <c:lblOffset val="100"/>
      </c:catAx>
      <c:valAx>
        <c:axId val="115473024"/>
        <c:scaling>
          <c:orientation val="minMax"/>
          <c:max val="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547110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9667131036811895E-2"/>
          <c:y val="0.8943725512571804"/>
          <c:w val="0.93714918946301962"/>
          <c:h val="9.0301755758791014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568840579710145E-2"/>
          <c:y val="2.1811315924220549E-2"/>
          <c:w val="0.92237743255066085"/>
          <c:h val="0.73318107621300077"/>
        </c:manualLayout>
      </c:layout>
      <c:barChart>
        <c:barDir val="col"/>
        <c:grouping val="clustered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2'!$A$14:$B$31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2'!$C$14:$C$31</c:f>
              <c:numCache>
                <c:formatCode>0.0</c:formatCode>
                <c:ptCount val="18"/>
                <c:pt idx="0">
                  <c:v>0.20000000000000284</c:v>
                </c:pt>
                <c:pt idx="1">
                  <c:v>0.20000000000000284</c:v>
                </c:pt>
                <c:pt idx="2">
                  <c:v>0.59999999999999454</c:v>
                </c:pt>
                <c:pt idx="3">
                  <c:v>0.5</c:v>
                </c:pt>
                <c:pt idx="4">
                  <c:v>9.9999999999995245E-2</c:v>
                </c:pt>
                <c:pt idx="5">
                  <c:v>0.70000000000000284</c:v>
                </c:pt>
                <c:pt idx="6">
                  <c:v>0.40000000000000568</c:v>
                </c:pt>
                <c:pt idx="7">
                  <c:v>9.9999999999995245E-2</c:v>
                </c:pt>
                <c:pt idx="8">
                  <c:v>0.5</c:v>
                </c:pt>
                <c:pt idx="9">
                  <c:v>0.20000000000000284</c:v>
                </c:pt>
                <c:pt idx="10">
                  <c:v>0.5</c:v>
                </c:pt>
                <c:pt idx="11">
                  <c:v>1.4000000000000057</c:v>
                </c:pt>
                <c:pt idx="12" formatCode="General">
                  <c:v>2.4000000000000057</c:v>
                </c:pt>
                <c:pt idx="13" formatCode="General">
                  <c:v>2.2000000000000042</c:v>
                </c:pt>
                <c:pt idx="14">
                  <c:v>2.5</c:v>
                </c:pt>
                <c:pt idx="15">
                  <c:v>2.6</c:v>
                </c:pt>
                <c:pt idx="16">
                  <c:v>1.9000000000000001</c:v>
                </c:pt>
                <c:pt idx="17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56-423E-B3B0-CC1D586DAABC}"/>
            </c:ext>
          </c:extLst>
        </c:ser>
        <c:gapWidth val="95"/>
        <c:axId val="116754688"/>
        <c:axId val="116768768"/>
      </c:barChart>
      <c:lineChart>
        <c:grouping val="standard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2'!$D$14:$D$31</c:f>
              <c:numCache>
                <c:formatCode>0.0</c:formatCode>
                <c:ptCount val="18"/>
                <c:pt idx="0">
                  <c:v>3.9000000000000057</c:v>
                </c:pt>
                <c:pt idx="1">
                  <c:v>1.5</c:v>
                </c:pt>
                <c:pt idx="2">
                  <c:v>1.4000000000000057</c:v>
                </c:pt>
                <c:pt idx="3">
                  <c:v>1.2000000000000028</c:v>
                </c:pt>
                <c:pt idx="4">
                  <c:v>-1.5999999999999825</c:v>
                </c:pt>
                <c:pt idx="5">
                  <c:v>-9.9999999999995245E-2</c:v>
                </c:pt>
                <c:pt idx="6">
                  <c:v>-0.90000000000000568</c:v>
                </c:pt>
                <c:pt idx="7">
                  <c:v>-1.5999999999999825</c:v>
                </c:pt>
                <c:pt idx="8">
                  <c:v>-1.7000000000000035</c:v>
                </c:pt>
                <c:pt idx="9">
                  <c:v>-2.4000000000000057</c:v>
                </c:pt>
                <c:pt idx="10">
                  <c:v>-0.7999999999999976</c:v>
                </c:pt>
                <c:pt idx="11">
                  <c:v>1.2000000000000028</c:v>
                </c:pt>
                <c:pt idx="12" formatCode="General">
                  <c:v>4.2000000000000028</c:v>
                </c:pt>
                <c:pt idx="13" formatCode="General">
                  <c:v>4.5</c:v>
                </c:pt>
                <c:pt idx="14">
                  <c:v>5.7</c:v>
                </c:pt>
                <c:pt idx="15">
                  <c:v>6.3</c:v>
                </c:pt>
                <c:pt idx="16">
                  <c:v>2.9</c:v>
                </c:pt>
                <c:pt idx="17" formatCode="#,##0.0_ ;\-#,##0.0\ 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56-423E-B3B0-CC1D586DAABC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2'!$F$14:$F$31</c:f>
              <c:numCache>
                <c:formatCode>0.0</c:formatCode>
                <c:ptCount val="18"/>
                <c:pt idx="0">
                  <c:v>-2.4000000000000057</c:v>
                </c:pt>
                <c:pt idx="1">
                  <c:v>-1.7000000000000035</c:v>
                </c:pt>
                <c:pt idx="2">
                  <c:v>-0.70000000000000284</c:v>
                </c:pt>
                <c:pt idx="3">
                  <c:v>-0.59999999999999454</c:v>
                </c:pt>
                <c:pt idx="4">
                  <c:v>1.0999999999999825</c:v>
                </c:pt>
                <c:pt idx="5">
                  <c:v>1.2000000000000028</c:v>
                </c:pt>
                <c:pt idx="6">
                  <c:v>0.7999999999999976</c:v>
                </c:pt>
                <c:pt idx="7">
                  <c:v>0.90000000000000568</c:v>
                </c:pt>
                <c:pt idx="8">
                  <c:v>0.90000000000000568</c:v>
                </c:pt>
                <c:pt idx="9">
                  <c:v>0.5</c:v>
                </c:pt>
                <c:pt idx="10">
                  <c:v>0.40000000000000568</c:v>
                </c:pt>
                <c:pt idx="11">
                  <c:v>0.59999999999999454</c:v>
                </c:pt>
                <c:pt idx="12" formatCode="General">
                  <c:v>0.7999999999999976</c:v>
                </c:pt>
                <c:pt idx="13" formatCode="General">
                  <c:v>1.5</c:v>
                </c:pt>
                <c:pt idx="14">
                  <c:v>2.1</c:v>
                </c:pt>
                <c:pt idx="15">
                  <c:v>2.2000000000000002</c:v>
                </c:pt>
                <c:pt idx="16">
                  <c:v>2.2999999999999998</c:v>
                </c:pt>
                <c:pt idx="17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56-423E-B3B0-CC1D586DAABC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'Ceny 2'!$G$14:$G$31</c:f>
              <c:numCache>
                <c:formatCode>General</c:formatCode>
                <c:ptCount val="18"/>
                <c:pt idx="0">
                  <c:v>9.9999999999995245E-2</c:v>
                </c:pt>
                <c:pt idx="1">
                  <c:v>0.30000000000000032</c:v>
                </c:pt>
                <c:pt idx="2">
                  <c:v>0.5</c:v>
                </c:pt>
                <c:pt idx="3">
                  <c:v>0</c:v>
                </c:pt>
                <c:pt idx="4">
                  <c:v>-4.9000000000000083</c:v>
                </c:pt>
                <c:pt idx="5">
                  <c:v>-3.2999999999999972</c:v>
                </c:pt>
                <c:pt idx="6">
                  <c:v>-3.7999999999999972</c:v>
                </c:pt>
                <c:pt idx="7">
                  <c:v>-4.7000000000000028</c:v>
                </c:pt>
                <c:pt idx="8">
                  <c:v>-2.7000000000000042</c:v>
                </c:pt>
                <c:pt idx="9">
                  <c:v>-2.9000000000000057</c:v>
                </c:pt>
                <c:pt idx="10">
                  <c:v>-2.2999999999999972</c:v>
                </c:pt>
                <c:pt idx="11">
                  <c:v>1.0999999999999825</c:v>
                </c:pt>
                <c:pt idx="12">
                  <c:v>6</c:v>
                </c:pt>
                <c:pt idx="13">
                  <c:v>3.9000000000000057</c:v>
                </c:pt>
                <c:pt idx="14" formatCode="0.0">
                  <c:v>2.5</c:v>
                </c:pt>
                <c:pt idx="15" formatCode="0.0">
                  <c:v>2.5</c:v>
                </c:pt>
                <c:pt idx="16" formatCode="0.0">
                  <c:v>1</c:v>
                </c:pt>
                <c:pt idx="17" formatCode="0.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56-423E-B3B0-CC1D586DAABC}"/>
            </c:ext>
          </c:extLst>
        </c:ser>
        <c:ser>
          <c:idx val="2"/>
          <c:order val="4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val>
            <c:numRef>
              <c:f>'Ceny 2'!$H$14:$H$31</c:f>
              <c:numCache>
                <c:formatCode>###,###,##0.0</c:formatCode>
                <c:ptCount val="18"/>
                <c:pt idx="0">
                  <c:v>1.5999999999999825</c:v>
                </c:pt>
                <c:pt idx="1">
                  <c:v>1.7000000000000035</c:v>
                </c:pt>
                <c:pt idx="2">
                  <c:v>1.7000000000000035</c:v>
                </c:pt>
                <c:pt idx="3">
                  <c:v>1.7000000000000035</c:v>
                </c:pt>
                <c:pt idx="4">
                  <c:v>1.7000000000000035</c:v>
                </c:pt>
                <c:pt idx="5">
                  <c:v>1.5999999999999825</c:v>
                </c:pt>
                <c:pt idx="6">
                  <c:v>1.4000000000000057</c:v>
                </c:pt>
                <c:pt idx="7">
                  <c:v>1.2999999999999832</c:v>
                </c:pt>
                <c:pt idx="8">
                  <c:v>1.2000000000000028</c:v>
                </c:pt>
                <c:pt idx="9">
                  <c:v>1.0999999999999825</c:v>
                </c:pt>
                <c:pt idx="10">
                  <c:v>1.2000000000000028</c:v>
                </c:pt>
                <c:pt idx="11">
                  <c:v>2.7000000000000042</c:v>
                </c:pt>
                <c:pt idx="12">
                  <c:v>5.2000000000000028</c:v>
                </c:pt>
                <c:pt idx="13">
                  <c:v>5.7999999999999972</c:v>
                </c:pt>
                <c:pt idx="14">
                  <c:v>6.2999999999999972</c:v>
                </c:pt>
                <c:pt idx="15" formatCode="0.0">
                  <c:v>5.6</c:v>
                </c:pt>
                <c:pt idx="16" formatCode="0.0">
                  <c:v>3.5</c:v>
                </c:pt>
                <c:pt idx="17" formatCode="0.0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56-423E-B3B0-CC1D586DAABC}"/>
            </c:ext>
          </c:extLst>
        </c:ser>
        <c:marker val="1"/>
        <c:axId val="116754688"/>
        <c:axId val="116768768"/>
      </c:lineChart>
      <c:catAx>
        <c:axId val="116754688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768768"/>
        <c:crosses val="autoZero"/>
        <c:auto val="1"/>
        <c:lblAlgn val="ctr"/>
        <c:lblOffset val="100"/>
      </c:catAx>
      <c:valAx>
        <c:axId val="116768768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6754688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767491901832E-2"/>
          <c:y val="0.87255825734550641"/>
          <c:w val="0.92362905268492135"/>
          <c:h val="0.1007621299110673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1'!$A$14:$B$31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1'!$C$14:$C$31</c:f>
              <c:numCache>
                <c:formatCode>General</c:formatCode>
                <c:ptCount val="18"/>
                <c:pt idx="0">
                  <c:v>1.2000000000000028</c:v>
                </c:pt>
                <c:pt idx="1">
                  <c:v>2.5</c:v>
                </c:pt>
                <c:pt idx="2">
                  <c:v>4.5</c:v>
                </c:pt>
                <c:pt idx="3">
                  <c:v>5.7000000000000028</c:v>
                </c:pt>
                <c:pt idx="4">
                  <c:v>4.2999999999999972</c:v>
                </c:pt>
                <c:pt idx="5">
                  <c:v>4.9000000000000083</c:v>
                </c:pt>
                <c:pt idx="6">
                  <c:v>6</c:v>
                </c:pt>
                <c:pt idx="7">
                  <c:v>6.7999999999999972</c:v>
                </c:pt>
                <c:pt idx="8">
                  <c:v>8.9000000000000057</c:v>
                </c:pt>
                <c:pt idx="9">
                  <c:v>10.3</c:v>
                </c:pt>
                <c:pt idx="10">
                  <c:v>12.3</c:v>
                </c:pt>
                <c:pt idx="11">
                  <c:v>14.600000000000001</c:v>
                </c:pt>
                <c:pt idx="12">
                  <c:v>17.200000000000003</c:v>
                </c:pt>
                <c:pt idx="13">
                  <c:v>18.700000000000003</c:v>
                </c:pt>
                <c:pt idx="14">
                  <c:v>15.8</c:v>
                </c:pt>
                <c:pt idx="15">
                  <c:v>12</c:v>
                </c:pt>
                <c:pt idx="16">
                  <c:v>9.2000000000000011</c:v>
                </c:pt>
                <c:pt idx="17">
                  <c:v>5.5999999999999943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12-4174-BCF9-4FD96EBBC2A4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cat>
            <c:multiLvlStrRef>
              <c:f>'Ceny 1'!$A$14:$B$31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1'!$D$14:$D$31</c:f>
              <c:numCache>
                <c:formatCode>General</c:formatCode>
                <c:ptCount val="18"/>
                <c:pt idx="0">
                  <c:v>2</c:v>
                </c:pt>
                <c:pt idx="1">
                  <c:v>2.0999999999999943</c:v>
                </c:pt>
                <c:pt idx="2">
                  <c:v>3.2000000000000042</c:v>
                </c:pt>
                <c:pt idx="3">
                  <c:v>5.2000000000000028</c:v>
                </c:pt>
                <c:pt idx="4">
                  <c:v>5</c:v>
                </c:pt>
                <c:pt idx="5">
                  <c:v>5.9000000000000083</c:v>
                </c:pt>
                <c:pt idx="6">
                  <c:v>5.5999999999999943</c:v>
                </c:pt>
                <c:pt idx="7">
                  <c:v>4.5999999999999943</c:v>
                </c:pt>
                <c:pt idx="8">
                  <c:v>5.7999999999999972</c:v>
                </c:pt>
                <c:pt idx="9">
                  <c:v>7.5</c:v>
                </c:pt>
                <c:pt idx="10">
                  <c:v>9.4000000000000057</c:v>
                </c:pt>
                <c:pt idx="11">
                  <c:v>13.900000000000006</c:v>
                </c:pt>
                <c:pt idx="12">
                  <c:v>16.200000000000003</c:v>
                </c:pt>
                <c:pt idx="13">
                  <c:v>19</c:v>
                </c:pt>
                <c:pt idx="14">
                  <c:v>16.400000000000006</c:v>
                </c:pt>
                <c:pt idx="15">
                  <c:v>11.100000000000001</c:v>
                </c:pt>
                <c:pt idx="16">
                  <c:v>8.3000000000000025</c:v>
                </c:pt>
                <c:pt idx="1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12-4174-BCF9-4FD96EBBC2A4}"/>
            </c:ext>
          </c:extLst>
        </c:ser>
        <c:gapWidth val="95"/>
        <c:axId val="116800896"/>
        <c:axId val="116806784"/>
      </c:barChart>
      <c:lineChart>
        <c:grouping val="standard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1'!$E$14:$E$31</c:f>
              <c:numCache>
                <c:formatCode>0.0</c:formatCode>
                <c:ptCount val="18"/>
                <c:pt idx="0">
                  <c:v>3.0082987551867202</c:v>
                </c:pt>
                <c:pt idx="1">
                  <c:v>4.1407867494823956</c:v>
                </c:pt>
                <c:pt idx="2">
                  <c:v>4.6201232032853889</c:v>
                </c:pt>
                <c:pt idx="3">
                  <c:v>2.7411167512690588</c:v>
                </c:pt>
                <c:pt idx="4">
                  <c:v>3.6253776435045406</c:v>
                </c:pt>
                <c:pt idx="5">
                  <c:v>4.9701789264413518</c:v>
                </c:pt>
                <c:pt idx="6">
                  <c:v>6.0843964671246233</c:v>
                </c:pt>
                <c:pt idx="7">
                  <c:v>9.5849802371541557</c:v>
                </c:pt>
                <c:pt idx="8">
                  <c:v>10.204081632653049</c:v>
                </c:pt>
                <c:pt idx="9">
                  <c:v>10.321969696969704</c:v>
                </c:pt>
                <c:pt idx="10">
                  <c:v>9.8982423681776162</c:v>
                </c:pt>
                <c:pt idx="11">
                  <c:v>9.9188458070333638</c:v>
                </c:pt>
                <c:pt idx="12">
                  <c:v>9.5238095238095202</c:v>
                </c:pt>
                <c:pt idx="13" formatCode="General">
                  <c:v>9.5278969957081507</c:v>
                </c:pt>
                <c:pt idx="14" formatCode="General">
                  <c:v>12.542087542087534</c:v>
                </c:pt>
                <c:pt idx="15" formatCode="General">
                  <c:v>12.469237079573467</c:v>
                </c:pt>
                <c:pt idx="16" formatCode="General">
                  <c:v>12.801932367149774</c:v>
                </c:pt>
                <c:pt idx="17" formatCode="General">
                  <c:v>12.2257053291536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12-4174-BCF9-4FD96EBBC2A4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1'!$F$14:$F$31</c:f>
              <c:numCache>
                <c:formatCode>0.0</c:formatCode>
                <c:ptCount val="18"/>
                <c:pt idx="0">
                  <c:v>3.8310412573674002</c:v>
                </c:pt>
                <c:pt idx="1">
                  <c:v>5.2785923753665784</c:v>
                </c:pt>
                <c:pt idx="2">
                  <c:v>6.6731141199226212</c:v>
                </c:pt>
                <c:pt idx="3">
                  <c:v>5.1428571428571486</c:v>
                </c:pt>
                <c:pt idx="4">
                  <c:v>5.7710501419110924</c:v>
                </c:pt>
                <c:pt idx="5">
                  <c:v>6.4995357474466076</c:v>
                </c:pt>
                <c:pt idx="6">
                  <c:v>6.7089755213055255</c:v>
                </c:pt>
                <c:pt idx="7">
                  <c:v>8.7862318840579601</c:v>
                </c:pt>
                <c:pt idx="8">
                  <c:v>10.196779964221831</c:v>
                </c:pt>
                <c:pt idx="9">
                  <c:v>10.549258936355701</c:v>
                </c:pt>
                <c:pt idx="10">
                  <c:v>9.7706032285471505</c:v>
                </c:pt>
                <c:pt idx="11">
                  <c:v>11.323896752706126</c:v>
                </c:pt>
                <c:pt idx="12">
                  <c:v>13.636363636363633</c:v>
                </c:pt>
                <c:pt idx="13" formatCode="General">
                  <c:v>14.589905362776037</c:v>
                </c:pt>
                <c:pt idx="14" formatCode="General">
                  <c:v>18.266253869968946</c:v>
                </c:pt>
                <c:pt idx="15" formatCode="General">
                  <c:v>18.773373223635023</c:v>
                </c:pt>
                <c:pt idx="16" formatCode="General">
                  <c:v>15.071428571428566</c:v>
                </c:pt>
                <c:pt idx="17" formatCode="General">
                  <c:v>14.246386785960068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12-4174-BCF9-4FD96EBBC2A4}"/>
            </c:ext>
          </c:extLst>
        </c:ser>
        <c:marker val="1"/>
        <c:axId val="116800896"/>
        <c:axId val="116806784"/>
      </c:lineChart>
      <c:catAx>
        <c:axId val="116800896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806784"/>
        <c:crosses val="autoZero"/>
        <c:auto val="1"/>
        <c:lblAlgn val="ctr"/>
        <c:lblOffset val="100"/>
      </c:catAx>
      <c:valAx>
        <c:axId val="116806784"/>
        <c:scaling>
          <c:orientation val="minMax"/>
          <c:min val="-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680089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3146"/>
          <c:h val="9.838061465721031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1707738197712412E-2"/>
          <c:y val="2.1811315924220663E-2"/>
          <c:w val="0.89142432050272657"/>
          <c:h val="0.71663233141956562"/>
        </c:manualLayout>
      </c:layout>
      <c:barChart>
        <c:barDir val="col"/>
        <c:grouping val="clustered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4'!$A$18:$B$71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4'!$C$18:$C$71</c:f>
              <c:numCache>
                <c:formatCode>0.0</c:formatCode>
                <c:ptCount val="54"/>
                <c:pt idx="0">
                  <c:v>-0.70000000000000284</c:v>
                </c:pt>
                <c:pt idx="1">
                  <c:v>-0.70000000000000284</c:v>
                </c:pt>
                <c:pt idx="2">
                  <c:v>-0.7999999999999976</c:v>
                </c:pt>
                <c:pt idx="3">
                  <c:v>-0.30000000000000032</c:v>
                </c:pt>
                <c:pt idx="4">
                  <c:v>-9.9999999999995245E-2</c:v>
                </c:pt>
                <c:pt idx="5">
                  <c:v>-0.20000000000000284</c:v>
                </c:pt>
                <c:pt idx="6">
                  <c:v>-9.9999999999995245E-2</c:v>
                </c:pt>
                <c:pt idx="7">
                  <c:v>0</c:v>
                </c:pt>
                <c:pt idx="8">
                  <c:v>-0.30000000000000032</c:v>
                </c:pt>
                <c:pt idx="9">
                  <c:v>-0.30000000000000032</c:v>
                </c:pt>
                <c:pt idx="10">
                  <c:v>-1.7000000000000028</c:v>
                </c:pt>
                <c:pt idx="11">
                  <c:v>-3.7000000000000042</c:v>
                </c:pt>
                <c:pt idx="12">
                  <c:v>-3.5</c:v>
                </c:pt>
                <c:pt idx="13">
                  <c:v>-3.5999999999999943</c:v>
                </c:pt>
                <c:pt idx="14">
                  <c:v>-2.9000000000000057</c:v>
                </c:pt>
                <c:pt idx="15">
                  <c:v>-2.5999999999999943</c:v>
                </c:pt>
                <c:pt idx="16">
                  <c:v>-2.0999999999999943</c:v>
                </c:pt>
                <c:pt idx="17">
                  <c:v>-2.2999999999999972</c:v>
                </c:pt>
                <c:pt idx="18">
                  <c:v>-3</c:v>
                </c:pt>
                <c:pt idx="19">
                  <c:v>-3.7000000000000042</c:v>
                </c:pt>
                <c:pt idx="20">
                  <c:v>-4.2000000000000028</c:v>
                </c:pt>
                <c:pt idx="21">
                  <c:v>-3.9000000000000057</c:v>
                </c:pt>
                <c:pt idx="22">
                  <c:v>-3.7000000000000042</c:v>
                </c:pt>
                <c:pt idx="23">
                  <c:v>-2.9000000000000057</c:v>
                </c:pt>
                <c:pt idx="24">
                  <c:v>-3.4000000000000057</c:v>
                </c:pt>
                <c:pt idx="25">
                  <c:v>-4</c:v>
                </c:pt>
                <c:pt idx="26">
                  <c:v>-4.5</c:v>
                </c:pt>
                <c:pt idx="27">
                  <c:v>-4.7000000000000028</c:v>
                </c:pt>
                <c:pt idx="28">
                  <c:v>-4.7999999999999972</c:v>
                </c:pt>
                <c:pt idx="29">
                  <c:v>-4.4000000000000083</c:v>
                </c:pt>
                <c:pt idx="30">
                  <c:v>-4</c:v>
                </c:pt>
                <c:pt idx="31">
                  <c:v>-3.4000000000000057</c:v>
                </c:pt>
                <c:pt idx="32">
                  <c:v>-2.4000000000000057</c:v>
                </c:pt>
                <c:pt idx="33">
                  <c:v>-1.7000000000000028</c:v>
                </c:pt>
                <c:pt idx="34">
                  <c:v>-1.2999999999999832</c:v>
                </c:pt>
                <c:pt idx="35">
                  <c:v>-0.40000000000000568</c:v>
                </c:pt>
                <c:pt idx="36" formatCode="General">
                  <c:v>2.0999999999999943</c:v>
                </c:pt>
                <c:pt idx="37" formatCode="General">
                  <c:v>3.0999999999999943</c:v>
                </c:pt>
                <c:pt idx="38">
                  <c:v>3</c:v>
                </c:pt>
                <c:pt idx="39">
                  <c:v>3.2000000000000042</c:v>
                </c:pt>
                <c:pt idx="40" formatCode="General">
                  <c:v>2.2999999999999972</c:v>
                </c:pt>
                <c:pt idx="41" formatCode="General">
                  <c:v>1.2999999999999832</c:v>
                </c:pt>
                <c:pt idx="42" formatCode="General">
                  <c:v>1.1000000000000001</c:v>
                </c:pt>
                <c:pt idx="43" formatCode="General">
                  <c:v>1.4</c:v>
                </c:pt>
                <c:pt idx="44" formatCode="General">
                  <c:v>1.7</c:v>
                </c:pt>
                <c:pt idx="45" formatCode="General">
                  <c:v>1.1000000000000001</c:v>
                </c:pt>
                <c:pt idx="46" formatCode="General">
                  <c:v>0.9</c:v>
                </c:pt>
                <c:pt idx="47" formatCode="General">
                  <c:v>0.70000000000000062</c:v>
                </c:pt>
                <c:pt idx="48" formatCode="General">
                  <c:v>0.5</c:v>
                </c:pt>
                <c:pt idx="49" formatCode="General">
                  <c:v>-0.30000000000000032</c:v>
                </c:pt>
                <c:pt idx="50" formatCode="General">
                  <c:v>0.1</c:v>
                </c:pt>
                <c:pt idx="51" formatCode="General">
                  <c:v>0</c:v>
                </c:pt>
                <c:pt idx="52" formatCode="General">
                  <c:v>1.5</c:v>
                </c:pt>
                <c:pt idx="53" formatCode="General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CA-4519-8264-EACB933BB206}"/>
            </c:ext>
          </c:extLst>
        </c:ser>
        <c:gapWidth val="96"/>
        <c:axId val="116873088"/>
        <c:axId val="116874624"/>
      </c:barChart>
      <c:lineChart>
        <c:grouping val="standard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4'!$A$18:$B$71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4'!$D$18:$D$71</c:f>
              <c:numCache>
                <c:formatCode>0.0</c:formatCode>
                <c:ptCount val="54"/>
                <c:pt idx="0">
                  <c:v>-3</c:v>
                </c:pt>
                <c:pt idx="1">
                  <c:v>-3.0999999999999943</c:v>
                </c:pt>
                <c:pt idx="2">
                  <c:v>-4</c:v>
                </c:pt>
                <c:pt idx="3">
                  <c:v>-4.0999999999999943</c:v>
                </c:pt>
                <c:pt idx="4">
                  <c:v>-4.5999999999999943</c:v>
                </c:pt>
                <c:pt idx="5">
                  <c:v>-4.7999999999999972</c:v>
                </c:pt>
                <c:pt idx="6">
                  <c:v>-3</c:v>
                </c:pt>
                <c:pt idx="7">
                  <c:v>-3.5999999999999943</c:v>
                </c:pt>
                <c:pt idx="8">
                  <c:v>-1.9000000000000061</c:v>
                </c:pt>
                <c:pt idx="9">
                  <c:v>-2.0999999999999943</c:v>
                </c:pt>
                <c:pt idx="10">
                  <c:v>-2.2999999999999972</c:v>
                </c:pt>
                <c:pt idx="11">
                  <c:v>-2.7999999999999972</c:v>
                </c:pt>
                <c:pt idx="12">
                  <c:v>-0.90000000000000568</c:v>
                </c:pt>
                <c:pt idx="13">
                  <c:v>-1.5</c:v>
                </c:pt>
                <c:pt idx="14">
                  <c:v>-0.90000000000000568</c:v>
                </c:pt>
                <c:pt idx="15">
                  <c:v>-0.90000000000000568</c:v>
                </c:pt>
                <c:pt idx="16">
                  <c:v>0.30000000000000032</c:v>
                </c:pt>
                <c:pt idx="17">
                  <c:v>0.59999999999999432</c:v>
                </c:pt>
                <c:pt idx="18">
                  <c:v>0.40000000000000568</c:v>
                </c:pt>
                <c:pt idx="19">
                  <c:v>-0.30000000000000032</c:v>
                </c:pt>
                <c:pt idx="20">
                  <c:v>-1.7000000000000028</c:v>
                </c:pt>
                <c:pt idx="21">
                  <c:v>-1.4000000000000057</c:v>
                </c:pt>
                <c:pt idx="22">
                  <c:v>-0.59999999999999432</c:v>
                </c:pt>
                <c:pt idx="23">
                  <c:v>-0.5</c:v>
                </c:pt>
                <c:pt idx="24">
                  <c:v>-6.5999999999999943</c:v>
                </c:pt>
                <c:pt idx="25">
                  <c:v>-6.0999999999999943</c:v>
                </c:pt>
                <c:pt idx="26">
                  <c:v>-6.5</c:v>
                </c:pt>
                <c:pt idx="27">
                  <c:v>-7</c:v>
                </c:pt>
                <c:pt idx="28">
                  <c:v>-7.0999999999999943</c:v>
                </c:pt>
                <c:pt idx="29">
                  <c:v>-7.2999999999999972</c:v>
                </c:pt>
                <c:pt idx="30">
                  <c:v>-6.5999999999999943</c:v>
                </c:pt>
                <c:pt idx="31">
                  <c:v>-6</c:v>
                </c:pt>
                <c:pt idx="32">
                  <c:v>-4.9000000000000083</c:v>
                </c:pt>
                <c:pt idx="33">
                  <c:v>-5.2000000000000028</c:v>
                </c:pt>
                <c:pt idx="34">
                  <c:v>-5.2999999999999972</c:v>
                </c:pt>
                <c:pt idx="35">
                  <c:v>-5.0999999999999943</c:v>
                </c:pt>
                <c:pt idx="36" formatCode="General">
                  <c:v>2.2999999999999972</c:v>
                </c:pt>
                <c:pt idx="37" formatCode="General">
                  <c:v>5.7999999999999972</c:v>
                </c:pt>
                <c:pt idx="38">
                  <c:v>6.2000000000000028</c:v>
                </c:pt>
                <c:pt idx="39">
                  <c:v>6.4000000000000083</c:v>
                </c:pt>
                <c:pt idx="40" formatCode="General">
                  <c:v>4.2999999999999972</c:v>
                </c:pt>
                <c:pt idx="41" formatCode="General">
                  <c:v>4.0999999999999943</c:v>
                </c:pt>
                <c:pt idx="42" formatCode="General">
                  <c:v>2.9</c:v>
                </c:pt>
                <c:pt idx="43" formatCode="General">
                  <c:v>1.7</c:v>
                </c:pt>
                <c:pt idx="44" formatCode="General">
                  <c:v>1.9000000000000001</c:v>
                </c:pt>
                <c:pt idx="45" formatCode="General">
                  <c:v>3.4</c:v>
                </c:pt>
                <c:pt idx="46" formatCode="General">
                  <c:v>3.3</c:v>
                </c:pt>
                <c:pt idx="47" formatCode="General">
                  <c:v>3.6</c:v>
                </c:pt>
                <c:pt idx="48" formatCode="General">
                  <c:v>6.7</c:v>
                </c:pt>
                <c:pt idx="49" formatCode="General">
                  <c:v>5</c:v>
                </c:pt>
                <c:pt idx="50" formatCode="General">
                  <c:v>4.3</c:v>
                </c:pt>
                <c:pt idx="51" formatCode="General">
                  <c:v>4.5999999999999996</c:v>
                </c:pt>
                <c:pt idx="52" formatCode="General">
                  <c:v>7.4</c:v>
                </c:pt>
                <c:pt idx="53" formatCode="General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CA-4519-8264-EACB933BB206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4'!$A$18:$B$71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4'!$E$18:$E$71</c:f>
              <c:numCache>
                <c:formatCode>0.0</c:formatCode>
                <c:ptCount val="54"/>
                <c:pt idx="0">
                  <c:v>1.0999999999999825</c:v>
                </c:pt>
                <c:pt idx="1">
                  <c:v>1.2000000000000028</c:v>
                </c:pt>
                <c:pt idx="2">
                  <c:v>1</c:v>
                </c:pt>
                <c:pt idx="3">
                  <c:v>1.5999999999999825</c:v>
                </c:pt>
                <c:pt idx="4">
                  <c:v>1.9000000000000061</c:v>
                </c:pt>
                <c:pt idx="5">
                  <c:v>1.9000000000000061</c:v>
                </c:pt>
                <c:pt idx="6">
                  <c:v>1.7999999999999832</c:v>
                </c:pt>
                <c:pt idx="7">
                  <c:v>2.0999999999999943</c:v>
                </c:pt>
                <c:pt idx="8">
                  <c:v>1.5</c:v>
                </c:pt>
                <c:pt idx="9">
                  <c:v>1.5</c:v>
                </c:pt>
                <c:pt idx="10">
                  <c:v>-9.9999999999995245E-2</c:v>
                </c:pt>
                <c:pt idx="11">
                  <c:v>-2.7999999999999972</c:v>
                </c:pt>
                <c:pt idx="12">
                  <c:v>-4.2999999999999972</c:v>
                </c:pt>
                <c:pt idx="13">
                  <c:v>-4.4000000000000083</c:v>
                </c:pt>
                <c:pt idx="14">
                  <c:v>-3.5</c:v>
                </c:pt>
                <c:pt idx="15">
                  <c:v>-3.0999999999999943</c:v>
                </c:pt>
                <c:pt idx="16">
                  <c:v>-2.7000000000000042</c:v>
                </c:pt>
                <c:pt idx="17">
                  <c:v>-2.7999999999999972</c:v>
                </c:pt>
                <c:pt idx="18">
                  <c:v>-3.5999999999999943</c:v>
                </c:pt>
                <c:pt idx="19">
                  <c:v>-4.7000000000000028</c:v>
                </c:pt>
                <c:pt idx="20">
                  <c:v>-5.2000000000000028</c:v>
                </c:pt>
                <c:pt idx="21">
                  <c:v>-4.9000000000000083</c:v>
                </c:pt>
                <c:pt idx="22">
                  <c:v>-4.5999999999999943</c:v>
                </c:pt>
                <c:pt idx="23">
                  <c:v>-3.5</c:v>
                </c:pt>
                <c:pt idx="24">
                  <c:v>-3.2999999999999972</c:v>
                </c:pt>
                <c:pt idx="25">
                  <c:v>-4.0999999999999943</c:v>
                </c:pt>
                <c:pt idx="26">
                  <c:v>-4.5999999999999943</c:v>
                </c:pt>
                <c:pt idx="27">
                  <c:v>-4.9000000000000083</c:v>
                </c:pt>
                <c:pt idx="28">
                  <c:v>-5</c:v>
                </c:pt>
                <c:pt idx="29">
                  <c:v>-4.5</c:v>
                </c:pt>
                <c:pt idx="30">
                  <c:v>-4</c:v>
                </c:pt>
                <c:pt idx="31">
                  <c:v>-3.2000000000000042</c:v>
                </c:pt>
                <c:pt idx="32">
                  <c:v>-2</c:v>
                </c:pt>
                <c:pt idx="33">
                  <c:v>-1.0999999999999825</c:v>
                </c:pt>
                <c:pt idx="34">
                  <c:v>-0.59999999999999432</c:v>
                </c:pt>
                <c:pt idx="35">
                  <c:v>0.59999999999999432</c:v>
                </c:pt>
                <c:pt idx="36" formatCode="General">
                  <c:v>2.5999999999999943</c:v>
                </c:pt>
                <c:pt idx="37" formatCode="General">
                  <c:v>4</c:v>
                </c:pt>
                <c:pt idx="38">
                  <c:v>3.7999999999999972</c:v>
                </c:pt>
                <c:pt idx="39">
                  <c:v>4</c:v>
                </c:pt>
                <c:pt idx="40" formatCode="General">
                  <c:v>2.7999999999999972</c:v>
                </c:pt>
                <c:pt idx="41" formatCode="General">
                  <c:v>1.5</c:v>
                </c:pt>
                <c:pt idx="42" formatCode="General">
                  <c:v>1.4</c:v>
                </c:pt>
                <c:pt idx="43" formatCode="General">
                  <c:v>2</c:v>
                </c:pt>
                <c:pt idx="44" formatCode="General">
                  <c:v>2.1</c:v>
                </c:pt>
                <c:pt idx="45" formatCode="General">
                  <c:v>1.4</c:v>
                </c:pt>
                <c:pt idx="46" formatCode="General">
                  <c:v>1.1000000000000001</c:v>
                </c:pt>
                <c:pt idx="47" formatCode="General">
                  <c:v>0.9</c:v>
                </c:pt>
                <c:pt idx="48" formatCode="General">
                  <c:v>0.2</c:v>
                </c:pt>
                <c:pt idx="49" formatCode="General">
                  <c:v>-0.9</c:v>
                </c:pt>
                <c:pt idx="50" formatCode="General">
                  <c:v>-0.5</c:v>
                </c:pt>
                <c:pt idx="51" formatCode="General">
                  <c:v>-0.5</c:v>
                </c:pt>
                <c:pt idx="52" formatCode="General">
                  <c:v>1.3</c:v>
                </c:pt>
                <c:pt idx="53" formatCode="General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CA-4519-8264-EACB933BB206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4'!$A$18:$B$71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4'!$F$18:$F$71</c:f>
              <c:numCache>
                <c:formatCode>0.0</c:formatCode>
                <c:ptCount val="54"/>
                <c:pt idx="0">
                  <c:v>-8.8000000000000025</c:v>
                </c:pt>
                <c:pt idx="1">
                  <c:v>-8.8000000000000025</c:v>
                </c:pt>
                <c:pt idx="2">
                  <c:v>-8.8000000000000025</c:v>
                </c:pt>
                <c:pt idx="3">
                  <c:v>-8.6000000000000014</c:v>
                </c:pt>
                <c:pt idx="4">
                  <c:v>-8.6000000000000014</c:v>
                </c:pt>
                <c:pt idx="5">
                  <c:v>-8.7000000000000011</c:v>
                </c:pt>
                <c:pt idx="6">
                  <c:v>-8.7000000000000011</c:v>
                </c:pt>
                <c:pt idx="7">
                  <c:v>-8.6000000000000014</c:v>
                </c:pt>
                <c:pt idx="8">
                  <c:v>-8.6000000000000014</c:v>
                </c:pt>
                <c:pt idx="9">
                  <c:v>-8.9000000000000057</c:v>
                </c:pt>
                <c:pt idx="10">
                  <c:v>-8.9000000000000057</c:v>
                </c:pt>
                <c:pt idx="11">
                  <c:v>-8.6000000000000014</c:v>
                </c:pt>
                <c:pt idx="12">
                  <c:v>-0.7999999999999976</c:v>
                </c:pt>
                <c:pt idx="13">
                  <c:v>-0.7999999999999976</c:v>
                </c:pt>
                <c:pt idx="14">
                  <c:v>-0.7999999999999976</c:v>
                </c:pt>
                <c:pt idx="15">
                  <c:v>-0.70000000000000284</c:v>
                </c:pt>
                <c:pt idx="16">
                  <c:v>-0.70000000000000284</c:v>
                </c:pt>
                <c:pt idx="17">
                  <c:v>-0.70000000000000284</c:v>
                </c:pt>
                <c:pt idx="18">
                  <c:v>-0.70000000000000284</c:v>
                </c:pt>
                <c:pt idx="19">
                  <c:v>-0.7999999999999976</c:v>
                </c:pt>
                <c:pt idx="20">
                  <c:v>-0.7999999999999976</c:v>
                </c:pt>
                <c:pt idx="21">
                  <c:v>-0.90000000000000568</c:v>
                </c:pt>
                <c:pt idx="22">
                  <c:v>-0.90000000000000568</c:v>
                </c:pt>
                <c:pt idx="23">
                  <c:v>-0.90000000000000568</c:v>
                </c:pt>
                <c:pt idx="24">
                  <c:v>-4</c:v>
                </c:pt>
                <c:pt idx="25">
                  <c:v>-4.0999999999999943</c:v>
                </c:pt>
                <c:pt idx="26">
                  <c:v>-4.0999999999999943</c:v>
                </c:pt>
                <c:pt idx="27">
                  <c:v>-4</c:v>
                </c:pt>
                <c:pt idx="28">
                  <c:v>-4</c:v>
                </c:pt>
                <c:pt idx="29">
                  <c:v>-4.0999999999999943</c:v>
                </c:pt>
                <c:pt idx="30">
                  <c:v>-4</c:v>
                </c:pt>
                <c:pt idx="31">
                  <c:v>-4</c:v>
                </c:pt>
                <c:pt idx="32">
                  <c:v>-4.0999999999999943</c:v>
                </c:pt>
                <c:pt idx="33">
                  <c:v>-4.0999999999999943</c:v>
                </c:pt>
                <c:pt idx="34">
                  <c:v>-4.0999999999999943</c:v>
                </c:pt>
                <c:pt idx="35">
                  <c:v>-4.0999999999999943</c:v>
                </c:pt>
                <c:pt idx="36" formatCode="General">
                  <c:v>-1.0999999999999825</c:v>
                </c:pt>
                <c:pt idx="37" formatCode="General">
                  <c:v>-1.2000000000000028</c:v>
                </c:pt>
                <c:pt idx="38">
                  <c:v>-1.2000000000000028</c:v>
                </c:pt>
                <c:pt idx="39">
                  <c:v>-1.4000000000000057</c:v>
                </c:pt>
                <c:pt idx="40" formatCode="General">
                  <c:v>-1.2999999999999832</c:v>
                </c:pt>
                <c:pt idx="41" formatCode="General">
                  <c:v>-1.0999999999999825</c:v>
                </c:pt>
                <c:pt idx="42" formatCode="General">
                  <c:v>-1.1000000000000001</c:v>
                </c:pt>
                <c:pt idx="43" formatCode="General">
                  <c:v>-1.3</c:v>
                </c:pt>
                <c:pt idx="44" formatCode="General">
                  <c:v>-1.1000000000000001</c:v>
                </c:pt>
                <c:pt idx="45" formatCode="General">
                  <c:v>-1.1000000000000001</c:v>
                </c:pt>
                <c:pt idx="46" formatCode="General">
                  <c:v>-1.1000000000000001</c:v>
                </c:pt>
                <c:pt idx="47" formatCode="General">
                  <c:v>-1.1000000000000001</c:v>
                </c:pt>
                <c:pt idx="48" formatCode="General">
                  <c:v>1.5</c:v>
                </c:pt>
                <c:pt idx="49" formatCode="General">
                  <c:v>1.6</c:v>
                </c:pt>
                <c:pt idx="50" formatCode="General">
                  <c:v>1.6</c:v>
                </c:pt>
                <c:pt idx="51" formatCode="General">
                  <c:v>1.7</c:v>
                </c:pt>
                <c:pt idx="52" formatCode="General">
                  <c:v>1.7</c:v>
                </c:pt>
                <c:pt idx="53" formatCode="General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CA-4519-8264-EACB933BB206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4'!$A$18:$B$71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4'!$G$18:$G$71</c:f>
              <c:numCache>
                <c:formatCode>General</c:formatCode>
                <c:ptCount val="54"/>
                <c:pt idx="0">
                  <c:v>3.4000000000000057</c:v>
                </c:pt>
                <c:pt idx="1">
                  <c:v>3.4000000000000057</c:v>
                </c:pt>
                <c:pt idx="2">
                  <c:v>3.4000000000000057</c:v>
                </c:pt>
                <c:pt idx="3">
                  <c:v>3.4000000000000057</c:v>
                </c:pt>
                <c:pt idx="4">
                  <c:v>3.4000000000000057</c:v>
                </c:pt>
                <c:pt idx="5">
                  <c:v>3.4000000000000057</c:v>
                </c:pt>
                <c:pt idx="6">
                  <c:v>3.4000000000000057</c:v>
                </c:pt>
                <c:pt idx="7">
                  <c:v>3.4000000000000057</c:v>
                </c:pt>
                <c:pt idx="8">
                  <c:v>3.4000000000000057</c:v>
                </c:pt>
                <c:pt idx="9">
                  <c:v>3.4000000000000057</c:v>
                </c:pt>
                <c:pt idx="10">
                  <c:v>3.4000000000000057</c:v>
                </c:pt>
                <c:pt idx="11">
                  <c:v>3.4000000000000057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1.5999999999999825</c:v>
                </c:pt>
                <c:pt idx="28">
                  <c:v>1.5999999999999825</c:v>
                </c:pt>
                <c:pt idx="29">
                  <c:v>1.5999999999999825</c:v>
                </c:pt>
                <c:pt idx="30">
                  <c:v>1.5999999999999825</c:v>
                </c:pt>
                <c:pt idx="31">
                  <c:v>1.5999999999999825</c:v>
                </c:pt>
                <c:pt idx="32">
                  <c:v>1.5999999999999825</c:v>
                </c:pt>
                <c:pt idx="33">
                  <c:v>1.5999999999999825</c:v>
                </c:pt>
                <c:pt idx="34">
                  <c:v>1.5999999999999825</c:v>
                </c:pt>
                <c:pt idx="35">
                  <c:v>1.5999999999999825</c:v>
                </c:pt>
                <c:pt idx="36">
                  <c:v>2.0999999999999943</c:v>
                </c:pt>
                <c:pt idx="37">
                  <c:v>2.0999999999999943</c:v>
                </c:pt>
                <c:pt idx="38" formatCode="0.0">
                  <c:v>2.0999999999999943</c:v>
                </c:pt>
                <c:pt idx="39" formatCode="0.0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1.9000000000000001</c:v>
                </c:pt>
                <c:pt idx="49">
                  <c:v>1.9000000000000001</c:v>
                </c:pt>
                <c:pt idx="50">
                  <c:v>1.9000000000000001</c:v>
                </c:pt>
                <c:pt idx="51">
                  <c:v>1.9000000000000001</c:v>
                </c:pt>
                <c:pt idx="52">
                  <c:v>1.9000000000000001</c:v>
                </c:pt>
                <c:pt idx="53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5CA-4519-8264-EACB933BB206}"/>
            </c:ext>
          </c:extLst>
        </c:ser>
        <c:marker val="1"/>
        <c:axId val="116873088"/>
        <c:axId val="116874624"/>
      </c:lineChart>
      <c:catAx>
        <c:axId val="116873088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16874624"/>
        <c:crosses val="autoZero"/>
        <c:auto val="1"/>
        <c:lblAlgn val="ctr"/>
        <c:lblOffset val="100"/>
      </c:catAx>
      <c:valAx>
        <c:axId val="116874624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687308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2965E-2"/>
          <c:y val="0.86223931272106069"/>
          <c:w val="0.89560705842620769"/>
          <c:h val="0.12109402425765285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4942586963863574E-2"/>
          <c:y val="2.8593943487561189E-2"/>
          <c:w val="0.92629263762242564"/>
          <c:h val="0.75790048407069865"/>
        </c:manualLayout>
      </c:layout>
      <c:barChart>
        <c:barDir val="col"/>
        <c:grouping val="clustered"/>
        <c:ser>
          <c:idx val="3"/>
          <c:order val="3"/>
          <c:tx>
            <c:strRef>
              <c:f>'Ceny 3'!$H$5</c:f>
              <c:strCache>
                <c:ptCount val="1"/>
                <c:pt idx="0">
                  <c:v>Směnné relace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'Ceny 3'!$H$14:$H$31</c:f>
              <c:numCache>
                <c:formatCode>0.0</c:formatCode>
                <c:ptCount val="18"/>
                <c:pt idx="0">
                  <c:v>1.8784213412398998</c:v>
                </c:pt>
                <c:pt idx="1">
                  <c:v>2.0020176200900863</c:v>
                </c:pt>
                <c:pt idx="2">
                  <c:v>1.6653215602611766</c:v>
                </c:pt>
                <c:pt idx="3">
                  <c:v>0.61515952220756365</c:v>
                </c:pt>
                <c:pt idx="4">
                  <c:v>0.70897813043655311</c:v>
                </c:pt>
                <c:pt idx="5">
                  <c:v>1.5272904080077865E-2</c:v>
                </c:pt>
                <c:pt idx="6">
                  <c:v>5.6470144138785372E-2</c:v>
                </c:pt>
                <c:pt idx="7">
                  <c:v>0.72350624542671937</c:v>
                </c:pt>
                <c:pt idx="8">
                  <c:v>1.3716307461950237</c:v>
                </c:pt>
                <c:pt idx="9">
                  <c:v>1.6867359886262647</c:v>
                </c:pt>
                <c:pt idx="10">
                  <c:v>1.1999257237594492</c:v>
                </c:pt>
                <c:pt idx="11">
                  <c:v>-7.360987165711208E-2</c:v>
                </c:pt>
                <c:pt idx="12">
                  <c:v>-1.794008077784909</c:v>
                </c:pt>
                <c:pt idx="13">
                  <c:v>-2.0102310101707417</c:v>
                </c:pt>
                <c:pt idx="14">
                  <c:v>-0.81737478966549304</c:v>
                </c:pt>
                <c:pt idx="15">
                  <c:v>0.37193619043762288</c:v>
                </c:pt>
                <c:pt idx="16">
                  <c:v>0.86914688602223578</c:v>
                </c:pt>
                <c:pt idx="17">
                  <c:v>0.28971677645981514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9B-4D6F-94F3-1A367D637B74}"/>
            </c:ext>
          </c:extLst>
        </c:ser>
        <c:gapWidth val="95"/>
        <c:axId val="116931584"/>
        <c:axId val="116941568"/>
      </c:barChart>
      <c:lineChart>
        <c:grouping val="standard"/>
        <c:ser>
          <c:idx val="1"/>
          <c:order val="0"/>
          <c:tx>
            <c:strRef>
              <c:f>'Ceny 3'!$E$5</c:f>
              <c:strCache>
                <c:ptCount val="1"/>
                <c:pt idx="0">
                  <c:v>HDP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multiLvlStrRef>
              <c:f>'Ceny 3'!$A$14:$B$31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3'!$E$14:$E$31</c:f>
              <c:numCache>
                <c:formatCode>#,##0.0</c:formatCode>
                <c:ptCount val="18"/>
                <c:pt idx="0">
                  <c:v>2.407594914453</c:v>
                </c:pt>
                <c:pt idx="1">
                  <c:v>2.7249796236052197</c:v>
                </c:pt>
                <c:pt idx="2">
                  <c:v>2.7309043114024609</c:v>
                </c:pt>
                <c:pt idx="3">
                  <c:v>2.0450860246019431</c:v>
                </c:pt>
                <c:pt idx="4">
                  <c:v>1.5290326327682209</c:v>
                </c:pt>
                <c:pt idx="5">
                  <c:v>1.3139842672081317</c:v>
                </c:pt>
                <c:pt idx="6">
                  <c:v>1.0788629840719259</c:v>
                </c:pt>
                <c:pt idx="7">
                  <c:v>0.77095099413880752</c:v>
                </c:pt>
                <c:pt idx="8">
                  <c:v>1.4387577162199534</c:v>
                </c:pt>
                <c:pt idx="9">
                  <c:v>1.1215971414352741</c:v>
                </c:pt>
                <c:pt idx="10">
                  <c:v>1.3438040001657179</c:v>
                </c:pt>
                <c:pt idx="11">
                  <c:v>1.1648544802629317</c:v>
                </c:pt>
                <c:pt idx="12" formatCode="General">
                  <c:v>0.70852596023949865</c:v>
                </c:pt>
                <c:pt idx="13" formatCode="General">
                  <c:v>1.0136272258268804</c:v>
                </c:pt>
                <c:pt idx="14" formatCode="General">
                  <c:v>1.6854847723805477</c:v>
                </c:pt>
                <c:pt idx="15" formatCode="General">
                  <c:v>2.3857552990765187</c:v>
                </c:pt>
                <c:pt idx="16" formatCode="General">
                  <c:v>2.558421034925388</c:v>
                </c:pt>
                <c:pt idx="17" formatCode="General">
                  <c:v>2.3332282721717519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9B-4D6F-94F3-1A367D637B74}"/>
            </c:ext>
          </c:extLst>
        </c:ser>
        <c:ser>
          <c:idx val="0"/>
          <c:order val="1"/>
          <c:tx>
            <c:strRef>
              <c:f>'Ceny 3'!$C$5</c:f>
              <c:strCache>
                <c:ptCount val="1"/>
                <c:pt idx="0">
                  <c:v>Výdaje na konečnou spotřebu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3'!$A$14:$B$31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3'!$C$14:$C$31</c:f>
              <c:numCache>
                <c:formatCode>0.0</c:formatCode>
                <c:ptCount val="18"/>
                <c:pt idx="0">
                  <c:v>0.62650162156883982</c:v>
                </c:pt>
                <c:pt idx="1">
                  <c:v>0.80920277041865052</c:v>
                </c:pt>
                <c:pt idx="2">
                  <c:v>0.91624532168386064</c:v>
                </c:pt>
                <c:pt idx="3">
                  <c:v>1.3064353546973706</c:v>
                </c:pt>
                <c:pt idx="4">
                  <c:v>0.63652260848525088</c:v>
                </c:pt>
                <c:pt idx="5">
                  <c:v>0.86716532212489594</c:v>
                </c:pt>
                <c:pt idx="6">
                  <c:v>0.93683253130978983</c:v>
                </c:pt>
                <c:pt idx="7">
                  <c:v>0.16681703489827401</c:v>
                </c:pt>
                <c:pt idx="8">
                  <c:v>0.57557159874038177</c:v>
                </c:pt>
                <c:pt idx="9">
                  <c:v>0.40917866617269638</c:v>
                </c:pt>
                <c:pt idx="10">
                  <c:v>0.66134436037492605</c:v>
                </c:pt>
                <c:pt idx="11">
                  <c:v>1.411924255603344</c:v>
                </c:pt>
                <c:pt idx="12" formatCode="General">
                  <c:v>2.4898848930247777</c:v>
                </c:pt>
                <c:pt idx="13" formatCode="General">
                  <c:v>2.6467883534813836</c:v>
                </c:pt>
                <c:pt idx="14" formatCode="General">
                  <c:v>2.986063983343723</c:v>
                </c:pt>
                <c:pt idx="15" formatCode="General">
                  <c:v>3.3486892996340738</c:v>
                </c:pt>
                <c:pt idx="16" formatCode="General">
                  <c:v>3.5292433712383229</c:v>
                </c:pt>
                <c:pt idx="17" formatCode="General">
                  <c:v>3.5625550390611767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9B-4D6F-94F3-1A367D637B74}"/>
            </c:ext>
          </c:extLst>
        </c:ser>
        <c:ser>
          <c:idx val="2"/>
          <c:order val="2"/>
          <c:tx>
            <c:strRef>
              <c:f>'Ceny 3'!$D$5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3'!$A$14:$B$31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3'!$D$14:$D$31</c:f>
              <c:numCache>
                <c:formatCode>0.0</c:formatCode>
                <c:ptCount val="18"/>
                <c:pt idx="0">
                  <c:v>1.119633392603977</c:v>
                </c:pt>
                <c:pt idx="1">
                  <c:v>1.6324225968648001</c:v>
                </c:pt>
                <c:pt idx="2">
                  <c:v>2.0883523339119847</c:v>
                </c:pt>
                <c:pt idx="3">
                  <c:v>2.0182548570513612</c:v>
                </c:pt>
                <c:pt idx="4">
                  <c:v>2.0919408211242168</c:v>
                </c:pt>
                <c:pt idx="5">
                  <c:v>2.5181249729440092</c:v>
                </c:pt>
                <c:pt idx="6">
                  <c:v>2.0736755454410485</c:v>
                </c:pt>
                <c:pt idx="7">
                  <c:v>1.1102309892264308</c:v>
                </c:pt>
                <c:pt idx="8">
                  <c:v>1.0542109692344201</c:v>
                </c:pt>
                <c:pt idx="9">
                  <c:v>-0.46445628924668653</c:v>
                </c:pt>
                <c:pt idx="10">
                  <c:v>0.71212453263463749</c:v>
                </c:pt>
                <c:pt idx="11">
                  <c:v>1.2572281680150326</c:v>
                </c:pt>
                <c:pt idx="12" formatCode="General">
                  <c:v>1.0969673588139699</c:v>
                </c:pt>
                <c:pt idx="13" formatCode="General">
                  <c:v>2.9550570147085167</c:v>
                </c:pt>
                <c:pt idx="14" formatCode="General">
                  <c:v>1.7042614625000698</c:v>
                </c:pt>
                <c:pt idx="15" formatCode="General">
                  <c:v>0.45508492351975244</c:v>
                </c:pt>
                <c:pt idx="16" formatCode="General">
                  <c:v>-0.43589995186107588</c:v>
                </c:pt>
                <c:pt idx="17" formatCode="General">
                  <c:v>-0.5277153505297606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79B-4D6F-94F3-1A367D637B74}"/>
            </c:ext>
          </c:extLst>
        </c:ser>
        <c:marker val="1"/>
        <c:axId val="116931584"/>
        <c:axId val="116941568"/>
      </c:lineChart>
      <c:catAx>
        <c:axId val="11693158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941568"/>
        <c:crossesAt val="0"/>
        <c:auto val="1"/>
        <c:lblAlgn val="ctr"/>
        <c:lblOffset val="100"/>
      </c:catAx>
      <c:valAx>
        <c:axId val="116941568"/>
        <c:scaling>
          <c:orientation val="minMax"/>
          <c:min val="-2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693158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257598784194246E-2"/>
          <c:y val="0.9105279747832935"/>
          <c:w val="0.92611385511651467"/>
          <c:h val="7.215158167285828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3306663279993914E-2"/>
          <c:y val="1.6549886621315471E-2"/>
          <c:w val="0.92698007507126057"/>
          <c:h val="0.73872874149660062"/>
        </c:manualLayout>
      </c:layout>
      <c:barChart>
        <c:barDir val="col"/>
        <c:grouping val="clustered"/>
        <c:ser>
          <c:idx val="0"/>
          <c:order val="0"/>
          <c:tx>
            <c:strRef>
              <c:f>'Trh práce 1'!$C$7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1'!$C$8:$C$41</c:f>
              <c:numCache>
                <c:formatCode>#,##0.0</c:formatCode>
                <c:ptCount val="34"/>
                <c:pt idx="0" formatCode="0.0">
                  <c:v>-2.7381041866623663</c:v>
                </c:pt>
                <c:pt idx="1">
                  <c:v>-1.2505567915665665</c:v>
                </c:pt>
                <c:pt idx="2">
                  <c:v>-0.17427926968461802</c:v>
                </c:pt>
                <c:pt idx="3">
                  <c:v>6.0614151097240734E-2</c:v>
                </c:pt>
                <c:pt idx="4" formatCode="0.0">
                  <c:v>0.11145596456296385</c:v>
                </c:pt>
                <c:pt idx="5">
                  <c:v>-4.6137088139772704E-3</c:v>
                </c:pt>
                <c:pt idx="6">
                  <c:v>-0.42422240518249477</c:v>
                </c:pt>
                <c:pt idx="7">
                  <c:v>-0.77006647161284969</c:v>
                </c:pt>
                <c:pt idx="8" formatCode="0.0">
                  <c:v>-5.1815959871305502E-2</c:v>
                </c:pt>
                <c:pt idx="9">
                  <c:v>0.17631913605207453</c:v>
                </c:pt>
                <c:pt idx="10">
                  <c:v>0.66708744164916389</c:v>
                </c:pt>
                <c:pt idx="11">
                  <c:v>0.88890301106959291</c:v>
                </c:pt>
                <c:pt idx="12" formatCode="0.0">
                  <c:v>0.45616124448188794</c:v>
                </c:pt>
                <c:pt idx="13">
                  <c:v>0.71087471075373065</c:v>
                </c:pt>
                <c:pt idx="14">
                  <c:v>0.10068664831696612</c:v>
                </c:pt>
                <c:pt idx="15">
                  <c:v>2.3089733040947628E-2</c:v>
                </c:pt>
                <c:pt idx="16" formatCode="0.0">
                  <c:v>0.57169387931378046</c:v>
                </c:pt>
                <c:pt idx="17">
                  <c:v>8.8541257752993527E-2</c:v>
                </c:pt>
                <c:pt idx="18">
                  <c:v>0.60803248290413592</c:v>
                </c:pt>
                <c:pt idx="19">
                  <c:v>0.94037946192678135</c:v>
                </c:pt>
                <c:pt idx="20" formatCode="0.0">
                  <c:v>1.2799033071129005</c:v>
                </c:pt>
                <c:pt idx="21">
                  <c:v>1.7553744025418319</c:v>
                </c:pt>
                <c:pt idx="22">
                  <c:v>1.3207067653574698</c:v>
                </c:pt>
                <c:pt idx="23">
                  <c:v>1.3555691727477779</c:v>
                </c:pt>
                <c:pt idx="24" formatCode="0.0">
                  <c:v>1.5606007684247203</c:v>
                </c:pt>
                <c:pt idx="25">
                  <c:v>1.4363180243380886</c:v>
                </c:pt>
                <c:pt idx="26">
                  <c:v>1.5066818180591257</c:v>
                </c:pt>
                <c:pt idx="27">
                  <c:v>1.8553413510311998</c:v>
                </c:pt>
                <c:pt idx="28" formatCode="0.0">
                  <c:v>1.4581308045513321</c:v>
                </c:pt>
                <c:pt idx="29">
                  <c:v>1.3544793041543386</c:v>
                </c:pt>
                <c:pt idx="30">
                  <c:v>1.971163799571116</c:v>
                </c:pt>
                <c:pt idx="31">
                  <c:v>1.4311104245249311</c:v>
                </c:pt>
                <c:pt idx="32" formatCode="0.0">
                  <c:v>1.7244931395405707</c:v>
                </c:pt>
                <c:pt idx="33">
                  <c:v>1.8987362225993958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68-4662-A163-8E7CFEDEBE91}"/>
            </c:ext>
          </c:extLst>
        </c:ser>
        <c:ser>
          <c:idx val="1"/>
          <c:order val="1"/>
          <c:tx>
            <c:strRef>
              <c:f>'Trh práce 1'!$D$7</c:f>
              <c:strCache>
                <c:ptCount val="1"/>
                <c:pt idx="0">
                  <c:v>z toho zaměstnanci</c:v>
                </c:pt>
              </c:strCache>
            </c:strRef>
          </c:tx>
          <c:spPr>
            <a:solidFill>
              <a:srgbClr val="B4B4B4"/>
            </a:solidFill>
          </c:spP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1'!$D$8:$D$41</c:f>
              <c:numCache>
                <c:formatCode>#,##0.0</c:formatCode>
                <c:ptCount val="34"/>
                <c:pt idx="0" formatCode="0.0">
                  <c:v>-3.7238599978920952</c:v>
                </c:pt>
                <c:pt idx="1">
                  <c:v>-2.2250199470258591</c:v>
                </c:pt>
                <c:pt idx="2">
                  <c:v>-0.93022834124350595</c:v>
                </c:pt>
                <c:pt idx="3">
                  <c:v>-0.89032927193725675</c:v>
                </c:pt>
                <c:pt idx="4" formatCode="0.0">
                  <c:v>-0.12341609911226215</c:v>
                </c:pt>
                <c:pt idx="5">
                  <c:v>-0.18672815126416395</c:v>
                </c:pt>
                <c:pt idx="6">
                  <c:v>-0.66709420391368812</c:v>
                </c:pt>
                <c:pt idx="7">
                  <c:v>-1.0192253136113998</c:v>
                </c:pt>
                <c:pt idx="8" formatCode="0.0">
                  <c:v>-0.29166536743647958</c:v>
                </c:pt>
                <c:pt idx="9">
                  <c:v>9.4588410678824245E-2</c:v>
                </c:pt>
                <c:pt idx="10">
                  <c:v>1.1245661662085629</c:v>
                </c:pt>
                <c:pt idx="11">
                  <c:v>1.4587153264166661</c:v>
                </c:pt>
                <c:pt idx="12" formatCode="0.0">
                  <c:v>1.3720202353557625</c:v>
                </c:pt>
                <c:pt idx="13">
                  <c:v>1.637001199501342</c:v>
                </c:pt>
                <c:pt idx="14">
                  <c:v>0.33183104158505006</c:v>
                </c:pt>
                <c:pt idx="15">
                  <c:v>0.47892798705023115</c:v>
                </c:pt>
                <c:pt idx="16" formatCode="0.0">
                  <c:v>0.6628196747670646</c:v>
                </c:pt>
                <c:pt idx="17">
                  <c:v>0.1890145714189515</c:v>
                </c:pt>
                <c:pt idx="18">
                  <c:v>1.256531434938978</c:v>
                </c:pt>
                <c:pt idx="19">
                  <c:v>1.433287010929547</c:v>
                </c:pt>
                <c:pt idx="20" formatCode="0.0">
                  <c:v>1.7993583769695369</c:v>
                </c:pt>
                <c:pt idx="21">
                  <c:v>2.2053914248097755</c:v>
                </c:pt>
                <c:pt idx="22">
                  <c:v>1.7713405899241372</c:v>
                </c:pt>
                <c:pt idx="23">
                  <c:v>2.0227470417809212</c:v>
                </c:pt>
                <c:pt idx="24" formatCode="0.0">
                  <c:v>2.3559401045087358</c:v>
                </c:pt>
                <c:pt idx="25">
                  <c:v>1.8360439848082732</c:v>
                </c:pt>
                <c:pt idx="26">
                  <c:v>1.6567099736308344</c:v>
                </c:pt>
                <c:pt idx="27">
                  <c:v>1.5009092671482298</c:v>
                </c:pt>
                <c:pt idx="28" formatCode="0.0">
                  <c:v>1.1774496686166742</c:v>
                </c:pt>
                <c:pt idx="29">
                  <c:v>1.5793912477550809</c:v>
                </c:pt>
                <c:pt idx="30">
                  <c:v>2.2718731045776366</c:v>
                </c:pt>
                <c:pt idx="31">
                  <c:v>2.2289851379571992</c:v>
                </c:pt>
                <c:pt idx="32" formatCode="0.0">
                  <c:v>2.1005323013383492</c:v>
                </c:pt>
                <c:pt idx="33">
                  <c:v>2.2242234310416791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68-4662-A163-8E7CFEDEBE91}"/>
            </c:ext>
          </c:extLst>
        </c:ser>
        <c:gapWidth val="39"/>
        <c:axId val="117005696"/>
        <c:axId val="117028352"/>
      </c:barChart>
      <c:lineChart>
        <c:grouping val="standard"/>
        <c:ser>
          <c:idx val="2"/>
          <c:order val="2"/>
          <c:tx>
            <c:strRef>
              <c:f>'Trh práce 1'!$E$7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1'!$E$8:$E$41</c:f>
              <c:numCache>
                <c:formatCode>#,##0.0</c:formatCode>
                <c:ptCount val="34"/>
                <c:pt idx="0" formatCode="0.0">
                  <c:v>-7.1332078462748711</c:v>
                </c:pt>
                <c:pt idx="1">
                  <c:v>-3.3482411734364477</c:v>
                </c:pt>
                <c:pt idx="2">
                  <c:v>-1.2052631661814672</c:v>
                </c:pt>
                <c:pt idx="3">
                  <c:v>-0.57107831908665219</c:v>
                </c:pt>
                <c:pt idx="4" formatCode="0.0">
                  <c:v>3.9580574022400277</c:v>
                </c:pt>
                <c:pt idx="5">
                  <c:v>4.2919823025534782</c:v>
                </c:pt>
                <c:pt idx="6">
                  <c:v>3.8646896455003912</c:v>
                </c:pt>
                <c:pt idx="7">
                  <c:v>2.3288126114159979</c:v>
                </c:pt>
                <c:pt idx="8" formatCode="0.0">
                  <c:v>0.6016137349142241</c:v>
                </c:pt>
                <c:pt idx="9">
                  <c:v>0.50971749516826037</c:v>
                </c:pt>
                <c:pt idx="10">
                  <c:v>1.203496561438385</c:v>
                </c:pt>
                <c:pt idx="11">
                  <c:v>1.6445011338308668</c:v>
                </c:pt>
                <c:pt idx="12" formatCode="0.0">
                  <c:v>-0.18120299422963626</c:v>
                </c:pt>
                <c:pt idx="13">
                  <c:v>0.16218486178085767</c:v>
                </c:pt>
                <c:pt idx="14">
                  <c:v>-0.4013981847250393</c:v>
                </c:pt>
                <c:pt idx="15">
                  <c:v>-0.21393208859125248</c:v>
                </c:pt>
                <c:pt idx="16" formatCode="0.0">
                  <c:v>0.79071862165065454</c:v>
                </c:pt>
                <c:pt idx="17">
                  <c:v>0.76464129428228111</c:v>
                </c:pt>
                <c:pt idx="18">
                  <c:v>1.5390716097192718</c:v>
                </c:pt>
                <c:pt idx="19">
                  <c:v>2.0806847032475764</c:v>
                </c:pt>
                <c:pt idx="20" formatCode="0.0">
                  <c:v>3.4865140664336582</c:v>
                </c:pt>
                <c:pt idx="21">
                  <c:v>3.6924773080814952</c:v>
                </c:pt>
                <c:pt idx="22">
                  <c:v>3.1131166772233891</c:v>
                </c:pt>
                <c:pt idx="23">
                  <c:v>3.7778262652801202</c:v>
                </c:pt>
                <c:pt idx="24" formatCode="0.0">
                  <c:v>3.3181239122508397</c:v>
                </c:pt>
                <c:pt idx="25">
                  <c:v>2.493449406404765</c:v>
                </c:pt>
                <c:pt idx="26">
                  <c:v>2.752988522793018</c:v>
                </c:pt>
                <c:pt idx="27">
                  <c:v>2.2496840818432142</c:v>
                </c:pt>
                <c:pt idx="28" formatCode="0.0">
                  <c:v>0.71909348215268665</c:v>
                </c:pt>
                <c:pt idx="29">
                  <c:v>1.1727323562576828</c:v>
                </c:pt>
                <c:pt idx="30">
                  <c:v>1.6495621401575846</c:v>
                </c:pt>
                <c:pt idx="31">
                  <c:v>1.6025319425267821</c:v>
                </c:pt>
                <c:pt idx="32" formatCode="0.0">
                  <c:v>2.4397042593575202</c:v>
                </c:pt>
                <c:pt idx="33">
                  <c:v>2.0667152655168772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68-4662-A163-8E7CFEDEBE91}"/>
            </c:ext>
          </c:extLst>
        </c:ser>
        <c:ser>
          <c:idx val="3"/>
          <c:order val="3"/>
          <c:tx>
            <c:strRef>
              <c:f>'Trh práce 1'!$F$7</c:f>
              <c:strCache>
                <c:ptCount val="1"/>
                <c:pt idx="0">
                  <c:v>Stavebnictví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1'!$F$8:$F$41</c:f>
              <c:numCache>
                <c:formatCode>#,##0.0</c:formatCode>
                <c:ptCount val="34"/>
                <c:pt idx="0" formatCode="0.0">
                  <c:v>1.017150907000584</c:v>
                </c:pt>
                <c:pt idx="1">
                  <c:v>1.5693791045548409</c:v>
                </c:pt>
                <c:pt idx="2">
                  <c:v>2.0348623615295187</c:v>
                </c:pt>
                <c:pt idx="3">
                  <c:v>2.0719031464400643</c:v>
                </c:pt>
                <c:pt idx="4" formatCode="0.0">
                  <c:v>-4.9720244150559552</c:v>
                </c:pt>
                <c:pt idx="5">
                  <c:v>-4.9425484989163522</c:v>
                </c:pt>
                <c:pt idx="6">
                  <c:v>-5.3929895160436265</c:v>
                </c:pt>
                <c:pt idx="7">
                  <c:v>-5.2321963671733158</c:v>
                </c:pt>
                <c:pt idx="8" formatCode="0.0">
                  <c:v>-0.97885721932289593</c:v>
                </c:pt>
                <c:pt idx="9">
                  <c:v>-0.65027723873348853</c:v>
                </c:pt>
                <c:pt idx="10">
                  <c:v>-1.6611184117737969</c:v>
                </c:pt>
                <c:pt idx="11">
                  <c:v>-1.8463324339587261</c:v>
                </c:pt>
                <c:pt idx="12" formatCode="0.0">
                  <c:v>-2.4007243390068709</c:v>
                </c:pt>
                <c:pt idx="13">
                  <c:v>-3.6830996837470402</c:v>
                </c:pt>
                <c:pt idx="14">
                  <c:v>-2.2125495427610202</c:v>
                </c:pt>
                <c:pt idx="15">
                  <c:v>-1.1077701445443751</c:v>
                </c:pt>
                <c:pt idx="16" formatCode="0.0">
                  <c:v>-5.0446309065566295</c:v>
                </c:pt>
                <c:pt idx="17">
                  <c:v>-3.6409800448530012</c:v>
                </c:pt>
                <c:pt idx="18">
                  <c:v>-4.2835724994646061</c:v>
                </c:pt>
                <c:pt idx="19">
                  <c:v>-5.2633644622470541</c:v>
                </c:pt>
                <c:pt idx="20" formatCode="0.0">
                  <c:v>-0.14824824046351778</c:v>
                </c:pt>
                <c:pt idx="21">
                  <c:v>-6.0303844188425333E-2</c:v>
                </c:pt>
                <c:pt idx="22">
                  <c:v>-0.63237568953272261</c:v>
                </c:pt>
                <c:pt idx="23">
                  <c:v>-1.0159694112543594</c:v>
                </c:pt>
                <c:pt idx="24" formatCode="0.0">
                  <c:v>-2.1868656629233243</c:v>
                </c:pt>
                <c:pt idx="25">
                  <c:v>-2.5342897300441067</c:v>
                </c:pt>
                <c:pt idx="26">
                  <c:v>-1.1176165346544309</c:v>
                </c:pt>
                <c:pt idx="27">
                  <c:v>-0.83584044433720861</c:v>
                </c:pt>
                <c:pt idx="28" formatCode="0.0">
                  <c:v>-2.8864553084645195E-2</c:v>
                </c:pt>
                <c:pt idx="29">
                  <c:v>-9.1247681513266329E-2</c:v>
                </c:pt>
                <c:pt idx="30">
                  <c:v>0.82503675906350793</c:v>
                </c:pt>
                <c:pt idx="31">
                  <c:v>-1.0750205445612229</c:v>
                </c:pt>
                <c:pt idx="32" formatCode="0.0">
                  <c:v>-0.5702395205109525</c:v>
                </c:pt>
                <c:pt idx="33">
                  <c:v>-0.71770751676683664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D68-4662-A163-8E7CFEDEBE91}"/>
            </c:ext>
          </c:extLst>
        </c:ser>
        <c:ser>
          <c:idx val="4"/>
          <c:order val="4"/>
          <c:tx>
            <c:strRef>
              <c:f>'Trh práce 1'!$G$7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1'!$G$8:$G$41</c:f>
              <c:numCache>
                <c:formatCode>#,##0.0</c:formatCode>
                <c:ptCount val="34"/>
                <c:pt idx="0" formatCode="0.0">
                  <c:v>-1.3633198763318581</c:v>
                </c:pt>
                <c:pt idx="1">
                  <c:v>-0.54035622593067956</c:v>
                </c:pt>
                <c:pt idx="2">
                  <c:v>0.55930687282225722</c:v>
                </c:pt>
                <c:pt idx="3">
                  <c:v>1.0934620603885901</c:v>
                </c:pt>
                <c:pt idx="4" formatCode="0.0">
                  <c:v>-0.18173575863548341</c:v>
                </c:pt>
                <c:pt idx="5">
                  <c:v>-0.33952721098038141</c:v>
                </c:pt>
                <c:pt idx="6">
                  <c:v>-0.36432124495425894</c:v>
                </c:pt>
                <c:pt idx="7">
                  <c:v>-0.69391217013343043</c:v>
                </c:pt>
                <c:pt idx="8" formatCode="0.0">
                  <c:v>-0.53508939107021547</c:v>
                </c:pt>
                <c:pt idx="9">
                  <c:v>-0.40325191670119109</c:v>
                </c:pt>
                <c:pt idx="10">
                  <c:v>-0.34067487144116682</c:v>
                </c:pt>
                <c:pt idx="11">
                  <c:v>-0.81199507383202274</c:v>
                </c:pt>
                <c:pt idx="12" formatCode="0.0">
                  <c:v>0.85701449774025207</c:v>
                </c:pt>
                <c:pt idx="13">
                  <c:v>0.65405689189694249</c:v>
                </c:pt>
                <c:pt idx="14">
                  <c:v>5.1664001267752696E-2</c:v>
                </c:pt>
                <c:pt idx="15">
                  <c:v>6.9114625386519024E-2</c:v>
                </c:pt>
                <c:pt idx="16" formatCode="0.0">
                  <c:v>-0.19402123562424842</c:v>
                </c:pt>
                <c:pt idx="17">
                  <c:v>-0.97995836973424344</c:v>
                </c:pt>
                <c:pt idx="18">
                  <c:v>-0.44655375413037729</c:v>
                </c:pt>
                <c:pt idx="19">
                  <c:v>0.53620283239253363</c:v>
                </c:pt>
                <c:pt idx="20" formatCode="0.0">
                  <c:v>0.53896959122874932</c:v>
                </c:pt>
                <c:pt idx="21">
                  <c:v>1.5878374246260427</c:v>
                </c:pt>
                <c:pt idx="22">
                  <c:v>0.90466260427565659</c:v>
                </c:pt>
                <c:pt idx="23">
                  <c:v>0.3413912663967128</c:v>
                </c:pt>
                <c:pt idx="24" formatCode="0.0">
                  <c:v>0.34699395439371034</c:v>
                </c:pt>
                <c:pt idx="25">
                  <c:v>0.95789407781626323</c:v>
                </c:pt>
                <c:pt idx="26">
                  <c:v>-2.509862472408031E-2</c:v>
                </c:pt>
                <c:pt idx="27">
                  <c:v>0.50768658267243438</c:v>
                </c:pt>
                <c:pt idx="28" formatCode="0.0">
                  <c:v>1.3004811571536408</c:v>
                </c:pt>
                <c:pt idx="29">
                  <c:v>0.66243067216200824</c:v>
                </c:pt>
                <c:pt idx="30">
                  <c:v>2.1398730591961197</c:v>
                </c:pt>
                <c:pt idx="31">
                  <c:v>1.5755515432150702</c:v>
                </c:pt>
                <c:pt idx="32" formatCode="0.0">
                  <c:v>1.0968212868450278</c:v>
                </c:pt>
                <c:pt idx="33">
                  <c:v>2.2350891381886777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D68-4662-A163-8E7CFEDEBE91}"/>
            </c:ext>
          </c:extLst>
        </c:ser>
        <c:ser>
          <c:idx val="5"/>
          <c:order val="5"/>
          <c:tx>
            <c:strRef>
              <c:f>'Trh práce 1'!$H$7</c:f>
              <c:strCache>
                <c:ptCount val="1"/>
                <c:pt idx="0">
                  <c:v>Veř.spr.,obrana,vzděl.,zdrav.a soc.péče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1'!$H$8:$H$41</c:f>
              <c:numCache>
                <c:formatCode>#,##0.0</c:formatCode>
                <c:ptCount val="34"/>
                <c:pt idx="0" formatCode="0.0">
                  <c:v>-0.11963560895299102</c:v>
                </c:pt>
                <c:pt idx="1">
                  <c:v>-0.35742551507569342</c:v>
                </c:pt>
                <c:pt idx="2">
                  <c:v>-0.16003073304796231</c:v>
                </c:pt>
                <c:pt idx="3">
                  <c:v>-0.12721260673563961</c:v>
                </c:pt>
                <c:pt idx="4" formatCode="0.0">
                  <c:v>-0.52992756807859165</c:v>
                </c:pt>
                <c:pt idx="5">
                  <c:v>-0.82580734281198431</c:v>
                </c:pt>
                <c:pt idx="6">
                  <c:v>-0.94975503903715763</c:v>
                </c:pt>
                <c:pt idx="7">
                  <c:v>-0.73535528868961864</c:v>
                </c:pt>
                <c:pt idx="8" formatCode="0.0">
                  <c:v>-2.4491844584127413</c:v>
                </c:pt>
                <c:pt idx="9">
                  <c:v>-1.8478995882073996</c:v>
                </c:pt>
                <c:pt idx="10">
                  <c:v>-0.33618323058873045</c:v>
                </c:pt>
                <c:pt idx="11">
                  <c:v>0.22730335767944623</c:v>
                </c:pt>
                <c:pt idx="12" formatCode="0.0">
                  <c:v>0.87138363811224906</c:v>
                </c:pt>
                <c:pt idx="13">
                  <c:v>2.1694821372780777</c:v>
                </c:pt>
                <c:pt idx="14">
                  <c:v>1.0800496741268601</c:v>
                </c:pt>
                <c:pt idx="15">
                  <c:v>0.879240831306907</c:v>
                </c:pt>
                <c:pt idx="16" formatCode="0.0">
                  <c:v>1.5182514773659079</c:v>
                </c:pt>
                <c:pt idx="17">
                  <c:v>0.94515883328105665</c:v>
                </c:pt>
                <c:pt idx="18">
                  <c:v>1.97223579842256</c:v>
                </c:pt>
                <c:pt idx="19">
                  <c:v>2.0265494556700627</c:v>
                </c:pt>
                <c:pt idx="20" formatCode="0.0">
                  <c:v>1.4780542313438341</c:v>
                </c:pt>
                <c:pt idx="21">
                  <c:v>1.3509794739890708</c:v>
                </c:pt>
                <c:pt idx="22">
                  <c:v>0.56162730108894721</c:v>
                </c:pt>
                <c:pt idx="23">
                  <c:v>0.55520118220412962</c:v>
                </c:pt>
                <c:pt idx="24" formatCode="0.0">
                  <c:v>2.1251204897317422</c:v>
                </c:pt>
                <c:pt idx="25">
                  <c:v>2.0754938015465711</c:v>
                </c:pt>
                <c:pt idx="26">
                  <c:v>2.5441988134942761</c:v>
                </c:pt>
                <c:pt idx="27">
                  <c:v>3.0951044766993618</c:v>
                </c:pt>
                <c:pt idx="28" formatCode="0.0">
                  <c:v>2.9285450908007977</c:v>
                </c:pt>
                <c:pt idx="29">
                  <c:v>3.2432722319350402</c:v>
                </c:pt>
                <c:pt idx="30">
                  <c:v>3.7142573883787833</c:v>
                </c:pt>
                <c:pt idx="31">
                  <c:v>3.7314428655244427</c:v>
                </c:pt>
                <c:pt idx="32" formatCode="0.0">
                  <c:v>2.5560203245027227</c:v>
                </c:pt>
                <c:pt idx="33">
                  <c:v>2.7095228596836876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D68-4662-A163-8E7CFEDEBE91}"/>
            </c:ext>
          </c:extLst>
        </c:ser>
        <c:ser>
          <c:idx val="6"/>
          <c:order val="6"/>
          <c:tx>
            <c:strRef>
              <c:f>'Trh práce 1'!$I$7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1'!$I$8:$I$41</c:f>
              <c:numCache>
                <c:formatCode>#,##0.0</c:formatCode>
                <c:ptCount val="34"/>
                <c:pt idx="0" formatCode="0.0">
                  <c:v>-2.5937084219058177</c:v>
                </c:pt>
                <c:pt idx="1">
                  <c:v>-2.9463679565512582</c:v>
                </c:pt>
                <c:pt idx="2">
                  <c:v>-2.5515796380664</c:v>
                </c:pt>
                <c:pt idx="3">
                  <c:v>-3.010477894198806</c:v>
                </c:pt>
                <c:pt idx="4" formatCode="0.0">
                  <c:v>-1.6893536181370052</c:v>
                </c:pt>
                <c:pt idx="5">
                  <c:v>-3.3194988497170925</c:v>
                </c:pt>
                <c:pt idx="6">
                  <c:v>-5.1648545041356302</c:v>
                </c:pt>
                <c:pt idx="7">
                  <c:v>-6.2259094194170075</c:v>
                </c:pt>
                <c:pt idx="8" formatCode="0.0">
                  <c:v>0.82405736461343793</c:v>
                </c:pt>
                <c:pt idx="9">
                  <c:v>1.4526540882525438</c:v>
                </c:pt>
                <c:pt idx="10">
                  <c:v>2.1800695492210052</c:v>
                </c:pt>
                <c:pt idx="11">
                  <c:v>2.9005635747659841</c:v>
                </c:pt>
                <c:pt idx="12" formatCode="0.0">
                  <c:v>1.6322683857887341</c:v>
                </c:pt>
                <c:pt idx="13">
                  <c:v>2.9881141045958799</c:v>
                </c:pt>
                <c:pt idx="14">
                  <c:v>1.2531288740791098</c:v>
                </c:pt>
                <c:pt idx="15">
                  <c:v>1.2451726155646434</c:v>
                </c:pt>
                <c:pt idx="16" formatCode="0.0">
                  <c:v>4.0069509923866384</c:v>
                </c:pt>
                <c:pt idx="17">
                  <c:v>2.5959637149825596</c:v>
                </c:pt>
                <c:pt idx="18">
                  <c:v>3.3759650627778228</c:v>
                </c:pt>
                <c:pt idx="19">
                  <c:v>3.2279939277650929</c:v>
                </c:pt>
                <c:pt idx="20" formatCode="0.0">
                  <c:v>0.31018438738583803</c:v>
                </c:pt>
                <c:pt idx="21">
                  <c:v>1.9873261089654612</c:v>
                </c:pt>
                <c:pt idx="22">
                  <c:v>2.9232266387042785</c:v>
                </c:pt>
                <c:pt idx="23">
                  <c:v>3.7802329053448878</c:v>
                </c:pt>
                <c:pt idx="24" formatCode="0.0">
                  <c:v>5.2179888410029269</c:v>
                </c:pt>
                <c:pt idx="25">
                  <c:v>4.5192837971984403</c:v>
                </c:pt>
                <c:pt idx="26">
                  <c:v>5.4004133866924633</c:v>
                </c:pt>
                <c:pt idx="27">
                  <c:v>6.4449303717343716</c:v>
                </c:pt>
                <c:pt idx="28" formatCode="0.0">
                  <c:v>2.939610560165832</c:v>
                </c:pt>
                <c:pt idx="29">
                  <c:v>2.3835487297823912</c:v>
                </c:pt>
                <c:pt idx="30">
                  <c:v>2.9213780058691725</c:v>
                </c:pt>
                <c:pt idx="31">
                  <c:v>1.9637258081954754</c:v>
                </c:pt>
                <c:pt idx="32" formatCode="0.0">
                  <c:v>4.1617819460726775</c:v>
                </c:pt>
                <c:pt idx="33">
                  <c:v>4.5544187069243947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D68-4662-A163-8E7CFEDEBE91}"/>
            </c:ext>
          </c:extLst>
        </c:ser>
        <c:marker val="1"/>
        <c:axId val="117005696"/>
        <c:axId val="117028352"/>
      </c:lineChart>
      <c:catAx>
        <c:axId val="117005696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17028352"/>
        <c:crosses val="autoZero"/>
        <c:auto val="1"/>
        <c:lblAlgn val="ctr"/>
        <c:lblOffset val="10"/>
      </c:catAx>
      <c:valAx>
        <c:axId val="117028352"/>
        <c:scaling>
          <c:orientation val="minMax"/>
          <c:max val="7"/>
          <c:min val="-7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7005696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2714541748739518E-2"/>
          <c:y val="0.85976117037112165"/>
          <c:w val="0.92581744326929161"/>
          <c:h val="0.1330439716295985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6183922558922563E-2"/>
          <c:y val="1.643251153889452E-2"/>
          <c:w val="0.8957392676767677"/>
          <c:h val="0.75762726757370591"/>
        </c:manualLayout>
      </c:layout>
      <c:barChart>
        <c:barDir val="col"/>
        <c:grouping val="clustered"/>
        <c:ser>
          <c:idx val="0"/>
          <c:order val="0"/>
          <c:tx>
            <c:strRef>
              <c:f>'Trh práce-2'!$A$27</c:f>
              <c:strCache>
                <c:ptCount val="1"/>
                <c:pt idx="0">
                  <c:v>Míra nezaměstnanosti mužů (levá osa)</c:v>
                </c:pt>
              </c:strCache>
            </c:strRef>
          </c:tx>
          <c:spPr>
            <a:solidFill>
              <a:srgbClr val="BCBCBC"/>
            </a:solidFill>
          </c:spPr>
          <c:cat>
            <c:multiLvlStrRef>
              <c:f>'Trh práce-2'!$B$25:$AI$26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práce-2'!$B$27:$AI$27</c:f>
              <c:numCache>
                <c:formatCode>0.0</c:formatCode>
                <c:ptCount val="34"/>
                <c:pt idx="0">
                  <c:v>7.0991999943529533</c:v>
                </c:pt>
                <c:pt idx="1">
                  <c:v>6.518187541312777</c:v>
                </c:pt>
                <c:pt idx="2">
                  <c:v>6.1900830830529721</c:v>
                </c:pt>
                <c:pt idx="3">
                  <c:v>6.0725496361374045</c:v>
                </c:pt>
                <c:pt idx="4">
                  <c:v>6.0591763240098082</c:v>
                </c:pt>
                <c:pt idx="5">
                  <c:v>6.0082218062227826</c:v>
                </c:pt>
                <c:pt idx="6">
                  <c:v>5.7746741047553698</c:v>
                </c:pt>
                <c:pt idx="7">
                  <c:v>5.6892744872329422</c:v>
                </c:pt>
                <c:pt idx="8">
                  <c:v>5.9999548563426295</c:v>
                </c:pt>
                <c:pt idx="9">
                  <c:v>5.9978622628146034</c:v>
                </c:pt>
                <c:pt idx="10">
                  <c:v>6.0638627970186034</c:v>
                </c:pt>
                <c:pt idx="11">
                  <c:v>6.2503970785916634</c:v>
                </c:pt>
                <c:pt idx="12">
                  <c:v>6.2704649366933634</c:v>
                </c:pt>
                <c:pt idx="13">
                  <c:v>5.9104384361987075</c:v>
                </c:pt>
                <c:pt idx="14">
                  <c:v>5.9339093715123594</c:v>
                </c:pt>
                <c:pt idx="15">
                  <c:v>5.7556577193635574</c:v>
                </c:pt>
                <c:pt idx="16">
                  <c:v>5.5339368397780975</c:v>
                </c:pt>
                <c:pt idx="17">
                  <c:v>5.2325922105119327</c:v>
                </c:pt>
                <c:pt idx="18">
                  <c:v>4.9439375292286636</c:v>
                </c:pt>
                <c:pt idx="19">
                  <c:v>5.0231445532307317</c:v>
                </c:pt>
                <c:pt idx="20">
                  <c:v>4.9894559304797879</c:v>
                </c:pt>
                <c:pt idx="21">
                  <c:v>4.3866323546022592</c:v>
                </c:pt>
                <c:pt idx="22">
                  <c:v>4.0765187947766428</c:v>
                </c:pt>
                <c:pt idx="23">
                  <c:v>3.7639647303636492</c:v>
                </c:pt>
                <c:pt idx="24">
                  <c:v>3.6132541353027907</c:v>
                </c:pt>
                <c:pt idx="25">
                  <c:v>3.6072501778867041</c:v>
                </c:pt>
                <c:pt idx="26">
                  <c:v>3.3868876577507354</c:v>
                </c:pt>
                <c:pt idx="27">
                  <c:v>3.1343986856554302</c:v>
                </c:pt>
                <c:pt idx="28">
                  <c:v>2.6711986511419088</c:v>
                </c:pt>
                <c:pt idx="29">
                  <c:v>2.5275060396849192</c:v>
                </c:pt>
                <c:pt idx="30">
                  <c:v>2.2614889609033075</c:v>
                </c:pt>
                <c:pt idx="31">
                  <c:v>2.0275475644002752</c:v>
                </c:pt>
                <c:pt idx="32">
                  <c:v>1.8778423523256036</c:v>
                </c:pt>
                <c:pt idx="33">
                  <c:v>1.8965238219376119</c:v>
                </c:pt>
              </c:numCache>
            </c:numRef>
          </c:val>
        </c:ser>
        <c:ser>
          <c:idx val="1"/>
          <c:order val="1"/>
          <c:tx>
            <c:strRef>
              <c:f>'Trh práce-2'!$A$28</c:f>
              <c:strCache>
                <c:ptCount val="1"/>
                <c:pt idx="0">
                  <c:v>Míra nezaměstnanosti žen (levá osa)</c:v>
                </c:pt>
              </c:strCache>
            </c:strRef>
          </c:tx>
          <c:spPr>
            <a:solidFill>
              <a:srgbClr val="DBDBDB"/>
            </a:solidFill>
          </c:spPr>
          <c:cat>
            <c:multiLvlStrRef>
              <c:f>'Trh práce-2'!$B$25:$AI$26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práce-2'!$B$28:$AI$28</c:f>
              <c:numCache>
                <c:formatCode>0.0</c:formatCode>
                <c:ptCount val="34"/>
                <c:pt idx="0">
                  <c:v>8.7581257623575617</c:v>
                </c:pt>
                <c:pt idx="1">
                  <c:v>8.6259517423982572</c:v>
                </c:pt>
                <c:pt idx="2">
                  <c:v>8.4755253706591223</c:v>
                </c:pt>
                <c:pt idx="3">
                  <c:v>8.2958991962505539</c:v>
                </c:pt>
                <c:pt idx="4">
                  <c:v>8.1711805552480605</c:v>
                </c:pt>
                <c:pt idx="5">
                  <c:v>8.1818254825190184</c:v>
                </c:pt>
                <c:pt idx="6">
                  <c:v>7.7663119722887295</c:v>
                </c:pt>
                <c:pt idx="7">
                  <c:v>7.7236412157605514</c:v>
                </c:pt>
                <c:pt idx="8">
                  <c:v>8.027940066088501</c:v>
                </c:pt>
                <c:pt idx="9">
                  <c:v>8.2369249350269076</c:v>
                </c:pt>
                <c:pt idx="10">
                  <c:v>8.2935014210714453</c:v>
                </c:pt>
                <c:pt idx="11">
                  <c:v>8.5419989173412816</c:v>
                </c:pt>
                <c:pt idx="12">
                  <c:v>8.4720928288102826</c:v>
                </c:pt>
                <c:pt idx="13">
                  <c:v>8.4544922056213032</c:v>
                </c:pt>
                <c:pt idx="14">
                  <c:v>8.3473187285272079</c:v>
                </c:pt>
                <c:pt idx="15">
                  <c:v>8.2453624583825764</c:v>
                </c:pt>
                <c:pt idx="16">
                  <c:v>8.0211752164076788</c:v>
                </c:pt>
                <c:pt idx="17">
                  <c:v>7.6965014076384275</c:v>
                </c:pt>
                <c:pt idx="18">
                  <c:v>7.2646943276337241</c:v>
                </c:pt>
                <c:pt idx="19">
                  <c:v>7.0032040771272994</c:v>
                </c:pt>
                <c:pt idx="20">
                  <c:v>6.9027541533858328</c:v>
                </c:pt>
                <c:pt idx="21">
                  <c:v>6.2589605262453372</c:v>
                </c:pt>
                <c:pt idx="22">
                  <c:v>5.9235753210160516</c:v>
                </c:pt>
                <c:pt idx="23">
                  <c:v>5.6153092773914937</c:v>
                </c:pt>
                <c:pt idx="24">
                  <c:v>5.1185198953901985</c:v>
                </c:pt>
                <c:pt idx="25">
                  <c:v>4.8467772089654053</c:v>
                </c:pt>
                <c:pt idx="26">
                  <c:v>4.7763142805498537</c:v>
                </c:pt>
                <c:pt idx="27">
                  <c:v>4.317890401388162</c:v>
                </c:pt>
                <c:pt idx="28">
                  <c:v>4.3367136535478474</c:v>
                </c:pt>
                <c:pt idx="29">
                  <c:v>3.9266906515174202</c:v>
                </c:pt>
                <c:pt idx="30">
                  <c:v>3.3735196857800314</c:v>
                </c:pt>
                <c:pt idx="31">
                  <c:v>2.9621046568625049</c:v>
                </c:pt>
                <c:pt idx="32">
                  <c:v>3.0230157883650652</c:v>
                </c:pt>
                <c:pt idx="33">
                  <c:v>2.9143558133230001</c:v>
                </c:pt>
              </c:numCache>
            </c:numRef>
          </c:val>
        </c:ser>
        <c:gapWidth val="68"/>
        <c:axId val="117110656"/>
        <c:axId val="117112192"/>
      </c:barChart>
      <c:lineChart>
        <c:grouping val="standard"/>
        <c:ser>
          <c:idx val="2"/>
          <c:order val="2"/>
          <c:tx>
            <c:strRef>
              <c:f>'Trh práce-2'!$A$29</c:f>
              <c:strCache>
                <c:ptCount val="1"/>
                <c:pt idx="0">
                  <c:v>% podíl nezam. &gt; 1 rok (pravá osa)</c:v>
                </c:pt>
              </c:strCache>
            </c:strRef>
          </c:tx>
          <c:spPr>
            <a:ln w="19050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'Trh práce-2'!$B$25:$AI$26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práce-2'!$B$29:$AI$29</c:f>
              <c:numCache>
                <c:formatCode>#,##0.0</c:formatCode>
                <c:ptCount val="34"/>
                <c:pt idx="0">
                  <c:v>35.700000000000003</c:v>
                </c:pt>
                <c:pt idx="1">
                  <c:v>41.3</c:v>
                </c:pt>
                <c:pt idx="2">
                  <c:v>43.4</c:v>
                </c:pt>
                <c:pt idx="3">
                  <c:v>43.9</c:v>
                </c:pt>
                <c:pt idx="4">
                  <c:v>40.1</c:v>
                </c:pt>
                <c:pt idx="5">
                  <c:v>39</c:v>
                </c:pt>
                <c:pt idx="6">
                  <c:v>40.800000000000004</c:v>
                </c:pt>
                <c:pt idx="7">
                  <c:v>42.6</c:v>
                </c:pt>
                <c:pt idx="8">
                  <c:v>43.3</c:v>
                </c:pt>
                <c:pt idx="9">
                  <c:v>44.1</c:v>
                </c:pt>
                <c:pt idx="10">
                  <c:v>43.6</c:v>
                </c:pt>
                <c:pt idx="11">
                  <c:v>42.6</c:v>
                </c:pt>
                <c:pt idx="12">
                  <c:v>43.4</c:v>
                </c:pt>
                <c:pt idx="13">
                  <c:v>44.1</c:v>
                </c:pt>
                <c:pt idx="14">
                  <c:v>44</c:v>
                </c:pt>
                <c:pt idx="15">
                  <c:v>42.1</c:v>
                </c:pt>
                <c:pt idx="16">
                  <c:v>41.2</c:v>
                </c:pt>
                <c:pt idx="17">
                  <c:v>43</c:v>
                </c:pt>
                <c:pt idx="18">
                  <c:v>44.3</c:v>
                </c:pt>
                <c:pt idx="19">
                  <c:v>45.9</c:v>
                </c:pt>
                <c:pt idx="20">
                  <c:v>45.9</c:v>
                </c:pt>
                <c:pt idx="21">
                  <c:v>46.4</c:v>
                </c:pt>
                <c:pt idx="22">
                  <c:v>49</c:v>
                </c:pt>
                <c:pt idx="23">
                  <c:v>48.1</c:v>
                </c:pt>
                <c:pt idx="24">
                  <c:v>46</c:v>
                </c:pt>
                <c:pt idx="25">
                  <c:v>43.2</c:v>
                </c:pt>
                <c:pt idx="26">
                  <c:v>39.9</c:v>
                </c:pt>
                <c:pt idx="27">
                  <c:v>38.800000000000004</c:v>
                </c:pt>
                <c:pt idx="28">
                  <c:v>36.800000000000004</c:v>
                </c:pt>
                <c:pt idx="29">
                  <c:v>37.5</c:v>
                </c:pt>
                <c:pt idx="30">
                  <c:v>33.9</c:v>
                </c:pt>
                <c:pt idx="31">
                  <c:v>31.3</c:v>
                </c:pt>
                <c:pt idx="32">
                  <c:v>30.6</c:v>
                </c:pt>
                <c:pt idx="33">
                  <c:v>30.5</c:v>
                </c:pt>
              </c:numCache>
            </c:numRef>
          </c:val>
        </c:ser>
        <c:ser>
          <c:idx val="3"/>
          <c:order val="3"/>
          <c:tx>
            <c:strRef>
              <c:f>'Trh práce-2'!$A$30</c:f>
              <c:strCache>
                <c:ptCount val="1"/>
                <c:pt idx="0">
                  <c:v>% podíl nezam. &gt; 2 roky (pravá osa)</c:v>
                </c:pt>
              </c:strCache>
            </c:strRef>
          </c:tx>
          <c:spPr>
            <a:ln w="19050">
              <a:solidFill>
                <a:srgbClr val="F6882E"/>
              </a:solidFill>
              <a:prstDash val="solid"/>
            </a:ln>
          </c:spPr>
          <c:marker>
            <c:symbol val="none"/>
          </c:marker>
          <c:cat>
            <c:multiLvlStrRef>
              <c:f>'Trh práce-2'!$B$25:$AI$26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práce-2'!$B$30:$AI$30</c:f>
              <c:numCache>
                <c:formatCode>#,##0.0</c:formatCode>
                <c:ptCount val="34"/>
                <c:pt idx="0">
                  <c:v>15</c:v>
                </c:pt>
                <c:pt idx="1">
                  <c:v>18</c:v>
                </c:pt>
                <c:pt idx="2">
                  <c:v>18.899999999999999</c:v>
                </c:pt>
                <c:pt idx="3">
                  <c:v>20</c:v>
                </c:pt>
                <c:pt idx="4">
                  <c:v>19</c:v>
                </c:pt>
                <c:pt idx="5">
                  <c:v>18.899999999999999</c:v>
                </c:pt>
                <c:pt idx="6">
                  <c:v>20.8</c:v>
                </c:pt>
                <c:pt idx="7">
                  <c:v>22.3</c:v>
                </c:pt>
                <c:pt idx="8">
                  <c:v>24.1</c:v>
                </c:pt>
                <c:pt idx="9">
                  <c:v>24.8</c:v>
                </c:pt>
                <c:pt idx="10">
                  <c:v>25</c:v>
                </c:pt>
                <c:pt idx="11">
                  <c:v>23.5</c:v>
                </c:pt>
                <c:pt idx="12">
                  <c:v>24.2</c:v>
                </c:pt>
                <c:pt idx="13">
                  <c:v>24.1</c:v>
                </c:pt>
                <c:pt idx="14">
                  <c:v>23.9</c:v>
                </c:pt>
                <c:pt idx="15">
                  <c:v>23.4</c:v>
                </c:pt>
                <c:pt idx="16">
                  <c:v>23</c:v>
                </c:pt>
                <c:pt idx="17">
                  <c:v>24.1</c:v>
                </c:pt>
                <c:pt idx="18">
                  <c:v>26.2</c:v>
                </c:pt>
                <c:pt idx="19">
                  <c:v>26.4</c:v>
                </c:pt>
                <c:pt idx="20">
                  <c:v>27.2</c:v>
                </c:pt>
                <c:pt idx="21">
                  <c:v>27.7</c:v>
                </c:pt>
                <c:pt idx="22">
                  <c:v>29</c:v>
                </c:pt>
                <c:pt idx="23">
                  <c:v>30.2</c:v>
                </c:pt>
                <c:pt idx="24">
                  <c:v>30.4</c:v>
                </c:pt>
                <c:pt idx="25">
                  <c:v>27.8</c:v>
                </c:pt>
                <c:pt idx="26">
                  <c:v>24.1</c:v>
                </c:pt>
                <c:pt idx="27">
                  <c:v>23.2</c:v>
                </c:pt>
                <c:pt idx="28">
                  <c:v>21.6</c:v>
                </c:pt>
                <c:pt idx="29">
                  <c:v>21.9</c:v>
                </c:pt>
                <c:pt idx="30">
                  <c:v>17.899999999999999</c:v>
                </c:pt>
                <c:pt idx="31">
                  <c:v>17.2</c:v>
                </c:pt>
                <c:pt idx="32">
                  <c:v>17.600000000000001</c:v>
                </c:pt>
              </c:numCache>
            </c:numRef>
          </c:val>
        </c:ser>
        <c:ser>
          <c:idx val="4"/>
          <c:order val="4"/>
          <c:tx>
            <c:strRef>
              <c:f>'Trh práce-2'!$A$31</c:f>
              <c:strCache>
                <c:ptCount val="1"/>
                <c:pt idx="0">
                  <c:v>% podíl nezam. do 25 let  (pravá osa)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'Trh práce-2'!$B$25:$AI$26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práce-2'!$B$31:$AI$31</c:f>
              <c:numCache>
                <c:formatCode>0.0</c:formatCode>
                <c:ptCount val="34"/>
                <c:pt idx="0">
                  <c:v>19.41031941031941</c:v>
                </c:pt>
                <c:pt idx="1">
                  <c:v>19.430051813471501</c:v>
                </c:pt>
                <c:pt idx="2">
                  <c:v>19.251336898395703</c:v>
                </c:pt>
                <c:pt idx="3">
                  <c:v>18.579234972677586</c:v>
                </c:pt>
                <c:pt idx="4">
                  <c:v>18.055555555555554</c:v>
                </c:pt>
                <c:pt idx="5">
                  <c:v>19.498607242339787</c:v>
                </c:pt>
                <c:pt idx="6">
                  <c:v>19.533527696792987</c:v>
                </c:pt>
                <c:pt idx="7">
                  <c:v>19.230769230769194</c:v>
                </c:pt>
                <c:pt idx="8">
                  <c:v>20.168067226890773</c:v>
                </c:pt>
                <c:pt idx="9">
                  <c:v>20.718232044198889</c:v>
                </c:pt>
                <c:pt idx="10">
                  <c:v>19.293478260869566</c:v>
                </c:pt>
                <c:pt idx="11">
                  <c:v>18.947368421052651</c:v>
                </c:pt>
                <c:pt idx="12">
                  <c:v>18.997361477572557</c:v>
                </c:pt>
                <c:pt idx="13">
                  <c:v>18.279569892473102</c:v>
                </c:pt>
                <c:pt idx="14">
                  <c:v>18.256130790190728</c:v>
                </c:pt>
                <c:pt idx="15">
                  <c:v>18.715083798882691</c:v>
                </c:pt>
                <c:pt idx="16">
                  <c:v>17.341040462427742</c:v>
                </c:pt>
                <c:pt idx="17">
                  <c:v>17.933130699088146</c:v>
                </c:pt>
                <c:pt idx="18">
                  <c:v>17.628205128205131</c:v>
                </c:pt>
                <c:pt idx="19">
                  <c:v>16.55844155844154</c:v>
                </c:pt>
                <c:pt idx="20">
                  <c:v>16.993464052287585</c:v>
                </c:pt>
                <c:pt idx="21">
                  <c:v>17.216117216117212</c:v>
                </c:pt>
                <c:pt idx="22">
                  <c:v>16.078431372548998</c:v>
                </c:pt>
                <c:pt idx="23">
                  <c:v>15.546218487394945</c:v>
                </c:pt>
                <c:pt idx="24">
                  <c:v>15.24663677130045</c:v>
                </c:pt>
                <c:pt idx="25">
                  <c:v>17.431192660550458</c:v>
                </c:pt>
                <c:pt idx="26">
                  <c:v>16.587677725118507</c:v>
                </c:pt>
                <c:pt idx="27">
                  <c:v>17.098445595854923</c:v>
                </c:pt>
                <c:pt idx="28">
                  <c:v>16.75977653631282</c:v>
                </c:pt>
                <c:pt idx="29">
                  <c:v>18.562874251497004</c:v>
                </c:pt>
                <c:pt idx="30">
                  <c:v>16.43835616438356</c:v>
                </c:pt>
                <c:pt idx="31">
                  <c:v>13.076923076923078</c:v>
                </c:pt>
                <c:pt idx="32">
                  <c:v>16.935483870967694</c:v>
                </c:pt>
                <c:pt idx="33">
                  <c:v>19.04761904761903</c:v>
                </c:pt>
              </c:numCache>
            </c:numRef>
          </c:val>
        </c:ser>
        <c:ser>
          <c:idx val="5"/>
          <c:order val="5"/>
          <c:tx>
            <c:strRef>
              <c:f>'Trh práce-2'!$A$32</c:f>
              <c:strCache>
                <c:ptCount val="1"/>
                <c:pt idx="0">
                  <c:v>Ekon.neaktiv.chtějící pracovat (pr. osa)*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práce-2'!$B$25:$AI$26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práce-2'!$B$32:$AI$32</c:f>
              <c:numCache>
                <c:formatCode>0.0</c:formatCode>
                <c:ptCount val="34"/>
                <c:pt idx="0">
                  <c:v>183.00000000000003</c:v>
                </c:pt>
                <c:pt idx="1">
                  <c:v>183.20000000000002</c:v>
                </c:pt>
                <c:pt idx="2">
                  <c:v>172.5</c:v>
                </c:pt>
                <c:pt idx="3">
                  <c:v>172.00000000000003</c:v>
                </c:pt>
                <c:pt idx="4">
                  <c:v>193.70000000000002</c:v>
                </c:pt>
                <c:pt idx="5">
                  <c:v>184.4</c:v>
                </c:pt>
                <c:pt idx="6">
                  <c:v>188.9</c:v>
                </c:pt>
                <c:pt idx="7">
                  <c:v>183.20000000000002</c:v>
                </c:pt>
                <c:pt idx="8">
                  <c:v>196.60000000000002</c:v>
                </c:pt>
                <c:pt idx="9">
                  <c:v>176.5</c:v>
                </c:pt>
                <c:pt idx="10">
                  <c:v>166.9</c:v>
                </c:pt>
                <c:pt idx="11">
                  <c:v>154.60000000000002</c:v>
                </c:pt>
                <c:pt idx="12">
                  <c:v>167.8</c:v>
                </c:pt>
                <c:pt idx="13">
                  <c:v>147.19999999999999</c:v>
                </c:pt>
                <c:pt idx="14">
                  <c:v>138.80000000000001</c:v>
                </c:pt>
                <c:pt idx="15">
                  <c:v>139.30000000000001</c:v>
                </c:pt>
                <c:pt idx="16">
                  <c:v>145.4</c:v>
                </c:pt>
                <c:pt idx="17">
                  <c:v>137.1</c:v>
                </c:pt>
                <c:pt idx="18">
                  <c:v>129</c:v>
                </c:pt>
                <c:pt idx="19">
                  <c:v>127.10000000000001</c:v>
                </c:pt>
                <c:pt idx="20" formatCode="General">
                  <c:v>138.5</c:v>
                </c:pt>
                <c:pt idx="21" formatCode="General">
                  <c:v>141.4</c:v>
                </c:pt>
                <c:pt idx="22" formatCode="General">
                  <c:v>137.1</c:v>
                </c:pt>
                <c:pt idx="23" formatCode="General">
                  <c:v>130.4</c:v>
                </c:pt>
                <c:pt idx="24" formatCode="General">
                  <c:v>141</c:v>
                </c:pt>
                <c:pt idx="25" formatCode="General">
                  <c:v>126.4</c:v>
                </c:pt>
                <c:pt idx="26" formatCode="General">
                  <c:v>129.69999999999999</c:v>
                </c:pt>
                <c:pt idx="27" formatCode="General">
                  <c:v>127.1</c:v>
                </c:pt>
                <c:pt idx="28">
                  <c:v>133.1</c:v>
                </c:pt>
                <c:pt idx="29">
                  <c:v>120.1</c:v>
                </c:pt>
                <c:pt idx="30">
                  <c:v>121.3</c:v>
                </c:pt>
                <c:pt idx="31">
                  <c:v>119.1</c:v>
                </c:pt>
                <c:pt idx="32">
                  <c:v>113.5</c:v>
                </c:pt>
                <c:pt idx="33">
                  <c:v>108.4</c:v>
                </c:pt>
              </c:numCache>
            </c:numRef>
          </c:val>
        </c:ser>
        <c:marker val="1"/>
        <c:axId val="117189248"/>
        <c:axId val="117187712"/>
      </c:lineChart>
      <c:catAx>
        <c:axId val="11711065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17112192"/>
        <c:crossesAt val="-50"/>
        <c:auto val="1"/>
        <c:lblAlgn val="ctr"/>
        <c:lblOffset val="0"/>
      </c:catAx>
      <c:valAx>
        <c:axId val="117112192"/>
        <c:scaling>
          <c:orientation val="minMax"/>
          <c:max val="1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7110656"/>
        <c:crosses val="autoZero"/>
        <c:crossBetween val="between"/>
        <c:majorUnit val="1"/>
      </c:valAx>
      <c:valAx>
        <c:axId val="117187712"/>
        <c:scaling>
          <c:orientation val="minMax"/>
          <c:max val="200"/>
        </c:scaling>
        <c:axPos val="r"/>
        <c:numFmt formatCode="0" sourceLinked="0"/>
        <c:tickLblPos val="nextTo"/>
        <c:crossAx val="117189248"/>
        <c:crosses val="max"/>
        <c:crossBetween val="between"/>
        <c:majorUnit val="20"/>
      </c:valAx>
      <c:catAx>
        <c:axId val="117189248"/>
        <c:scaling>
          <c:orientation val="minMax"/>
        </c:scaling>
        <c:delete val="1"/>
        <c:axPos val="b"/>
        <c:tickLblPos val="none"/>
        <c:crossAx val="117187712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613215488215494E-2"/>
          <c:y val="0.87358815192743611"/>
          <c:w val="0.89434511784511783"/>
          <c:h val="0.10841298185941046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4.0091348527306885E-2"/>
          <c:y val="1.6549886621315377E-2"/>
          <c:w val="0.94100987714832174"/>
          <c:h val="0.77115164399092972"/>
        </c:manualLayout>
      </c:layout>
      <c:barChart>
        <c:barDir val="col"/>
        <c:grouping val="clustered"/>
        <c:ser>
          <c:idx val="2"/>
          <c:order val="4"/>
          <c:tx>
            <c:strRef>
              <c:f>'Trh práce 3'!$E$8</c:f>
              <c:strCache>
                <c:ptCount val="1"/>
                <c:pt idx="0">
                  <c:v>Průměrná mzda (reálně)</c:v>
                </c:pt>
              </c:strCache>
            </c:strRef>
          </c:tx>
          <c:spPr>
            <a:solidFill>
              <a:srgbClr val="A6A6A6"/>
            </a:solidFill>
            <a:ln w="19050">
              <a:noFill/>
            </a:ln>
          </c:spPr>
          <c:cat>
            <c:multiLvlStrRef>
              <c:f>'Trh práce 3'!$A$9:$B$42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3'!$E$9:$E$42</c:f>
              <c:numCache>
                <c:formatCode>#,##0.0</c:formatCode>
                <c:ptCount val="34"/>
                <c:pt idx="0">
                  <c:v>2.0999999999999943</c:v>
                </c:pt>
                <c:pt idx="1">
                  <c:v>1.9000000000000061</c:v>
                </c:pt>
                <c:pt idx="2">
                  <c:v>0.30000000000000032</c:v>
                </c:pt>
                <c:pt idx="3">
                  <c:v>-1.4000000000000057</c:v>
                </c:pt>
                <c:pt idx="4">
                  <c:v>1.0999999999999817</c:v>
                </c:pt>
                <c:pt idx="5">
                  <c:v>0.7999999999999976</c:v>
                </c:pt>
                <c:pt idx="6">
                  <c:v>0.30000000000000032</c:v>
                </c:pt>
                <c:pt idx="7">
                  <c:v>0</c:v>
                </c:pt>
                <c:pt idx="8">
                  <c:v>-0.5</c:v>
                </c:pt>
                <c:pt idx="9">
                  <c:v>-1.2999999999999825</c:v>
                </c:pt>
                <c:pt idx="10">
                  <c:v>-1.7999999999999825</c:v>
                </c:pt>
                <c:pt idx="11">
                  <c:v>0.40000000000000568</c:v>
                </c:pt>
                <c:pt idx="12">
                  <c:v>-2.4000000000000057</c:v>
                </c:pt>
                <c:pt idx="13">
                  <c:v>-0.5</c:v>
                </c:pt>
                <c:pt idx="14">
                  <c:v>0</c:v>
                </c:pt>
                <c:pt idx="15">
                  <c:v>-3.0999999999999943</c:v>
                </c:pt>
                <c:pt idx="16">
                  <c:v>3.7000000000000042</c:v>
                </c:pt>
                <c:pt idx="17">
                  <c:v>2.5999999999999943</c:v>
                </c:pt>
                <c:pt idx="18">
                  <c:v>1.5999999999999817</c:v>
                </c:pt>
                <c:pt idx="19">
                  <c:v>2.2999999999999972</c:v>
                </c:pt>
                <c:pt idx="20">
                  <c:v>2.2000000000000042</c:v>
                </c:pt>
                <c:pt idx="21">
                  <c:v>2.5999999999999943</c:v>
                </c:pt>
                <c:pt idx="22">
                  <c:v>3.0999999999999943</c:v>
                </c:pt>
                <c:pt idx="23">
                  <c:v>3.5999999999999943</c:v>
                </c:pt>
                <c:pt idx="24">
                  <c:v>4.2000000000000028</c:v>
                </c:pt>
                <c:pt idx="25">
                  <c:v>3.7999999999999972</c:v>
                </c:pt>
                <c:pt idx="26">
                  <c:v>4.2000000000000028</c:v>
                </c:pt>
                <c:pt idx="27">
                  <c:v>3</c:v>
                </c:pt>
                <c:pt idx="28">
                  <c:v>2.0999999999999943</c:v>
                </c:pt>
                <c:pt idx="29">
                  <c:v>4.5999999999999943</c:v>
                </c:pt>
                <c:pt idx="30">
                  <c:v>3.5</c:v>
                </c:pt>
                <c:pt idx="31">
                  <c:v>4.7000000000000028</c:v>
                </c:pt>
                <c:pt idx="32">
                  <c:v>6.5999999999999943</c:v>
                </c:pt>
                <c:pt idx="33">
                  <c:v>6.2000000000000028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D5-46F0-90AD-BF040139C872}"/>
            </c:ext>
          </c:extLst>
        </c:ser>
        <c:gapWidth val="55"/>
        <c:axId val="126972288"/>
        <c:axId val="126974208"/>
      </c:barChart>
      <c:lineChart>
        <c:grouping val="standard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(nominálně)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 3'!$A$9:$B$42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3'!$C$9:$C$42</c:f>
              <c:numCache>
                <c:formatCode>0.0</c:formatCode>
                <c:ptCount val="34"/>
                <c:pt idx="0">
                  <c:v>2.7999999999999972</c:v>
                </c:pt>
                <c:pt idx="1">
                  <c:v>3.0999999999999943</c:v>
                </c:pt>
                <c:pt idx="2">
                  <c:v>2.2000000000000042</c:v>
                </c:pt>
                <c:pt idx="3">
                  <c:v>0.70000000000000284</c:v>
                </c:pt>
                <c:pt idx="4">
                  <c:v>2.7999999999999972</c:v>
                </c:pt>
                <c:pt idx="5">
                  <c:v>2.5999999999999943</c:v>
                </c:pt>
                <c:pt idx="6">
                  <c:v>2.0999999999999943</c:v>
                </c:pt>
                <c:pt idx="7">
                  <c:v>2.4000000000000057</c:v>
                </c:pt>
                <c:pt idx="8">
                  <c:v>3.2000000000000042</c:v>
                </c:pt>
                <c:pt idx="9">
                  <c:v>2.0999999999999943</c:v>
                </c:pt>
                <c:pt idx="10">
                  <c:v>1.4000000000000057</c:v>
                </c:pt>
                <c:pt idx="11">
                  <c:v>3.2000000000000042</c:v>
                </c:pt>
                <c:pt idx="12">
                  <c:v>-0.59999999999999432</c:v>
                </c:pt>
                <c:pt idx="13">
                  <c:v>1</c:v>
                </c:pt>
                <c:pt idx="14">
                  <c:v>1.2000000000000028</c:v>
                </c:pt>
                <c:pt idx="15">
                  <c:v>-2</c:v>
                </c:pt>
                <c:pt idx="16">
                  <c:v>3.9000000000000057</c:v>
                </c:pt>
                <c:pt idx="17">
                  <c:v>2.7999999999999972</c:v>
                </c:pt>
                <c:pt idx="18">
                  <c:v>2.2000000000000042</c:v>
                </c:pt>
                <c:pt idx="19">
                  <c:v>2.7999999999999972</c:v>
                </c:pt>
                <c:pt idx="20">
                  <c:v>2.2999999999999972</c:v>
                </c:pt>
                <c:pt idx="21">
                  <c:v>3.2999999999999972</c:v>
                </c:pt>
                <c:pt idx="22">
                  <c:v>3.5</c:v>
                </c:pt>
                <c:pt idx="23">
                  <c:v>3.7000000000000042</c:v>
                </c:pt>
                <c:pt idx="24">
                  <c:v>4.7000000000000028</c:v>
                </c:pt>
                <c:pt idx="25">
                  <c:v>4</c:v>
                </c:pt>
                <c:pt idx="26">
                  <c:v>4.7000000000000028</c:v>
                </c:pt>
                <c:pt idx="27">
                  <c:v>4.4000000000000083</c:v>
                </c:pt>
                <c:pt idx="28">
                  <c:v>4.5</c:v>
                </c:pt>
                <c:pt idx="29">
                  <c:v>6.9000000000000083</c:v>
                </c:pt>
                <c:pt idx="30">
                  <c:v>6.0999999999999943</c:v>
                </c:pt>
                <c:pt idx="31">
                  <c:v>7.4000000000000083</c:v>
                </c:pt>
                <c:pt idx="32">
                  <c:v>8.6000000000000014</c:v>
                </c:pt>
                <c:pt idx="33">
                  <c:v>8.6000000000000014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D5-46F0-90AD-BF040139C872}"/>
            </c:ext>
          </c:extLst>
        </c:ser>
        <c:ser>
          <c:idx val="4"/>
          <c:order val="1"/>
          <c:tx>
            <c:strRef>
              <c:f>'Trh práce 3'!$G$8</c:f>
              <c:strCache>
                <c:ptCount val="1"/>
                <c:pt idx="0">
                  <c:v>Průměrná nominál.mzda v odvětví: max.*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6"/>
            <c:spPr>
              <a:solidFill>
                <a:srgbClr val="A6CDE8"/>
              </a:solidFill>
              <a:ln>
                <a:solidFill>
                  <a:srgbClr val="A6CDE8"/>
                </a:solidFill>
              </a:ln>
            </c:spPr>
          </c:marker>
          <c:cat>
            <c:multiLvlStrRef>
              <c:f>'Trh práce 3'!$A$9:$B$42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3'!$G$9:$G$42</c:f>
              <c:numCache>
                <c:formatCode>0.0</c:formatCode>
                <c:ptCount val="34"/>
                <c:pt idx="0">
                  <c:v>7.5413164871115184</c:v>
                </c:pt>
                <c:pt idx="1">
                  <c:v>13.293739728074101</c:v>
                </c:pt>
                <c:pt idx="2">
                  <c:v>7.8019930324880562</c:v>
                </c:pt>
                <c:pt idx="3">
                  <c:v>9.3197810789680613</c:v>
                </c:pt>
                <c:pt idx="4">
                  <c:v>6.5105063727178845</c:v>
                </c:pt>
                <c:pt idx="5">
                  <c:v>5.8652863407075255</c:v>
                </c:pt>
                <c:pt idx="6">
                  <c:v>4.8968853432911743</c:v>
                </c:pt>
                <c:pt idx="7">
                  <c:v>5.8113814598833784</c:v>
                </c:pt>
                <c:pt idx="8">
                  <c:v>6.2310842086523053</c:v>
                </c:pt>
                <c:pt idx="9">
                  <c:v>5.0630810092961545</c:v>
                </c:pt>
                <c:pt idx="10">
                  <c:v>4.3229152523962355</c:v>
                </c:pt>
                <c:pt idx="11" formatCode="General">
                  <c:v>10.8</c:v>
                </c:pt>
                <c:pt idx="12" formatCode="General">
                  <c:v>2.8</c:v>
                </c:pt>
                <c:pt idx="13">
                  <c:v>4.0436408026245934</c:v>
                </c:pt>
                <c:pt idx="14">
                  <c:v>4.459930313588842</c:v>
                </c:pt>
                <c:pt idx="15" formatCode="General">
                  <c:v>4.2</c:v>
                </c:pt>
                <c:pt idx="16" formatCode="General">
                  <c:v>5.7</c:v>
                </c:pt>
                <c:pt idx="17">
                  <c:v>4.1785416758012985</c:v>
                </c:pt>
                <c:pt idx="18">
                  <c:v>3.8621034224331767</c:v>
                </c:pt>
                <c:pt idx="19">
                  <c:v>4.8158042744656395</c:v>
                </c:pt>
                <c:pt idx="20">
                  <c:v>4.6398585947856814</c:v>
                </c:pt>
                <c:pt idx="21">
                  <c:v>5.8929213079410765</c:v>
                </c:pt>
                <c:pt idx="22">
                  <c:v>7.2759856630824205</c:v>
                </c:pt>
                <c:pt idx="23">
                  <c:v>7.1166239345852773</c:v>
                </c:pt>
                <c:pt idx="24">
                  <c:v>7.0606074965644723</c:v>
                </c:pt>
                <c:pt idx="25">
                  <c:v>6.6862453232489694</c:v>
                </c:pt>
                <c:pt idx="26">
                  <c:v>6.5027094622759565</c:v>
                </c:pt>
                <c:pt idx="27">
                  <c:v>6.9102462271644072</c:v>
                </c:pt>
                <c:pt idx="28">
                  <c:v>10.498549195462974</c:v>
                </c:pt>
                <c:pt idx="29">
                  <c:v>14.442649434571894</c:v>
                </c:pt>
                <c:pt idx="30">
                  <c:v>9.2175234236513965</c:v>
                </c:pt>
                <c:pt idx="31">
                  <c:v>12.963329245618894</c:v>
                </c:pt>
                <c:pt idx="32">
                  <c:v>13.299462044231916</c:v>
                </c:pt>
                <c:pt idx="33">
                  <c:v>13.079117611604454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D5-46F0-90AD-BF040139C872}"/>
            </c:ext>
          </c:extLst>
        </c:ser>
        <c:ser>
          <c:idx val="5"/>
          <c:order val="2"/>
          <c:tx>
            <c:strRef>
              <c:f>'Trh práce 3'!$H$8</c:f>
              <c:strCache>
                <c:ptCount val="1"/>
                <c:pt idx="0">
                  <c:v>Průměrná nominál.mzda v odvětví: min.*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6"/>
            <c:spPr>
              <a:solidFill>
                <a:srgbClr val="48AEE7"/>
              </a:solidFill>
              <a:ln>
                <a:solidFill>
                  <a:srgbClr val="48AEE7"/>
                </a:solidFill>
              </a:ln>
            </c:spPr>
          </c:marker>
          <c:cat>
            <c:multiLvlStrRef>
              <c:f>'Trh práce 3'!$A$9:$B$42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3'!$H$9:$H$42</c:f>
              <c:numCache>
                <c:formatCode>0.0</c:formatCode>
                <c:ptCount val="34"/>
                <c:pt idx="0">
                  <c:v>-8.6123799023468131</c:v>
                </c:pt>
                <c:pt idx="1">
                  <c:v>-0.94530353532593359</c:v>
                </c:pt>
                <c:pt idx="2">
                  <c:v>-2.2820133878118742</c:v>
                </c:pt>
                <c:pt idx="3">
                  <c:v>-5.8817017822221356</c:v>
                </c:pt>
                <c:pt idx="4">
                  <c:v>-4.1645837338973255</c:v>
                </c:pt>
                <c:pt idx="5">
                  <c:v>-3.1317980646613202</c:v>
                </c:pt>
                <c:pt idx="6">
                  <c:v>-1.7721281192272755</c:v>
                </c:pt>
                <c:pt idx="7">
                  <c:v>-3.6904591617794287</c:v>
                </c:pt>
                <c:pt idx="8">
                  <c:v>0.77949953870195543</c:v>
                </c:pt>
                <c:pt idx="9">
                  <c:v>-2.0921058463720641</c:v>
                </c:pt>
                <c:pt idx="10">
                  <c:v>-2.1834061135371172</c:v>
                </c:pt>
                <c:pt idx="11" formatCode="General">
                  <c:v>-1.5</c:v>
                </c:pt>
                <c:pt idx="12" formatCode="General">
                  <c:v>-3.6</c:v>
                </c:pt>
                <c:pt idx="13">
                  <c:v>-7.4553296364756525</c:v>
                </c:pt>
                <c:pt idx="14">
                  <c:v>-1.5668645251396638</c:v>
                </c:pt>
                <c:pt idx="15" formatCode="General">
                  <c:v>-6.5</c:v>
                </c:pt>
                <c:pt idx="16" formatCode="General">
                  <c:v>1.9000000000000001</c:v>
                </c:pt>
                <c:pt idx="17">
                  <c:v>0.53674544020756865</c:v>
                </c:pt>
                <c:pt idx="18">
                  <c:v>-1.9081035923141199</c:v>
                </c:pt>
                <c:pt idx="19">
                  <c:v>-4.7124364184406744</c:v>
                </c:pt>
                <c:pt idx="20">
                  <c:v>-1.8071028211270601</c:v>
                </c:pt>
                <c:pt idx="21">
                  <c:v>-2.418905925813454</c:v>
                </c:pt>
                <c:pt idx="22">
                  <c:v>-1.5012815818381569</c:v>
                </c:pt>
                <c:pt idx="23">
                  <c:v>-0.5914446838751104</c:v>
                </c:pt>
                <c:pt idx="24">
                  <c:v>0.84669884771100201</c:v>
                </c:pt>
                <c:pt idx="25">
                  <c:v>1.0530408579852946</c:v>
                </c:pt>
                <c:pt idx="26">
                  <c:v>-0.26422697096807074</c:v>
                </c:pt>
                <c:pt idx="27">
                  <c:v>-4.8610348236844745</c:v>
                </c:pt>
                <c:pt idx="28">
                  <c:v>-0.92197650764485672</c:v>
                </c:pt>
                <c:pt idx="29">
                  <c:v>3.0504326544882328</c:v>
                </c:pt>
                <c:pt idx="30">
                  <c:v>2.6351878810895215</c:v>
                </c:pt>
                <c:pt idx="31">
                  <c:v>4.1497727829329314</c:v>
                </c:pt>
                <c:pt idx="32">
                  <c:v>3.3049180327868726</c:v>
                </c:pt>
                <c:pt idx="33">
                  <c:v>6.0981326666145845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D5-46F0-90AD-BF040139C872}"/>
            </c:ext>
          </c:extLst>
        </c:ser>
        <c:ser>
          <c:idx val="1"/>
          <c:order val="3"/>
          <c:tx>
            <c:strRef>
              <c:f>'Trh práce 3'!$D$8</c:f>
              <c:strCache>
                <c:ptCount val="1"/>
                <c:pt idx="0">
                  <c:v>Mediánová mzda (nominálně)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'Trh práce 3'!$A$9:$B$42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3'!$D$9:$D$42</c:f>
              <c:numCache>
                <c:formatCode>0.0</c:formatCode>
                <c:ptCount val="34"/>
                <c:pt idx="0">
                  <c:v>3.2000000000000042</c:v>
                </c:pt>
                <c:pt idx="1">
                  <c:v>2.5999999999999943</c:v>
                </c:pt>
                <c:pt idx="2">
                  <c:v>2.7999999999999972</c:v>
                </c:pt>
                <c:pt idx="3">
                  <c:v>1.7999999999999825</c:v>
                </c:pt>
                <c:pt idx="4">
                  <c:v>2.7999999999999972</c:v>
                </c:pt>
                <c:pt idx="5">
                  <c:v>2.2000000000000042</c:v>
                </c:pt>
                <c:pt idx="6">
                  <c:v>1.7000000000000028</c:v>
                </c:pt>
                <c:pt idx="7">
                  <c:v>2.2000000000000042</c:v>
                </c:pt>
                <c:pt idx="8">
                  <c:v>1.4000000000000057</c:v>
                </c:pt>
                <c:pt idx="9">
                  <c:v>1.2999999999999825</c:v>
                </c:pt>
                <c:pt idx="10">
                  <c:v>-0.40000000000000568</c:v>
                </c:pt>
                <c:pt idx="11">
                  <c:v>-0.59999999999999432</c:v>
                </c:pt>
                <c:pt idx="12">
                  <c:v>0.59999999999999432</c:v>
                </c:pt>
                <c:pt idx="13">
                  <c:v>1.4000000000000057</c:v>
                </c:pt>
                <c:pt idx="14">
                  <c:v>2.2999999999999972</c:v>
                </c:pt>
                <c:pt idx="15">
                  <c:v>1.2000000000000028</c:v>
                </c:pt>
                <c:pt idx="16">
                  <c:v>4.7000000000000028</c:v>
                </c:pt>
                <c:pt idx="17">
                  <c:v>3.2999999999999972</c:v>
                </c:pt>
                <c:pt idx="18">
                  <c:v>2.5999999999999943</c:v>
                </c:pt>
                <c:pt idx="19">
                  <c:v>2.2999999999999972</c:v>
                </c:pt>
                <c:pt idx="20">
                  <c:v>0.70000000000000284</c:v>
                </c:pt>
                <c:pt idx="21">
                  <c:v>2.2999999999999972</c:v>
                </c:pt>
                <c:pt idx="22">
                  <c:v>3.7999999999999972</c:v>
                </c:pt>
                <c:pt idx="23">
                  <c:v>4.7000000000000028</c:v>
                </c:pt>
                <c:pt idx="24">
                  <c:v>6.7000000000000028</c:v>
                </c:pt>
                <c:pt idx="25">
                  <c:v>4.5999999999999943</c:v>
                </c:pt>
                <c:pt idx="26">
                  <c:v>5.2999999999999972</c:v>
                </c:pt>
                <c:pt idx="27">
                  <c:v>6.2000000000000028</c:v>
                </c:pt>
                <c:pt idx="28">
                  <c:v>4.4000000000000083</c:v>
                </c:pt>
                <c:pt idx="29">
                  <c:v>7.4000000000000083</c:v>
                </c:pt>
                <c:pt idx="30">
                  <c:v>6.4000000000000083</c:v>
                </c:pt>
                <c:pt idx="31">
                  <c:v>8.4000000000000057</c:v>
                </c:pt>
                <c:pt idx="32">
                  <c:v>8.3000000000000025</c:v>
                </c:pt>
                <c:pt idx="33">
                  <c:v>9.4000000000000057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D5-46F0-90AD-BF040139C872}"/>
            </c:ext>
          </c:extLst>
        </c:ser>
        <c:ser>
          <c:idx val="3"/>
          <c:order val="5"/>
          <c:tx>
            <c:strRef>
              <c:f>'Trh práce 3'!$F$8</c:f>
              <c:strCache>
                <c:ptCount val="1"/>
                <c:pt idx="0">
                  <c:v>Produktivita práce v NH (reálně)**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'Trh práce 3'!$A$9:$B$42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3'!$F$9:$F$42</c:f>
              <c:numCache>
                <c:formatCode>0.0</c:formatCode>
                <c:ptCount val="34"/>
                <c:pt idx="0">
                  <c:v>3.5332846838865208</c:v>
                </c:pt>
                <c:pt idx="1">
                  <c:v>4.425122650740704</c:v>
                </c:pt>
                <c:pt idx="2">
                  <c:v>2.3152819998793177</c:v>
                </c:pt>
                <c:pt idx="3">
                  <c:v>2.9717863026053952</c:v>
                </c:pt>
                <c:pt idx="4">
                  <c:v>2.9527260280244576</c:v>
                </c:pt>
                <c:pt idx="5">
                  <c:v>2.0923191727528945</c:v>
                </c:pt>
                <c:pt idx="6">
                  <c:v>1.8080251400873806</c:v>
                </c:pt>
                <c:pt idx="7">
                  <c:v>1.5019620723850398</c:v>
                </c:pt>
                <c:pt idx="8">
                  <c:v>0.41537995919813397</c:v>
                </c:pt>
                <c:pt idx="9">
                  <c:v>-1.2819231607881099</c:v>
                </c:pt>
                <c:pt idx="10">
                  <c:v>-1.8249350322319771</c:v>
                </c:pt>
                <c:pt idx="11">
                  <c:v>-2.0588258996494337</c:v>
                </c:pt>
                <c:pt idx="12">
                  <c:v>-2.880281042172061</c:v>
                </c:pt>
                <c:pt idx="13">
                  <c:v>-1.827948004663384</c:v>
                </c:pt>
                <c:pt idx="14">
                  <c:v>0.40461936993752362</c:v>
                </c:pt>
                <c:pt idx="15">
                  <c:v>0.95515229453815265</c:v>
                </c:pt>
                <c:pt idx="16">
                  <c:v>1.7448585072078089</c:v>
                </c:pt>
                <c:pt idx="17">
                  <c:v>2.7515963261383551</c:v>
                </c:pt>
                <c:pt idx="18">
                  <c:v>3.0294730201186377</c:v>
                </c:pt>
                <c:pt idx="19">
                  <c:v>1.0840279704352833</c:v>
                </c:pt>
                <c:pt idx="20">
                  <c:v>3.7518410336967767</c:v>
                </c:pt>
                <c:pt idx="21">
                  <c:v>4.1202609165826694</c:v>
                </c:pt>
                <c:pt idx="22">
                  <c:v>3.76028698995718</c:v>
                </c:pt>
                <c:pt idx="23">
                  <c:v>3.6745015563025119</c:v>
                </c:pt>
                <c:pt idx="24">
                  <c:v>1.4752745888902719</c:v>
                </c:pt>
                <c:pt idx="25">
                  <c:v>2.068731372109335</c:v>
                </c:pt>
                <c:pt idx="26">
                  <c:v>6.7689948363209768E-2</c:v>
                </c:pt>
                <c:pt idx="27">
                  <c:v>-0.12588932224844027</c:v>
                </c:pt>
                <c:pt idx="28">
                  <c:v>2.0723573940323381</c:v>
                </c:pt>
                <c:pt idx="29">
                  <c:v>2.2918535909504807</c:v>
                </c:pt>
                <c:pt idx="30">
                  <c:v>2.8518670355446707</c:v>
                </c:pt>
                <c:pt idx="31">
                  <c:v>3.4817265702648825</c:v>
                </c:pt>
                <c:pt idx="32">
                  <c:v>1.5689331910996598</c:v>
                </c:pt>
                <c:pt idx="33">
                  <c:v>0.78667321908767462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5D5-46F0-90AD-BF040139C872}"/>
            </c:ext>
          </c:extLst>
        </c:ser>
        <c:marker val="1"/>
        <c:axId val="126972288"/>
        <c:axId val="126974208"/>
      </c:lineChart>
      <c:catAx>
        <c:axId val="126972288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6974208"/>
        <c:crosses val="autoZero"/>
        <c:auto val="1"/>
        <c:lblAlgn val="ctr"/>
        <c:lblOffset val="0"/>
        <c:tickMarkSkip val="4"/>
      </c:catAx>
      <c:valAx>
        <c:axId val="126974208"/>
        <c:scaling>
          <c:orientation val="minMax"/>
          <c:max val="15"/>
          <c:min val="-9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6972288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672385016341923E-2"/>
          <c:y val="0.88298129251700685"/>
          <c:w val="0.94307265361592563"/>
          <c:h val="0.10621938775510203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4557159743329959E-2"/>
          <c:y val="2.1711264016309895E-2"/>
          <c:w val="0.93757303275920301"/>
          <c:h val="0.73130361364405316"/>
        </c:manualLayout>
      </c:layout>
      <c:barChart>
        <c:barDir val="col"/>
        <c:grouping val="clustered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multiLvlStrRef>
              <c:f>'Měnové podmínky 1'!$A$30:$B$83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1'!$C$30:$C$83</c:f>
              <c:numCache>
                <c:formatCode>0.00</c:formatCode>
                <c:ptCount val="54"/>
                <c:pt idx="0">
                  <c:v>5.0000000000000024E-2</c:v>
                </c:pt>
                <c:pt idx="1">
                  <c:v>5.0000000000000024E-2</c:v>
                </c:pt>
                <c:pt idx="2">
                  <c:v>5.0000000000000024E-2</c:v>
                </c:pt>
                <c:pt idx="3">
                  <c:v>5.0000000000000024E-2</c:v>
                </c:pt>
                <c:pt idx="4">
                  <c:v>5.0000000000000024E-2</c:v>
                </c:pt>
                <c:pt idx="5">
                  <c:v>5.0000000000000024E-2</c:v>
                </c:pt>
                <c:pt idx="6">
                  <c:v>5.0000000000000024E-2</c:v>
                </c:pt>
                <c:pt idx="7">
                  <c:v>5.0000000000000024E-2</c:v>
                </c:pt>
                <c:pt idx="8">
                  <c:v>5.0000000000000024E-2</c:v>
                </c:pt>
                <c:pt idx="9">
                  <c:v>5.0000000000000024E-2</c:v>
                </c:pt>
                <c:pt idx="10">
                  <c:v>5.0000000000000024E-2</c:v>
                </c:pt>
                <c:pt idx="11">
                  <c:v>5.0000000000000024E-2</c:v>
                </c:pt>
                <c:pt idx="12">
                  <c:v>5.0000000000000024E-2</c:v>
                </c:pt>
                <c:pt idx="13">
                  <c:v>5.0000000000000024E-2</c:v>
                </c:pt>
                <c:pt idx="14">
                  <c:v>5.0000000000000024E-2</c:v>
                </c:pt>
                <c:pt idx="15">
                  <c:v>5.0000000000000024E-2</c:v>
                </c:pt>
                <c:pt idx="16">
                  <c:v>5.0000000000000024E-2</c:v>
                </c:pt>
                <c:pt idx="17">
                  <c:v>5.0000000000000024E-2</c:v>
                </c:pt>
                <c:pt idx="18">
                  <c:v>5.0000000000000024E-2</c:v>
                </c:pt>
                <c:pt idx="19">
                  <c:v>5.0000000000000024E-2</c:v>
                </c:pt>
                <c:pt idx="20">
                  <c:v>5.0000000000000024E-2</c:v>
                </c:pt>
                <c:pt idx="21">
                  <c:v>5.0000000000000024E-2</c:v>
                </c:pt>
                <c:pt idx="22">
                  <c:v>5.0000000000000024E-2</c:v>
                </c:pt>
                <c:pt idx="23">
                  <c:v>5.0000000000000024E-2</c:v>
                </c:pt>
                <c:pt idx="24" formatCode="General">
                  <c:v>5.0000000000000024E-2</c:v>
                </c:pt>
                <c:pt idx="25" formatCode="General">
                  <c:v>5.0000000000000024E-2</c:v>
                </c:pt>
                <c:pt idx="26" formatCode="General">
                  <c:v>5.0000000000000024E-2</c:v>
                </c:pt>
                <c:pt idx="27" formatCode="General">
                  <c:v>5.0000000000000024E-2</c:v>
                </c:pt>
                <c:pt idx="28" formatCode="General">
                  <c:v>5.0000000000000024E-2</c:v>
                </c:pt>
                <c:pt idx="29" formatCode="General">
                  <c:v>5.0000000000000024E-2</c:v>
                </c:pt>
                <c:pt idx="30" formatCode="General">
                  <c:v>5.0000000000000024E-2</c:v>
                </c:pt>
                <c:pt idx="31" formatCode="General">
                  <c:v>5.0000000000000024E-2</c:v>
                </c:pt>
                <c:pt idx="32" formatCode="General">
                  <c:v>5.0000000000000024E-2</c:v>
                </c:pt>
                <c:pt idx="33" formatCode="General">
                  <c:v>5.0000000000000024E-2</c:v>
                </c:pt>
                <c:pt idx="34" formatCode="General">
                  <c:v>5.0000000000000024E-2</c:v>
                </c:pt>
                <c:pt idx="35" formatCode="General">
                  <c:v>5.0000000000000024E-2</c:v>
                </c:pt>
                <c:pt idx="36" formatCode="General">
                  <c:v>5.0000000000000024E-2</c:v>
                </c:pt>
                <c:pt idx="37" formatCode="General">
                  <c:v>5.0000000000000024E-2</c:v>
                </c:pt>
                <c:pt idx="38" formatCode="General">
                  <c:v>5.0000000000000024E-2</c:v>
                </c:pt>
                <c:pt idx="39" formatCode="General">
                  <c:v>5.0000000000000024E-2</c:v>
                </c:pt>
                <c:pt idx="40" formatCode="General">
                  <c:v>5.0000000000000024E-2</c:v>
                </c:pt>
                <c:pt idx="41" formatCode="General">
                  <c:v>5.0000000000000024E-2</c:v>
                </c:pt>
                <c:pt idx="42" formatCode="General">
                  <c:v>5.0000000000000024E-2</c:v>
                </c:pt>
                <c:pt idx="43" formatCode="General">
                  <c:v>0.25</c:v>
                </c:pt>
                <c:pt idx="44" formatCode="General">
                  <c:v>0.25</c:v>
                </c:pt>
                <c:pt idx="45" formatCode="General">
                  <c:v>0.25</c:v>
                </c:pt>
                <c:pt idx="46" formatCode="General">
                  <c:v>0.5</c:v>
                </c:pt>
                <c:pt idx="47" formatCode="General">
                  <c:v>0.5</c:v>
                </c:pt>
                <c:pt idx="48" formatCode="General">
                  <c:v>0.5</c:v>
                </c:pt>
                <c:pt idx="49" formatCode="General">
                  <c:v>0.75000000000000477</c:v>
                </c:pt>
                <c:pt idx="50" formatCode="General">
                  <c:v>0.75000000000000477</c:v>
                </c:pt>
                <c:pt idx="51" formatCode="General">
                  <c:v>0.75000000000000477</c:v>
                </c:pt>
                <c:pt idx="52" formatCode="General">
                  <c:v>0.75000000000000477</c:v>
                </c:pt>
                <c:pt idx="53" formatCode="General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D0-4AE7-9040-45701B645298}"/>
            </c:ext>
          </c:extLst>
        </c:ser>
        <c:gapWidth val="31"/>
        <c:axId val="127086976"/>
        <c:axId val="127088512"/>
      </c:barChart>
      <c:lineChart>
        <c:grouping val="standard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1'!$A$30:$B$83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1'!$F$30:$F$83</c:f>
              <c:numCache>
                <c:formatCode>General</c:formatCode>
                <c:ptCount val="54"/>
                <c:pt idx="0">
                  <c:v>0.23</c:v>
                </c:pt>
                <c:pt idx="1">
                  <c:v>0.28000000000000008</c:v>
                </c:pt>
                <c:pt idx="2">
                  <c:v>0.26</c:v>
                </c:pt>
                <c:pt idx="3">
                  <c:v>0.23</c:v>
                </c:pt>
                <c:pt idx="4">
                  <c:v>0.21000000000000021</c:v>
                </c:pt>
                <c:pt idx="5">
                  <c:v>0.24000000000000021</c:v>
                </c:pt>
                <c:pt idx="6">
                  <c:v>0.23</c:v>
                </c:pt>
                <c:pt idx="7">
                  <c:v>0.18000000000000024</c:v>
                </c:pt>
                <c:pt idx="8">
                  <c:v>0.14000000000000001</c:v>
                </c:pt>
                <c:pt idx="9">
                  <c:v>0.1</c:v>
                </c:pt>
                <c:pt idx="10">
                  <c:v>0.12000000000000002</c:v>
                </c:pt>
                <c:pt idx="11">
                  <c:v>0.13</c:v>
                </c:pt>
                <c:pt idx="12">
                  <c:v>9.0000000000000066E-2</c:v>
                </c:pt>
                <c:pt idx="13">
                  <c:v>6.0000000000000032E-2</c:v>
                </c:pt>
                <c:pt idx="14">
                  <c:v>4.0000000000000022E-2</c:v>
                </c:pt>
                <c:pt idx="15">
                  <c:v>-3.0000000000000016E-2</c:v>
                </c:pt>
                <c:pt idx="16">
                  <c:v>4.0000000000000022E-2</c:v>
                </c:pt>
                <c:pt idx="17">
                  <c:v>0.11000000000000001</c:v>
                </c:pt>
                <c:pt idx="18">
                  <c:v>2.0000000000000011E-2</c:v>
                </c:pt>
                <c:pt idx="19">
                  <c:v>-7.0000000000000034E-2</c:v>
                </c:pt>
                <c:pt idx="20">
                  <c:v>-0.30000000000000032</c:v>
                </c:pt>
                <c:pt idx="21">
                  <c:v>-0.28000000000000008</c:v>
                </c:pt>
                <c:pt idx="22">
                  <c:v>-0.3300000000000029</c:v>
                </c:pt>
                <c:pt idx="23">
                  <c:v>-0.38000000000000256</c:v>
                </c:pt>
                <c:pt idx="24">
                  <c:v>-0.21000000000000021</c:v>
                </c:pt>
                <c:pt idx="25">
                  <c:v>-0.18000000000000024</c:v>
                </c:pt>
                <c:pt idx="26">
                  <c:v>-0.17</c:v>
                </c:pt>
                <c:pt idx="27">
                  <c:v>-8.0000000000000043E-2</c:v>
                </c:pt>
                <c:pt idx="28">
                  <c:v>-4.0000000000000022E-2</c:v>
                </c:pt>
                <c:pt idx="29">
                  <c:v>-5.0000000000000024E-2</c:v>
                </c:pt>
                <c:pt idx="30">
                  <c:v>-0.13</c:v>
                </c:pt>
                <c:pt idx="31">
                  <c:v>-0.22000000000000003</c:v>
                </c:pt>
                <c:pt idx="32">
                  <c:v>-0.5</c:v>
                </c:pt>
                <c:pt idx="33">
                  <c:v>-0.74000000000000365</c:v>
                </c:pt>
                <c:pt idx="34">
                  <c:v>-0.73000000000000065</c:v>
                </c:pt>
                <c:pt idx="35">
                  <c:v>-0.81</c:v>
                </c:pt>
                <c:pt idx="36">
                  <c:v>-0.88000000000000012</c:v>
                </c:pt>
                <c:pt idx="37">
                  <c:v>-0.53</c:v>
                </c:pt>
                <c:pt idx="38">
                  <c:v>-0.44000000000000006</c:v>
                </c:pt>
                <c:pt idx="39">
                  <c:v>-0.23</c:v>
                </c:pt>
                <c:pt idx="40">
                  <c:v>-0.24000000000000021</c:v>
                </c:pt>
                <c:pt idx="41">
                  <c:v>-0.25</c:v>
                </c:pt>
                <c:pt idx="42">
                  <c:v>-0.29000000000000031</c:v>
                </c:pt>
                <c:pt idx="43">
                  <c:v>-0.3300000000000029</c:v>
                </c:pt>
                <c:pt idx="44">
                  <c:v>-0.29000000000000031</c:v>
                </c:pt>
                <c:pt idx="45">
                  <c:v>0.12000000000000002</c:v>
                </c:pt>
                <c:pt idx="46">
                  <c:v>0.31000000000000233</c:v>
                </c:pt>
                <c:pt idx="47">
                  <c:v>0.19000000000000003</c:v>
                </c:pt>
                <c:pt idx="48">
                  <c:v>0.46</c:v>
                </c:pt>
                <c:pt idx="49">
                  <c:v>0.55000000000000004</c:v>
                </c:pt>
                <c:pt idx="50">
                  <c:v>0.62000000000000466</c:v>
                </c:pt>
                <c:pt idx="51">
                  <c:v>0.60000000000000064</c:v>
                </c:pt>
                <c:pt idx="52">
                  <c:v>0.70000000000000062</c:v>
                </c:pt>
                <c:pt idx="53">
                  <c:v>0.89000000000000012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D0-4AE7-9040-45701B645298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1'!$A$30:$B$83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1'!$D$30:$D$83</c:f>
              <c:numCache>
                <c:formatCode>General</c:formatCode>
                <c:ptCount val="54"/>
                <c:pt idx="0">
                  <c:v>0.37000000000000038</c:v>
                </c:pt>
                <c:pt idx="1">
                  <c:v>0.37000000000000038</c:v>
                </c:pt>
                <c:pt idx="2">
                  <c:v>0.37000000000000038</c:v>
                </c:pt>
                <c:pt idx="3">
                  <c:v>0.37000000000000038</c:v>
                </c:pt>
                <c:pt idx="4">
                  <c:v>0.37000000000000038</c:v>
                </c:pt>
                <c:pt idx="5">
                  <c:v>0.35000000000000031</c:v>
                </c:pt>
                <c:pt idx="6">
                  <c:v>0.35000000000000031</c:v>
                </c:pt>
                <c:pt idx="7">
                  <c:v>0.35000000000000031</c:v>
                </c:pt>
                <c:pt idx="8">
                  <c:v>0.35000000000000031</c:v>
                </c:pt>
                <c:pt idx="9">
                  <c:v>0.35000000000000031</c:v>
                </c:pt>
                <c:pt idx="10">
                  <c:v>0.34000000000000008</c:v>
                </c:pt>
                <c:pt idx="11">
                  <c:v>0.34000000000000008</c:v>
                </c:pt>
                <c:pt idx="12">
                  <c:v>0.3300000000000029</c:v>
                </c:pt>
                <c:pt idx="13">
                  <c:v>0.3300000000000029</c:v>
                </c:pt>
                <c:pt idx="14">
                  <c:v>0.32000000000000262</c:v>
                </c:pt>
                <c:pt idx="15">
                  <c:v>0.31000000000000233</c:v>
                </c:pt>
                <c:pt idx="16">
                  <c:v>0.31000000000000233</c:v>
                </c:pt>
                <c:pt idx="17">
                  <c:v>0.31000000000000233</c:v>
                </c:pt>
                <c:pt idx="18">
                  <c:v>0.31000000000000233</c:v>
                </c:pt>
                <c:pt idx="19">
                  <c:v>0.31000000000000233</c:v>
                </c:pt>
                <c:pt idx="20">
                  <c:v>0.30000000000000032</c:v>
                </c:pt>
                <c:pt idx="21">
                  <c:v>0.29000000000000031</c:v>
                </c:pt>
                <c:pt idx="22">
                  <c:v>0.29000000000000031</c:v>
                </c:pt>
                <c:pt idx="23">
                  <c:v>0.29000000000000031</c:v>
                </c:pt>
                <c:pt idx="24">
                  <c:v>0.29000000000000031</c:v>
                </c:pt>
                <c:pt idx="25">
                  <c:v>0.28000000000000008</c:v>
                </c:pt>
                <c:pt idx="26">
                  <c:v>0.29000000000000031</c:v>
                </c:pt>
                <c:pt idx="27">
                  <c:v>0.29000000000000031</c:v>
                </c:pt>
                <c:pt idx="28">
                  <c:v>0.29000000000000031</c:v>
                </c:pt>
                <c:pt idx="29">
                  <c:v>0.29000000000000031</c:v>
                </c:pt>
                <c:pt idx="30">
                  <c:v>0.29000000000000031</c:v>
                </c:pt>
                <c:pt idx="31">
                  <c:v>0.29000000000000031</c:v>
                </c:pt>
                <c:pt idx="32">
                  <c:v>0.29000000000000031</c:v>
                </c:pt>
                <c:pt idx="33">
                  <c:v>0.29000000000000031</c:v>
                </c:pt>
                <c:pt idx="34">
                  <c:v>0.29000000000000031</c:v>
                </c:pt>
                <c:pt idx="35">
                  <c:v>0.29000000000000031</c:v>
                </c:pt>
                <c:pt idx="36">
                  <c:v>0.28000000000000008</c:v>
                </c:pt>
                <c:pt idx="37">
                  <c:v>0.28000000000000008</c:v>
                </c:pt>
                <c:pt idx="38">
                  <c:v>0.28000000000000008</c:v>
                </c:pt>
                <c:pt idx="39">
                  <c:v>0.29000000000000031</c:v>
                </c:pt>
                <c:pt idx="40">
                  <c:v>0.30000000000000032</c:v>
                </c:pt>
                <c:pt idx="41">
                  <c:v>0.30000000000000032</c:v>
                </c:pt>
                <c:pt idx="42">
                  <c:v>0.30000000000000032</c:v>
                </c:pt>
                <c:pt idx="43">
                  <c:v>0.43000000000000038</c:v>
                </c:pt>
                <c:pt idx="44">
                  <c:v>0.46</c:v>
                </c:pt>
                <c:pt idx="45">
                  <c:v>0.51</c:v>
                </c:pt>
                <c:pt idx="46">
                  <c:v>0.71000000000000063</c:v>
                </c:pt>
                <c:pt idx="47">
                  <c:v>0.75000000000000477</c:v>
                </c:pt>
                <c:pt idx="48">
                  <c:v>0.77000000000000512</c:v>
                </c:pt>
                <c:pt idx="49">
                  <c:v>0.9</c:v>
                </c:pt>
                <c:pt idx="50">
                  <c:v>0.9</c:v>
                </c:pt>
                <c:pt idx="51">
                  <c:v>0.9</c:v>
                </c:pt>
                <c:pt idx="52">
                  <c:v>0.9</c:v>
                </c:pt>
                <c:pt idx="53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D0-4AE7-9040-45701B645298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1'!$A$30:$B$83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1'!$G$30:$G$83</c:f>
              <c:numCache>
                <c:formatCode>General</c:formatCode>
                <c:ptCount val="54"/>
                <c:pt idx="0">
                  <c:v>1.0900000000000001</c:v>
                </c:pt>
                <c:pt idx="1">
                  <c:v>1.2</c:v>
                </c:pt>
                <c:pt idx="2">
                  <c:v>1.1399999999999895</c:v>
                </c:pt>
                <c:pt idx="3">
                  <c:v>0.99</c:v>
                </c:pt>
                <c:pt idx="4">
                  <c:v>0.8</c:v>
                </c:pt>
                <c:pt idx="5">
                  <c:v>0.6800000000000006</c:v>
                </c:pt>
                <c:pt idx="6">
                  <c:v>0.65000000000000535</c:v>
                </c:pt>
                <c:pt idx="7">
                  <c:v>0.62000000000000466</c:v>
                </c:pt>
                <c:pt idx="8">
                  <c:v>0.51</c:v>
                </c:pt>
                <c:pt idx="9">
                  <c:v>0.37000000000000038</c:v>
                </c:pt>
                <c:pt idx="10">
                  <c:v>0.24000000000000021</c:v>
                </c:pt>
                <c:pt idx="11">
                  <c:v>0.22000000000000003</c:v>
                </c:pt>
                <c:pt idx="12">
                  <c:v>0.13</c:v>
                </c:pt>
                <c:pt idx="13">
                  <c:v>0.17</c:v>
                </c:pt>
                <c:pt idx="14">
                  <c:v>0.14000000000000001</c:v>
                </c:pt>
                <c:pt idx="15">
                  <c:v>5.0000000000000024E-2</c:v>
                </c:pt>
                <c:pt idx="16">
                  <c:v>0.22000000000000003</c:v>
                </c:pt>
                <c:pt idx="17">
                  <c:v>0.43000000000000038</c:v>
                </c:pt>
                <c:pt idx="18">
                  <c:v>0.35000000000000031</c:v>
                </c:pt>
                <c:pt idx="19">
                  <c:v>0.2</c:v>
                </c:pt>
                <c:pt idx="20">
                  <c:v>6.0000000000000032E-2</c:v>
                </c:pt>
                <c:pt idx="21">
                  <c:v>-5.0000000000000024E-2</c:v>
                </c:pt>
                <c:pt idx="22">
                  <c:v>-5.0000000000000024E-2</c:v>
                </c:pt>
                <c:pt idx="23">
                  <c:v>-0.11000000000000001</c:v>
                </c:pt>
                <c:pt idx="24">
                  <c:v>4.0000000000000022E-2</c:v>
                </c:pt>
                <c:pt idx="25">
                  <c:v>-8.0000000000000043E-2</c:v>
                </c:pt>
                <c:pt idx="26">
                  <c:v>-0.1</c:v>
                </c:pt>
                <c:pt idx="27">
                  <c:v>4.0000000000000022E-2</c:v>
                </c:pt>
                <c:pt idx="28">
                  <c:v>7.0000000000000034E-2</c:v>
                </c:pt>
                <c:pt idx="29">
                  <c:v>5.0000000000000024E-2</c:v>
                </c:pt>
                <c:pt idx="30">
                  <c:v>-2.0000000000000011E-2</c:v>
                </c:pt>
                <c:pt idx="31">
                  <c:v>-9.0000000000000066E-2</c:v>
                </c:pt>
                <c:pt idx="32">
                  <c:v>-0.19000000000000003</c:v>
                </c:pt>
                <c:pt idx="33">
                  <c:v>-0.17</c:v>
                </c:pt>
                <c:pt idx="34">
                  <c:v>-0.17</c:v>
                </c:pt>
                <c:pt idx="35">
                  <c:v>-0.21000000000000021</c:v>
                </c:pt>
                <c:pt idx="36">
                  <c:v>-0.22000000000000003</c:v>
                </c:pt>
                <c:pt idx="37">
                  <c:v>9.0000000000000066E-2</c:v>
                </c:pt>
                <c:pt idx="38">
                  <c:v>0.1</c:v>
                </c:pt>
                <c:pt idx="39">
                  <c:v>0.16000000000000003</c:v>
                </c:pt>
                <c:pt idx="40">
                  <c:v>4.0000000000000022E-2</c:v>
                </c:pt>
                <c:pt idx="41">
                  <c:v>-3.0000000000000016E-2</c:v>
                </c:pt>
                <c:pt idx="42">
                  <c:v>0.14000000000000001</c:v>
                </c:pt>
                <c:pt idx="43">
                  <c:v>9.0000000000000066E-2</c:v>
                </c:pt>
                <c:pt idx="44">
                  <c:v>0.1</c:v>
                </c:pt>
                <c:pt idx="45">
                  <c:v>0.63000000000000522</c:v>
                </c:pt>
                <c:pt idx="46">
                  <c:v>0.87000000000000466</c:v>
                </c:pt>
                <c:pt idx="47">
                  <c:v>0.6800000000000006</c:v>
                </c:pt>
                <c:pt idx="48">
                  <c:v>0.99</c:v>
                </c:pt>
                <c:pt idx="49">
                  <c:v>1.07</c:v>
                </c:pt>
                <c:pt idx="50">
                  <c:v>1.0900000000000001</c:v>
                </c:pt>
                <c:pt idx="51">
                  <c:v>1.05</c:v>
                </c:pt>
                <c:pt idx="52">
                  <c:v>1.21</c:v>
                </c:pt>
                <c:pt idx="53">
                  <c:v>1.41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D0-4AE7-9040-45701B645298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1'!$A$30:$B$83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1'!$E$30:$E$83</c:f>
              <c:numCache>
                <c:formatCode>General</c:formatCode>
                <c:ptCount val="54"/>
                <c:pt idx="0">
                  <c:v>0.58000000000000018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0.55000000000000004</c:v>
                </c:pt>
                <c:pt idx="4">
                  <c:v>0.54</c:v>
                </c:pt>
                <c:pt idx="5">
                  <c:v>0.53</c:v>
                </c:pt>
                <c:pt idx="6">
                  <c:v>0.52</c:v>
                </c:pt>
                <c:pt idx="7">
                  <c:v>0.52</c:v>
                </c:pt>
                <c:pt idx="8">
                  <c:v>0.52</c:v>
                </c:pt>
                <c:pt idx="9">
                  <c:v>0.52</c:v>
                </c:pt>
                <c:pt idx="10">
                  <c:v>0.51</c:v>
                </c:pt>
                <c:pt idx="11">
                  <c:v>0.51</c:v>
                </c:pt>
                <c:pt idx="12">
                  <c:v>0.51</c:v>
                </c:pt>
                <c:pt idx="13">
                  <c:v>0.51</c:v>
                </c:pt>
                <c:pt idx="14">
                  <c:v>0.49000000000000032</c:v>
                </c:pt>
                <c:pt idx="15">
                  <c:v>0.48000000000000032</c:v>
                </c:pt>
                <c:pt idx="16">
                  <c:v>0.48000000000000032</c:v>
                </c:pt>
                <c:pt idx="17">
                  <c:v>0.48000000000000032</c:v>
                </c:pt>
                <c:pt idx="18">
                  <c:v>0.48000000000000032</c:v>
                </c:pt>
                <c:pt idx="19">
                  <c:v>0.48000000000000032</c:v>
                </c:pt>
                <c:pt idx="20">
                  <c:v>0.47000000000000008</c:v>
                </c:pt>
                <c:pt idx="21">
                  <c:v>0.46</c:v>
                </c:pt>
                <c:pt idx="22">
                  <c:v>0.46</c:v>
                </c:pt>
                <c:pt idx="23">
                  <c:v>0.46</c:v>
                </c:pt>
                <c:pt idx="24">
                  <c:v>0.45</c:v>
                </c:pt>
                <c:pt idx="25">
                  <c:v>0.45</c:v>
                </c:pt>
                <c:pt idx="26">
                  <c:v>0.45</c:v>
                </c:pt>
                <c:pt idx="27">
                  <c:v>0.45</c:v>
                </c:pt>
                <c:pt idx="28">
                  <c:v>0.45</c:v>
                </c:pt>
                <c:pt idx="29">
                  <c:v>0.45</c:v>
                </c:pt>
                <c:pt idx="30">
                  <c:v>0.45</c:v>
                </c:pt>
                <c:pt idx="31">
                  <c:v>0.45</c:v>
                </c:pt>
                <c:pt idx="32">
                  <c:v>0.45</c:v>
                </c:pt>
                <c:pt idx="33">
                  <c:v>0.45</c:v>
                </c:pt>
                <c:pt idx="34">
                  <c:v>0.45</c:v>
                </c:pt>
                <c:pt idx="35">
                  <c:v>0.45</c:v>
                </c:pt>
                <c:pt idx="36">
                  <c:v>0.44000000000000006</c:v>
                </c:pt>
                <c:pt idx="37">
                  <c:v>0.44000000000000006</c:v>
                </c:pt>
                <c:pt idx="38">
                  <c:v>0.44000000000000006</c:v>
                </c:pt>
                <c:pt idx="39">
                  <c:v>0.45</c:v>
                </c:pt>
                <c:pt idx="40">
                  <c:v>0.46</c:v>
                </c:pt>
                <c:pt idx="41">
                  <c:v>0.46</c:v>
                </c:pt>
                <c:pt idx="42">
                  <c:v>0.47000000000000008</c:v>
                </c:pt>
                <c:pt idx="43">
                  <c:v>0.60000000000000064</c:v>
                </c:pt>
                <c:pt idx="44">
                  <c:v>0.64000000000000523</c:v>
                </c:pt>
                <c:pt idx="45">
                  <c:v>0.69000000000000061</c:v>
                </c:pt>
                <c:pt idx="46">
                  <c:v>0.91</c:v>
                </c:pt>
                <c:pt idx="47">
                  <c:v>0.96000000000000063</c:v>
                </c:pt>
                <c:pt idx="48">
                  <c:v>0.98</c:v>
                </c:pt>
                <c:pt idx="49">
                  <c:v>1.1100000000000001</c:v>
                </c:pt>
                <c:pt idx="50">
                  <c:v>1.1200000000000001</c:v>
                </c:pt>
                <c:pt idx="51">
                  <c:v>1.1200000000000001</c:v>
                </c:pt>
                <c:pt idx="52">
                  <c:v>1.1200000000000001</c:v>
                </c:pt>
                <c:pt idx="53">
                  <c:v>1.1499999999999895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1D0-4AE7-9040-45701B645298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1'!$A$30:$B$83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1'!$H$30:$H$83</c:f>
              <c:numCache>
                <c:formatCode>General</c:formatCode>
                <c:ptCount val="54"/>
                <c:pt idx="0">
                  <c:v>2.4299999999999997</c:v>
                </c:pt>
                <c:pt idx="1">
                  <c:v>2.2799999999999998</c:v>
                </c:pt>
                <c:pt idx="2">
                  <c:v>2.2000000000000002</c:v>
                </c:pt>
                <c:pt idx="3">
                  <c:v>2</c:v>
                </c:pt>
                <c:pt idx="4">
                  <c:v>1.7300000000000002</c:v>
                </c:pt>
                <c:pt idx="5">
                  <c:v>1.55</c:v>
                </c:pt>
                <c:pt idx="6">
                  <c:v>1.49</c:v>
                </c:pt>
                <c:pt idx="7">
                  <c:v>1.3800000000000001</c:v>
                </c:pt>
                <c:pt idx="8">
                  <c:v>1.21</c:v>
                </c:pt>
                <c:pt idx="9">
                  <c:v>1.1000000000000001</c:v>
                </c:pt>
                <c:pt idx="10">
                  <c:v>0.87000000000000466</c:v>
                </c:pt>
                <c:pt idx="11">
                  <c:v>0.67000000000000604</c:v>
                </c:pt>
                <c:pt idx="12">
                  <c:v>0.35000000000000031</c:v>
                </c:pt>
                <c:pt idx="13">
                  <c:v>0.4</c:v>
                </c:pt>
                <c:pt idx="14">
                  <c:v>0.35000000000000031</c:v>
                </c:pt>
                <c:pt idx="15">
                  <c:v>0.26</c:v>
                </c:pt>
                <c:pt idx="16">
                  <c:v>0.60000000000000064</c:v>
                </c:pt>
                <c:pt idx="17">
                  <c:v>1.01</c:v>
                </c:pt>
                <c:pt idx="18">
                  <c:v>0.97000000000000064</c:v>
                </c:pt>
                <c:pt idx="19">
                  <c:v>0.74000000000000365</c:v>
                </c:pt>
                <c:pt idx="20">
                  <c:v>0.6800000000000006</c:v>
                </c:pt>
                <c:pt idx="21">
                  <c:v>0.56000000000000005</c:v>
                </c:pt>
                <c:pt idx="22">
                  <c:v>0.49000000000000032</c:v>
                </c:pt>
                <c:pt idx="23">
                  <c:v>0.49000000000000032</c:v>
                </c:pt>
                <c:pt idx="24">
                  <c:v>0.62000000000000466</c:v>
                </c:pt>
                <c:pt idx="25">
                  <c:v>0.46</c:v>
                </c:pt>
                <c:pt idx="26">
                  <c:v>0.35000000000000031</c:v>
                </c:pt>
                <c:pt idx="27">
                  <c:v>0.43000000000000038</c:v>
                </c:pt>
                <c:pt idx="28">
                  <c:v>0.46</c:v>
                </c:pt>
                <c:pt idx="29">
                  <c:v>0.45</c:v>
                </c:pt>
                <c:pt idx="30">
                  <c:v>0.37000000000000038</c:v>
                </c:pt>
                <c:pt idx="31">
                  <c:v>0.29000000000000031</c:v>
                </c:pt>
                <c:pt idx="32">
                  <c:v>0.25</c:v>
                </c:pt>
                <c:pt idx="33">
                  <c:v>0.37000000000000038</c:v>
                </c:pt>
                <c:pt idx="34">
                  <c:v>0.55000000000000004</c:v>
                </c:pt>
                <c:pt idx="35">
                  <c:v>0.53</c:v>
                </c:pt>
                <c:pt idx="36">
                  <c:v>0.47000000000000008</c:v>
                </c:pt>
                <c:pt idx="37">
                  <c:v>0.63000000000000522</c:v>
                </c:pt>
                <c:pt idx="38">
                  <c:v>0.87000000000000466</c:v>
                </c:pt>
                <c:pt idx="39">
                  <c:v>0.96000000000000063</c:v>
                </c:pt>
                <c:pt idx="40">
                  <c:v>0.74000000000000365</c:v>
                </c:pt>
                <c:pt idx="41">
                  <c:v>0.77000000000000512</c:v>
                </c:pt>
                <c:pt idx="42">
                  <c:v>0.9</c:v>
                </c:pt>
                <c:pt idx="43">
                  <c:v>0.83000000000000063</c:v>
                </c:pt>
                <c:pt idx="44">
                  <c:v>0.97000000000000064</c:v>
                </c:pt>
                <c:pt idx="45">
                  <c:v>1.45</c:v>
                </c:pt>
                <c:pt idx="46">
                  <c:v>1.6800000000000093</c:v>
                </c:pt>
                <c:pt idx="47">
                  <c:v>1.5</c:v>
                </c:pt>
                <c:pt idx="48">
                  <c:v>1.7700000000000002</c:v>
                </c:pt>
                <c:pt idx="49">
                  <c:v>1.82</c:v>
                </c:pt>
                <c:pt idx="50">
                  <c:v>1.81</c:v>
                </c:pt>
                <c:pt idx="51">
                  <c:v>1.7400000000000002</c:v>
                </c:pt>
                <c:pt idx="52">
                  <c:v>1.8900000000000001</c:v>
                </c:pt>
                <c:pt idx="53">
                  <c:v>2.14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1D0-4AE7-9040-45701B645298}"/>
            </c:ext>
          </c:extLst>
        </c:ser>
        <c:marker val="1"/>
        <c:axId val="127086976"/>
        <c:axId val="127088512"/>
      </c:lineChart>
      <c:catAx>
        <c:axId val="127086976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27088512"/>
        <c:crosses val="autoZero"/>
        <c:auto val="1"/>
        <c:lblAlgn val="ctr"/>
        <c:lblOffset val="100"/>
      </c:catAx>
      <c:valAx>
        <c:axId val="127088512"/>
        <c:scaling>
          <c:orientation val="minMax"/>
          <c:min val="-1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086976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2139690982777013E-2"/>
          <c:y val="0.87558269120103249"/>
          <c:w val="0.93886651469098281"/>
          <c:h val="0.11015705924459968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5577477727787412E-2"/>
          <c:y val="1.7107238390107422E-2"/>
          <c:w val="0.90191712370542032"/>
          <c:h val="0.80441990809425656"/>
        </c:manualLayout>
      </c:layout>
      <c:barChart>
        <c:barDir val="col"/>
        <c:grouping val="clustered"/>
        <c:ser>
          <c:idx val="2"/>
          <c:order val="4"/>
          <c:tx>
            <c:strRef>
              <c:f>'Státní rozpočet 1'!$A$40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1'!$B$40:$O$40</c:f>
              <c:numCache>
                <c:formatCode>#,##0.0</c:formatCode>
                <c:ptCount val="14"/>
                <c:pt idx="0">
                  <c:v>3.7600000000000002</c:v>
                </c:pt>
                <c:pt idx="1">
                  <c:v>7.64</c:v>
                </c:pt>
                <c:pt idx="2">
                  <c:v>1.2749999999999913</c:v>
                </c:pt>
                <c:pt idx="3">
                  <c:v>-5.6519999999999975</c:v>
                </c:pt>
                <c:pt idx="4">
                  <c:v>-68.259</c:v>
                </c:pt>
                <c:pt idx="5">
                  <c:v>-75.661999999999992</c:v>
                </c:pt>
                <c:pt idx="6">
                  <c:v>-62.855999999999995</c:v>
                </c:pt>
                <c:pt idx="7">
                  <c:v>-71.721999999999994</c:v>
                </c:pt>
                <c:pt idx="8">
                  <c:v>-31.52</c:v>
                </c:pt>
                <c:pt idx="9">
                  <c:v>1.45</c:v>
                </c:pt>
                <c:pt idx="10">
                  <c:v>22.650000000000031</c:v>
                </c:pt>
                <c:pt idx="11">
                  <c:v>40.65</c:v>
                </c:pt>
                <c:pt idx="12">
                  <c:v>4.6199999999999966</c:v>
                </c:pt>
                <c:pt idx="13">
                  <c:v>-5.88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14-455F-B8F2-D7BC87FE31A3}"/>
            </c:ext>
          </c:extLst>
        </c:ser>
        <c:gapWidth val="43"/>
        <c:axId val="127226240"/>
        <c:axId val="127224448"/>
      </c:barChart>
      <c:lineChart>
        <c:grouping val="standard"/>
        <c:ser>
          <c:idx val="0"/>
          <c:order val="0"/>
          <c:tx>
            <c:strRef>
              <c:f>'Státní rozpočet 1'!$A$36</c:f>
              <c:strCache>
                <c:ptCount val="1"/>
                <c:pt idx="0">
                  <c:v>DPH</c:v>
                </c:pt>
              </c:strCache>
            </c:strRef>
          </c:tx>
          <c:spPr>
            <a:ln w="19050">
              <a:solidFill>
                <a:srgbClr val="BD1B25"/>
              </a:solidFill>
            </a:ln>
          </c:spPr>
          <c:marker>
            <c:symbol val="none"/>
          </c:marke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1'!$B$36:$O$36</c:f>
              <c:numCache>
                <c:formatCode>0.0</c:formatCode>
                <c:ptCount val="14"/>
                <c:pt idx="0">
                  <c:v>20.770252324037173</c:v>
                </c:pt>
                <c:pt idx="1">
                  <c:v>11.996921046844065</c:v>
                </c:pt>
                <c:pt idx="2">
                  <c:v>11.958762886597954</c:v>
                </c:pt>
                <c:pt idx="3">
                  <c:v>4.9022187143734524</c:v>
                </c:pt>
                <c:pt idx="4">
                  <c:v>-1.4629660591874252</c:v>
                </c:pt>
                <c:pt idx="5">
                  <c:v>7.6355306693814784</c:v>
                </c:pt>
                <c:pt idx="6">
                  <c:v>6.9047056041617481</c:v>
                </c:pt>
                <c:pt idx="7">
                  <c:v>-5.419155054191549</c:v>
                </c:pt>
                <c:pt idx="8">
                  <c:v>13.88369192391643</c:v>
                </c:pt>
                <c:pt idx="9">
                  <c:v>6.8861660620165708</c:v>
                </c:pt>
                <c:pt idx="10">
                  <c:v>-4.828690361831562</c:v>
                </c:pt>
                <c:pt idx="11">
                  <c:v>6.0022878675728455</c:v>
                </c:pt>
                <c:pt idx="12">
                  <c:v>14.060813813241976</c:v>
                </c:pt>
                <c:pt idx="13">
                  <c:v>8.2424309884238749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14-455F-B8F2-D7BC87FE31A3}"/>
            </c:ext>
          </c:extLst>
        </c:ser>
        <c:ser>
          <c:idx val="1"/>
          <c:order val="1"/>
          <c:tx>
            <c:strRef>
              <c:f>'Státní rozpočet 1'!$A$37</c:f>
              <c:strCache>
                <c:ptCount val="1"/>
                <c:pt idx="0">
                  <c:v>Spotřební daň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1'!$B$37:$O$37</c:f>
              <c:numCache>
                <c:formatCode>0.0</c:formatCode>
                <c:ptCount val="14"/>
                <c:pt idx="0">
                  <c:v>35.457324241711355</c:v>
                </c:pt>
                <c:pt idx="1">
                  <c:v>19.128623502863888</c:v>
                </c:pt>
                <c:pt idx="2">
                  <c:v>-13.434358152411393</c:v>
                </c:pt>
                <c:pt idx="3">
                  <c:v>3.3327722605622077</c:v>
                </c:pt>
                <c:pt idx="4">
                  <c:v>-4.5935820166150645</c:v>
                </c:pt>
                <c:pt idx="5">
                  <c:v>12.053952535427804</c:v>
                </c:pt>
                <c:pt idx="6">
                  <c:v>6.4604601554167402</c:v>
                </c:pt>
                <c:pt idx="7">
                  <c:v>-2.6334621439816743</c:v>
                </c:pt>
                <c:pt idx="8">
                  <c:v>-3.0721740408643292</c:v>
                </c:pt>
                <c:pt idx="9">
                  <c:v>10.646041856232927</c:v>
                </c:pt>
                <c:pt idx="10">
                  <c:v>-3.8240131578947247</c:v>
                </c:pt>
                <c:pt idx="11">
                  <c:v>7.7668519310246724</c:v>
                </c:pt>
                <c:pt idx="12">
                  <c:v>0.806664903464683</c:v>
                </c:pt>
                <c:pt idx="13">
                  <c:v>0.91827364554637825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14-455F-B8F2-D7BC87FE31A3}"/>
            </c:ext>
          </c:extLst>
        </c:ser>
        <c:ser>
          <c:idx val="3"/>
          <c:order val="2"/>
          <c:tx>
            <c:strRef>
              <c:f>'Státní rozpočet 1'!$A$38</c:f>
              <c:strCache>
                <c:ptCount val="1"/>
                <c:pt idx="0">
                  <c:v>Daně z příjmů FO ze závislé činnosti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1'!$B$38:$O$38</c:f>
              <c:numCache>
                <c:formatCode>0.0</c:formatCode>
                <c:ptCount val="14"/>
                <c:pt idx="0">
                  <c:v>7.2278911564625865</c:v>
                </c:pt>
                <c:pt idx="1">
                  <c:v>2.2997620935765468</c:v>
                </c:pt>
                <c:pt idx="2">
                  <c:v>12.20930232558139</c:v>
                </c:pt>
                <c:pt idx="3">
                  <c:v>-5.4749568221070746</c:v>
                </c:pt>
                <c:pt idx="4">
                  <c:v>-6.0661428832450213</c:v>
                </c:pt>
                <c:pt idx="5">
                  <c:v>-0.11670881151526658</c:v>
                </c:pt>
                <c:pt idx="6">
                  <c:v>6.6601752677701525</c:v>
                </c:pt>
                <c:pt idx="7">
                  <c:v>2.2092386342888179</c:v>
                </c:pt>
                <c:pt idx="8">
                  <c:v>5.4841014648088731</c:v>
                </c:pt>
                <c:pt idx="9">
                  <c:v>4.7417442845047173</c:v>
                </c:pt>
                <c:pt idx="10">
                  <c:v>1.0509296685529448</c:v>
                </c:pt>
                <c:pt idx="11">
                  <c:v>10.704000000000008</c:v>
                </c:pt>
                <c:pt idx="12">
                  <c:v>12.559618441971381</c:v>
                </c:pt>
                <c:pt idx="13">
                  <c:v>15.382639958911277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D14-455F-B8F2-D7BC87FE31A3}"/>
            </c:ext>
          </c:extLst>
        </c:ser>
        <c:ser>
          <c:idx val="4"/>
          <c:order val="3"/>
          <c:tx>
            <c:strRef>
              <c:f>'Státní rozpočet 1'!$A$39</c:f>
              <c:strCache>
                <c:ptCount val="1"/>
                <c:pt idx="0">
                  <c:v>Daně z příjmů právnických osob (PO)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984807"/>
              </a:solidFill>
              <a:ln>
                <a:noFill/>
              </a:ln>
            </c:spPr>
          </c:marke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1'!$B$39:$O$39</c:f>
              <c:numCache>
                <c:formatCode>0.0</c:formatCode>
                <c:ptCount val="14"/>
                <c:pt idx="0">
                  <c:v>26.596315507064929</c:v>
                </c:pt>
                <c:pt idx="1">
                  <c:v>5.9197513421870553</c:v>
                </c:pt>
                <c:pt idx="2">
                  <c:v>-1.3872215552887752</c:v>
                </c:pt>
                <c:pt idx="3">
                  <c:v>26.565670228594588</c:v>
                </c:pt>
                <c:pt idx="4">
                  <c:v>-22.293470129314954</c:v>
                </c:pt>
                <c:pt idx="5">
                  <c:v>10.16366387016917</c:v>
                </c:pt>
                <c:pt idx="6">
                  <c:v>-13.50811485642947</c:v>
                </c:pt>
                <c:pt idx="7">
                  <c:v>-1.8042725173210101</c:v>
                </c:pt>
                <c:pt idx="8">
                  <c:v>-2.6458915184477609</c:v>
                </c:pt>
                <c:pt idx="9">
                  <c:v>8.3949871659368949</c:v>
                </c:pt>
                <c:pt idx="10">
                  <c:v>8.3855690207550246</c:v>
                </c:pt>
                <c:pt idx="11">
                  <c:v>11.425266675234539</c:v>
                </c:pt>
                <c:pt idx="12">
                  <c:v>7.5778546712802655</c:v>
                </c:pt>
                <c:pt idx="13">
                  <c:v>-7.5050927415020924E-2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D14-455F-B8F2-D7BC87FE31A3}"/>
            </c:ext>
          </c:extLst>
        </c:ser>
        <c:marker val="1"/>
        <c:axId val="127134720"/>
        <c:axId val="127222912"/>
      </c:lineChart>
      <c:catAx>
        <c:axId val="127134720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crossAx val="127222912"/>
        <c:crosses val="autoZero"/>
        <c:auto val="1"/>
        <c:lblAlgn val="ctr"/>
        <c:lblOffset val="0"/>
      </c:catAx>
      <c:valAx>
        <c:axId val="127222912"/>
        <c:scaling>
          <c:orientation val="minMax"/>
          <c:max val="35"/>
          <c:min val="-4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134720"/>
        <c:crosses val="autoZero"/>
        <c:crossBetween val="between"/>
        <c:majorUnit val="5"/>
      </c:valAx>
      <c:valAx>
        <c:axId val="127224448"/>
        <c:scaling>
          <c:orientation val="minMax"/>
          <c:max val="70"/>
          <c:min val="-80"/>
        </c:scaling>
        <c:axPos val="r"/>
        <c:numFmt formatCode="#,##0" sourceLinked="0"/>
        <c:tickLblPos val="nextTo"/>
        <c:crossAx val="127226240"/>
        <c:crosses val="max"/>
        <c:crossBetween val="between"/>
        <c:majorUnit val="10"/>
      </c:valAx>
      <c:catAx>
        <c:axId val="127226240"/>
        <c:scaling>
          <c:orientation val="minMax"/>
        </c:scaling>
        <c:delete val="1"/>
        <c:axPos val="b"/>
        <c:numFmt formatCode="General" sourceLinked="1"/>
        <c:tickLblPos val="none"/>
        <c:crossAx val="127224448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878156565656246E-2"/>
          <c:y val="0.8726901927437708"/>
          <c:w val="0.88910690235690248"/>
          <c:h val="0.1201102607709752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5885856591416561E-2"/>
          <c:y val="2.1967687074830006E-2"/>
          <c:w val="0.92164178636878025"/>
          <c:h val="0.79758786848072549"/>
        </c:manualLayout>
      </c:layout>
      <c:barChart>
        <c:barDir val="col"/>
        <c:grouping val="stacked"/>
        <c:ser>
          <c:idx val="0"/>
          <c:order val="0"/>
          <c:tx>
            <c:strRef>
              <c:f>'Státní rozpočet 2'!$A$77</c:f>
              <c:strCache>
                <c:ptCount val="1"/>
                <c:pt idx="0">
                  <c:v>Strukturální fondy</c:v>
                </c:pt>
              </c:strCache>
            </c:strRef>
          </c:tx>
          <c:spPr>
            <a:solidFill>
              <a:srgbClr val="BD1B25"/>
            </a:solidFill>
            <a:ln>
              <a:noFill/>
            </a:ln>
          </c:spPr>
          <c:cat>
            <c:numRef>
              <c:f>'Státní rozpočet 2'!$B$76:$O$76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2'!$B$77:$O$77</c:f>
              <c:numCache>
                <c:formatCode>#,##0.0</c:formatCode>
                <c:ptCount val="14"/>
                <c:pt idx="0">
                  <c:v>3.2596999999999987</c:v>
                </c:pt>
                <c:pt idx="1">
                  <c:v>0.76380000000000581</c:v>
                </c:pt>
                <c:pt idx="2">
                  <c:v>2.9116999999999789</c:v>
                </c:pt>
                <c:pt idx="3">
                  <c:v>18.781729999999758</c:v>
                </c:pt>
                <c:pt idx="4">
                  <c:v>19.819170000000035</c:v>
                </c:pt>
                <c:pt idx="5">
                  <c:v>15.15996</c:v>
                </c:pt>
                <c:pt idx="6">
                  <c:v>12.547209999999998</c:v>
                </c:pt>
                <c:pt idx="7">
                  <c:v>4.2539899999999955</c:v>
                </c:pt>
                <c:pt idx="8">
                  <c:v>11.90465</c:v>
                </c:pt>
                <c:pt idx="9">
                  <c:v>34.893100000000011</c:v>
                </c:pt>
                <c:pt idx="10">
                  <c:v>96.006079999999983</c:v>
                </c:pt>
                <c:pt idx="11">
                  <c:v>36.659170023613044</c:v>
                </c:pt>
                <c:pt idx="12">
                  <c:v>7.5708382493577355</c:v>
                </c:pt>
                <c:pt idx="13">
                  <c:v>5.3163099999999996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61-4CBA-9F63-36989F0F3925}"/>
            </c:ext>
          </c:extLst>
        </c:ser>
        <c:ser>
          <c:idx val="1"/>
          <c:order val="1"/>
          <c:tx>
            <c:strRef>
              <c:f>'Státní rozpočet 2'!$A$78</c:f>
              <c:strCache>
                <c:ptCount val="1"/>
                <c:pt idx="0">
                  <c:v>Fond soudržnosti</c:v>
                </c:pt>
              </c:strCache>
            </c:strRef>
          </c:tx>
          <c:spPr>
            <a:solidFill>
              <a:srgbClr val="F8A124"/>
            </a:solidFill>
            <a:ln>
              <a:noFill/>
            </a:ln>
          </c:spPr>
          <c:cat>
            <c:numRef>
              <c:f>'Státní rozpočet 2'!$B$76:$O$76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2'!$B$78:$O$78</c:f>
              <c:numCache>
                <c:formatCode>#,##0.0</c:formatCode>
                <c:ptCount val="14"/>
                <c:pt idx="0">
                  <c:v>0.35230000000000228</c:v>
                </c:pt>
                <c:pt idx="1">
                  <c:v>3.6486000000000001</c:v>
                </c:pt>
                <c:pt idx="2">
                  <c:v>0.42590000000000228</c:v>
                </c:pt>
                <c:pt idx="3">
                  <c:v>13.973800000000002</c:v>
                </c:pt>
                <c:pt idx="4">
                  <c:v>11.58196</c:v>
                </c:pt>
                <c:pt idx="5">
                  <c:v>4.0828199999999955</c:v>
                </c:pt>
                <c:pt idx="6">
                  <c:v>0.86347000000000063</c:v>
                </c:pt>
                <c:pt idx="7">
                  <c:v>0.20305000000000001</c:v>
                </c:pt>
                <c:pt idx="8">
                  <c:v>0.47140000000000032</c:v>
                </c:pt>
                <c:pt idx="9">
                  <c:v>17.878209999999989</c:v>
                </c:pt>
                <c:pt idx="10">
                  <c:v>29.547130000000003</c:v>
                </c:pt>
                <c:pt idx="11">
                  <c:v>27.58825387631882</c:v>
                </c:pt>
                <c:pt idx="12">
                  <c:v>6.3277452996306955</c:v>
                </c:pt>
                <c:pt idx="13">
                  <c:v>2.8119299999999967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61-4CBA-9F63-36989F0F3925}"/>
            </c:ext>
          </c:extLst>
        </c:ser>
        <c:ser>
          <c:idx val="2"/>
          <c:order val="2"/>
          <c:tx>
            <c:strRef>
              <c:f>'Státní rozpočet 2'!$A$79</c:f>
              <c:strCache>
                <c:ptCount val="1"/>
                <c:pt idx="0">
                  <c:v>Přímé platby v zemědělství*</c:v>
                </c:pt>
              </c:strCache>
            </c:strRef>
          </c:tx>
          <c:spPr>
            <a:solidFill>
              <a:srgbClr val="47AEE7"/>
            </a:solidFill>
            <a:ln>
              <a:noFill/>
            </a:ln>
          </c:spPr>
          <c:cat>
            <c:numRef>
              <c:f>'Státní rozpočet 2'!$B$76:$O$76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2'!$B$79:$O$79</c:f>
              <c:numCache>
                <c:formatCode>#,##0.0</c:formatCode>
                <c:ptCount val="14"/>
                <c:pt idx="0">
                  <c:v>6.8854999999999995</c:v>
                </c:pt>
                <c:pt idx="1">
                  <c:v>8.5137550000000015</c:v>
                </c:pt>
                <c:pt idx="2">
                  <c:v>10.171150000000001</c:v>
                </c:pt>
                <c:pt idx="3">
                  <c:v>9.5222000000000016</c:v>
                </c:pt>
                <c:pt idx="4">
                  <c:v>13.3177</c:v>
                </c:pt>
                <c:pt idx="5">
                  <c:v>14.18098</c:v>
                </c:pt>
                <c:pt idx="6">
                  <c:v>15.741469999999998</c:v>
                </c:pt>
                <c:pt idx="7">
                  <c:v>18.786939999999809</c:v>
                </c:pt>
                <c:pt idx="8">
                  <c:v>21.01</c:v>
                </c:pt>
                <c:pt idx="9">
                  <c:v>24.161349999999889</c:v>
                </c:pt>
                <c:pt idx="10">
                  <c:v>23.599900000000005</c:v>
                </c:pt>
                <c:pt idx="11">
                  <c:v>18.645387208474506</c:v>
                </c:pt>
                <c:pt idx="12">
                  <c:v>21.912326264663733</c:v>
                </c:pt>
                <c:pt idx="13">
                  <c:v>20.860900000000001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61-4CBA-9F63-36989F0F3925}"/>
            </c:ext>
          </c:extLst>
        </c:ser>
        <c:ser>
          <c:idx val="3"/>
          <c:order val="3"/>
          <c:tx>
            <c:strRef>
              <c:f>'Státní rozpočet 2'!$A$80</c:f>
              <c:strCache>
                <c:ptCount val="1"/>
                <c:pt idx="0">
                  <c:v>Rozvoj venkova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cat>
            <c:numRef>
              <c:f>'Státní rozpočet 2'!$B$76:$O$76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2'!$B$80:$O$80</c:f>
              <c:numCache>
                <c:formatCode>#,##0.0</c:formatCode>
                <c:ptCount val="14"/>
                <c:pt idx="0">
                  <c:v>1.7181999999999911</c:v>
                </c:pt>
                <c:pt idx="1">
                  <c:v>2.2130999999999998</c:v>
                </c:pt>
                <c:pt idx="2">
                  <c:v>3.016699999999978</c:v>
                </c:pt>
                <c:pt idx="3">
                  <c:v>2.1449900000000199</c:v>
                </c:pt>
                <c:pt idx="4">
                  <c:v>6.0011899999999985</c:v>
                </c:pt>
                <c:pt idx="5">
                  <c:v>7.4794200000000437</c:v>
                </c:pt>
                <c:pt idx="6">
                  <c:v>7.7303300000000004</c:v>
                </c:pt>
                <c:pt idx="7">
                  <c:v>7.6745099999999855</c:v>
                </c:pt>
                <c:pt idx="8">
                  <c:v>6.80227</c:v>
                </c:pt>
                <c:pt idx="9">
                  <c:v>6.2812100000000024</c:v>
                </c:pt>
                <c:pt idx="10">
                  <c:v>1.3738199999999998</c:v>
                </c:pt>
                <c:pt idx="11">
                  <c:v>3.0041342681294849</c:v>
                </c:pt>
                <c:pt idx="12">
                  <c:v>3.6522234276508767</c:v>
                </c:pt>
                <c:pt idx="13">
                  <c:v>3.8621599999999967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F61-4CBA-9F63-36989F0F3925}"/>
            </c:ext>
          </c:extLst>
        </c:ser>
        <c:ser>
          <c:idx val="4"/>
          <c:order val="4"/>
          <c:tx>
            <c:strRef>
              <c:f>'Státní rozpočet 2'!$A$81</c:f>
              <c:strCache>
                <c:ptCount val="1"/>
                <c:pt idx="0">
                  <c:v>Ostatní příjmy</c:v>
                </c:pt>
              </c:strCache>
            </c:strRef>
          </c:tx>
          <c:spPr>
            <a:solidFill>
              <a:srgbClr val="BFBFBF"/>
            </a:solidFill>
            <a:ln>
              <a:noFill/>
            </a:ln>
          </c:spPr>
          <c:cat>
            <c:numRef>
              <c:f>'Státní rozpočet 2'!$B$76:$O$76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2'!$B$81:$O$81</c:f>
              <c:numCache>
                <c:formatCode>#,##0.0</c:formatCode>
                <c:ptCount val="14"/>
                <c:pt idx="0">
                  <c:v>5.6441999999999855</c:v>
                </c:pt>
                <c:pt idx="1">
                  <c:v>3.1660999999999997</c:v>
                </c:pt>
                <c:pt idx="2">
                  <c:v>0.51729999999999998</c:v>
                </c:pt>
                <c:pt idx="3">
                  <c:v>0</c:v>
                </c:pt>
                <c:pt idx="4">
                  <c:v>0.58942999999999957</c:v>
                </c:pt>
                <c:pt idx="5">
                  <c:v>0.48283000000000031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F61-4CBA-9F63-36989F0F3925}"/>
            </c:ext>
          </c:extLst>
        </c:ser>
        <c:gapWidth val="39"/>
        <c:overlap val="100"/>
        <c:axId val="127269120"/>
        <c:axId val="127287296"/>
      </c:barChart>
      <c:lineChart>
        <c:grouping val="standard"/>
        <c:ser>
          <c:idx val="5"/>
          <c:order val="5"/>
          <c:tx>
            <c:strRef>
              <c:f>'Státní rozpočet 2'!$A$82</c:f>
              <c:strCache>
                <c:ptCount val="1"/>
                <c:pt idx="0">
                  <c:v>Čistá pozice vůči rozpočtu EU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numRef>
              <c:f>'Státní rozpočet 2'!$B$76:$O$76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2'!$B$82:$O$82</c:f>
              <c:numCache>
                <c:formatCode>#,##0.0</c:formatCode>
                <c:ptCount val="14"/>
                <c:pt idx="0">
                  <c:v>2.6703000000000001</c:v>
                </c:pt>
                <c:pt idx="1">
                  <c:v>3.1989999999999998</c:v>
                </c:pt>
                <c:pt idx="2">
                  <c:v>2.1196999999999977</c:v>
                </c:pt>
                <c:pt idx="3">
                  <c:v>26.209389999999889</c:v>
                </c:pt>
                <c:pt idx="4">
                  <c:v>29.07404</c:v>
                </c:pt>
                <c:pt idx="5">
                  <c:v>22.706880000000005</c:v>
                </c:pt>
                <c:pt idx="6">
                  <c:v>17.385659999999817</c:v>
                </c:pt>
                <c:pt idx="7">
                  <c:v>6.8634399999999856</c:v>
                </c:pt>
                <c:pt idx="8">
                  <c:v>14.966500000000076</c:v>
                </c:pt>
                <c:pt idx="9">
                  <c:v>56.419000000000004</c:v>
                </c:pt>
                <c:pt idx="10">
                  <c:v>126.82836999999998</c:v>
                </c:pt>
                <c:pt idx="11">
                  <c:v>66.611208234866069</c:v>
                </c:pt>
                <c:pt idx="12">
                  <c:v>16.659537298133163</c:v>
                </c:pt>
                <c:pt idx="13">
                  <c:v>10.358470000000002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F61-4CBA-9F63-36989F0F3925}"/>
            </c:ext>
          </c:extLst>
        </c:ser>
        <c:marker val="1"/>
        <c:axId val="127269120"/>
        <c:axId val="127287296"/>
      </c:lineChart>
      <c:catAx>
        <c:axId val="1272691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7287296"/>
        <c:crosses val="autoZero"/>
        <c:auto val="1"/>
        <c:lblAlgn val="ctr"/>
        <c:lblOffset val="20"/>
      </c:catAx>
      <c:valAx>
        <c:axId val="127287296"/>
        <c:scaling>
          <c:orientation val="minMax"/>
          <c:max val="160"/>
          <c:min val="0"/>
        </c:scaling>
        <c:axPos val="l"/>
        <c:majorGridlines>
          <c:spPr>
            <a:ln w="6350">
              <a:solidFill>
                <a:srgbClr val="BFBFBF"/>
              </a:solidFill>
            </a:ln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7269120"/>
        <c:crosses val="autoZero"/>
        <c:crossBetween val="between"/>
        <c:majorUnit val="10"/>
      </c:valAx>
      <c:spPr>
        <a:ln>
          <a:solidFill>
            <a:schemeClr val="tx1">
              <a:lumMod val="95000"/>
              <a:lumOff val="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6.3517658206840424E-2"/>
          <c:y val="0.8689858276644119"/>
          <c:w val="0.92018571517242886"/>
          <c:h val="0.12237414965986392"/>
        </c:manualLayout>
      </c:layout>
      <c:spPr>
        <a:ln>
          <a:solidFill>
            <a:schemeClr val="tx1">
              <a:lumMod val="95000"/>
              <a:lumOff val="5000"/>
            </a:scheme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3724701079031984E-2"/>
          <c:y val="2.6970778117567786E-2"/>
          <c:w val="0.87770649039241588"/>
          <c:h val="0.76009512552065761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2'!$C$5</c:f>
              <c:strCache>
                <c:ptCount val="1"/>
                <c:pt idx="0">
                  <c:v>HDP (pravá osa)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val>
            <c:numRef>
              <c:f>'souhrnná výkonnost 2'!$C$18:$C$83</c:f>
              <c:numCache>
                <c:formatCode>0.0</c:formatCode>
                <c:ptCount val="66"/>
                <c:pt idx="0">
                  <c:v>-1.8</c:v>
                </c:pt>
                <c:pt idx="1">
                  <c:v>-1.8</c:v>
                </c:pt>
                <c:pt idx="2">
                  <c:v>-1.8</c:v>
                </c:pt>
                <c:pt idx="3">
                  <c:v>-1.1000000000000001</c:v>
                </c:pt>
                <c:pt idx="4">
                  <c:v>-1.1000000000000001</c:v>
                </c:pt>
                <c:pt idx="5">
                  <c:v>-1.1000000000000001</c:v>
                </c:pt>
                <c:pt idx="6">
                  <c:v>-0.30000000000000032</c:v>
                </c:pt>
                <c:pt idx="7">
                  <c:v>-0.30000000000000032</c:v>
                </c:pt>
                <c:pt idx="8">
                  <c:v>-0.30000000000000032</c:v>
                </c:pt>
                <c:pt idx="9">
                  <c:v>1.3</c:v>
                </c:pt>
                <c:pt idx="10">
                  <c:v>1.3</c:v>
                </c:pt>
                <c:pt idx="11">
                  <c:v>1.3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2.4</c:v>
                </c:pt>
                <c:pt idx="16">
                  <c:v>2.4</c:v>
                </c:pt>
                <c:pt idx="17">
                  <c:v>2.4</c:v>
                </c:pt>
                <c:pt idx="18">
                  <c:v>3.4</c:v>
                </c:pt>
                <c:pt idx="19">
                  <c:v>3.4</c:v>
                </c:pt>
                <c:pt idx="20">
                  <c:v>3.4</c:v>
                </c:pt>
                <c:pt idx="21">
                  <c:v>3.4</c:v>
                </c:pt>
                <c:pt idx="22">
                  <c:v>3.4</c:v>
                </c:pt>
                <c:pt idx="23">
                  <c:v>3.4</c:v>
                </c:pt>
                <c:pt idx="24">
                  <c:v>5.3</c:v>
                </c:pt>
                <c:pt idx="25">
                  <c:v>5.3</c:v>
                </c:pt>
                <c:pt idx="26">
                  <c:v>5.3</c:v>
                </c:pt>
                <c:pt idx="27">
                  <c:v>5.8</c:v>
                </c:pt>
                <c:pt idx="28">
                  <c:v>5.8</c:v>
                </c:pt>
                <c:pt idx="29">
                  <c:v>5.8</c:v>
                </c:pt>
                <c:pt idx="30">
                  <c:v>5.6</c:v>
                </c:pt>
                <c:pt idx="31">
                  <c:v>5.6</c:v>
                </c:pt>
                <c:pt idx="32">
                  <c:v>5.6</c:v>
                </c:pt>
                <c:pt idx="33">
                  <c:v>4.9000000000000004</c:v>
                </c:pt>
                <c:pt idx="34">
                  <c:v>4.9000000000000004</c:v>
                </c:pt>
                <c:pt idx="35">
                  <c:v>4.9000000000000004</c:v>
                </c:pt>
                <c:pt idx="36">
                  <c:v>3.6</c:v>
                </c:pt>
                <c:pt idx="37">
                  <c:v>3.6</c:v>
                </c:pt>
                <c:pt idx="38">
                  <c:v>3.6</c:v>
                </c:pt>
                <c:pt idx="39">
                  <c:v>2.4</c:v>
                </c:pt>
                <c:pt idx="40">
                  <c:v>2.4</c:v>
                </c:pt>
                <c:pt idx="41" formatCode="General">
                  <c:v>2.4</c:v>
                </c:pt>
                <c:pt idx="42" formatCode="General">
                  <c:v>1.7</c:v>
                </c:pt>
                <c:pt idx="43" formatCode="General">
                  <c:v>1.7</c:v>
                </c:pt>
                <c:pt idx="44" formatCode="General">
                  <c:v>1.7</c:v>
                </c:pt>
                <c:pt idx="45" formatCode="General">
                  <c:v>1.8</c:v>
                </c:pt>
                <c:pt idx="46" formatCode="General">
                  <c:v>1.8</c:v>
                </c:pt>
                <c:pt idx="47" formatCode="General">
                  <c:v>1.8</c:v>
                </c:pt>
                <c:pt idx="48" formatCode="General">
                  <c:v>2.9</c:v>
                </c:pt>
                <c:pt idx="49" formatCode="General">
                  <c:v>2.9</c:v>
                </c:pt>
                <c:pt idx="50" formatCode="General">
                  <c:v>2.9</c:v>
                </c:pt>
                <c:pt idx="51" formatCode="General">
                  <c:v>4.9000000000000004</c:v>
                </c:pt>
                <c:pt idx="52" formatCode="General">
                  <c:v>4.9000000000000004</c:v>
                </c:pt>
                <c:pt idx="53" formatCode="General">
                  <c:v>4.9000000000000004</c:v>
                </c:pt>
                <c:pt idx="54" formatCode="General">
                  <c:v>5.0999999999999996</c:v>
                </c:pt>
                <c:pt idx="55" formatCode="General">
                  <c:v>5.0999999999999996</c:v>
                </c:pt>
                <c:pt idx="56" formatCode="General">
                  <c:v>5.0999999999999996</c:v>
                </c:pt>
                <c:pt idx="57" formatCode="General">
                  <c:v>5</c:v>
                </c:pt>
                <c:pt idx="58" formatCode="General">
                  <c:v>5</c:v>
                </c:pt>
                <c:pt idx="59" formatCode="General">
                  <c:v>5</c:v>
                </c:pt>
                <c:pt idx="60" formatCode="General">
                  <c:v>4.0999999999999996</c:v>
                </c:pt>
                <c:pt idx="61" formatCode="General">
                  <c:v>4.0999999999999996</c:v>
                </c:pt>
                <c:pt idx="62" formatCode="General">
                  <c:v>4.0999999999999996</c:v>
                </c:pt>
                <c:pt idx="63" formatCode="General">
                  <c:v>2.4</c:v>
                </c:pt>
                <c:pt idx="64" formatCode="General">
                  <c:v>2.4</c:v>
                </c:pt>
                <c:pt idx="65" formatCode="General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D6-489E-9F83-A09DAA724BFC}"/>
            </c:ext>
          </c:extLst>
        </c:ser>
        <c:gapWidth val="30"/>
        <c:axId val="115591424"/>
        <c:axId val="115589888"/>
      </c:barChart>
      <c:lineChart>
        <c:grouping val="standard"/>
        <c:ser>
          <c:idx val="3"/>
          <c:order val="1"/>
          <c:tx>
            <c:strRef>
              <c:f>'souhrnná výkonnost 2'!$D$5</c:f>
              <c:strCache>
                <c:ptCount val="1"/>
                <c:pt idx="0">
                  <c:v>Důvěra podnikatelů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'souhrnná výkonnost 2'!$A$18:$B$83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'souhrnná výkonnost 2'!$D$18:$D$83</c:f>
              <c:numCache>
                <c:formatCode>###,###,##0.0</c:formatCode>
                <c:ptCount val="66"/>
                <c:pt idx="0">
                  <c:v>84.6</c:v>
                </c:pt>
                <c:pt idx="1">
                  <c:v>85.2</c:v>
                </c:pt>
                <c:pt idx="2" formatCode="###,###,##0">
                  <c:v>85</c:v>
                </c:pt>
                <c:pt idx="3">
                  <c:v>82.7</c:v>
                </c:pt>
                <c:pt idx="4">
                  <c:v>83.6</c:v>
                </c:pt>
                <c:pt idx="5" formatCode="###,###,##0">
                  <c:v>84</c:v>
                </c:pt>
                <c:pt idx="6" formatCode="###,###,##0">
                  <c:v>84</c:v>
                </c:pt>
                <c:pt idx="7">
                  <c:v>84.8</c:v>
                </c:pt>
                <c:pt idx="8">
                  <c:v>87.5</c:v>
                </c:pt>
                <c:pt idx="9" formatCode="###,###,##0">
                  <c:v>89</c:v>
                </c:pt>
                <c:pt idx="10">
                  <c:v>89.9</c:v>
                </c:pt>
                <c:pt idx="11">
                  <c:v>90.9</c:v>
                </c:pt>
                <c:pt idx="12">
                  <c:v>90.1</c:v>
                </c:pt>
                <c:pt idx="13">
                  <c:v>90.9</c:v>
                </c:pt>
                <c:pt idx="14">
                  <c:v>91.6</c:v>
                </c:pt>
                <c:pt idx="15">
                  <c:v>91.5</c:v>
                </c:pt>
                <c:pt idx="16">
                  <c:v>91.5</c:v>
                </c:pt>
                <c:pt idx="17">
                  <c:v>92.5</c:v>
                </c:pt>
                <c:pt idx="18">
                  <c:v>91.6</c:v>
                </c:pt>
                <c:pt idx="19">
                  <c:v>92.5</c:v>
                </c:pt>
                <c:pt idx="20">
                  <c:v>93.2</c:v>
                </c:pt>
                <c:pt idx="21">
                  <c:v>92.8</c:v>
                </c:pt>
                <c:pt idx="22">
                  <c:v>93.5</c:v>
                </c:pt>
                <c:pt idx="23">
                  <c:v>94.8</c:v>
                </c:pt>
                <c:pt idx="24">
                  <c:v>94.3</c:v>
                </c:pt>
                <c:pt idx="25">
                  <c:v>93.4</c:v>
                </c:pt>
                <c:pt idx="26">
                  <c:v>92.9</c:v>
                </c:pt>
                <c:pt idx="27">
                  <c:v>93.2</c:v>
                </c:pt>
                <c:pt idx="28">
                  <c:v>93.8</c:v>
                </c:pt>
                <c:pt idx="29">
                  <c:v>95.5</c:v>
                </c:pt>
                <c:pt idx="30">
                  <c:v>94.6</c:v>
                </c:pt>
                <c:pt idx="31">
                  <c:v>94.2</c:v>
                </c:pt>
                <c:pt idx="32">
                  <c:v>94.4</c:v>
                </c:pt>
                <c:pt idx="33">
                  <c:v>93.2</c:v>
                </c:pt>
                <c:pt idx="34">
                  <c:v>94.2</c:v>
                </c:pt>
                <c:pt idx="35">
                  <c:v>94.3</c:v>
                </c:pt>
                <c:pt idx="36" formatCode="0.0">
                  <c:v>96</c:v>
                </c:pt>
                <c:pt idx="37" formatCode="0.0">
                  <c:v>95.3</c:v>
                </c:pt>
                <c:pt idx="38" formatCode="0.0">
                  <c:v>95.1</c:v>
                </c:pt>
                <c:pt idx="39" formatCode="0.0">
                  <c:v>93.8</c:v>
                </c:pt>
                <c:pt idx="40" formatCode="0.0">
                  <c:v>94.3</c:v>
                </c:pt>
                <c:pt idx="41" formatCode="0.0">
                  <c:v>93.5</c:v>
                </c:pt>
                <c:pt idx="42" formatCode="0.0">
                  <c:v>94</c:v>
                </c:pt>
                <c:pt idx="43" formatCode="0.0">
                  <c:v>95.3</c:v>
                </c:pt>
                <c:pt idx="44" formatCode="0.0">
                  <c:v>95.2</c:v>
                </c:pt>
                <c:pt idx="45" formatCode="0.0">
                  <c:v>95.2</c:v>
                </c:pt>
                <c:pt idx="46" formatCode="0.0">
                  <c:v>97.5</c:v>
                </c:pt>
                <c:pt idx="47" formatCode="0.0">
                  <c:v>97.1</c:v>
                </c:pt>
                <c:pt idx="48" formatCode="0.0">
                  <c:v>97</c:v>
                </c:pt>
                <c:pt idx="49" formatCode="0.0">
                  <c:v>95.9</c:v>
                </c:pt>
                <c:pt idx="50" formatCode="0.0">
                  <c:v>94.1</c:v>
                </c:pt>
                <c:pt idx="51" formatCode="0.0">
                  <c:v>95.1</c:v>
                </c:pt>
                <c:pt idx="52" formatCode="0.0">
                  <c:v>94.9</c:v>
                </c:pt>
                <c:pt idx="53" formatCode="0.0">
                  <c:v>95.2</c:v>
                </c:pt>
                <c:pt idx="54" formatCode="0.0">
                  <c:v>96.1</c:v>
                </c:pt>
                <c:pt idx="55" formatCode="0.0">
                  <c:v>96.8</c:v>
                </c:pt>
                <c:pt idx="56" formatCode="0.0">
                  <c:v>97</c:v>
                </c:pt>
                <c:pt idx="57" formatCode="0.0">
                  <c:v>97.4</c:v>
                </c:pt>
                <c:pt idx="58" formatCode="0.0">
                  <c:v>96.7</c:v>
                </c:pt>
                <c:pt idx="59" formatCode="0.0">
                  <c:v>97.5</c:v>
                </c:pt>
                <c:pt idx="60" formatCode="0.0">
                  <c:v>96.9</c:v>
                </c:pt>
                <c:pt idx="61" formatCode="0.0">
                  <c:v>97.5</c:v>
                </c:pt>
                <c:pt idx="62" formatCode="0.0">
                  <c:v>97</c:v>
                </c:pt>
                <c:pt idx="63" formatCode="0.0">
                  <c:v>97.6</c:v>
                </c:pt>
                <c:pt idx="64" formatCode="0.0">
                  <c:v>96.2</c:v>
                </c:pt>
                <c:pt idx="65" formatCode="0.0">
                  <c:v>97.4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D6-489E-9F83-A09DAA724BFC}"/>
            </c:ext>
          </c:extLst>
        </c:ser>
        <c:ser>
          <c:idx val="2"/>
          <c:order val="2"/>
          <c:tx>
            <c:strRef>
              <c:f>'souhrnná výkonnost 2'!$E$5</c:f>
              <c:strCache>
                <c:ptCount val="1"/>
                <c:pt idx="0">
                  <c:v>Důvěra spotřebitelů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'souhrnná výkonnost 2'!$A$18:$B$83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'souhrnná výkonnost 2'!$E$18:$E$83</c:f>
              <c:numCache>
                <c:formatCode>###,###,##0.0</c:formatCode>
                <c:ptCount val="66"/>
                <c:pt idx="0">
                  <c:v>73.8</c:v>
                </c:pt>
                <c:pt idx="1">
                  <c:v>79.5</c:v>
                </c:pt>
                <c:pt idx="2" formatCode="###,###,##0">
                  <c:v>81</c:v>
                </c:pt>
                <c:pt idx="3">
                  <c:v>77.900000000000006</c:v>
                </c:pt>
                <c:pt idx="4" formatCode="###,###,##0">
                  <c:v>82</c:v>
                </c:pt>
                <c:pt idx="5">
                  <c:v>82.8</c:v>
                </c:pt>
                <c:pt idx="6">
                  <c:v>81.3</c:v>
                </c:pt>
                <c:pt idx="7">
                  <c:v>84.9</c:v>
                </c:pt>
                <c:pt idx="8">
                  <c:v>87.7</c:v>
                </c:pt>
                <c:pt idx="9">
                  <c:v>88.5</c:v>
                </c:pt>
                <c:pt idx="10">
                  <c:v>92.8</c:v>
                </c:pt>
                <c:pt idx="11">
                  <c:v>92.6</c:v>
                </c:pt>
                <c:pt idx="12">
                  <c:v>96.9</c:v>
                </c:pt>
                <c:pt idx="13">
                  <c:v>93.1</c:v>
                </c:pt>
                <c:pt idx="14">
                  <c:v>96.7</c:v>
                </c:pt>
                <c:pt idx="15">
                  <c:v>98.4</c:v>
                </c:pt>
                <c:pt idx="16">
                  <c:v>98.2</c:v>
                </c:pt>
                <c:pt idx="17">
                  <c:v>99.4</c:v>
                </c:pt>
                <c:pt idx="18">
                  <c:v>99.9</c:v>
                </c:pt>
                <c:pt idx="19">
                  <c:v>97.9</c:v>
                </c:pt>
                <c:pt idx="20">
                  <c:v>96.3</c:v>
                </c:pt>
                <c:pt idx="21">
                  <c:v>100.2</c:v>
                </c:pt>
                <c:pt idx="22">
                  <c:v>103.6</c:v>
                </c:pt>
                <c:pt idx="23">
                  <c:v>105.1</c:v>
                </c:pt>
                <c:pt idx="24">
                  <c:v>106.7</c:v>
                </c:pt>
                <c:pt idx="25">
                  <c:v>105.7</c:v>
                </c:pt>
                <c:pt idx="26">
                  <c:v>105.7</c:v>
                </c:pt>
                <c:pt idx="27">
                  <c:v>104.3</c:v>
                </c:pt>
                <c:pt idx="28">
                  <c:v>103.6</c:v>
                </c:pt>
                <c:pt idx="29">
                  <c:v>104.3</c:v>
                </c:pt>
                <c:pt idx="30">
                  <c:v>103.6</c:v>
                </c:pt>
                <c:pt idx="31">
                  <c:v>103.6</c:v>
                </c:pt>
                <c:pt idx="32">
                  <c:v>103.3</c:v>
                </c:pt>
                <c:pt idx="33">
                  <c:v>104.8</c:v>
                </c:pt>
                <c:pt idx="34">
                  <c:v>105.3</c:v>
                </c:pt>
                <c:pt idx="35">
                  <c:v>107.4</c:v>
                </c:pt>
                <c:pt idx="36" formatCode="0.0">
                  <c:v>110</c:v>
                </c:pt>
                <c:pt idx="37" formatCode="0.0">
                  <c:v>106.2</c:v>
                </c:pt>
                <c:pt idx="38" formatCode="0.0">
                  <c:v>104.8</c:v>
                </c:pt>
                <c:pt idx="39" formatCode="0.0">
                  <c:v>104.3</c:v>
                </c:pt>
                <c:pt idx="40" formatCode="0.0">
                  <c:v>104.3</c:v>
                </c:pt>
                <c:pt idx="41" formatCode="0.0">
                  <c:v>103.8</c:v>
                </c:pt>
                <c:pt idx="42" formatCode="0.0">
                  <c:v>102.3</c:v>
                </c:pt>
                <c:pt idx="43" formatCode="0.0">
                  <c:v>104.3</c:v>
                </c:pt>
                <c:pt idx="44" formatCode="0.0">
                  <c:v>106.4</c:v>
                </c:pt>
                <c:pt idx="45" formatCode="0.0">
                  <c:v>108.9</c:v>
                </c:pt>
                <c:pt idx="46" formatCode="0.0">
                  <c:v>107.9</c:v>
                </c:pt>
                <c:pt idx="47" formatCode="0.0">
                  <c:v>108.7</c:v>
                </c:pt>
                <c:pt idx="48" formatCode="0.0">
                  <c:v>110</c:v>
                </c:pt>
                <c:pt idx="49" formatCode="0.0">
                  <c:v>108.2</c:v>
                </c:pt>
                <c:pt idx="50" formatCode="0.0">
                  <c:v>108.7</c:v>
                </c:pt>
                <c:pt idx="51" formatCode="0.0">
                  <c:v>108.4</c:v>
                </c:pt>
                <c:pt idx="52" formatCode="0.0">
                  <c:v>108.4</c:v>
                </c:pt>
                <c:pt idx="53" formatCode="0.0">
                  <c:v>106.2</c:v>
                </c:pt>
                <c:pt idx="54" formatCode="0.0">
                  <c:v>105.7</c:v>
                </c:pt>
                <c:pt idx="55" formatCode="0.0">
                  <c:v>107.9</c:v>
                </c:pt>
                <c:pt idx="56" formatCode="0.0">
                  <c:v>109.2</c:v>
                </c:pt>
                <c:pt idx="57" formatCode="0.0">
                  <c:v>108.7</c:v>
                </c:pt>
                <c:pt idx="58" formatCode="0.0">
                  <c:v>110.3</c:v>
                </c:pt>
                <c:pt idx="59" formatCode="0.0">
                  <c:v>110</c:v>
                </c:pt>
                <c:pt idx="60" formatCode="0.0">
                  <c:v>112.3</c:v>
                </c:pt>
                <c:pt idx="61" formatCode="0.0">
                  <c:v>112</c:v>
                </c:pt>
                <c:pt idx="62" formatCode="0.0">
                  <c:v>112.8</c:v>
                </c:pt>
                <c:pt idx="63" formatCode="0.0">
                  <c:v>112.5</c:v>
                </c:pt>
                <c:pt idx="64" formatCode="0.0">
                  <c:v>113.8</c:v>
                </c:pt>
                <c:pt idx="65" formatCode="0.0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D6-489E-9F83-A09DAA724BFC}"/>
            </c:ext>
          </c:extLst>
        </c:ser>
        <c:ser>
          <c:idx val="1"/>
          <c:order val="3"/>
          <c:tx>
            <c:strRef>
              <c:f>'souhrnná výkonnost 2'!$F$5</c:f>
              <c:strCache>
                <c:ptCount val="1"/>
                <c:pt idx="0">
                  <c:v>Souhrnný indikátor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'souhrnná výkonnost 2'!$A$18:$B$83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  <c:pt idx="60">
                    <c:v>2018</c:v>
                  </c:pt>
                </c:lvl>
              </c:multiLvlStrCache>
            </c:multiLvlStrRef>
          </c:cat>
          <c:val>
            <c:numRef>
              <c:f>'souhrnná výkonnost 2'!$F$18:$F$83</c:f>
              <c:numCache>
                <c:formatCode>###,###,##0.0</c:formatCode>
                <c:ptCount val="66"/>
                <c:pt idx="0">
                  <c:v>82.8</c:v>
                </c:pt>
                <c:pt idx="1">
                  <c:v>84.2</c:v>
                </c:pt>
                <c:pt idx="2">
                  <c:v>84.4</c:v>
                </c:pt>
                <c:pt idx="3">
                  <c:v>81.900000000000006</c:v>
                </c:pt>
                <c:pt idx="4">
                  <c:v>83.3</c:v>
                </c:pt>
                <c:pt idx="5">
                  <c:v>83.8</c:v>
                </c:pt>
                <c:pt idx="6">
                  <c:v>83.6</c:v>
                </c:pt>
                <c:pt idx="7">
                  <c:v>84.8</c:v>
                </c:pt>
                <c:pt idx="8">
                  <c:v>87.5</c:v>
                </c:pt>
                <c:pt idx="9">
                  <c:v>88.9</c:v>
                </c:pt>
                <c:pt idx="10">
                  <c:v>90.4</c:v>
                </c:pt>
                <c:pt idx="11">
                  <c:v>91.2</c:v>
                </c:pt>
                <c:pt idx="12">
                  <c:v>91.3</c:v>
                </c:pt>
                <c:pt idx="13">
                  <c:v>91.2</c:v>
                </c:pt>
                <c:pt idx="14">
                  <c:v>92.4</c:v>
                </c:pt>
                <c:pt idx="15">
                  <c:v>92.6</c:v>
                </c:pt>
                <c:pt idx="16">
                  <c:v>92.6</c:v>
                </c:pt>
                <c:pt idx="17">
                  <c:v>93.6</c:v>
                </c:pt>
                <c:pt idx="18" formatCode="###,###,##0">
                  <c:v>93</c:v>
                </c:pt>
                <c:pt idx="19">
                  <c:v>93.4</c:v>
                </c:pt>
                <c:pt idx="20">
                  <c:v>93.7</c:v>
                </c:pt>
                <c:pt idx="21">
                  <c:v>94.1</c:v>
                </c:pt>
                <c:pt idx="22">
                  <c:v>95.2</c:v>
                </c:pt>
                <c:pt idx="23">
                  <c:v>96.5</c:v>
                </c:pt>
                <c:pt idx="24">
                  <c:v>96.4</c:v>
                </c:pt>
                <c:pt idx="25">
                  <c:v>95.5</c:v>
                </c:pt>
                <c:pt idx="26">
                  <c:v>95.1</c:v>
                </c:pt>
                <c:pt idx="27">
                  <c:v>95.1</c:v>
                </c:pt>
                <c:pt idx="28">
                  <c:v>95.5</c:v>
                </c:pt>
                <c:pt idx="29" formatCode="###,###,##0">
                  <c:v>97</c:v>
                </c:pt>
                <c:pt idx="30">
                  <c:v>96.1</c:v>
                </c:pt>
                <c:pt idx="31">
                  <c:v>95.7</c:v>
                </c:pt>
                <c:pt idx="32">
                  <c:v>95.9</c:v>
                </c:pt>
                <c:pt idx="33">
                  <c:v>95.1</c:v>
                </c:pt>
                <c:pt idx="34" formatCode="###,###,##0">
                  <c:v>96</c:v>
                </c:pt>
                <c:pt idx="35">
                  <c:v>96.5</c:v>
                </c:pt>
                <c:pt idx="36" formatCode="0.0">
                  <c:v>98.4</c:v>
                </c:pt>
                <c:pt idx="37" formatCode="0.0">
                  <c:v>97.1</c:v>
                </c:pt>
                <c:pt idx="38" formatCode="0.0">
                  <c:v>96.7</c:v>
                </c:pt>
                <c:pt idx="39" formatCode="0.0">
                  <c:v>95.6</c:v>
                </c:pt>
                <c:pt idx="40" formatCode="0.0">
                  <c:v>96</c:v>
                </c:pt>
                <c:pt idx="41" formatCode="0.0">
                  <c:v>95.3</c:v>
                </c:pt>
                <c:pt idx="42" formatCode="0.0">
                  <c:v>95.4</c:v>
                </c:pt>
                <c:pt idx="43" formatCode="0.0">
                  <c:v>96.8</c:v>
                </c:pt>
                <c:pt idx="44" formatCode="0.0">
                  <c:v>97.1</c:v>
                </c:pt>
                <c:pt idx="45" formatCode="0.0">
                  <c:v>97.5</c:v>
                </c:pt>
                <c:pt idx="46" formatCode="0.0">
                  <c:v>99.3</c:v>
                </c:pt>
                <c:pt idx="47" formatCode="0.0">
                  <c:v>99.1</c:v>
                </c:pt>
                <c:pt idx="48" formatCode="0.0">
                  <c:v>99.2</c:v>
                </c:pt>
                <c:pt idx="49" formatCode="0.0">
                  <c:v>98</c:v>
                </c:pt>
                <c:pt idx="50" formatCode="0.0">
                  <c:v>96.6</c:v>
                </c:pt>
                <c:pt idx="51" formatCode="0.0">
                  <c:v>97.4</c:v>
                </c:pt>
                <c:pt idx="52" formatCode="0.0">
                  <c:v>97.2</c:v>
                </c:pt>
                <c:pt idx="53" formatCode="0.0">
                  <c:v>97.1</c:v>
                </c:pt>
                <c:pt idx="54" formatCode="0.0">
                  <c:v>97.7</c:v>
                </c:pt>
                <c:pt idx="55" formatCode="0.0">
                  <c:v>98.7</c:v>
                </c:pt>
                <c:pt idx="56" formatCode="0.0">
                  <c:v>99.1</c:v>
                </c:pt>
                <c:pt idx="57" formatCode="0.0">
                  <c:v>99.3</c:v>
                </c:pt>
                <c:pt idx="58" formatCode="0.0">
                  <c:v>99</c:v>
                </c:pt>
                <c:pt idx="59" formatCode="0.0">
                  <c:v>99.6</c:v>
                </c:pt>
                <c:pt idx="60" formatCode="0.0">
                  <c:v>99.5</c:v>
                </c:pt>
                <c:pt idx="61" formatCode="0.0">
                  <c:v>99.9</c:v>
                </c:pt>
                <c:pt idx="62" formatCode="0.0">
                  <c:v>99.7</c:v>
                </c:pt>
                <c:pt idx="63" formatCode="0.0">
                  <c:v>100.1</c:v>
                </c:pt>
                <c:pt idx="64" formatCode="0.0">
                  <c:v>99.2</c:v>
                </c:pt>
                <c:pt idx="65" formatCode="0.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4D6-489E-9F83-A09DAA724BFC}"/>
            </c:ext>
          </c:extLst>
        </c:ser>
        <c:marker val="1"/>
        <c:axId val="115582464"/>
        <c:axId val="115584000"/>
      </c:lineChart>
      <c:catAx>
        <c:axId val="11558246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15584000"/>
        <c:crossesAt val="100"/>
        <c:auto val="1"/>
        <c:lblAlgn val="ctr"/>
        <c:lblOffset val="100"/>
      </c:catAx>
      <c:valAx>
        <c:axId val="115584000"/>
        <c:scaling>
          <c:orientation val="minMax"/>
          <c:min val="7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115582464"/>
        <c:crosses val="autoZero"/>
        <c:crossBetween val="between"/>
        <c:majorUnit val="5"/>
      </c:valAx>
      <c:valAx>
        <c:axId val="115589888"/>
        <c:scaling>
          <c:orientation val="minMax"/>
          <c:min val="-2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15591424"/>
        <c:crosses val="max"/>
        <c:crossBetween val="between"/>
        <c:majorUnit val="1"/>
      </c:valAx>
      <c:catAx>
        <c:axId val="115591424"/>
        <c:scaling>
          <c:orientation val="minMax"/>
        </c:scaling>
        <c:delete val="1"/>
        <c:axPos val="b"/>
        <c:tickLblPos val="none"/>
        <c:crossAx val="115589888"/>
        <c:crossesAt val="0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2295583422442583E-2"/>
          <c:y val="0.90228835978834843"/>
          <c:w val="0.88075331324325201"/>
          <c:h val="8.264578408195417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3306186868686933E-2"/>
          <c:y val="1.544165056508486E-2"/>
          <c:w val="0.89338762626262558"/>
          <c:h val="0.79972056504783351"/>
        </c:manualLayout>
      </c:layout>
      <c:barChart>
        <c:barDir val="col"/>
        <c:grouping val="clustered"/>
        <c:ser>
          <c:idx val="5"/>
          <c:order val="5"/>
          <c:tx>
            <c:strRef>
              <c:f>'Státní rozpočet 4'!$G$22</c:f>
              <c:strCache>
                <c:ptCount val="1"/>
                <c:pt idx="0">
                  <c:v>Saldo příjmů a výdajů na důchody (pr.osa)</c:v>
                </c:pt>
              </c:strCache>
            </c:strRef>
          </c:tx>
          <c:spPr>
            <a:solidFill>
              <a:srgbClr val="A6A6A6"/>
            </a:solidFill>
          </c:spP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4'!$G$23:$G$36</c:f>
              <c:numCache>
                <c:formatCode>0.0</c:formatCode>
                <c:ptCount val="14"/>
                <c:pt idx="0">
                  <c:v>-5.289999999999992</c:v>
                </c:pt>
                <c:pt idx="1">
                  <c:v>-8.0400000000000187</c:v>
                </c:pt>
                <c:pt idx="2">
                  <c:v>0.15999999999999687</c:v>
                </c:pt>
                <c:pt idx="3">
                  <c:v>6.0900000000000025</c:v>
                </c:pt>
                <c:pt idx="4">
                  <c:v>-7.4699999999999989</c:v>
                </c:pt>
                <c:pt idx="5">
                  <c:v>-18.659999999999997</c:v>
                </c:pt>
                <c:pt idx="6">
                  <c:v>-24.669999999999987</c:v>
                </c:pt>
                <c:pt idx="7">
                  <c:v>-21.629999999999992</c:v>
                </c:pt>
                <c:pt idx="8">
                  <c:v>-19.550000000000011</c:v>
                </c:pt>
                <c:pt idx="9">
                  <c:v>-15.79</c:v>
                </c:pt>
                <c:pt idx="10">
                  <c:v>-11.489999999999995</c:v>
                </c:pt>
                <c:pt idx="11">
                  <c:v>-8.7459999999999827</c:v>
                </c:pt>
                <c:pt idx="12">
                  <c:v>-3.6899999999999982</c:v>
                </c:pt>
                <c:pt idx="13">
                  <c:v>6.6100000000000092</c:v>
                </c:pt>
              </c:numCache>
            </c:numRef>
          </c:val>
        </c:ser>
        <c:gapWidth val="43"/>
        <c:axId val="127411328"/>
        <c:axId val="127331712"/>
      </c:barChart>
      <c:lineChart>
        <c:grouping val="standard"/>
        <c:ser>
          <c:idx val="1"/>
          <c:order val="0"/>
          <c:tx>
            <c:strRef>
              <c:f>'Státní rozpočet 4'!$C$22</c:f>
              <c:strCache>
                <c:ptCount val="1"/>
              </c:strCache>
            </c:strRef>
          </c:tx>
          <c:spPr>
            <a:ln w="19050">
              <a:noFill/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4'!$C$23:$C$36</c:f>
              <c:numCache>
                <c:formatCode>General</c:formatCode>
                <c:ptCount val="14"/>
              </c:numCache>
            </c:numRef>
          </c:val>
        </c:ser>
        <c:ser>
          <c:idx val="0"/>
          <c:order val="1"/>
          <c:tx>
            <c:strRef>
              <c:f>'Státní rozpočet 4'!$B$22</c:f>
              <c:strCache>
                <c:ptCount val="1"/>
                <c:pt idx="0">
                  <c:v>Počet příjemců důchodů celkem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4'!$B$23:$B$36</c:f>
              <c:numCache>
                <c:formatCode>0.0</c:formatCode>
                <c:ptCount val="14"/>
                <c:pt idx="0">
                  <c:v>0.97119001180084352</c:v>
                </c:pt>
                <c:pt idx="1">
                  <c:v>1.7113420628585061</c:v>
                </c:pt>
                <c:pt idx="2">
                  <c:v>0.87203655500734056</c:v>
                </c:pt>
                <c:pt idx="3">
                  <c:v>1.3906623570156842</c:v>
                </c:pt>
                <c:pt idx="4">
                  <c:v>1.3478834471453638</c:v>
                </c:pt>
                <c:pt idx="5">
                  <c:v>1.2637169965881578</c:v>
                </c:pt>
                <c:pt idx="6">
                  <c:v>0.81439496394068567</c:v>
                </c:pt>
                <c:pt idx="7">
                  <c:v>1.2304166450441711</c:v>
                </c:pt>
                <c:pt idx="8">
                  <c:v>-0.21063254977326551</c:v>
                </c:pt>
                <c:pt idx="9">
                  <c:v>0.16190735460577343</c:v>
                </c:pt>
                <c:pt idx="10">
                  <c:v>-1.9049971634387965E-2</c:v>
                </c:pt>
                <c:pt idx="11">
                  <c:v>0.70327331099943535</c:v>
                </c:pt>
                <c:pt idx="12">
                  <c:v>0.24419969415261292</c:v>
                </c:pt>
                <c:pt idx="13">
                  <c:v>3.1112102089167617E-2</c:v>
                </c:pt>
              </c:numCache>
            </c:numRef>
          </c:val>
        </c:ser>
        <c:ser>
          <c:idx val="2"/>
          <c:order val="2"/>
          <c:tx>
            <c:strRef>
              <c:f>'Státní rozpočet 4'!$D$22</c:f>
              <c:strCache>
                <c:ptCount val="1"/>
                <c:pt idx="0">
                  <c:v>z toho starobních trvale krácených*</c:v>
                </c:pt>
              </c:strCache>
            </c:strRef>
          </c:tx>
          <c:spPr>
            <a:ln w="22225">
              <a:noFill/>
            </a:ln>
          </c:spPr>
          <c:marker>
            <c:symbol val="diamond"/>
            <c:size val="6"/>
            <c:spPr>
              <a:solidFill>
                <a:srgbClr val="F8A124"/>
              </a:solidFill>
              <a:ln>
                <a:noFill/>
              </a:ln>
            </c:spPr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4'!$D$23:$D$36</c:f>
              <c:numCache>
                <c:formatCode>0.0</c:formatCode>
                <c:ptCount val="14"/>
                <c:pt idx="0">
                  <c:v>1.8836726276404638</c:v>
                </c:pt>
                <c:pt idx="1">
                  <c:v>7.0013988339436013</c:v>
                </c:pt>
                <c:pt idx="2">
                  <c:v>9.0068878386914868</c:v>
                </c:pt>
                <c:pt idx="3">
                  <c:v>7.4826769799065405</c:v>
                </c:pt>
                <c:pt idx="4">
                  <c:v>8.0882140941880749</c:v>
                </c:pt>
                <c:pt idx="5">
                  <c:v>11.09522501207015</c:v>
                </c:pt>
                <c:pt idx="6">
                  <c:v>7.5647200626191449</c:v>
                </c:pt>
                <c:pt idx="7">
                  <c:v>14.971695923141496</c:v>
                </c:pt>
                <c:pt idx="8">
                  <c:v>3.4652004411102268</c:v>
                </c:pt>
                <c:pt idx="9">
                  <c:v>4.0094799891914672</c:v>
                </c:pt>
                <c:pt idx="10">
                  <c:v>3.9149958775273772</c:v>
                </c:pt>
                <c:pt idx="11">
                  <c:v>3.4372780952083253</c:v>
                </c:pt>
                <c:pt idx="12">
                  <c:v>2.6132260896274886</c:v>
                </c:pt>
                <c:pt idx="13">
                  <c:v>2.1655494597167717</c:v>
                </c:pt>
              </c:numCache>
            </c:numRef>
          </c:val>
        </c:ser>
        <c:ser>
          <c:idx val="3"/>
          <c:order val="3"/>
          <c:tx>
            <c:strRef>
              <c:f>'Státní rozpočet 4'!$E$22</c:f>
              <c:strCache>
                <c:ptCount val="1"/>
                <c:pt idx="0">
                  <c:v>Příjmy na důchody</c:v>
                </c:pt>
              </c:strCache>
            </c:strRef>
          </c:tx>
          <c:spPr>
            <a:ln w="2222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4'!$E$23:$E$36</c:f>
              <c:numCache>
                <c:formatCode>0.0</c:formatCode>
                <c:ptCount val="14"/>
                <c:pt idx="0">
                  <c:v>5.7971014492753552</c:v>
                </c:pt>
                <c:pt idx="1">
                  <c:v>7.1573316041176867</c:v>
                </c:pt>
                <c:pt idx="2">
                  <c:v>10.325264750378224</c:v>
                </c:pt>
                <c:pt idx="3">
                  <c:v>8.1179293794994809</c:v>
                </c:pt>
                <c:pt idx="4">
                  <c:v>1.4839241549876319</c:v>
                </c:pt>
                <c:pt idx="5">
                  <c:v>-3.3243766793726053</c:v>
                </c:pt>
                <c:pt idx="6">
                  <c:v>3.7748044728847674</c:v>
                </c:pt>
                <c:pt idx="7">
                  <c:v>3.2949236997819895</c:v>
                </c:pt>
                <c:pt idx="8">
                  <c:v>-0.78991799324650469</c:v>
                </c:pt>
                <c:pt idx="9">
                  <c:v>2.5952713790798021</c:v>
                </c:pt>
                <c:pt idx="10">
                  <c:v>5.4798578199052059</c:v>
                </c:pt>
                <c:pt idx="11">
                  <c:v>5.9196854816062814</c:v>
                </c:pt>
                <c:pt idx="12">
                  <c:v>7.7155583837098334</c:v>
                </c:pt>
                <c:pt idx="13">
                  <c:v>10.067444493674012</c:v>
                </c:pt>
              </c:numCache>
            </c:numRef>
          </c:val>
        </c:ser>
        <c:ser>
          <c:idx val="4"/>
          <c:order val="4"/>
          <c:tx>
            <c:strRef>
              <c:f>'Státní rozpočet 4'!$F$22</c:f>
              <c:strCache>
                <c:ptCount val="1"/>
                <c:pt idx="0">
                  <c:v>Výdaje na důchody</c:v>
                </c:pt>
              </c:strCache>
            </c:strRef>
          </c:tx>
          <c:spPr>
            <a:ln w="22225">
              <a:solidFill>
                <a:srgbClr val="BD1B25"/>
              </a:solidFill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4'!$F$23:$F$36</c:f>
              <c:numCache>
                <c:formatCode>0.0</c:formatCode>
                <c:ptCount val="14"/>
                <c:pt idx="0">
                  <c:v>6.5772034459907402</c:v>
                </c:pt>
                <c:pt idx="1">
                  <c:v>9.0004663454065028</c:v>
                </c:pt>
                <c:pt idx="2">
                  <c:v>3.8861950941243597</c:v>
                </c:pt>
                <c:pt idx="3">
                  <c:v>4.0565584460155097</c:v>
                </c:pt>
                <c:pt idx="4">
                  <c:v>10.488126649076518</c:v>
                </c:pt>
                <c:pt idx="5">
                  <c:v>3.5044776119403047</c:v>
                </c:pt>
                <c:pt idx="6">
                  <c:v>6.8350925765703305</c:v>
                </c:pt>
                <c:pt idx="7">
                  <c:v>1.2147716229348891</c:v>
                </c:pt>
                <c:pt idx="8">
                  <c:v>-1.8082893262921971</c:v>
                </c:pt>
                <c:pt idx="9">
                  <c:v>0.27705345501955492</c:v>
                </c:pt>
                <c:pt idx="10">
                  <c:v>2.6816187225743584</c:v>
                </c:pt>
                <c:pt idx="11">
                  <c:v>4.1257781998522916</c:v>
                </c:pt>
                <c:pt idx="12">
                  <c:v>4.8113274479794894</c:v>
                </c:pt>
                <c:pt idx="13">
                  <c:v>4.9076491635238515</c:v>
                </c:pt>
              </c:numCache>
            </c:numRef>
          </c:val>
        </c:ser>
        <c:marker val="1"/>
        <c:axId val="127328640"/>
        <c:axId val="127330176"/>
      </c:lineChart>
      <c:catAx>
        <c:axId val="127328640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27330176"/>
        <c:crossesAt val="0"/>
        <c:auto val="1"/>
        <c:lblAlgn val="ctr"/>
        <c:lblOffset val="0"/>
      </c:catAx>
      <c:valAx>
        <c:axId val="127330176"/>
        <c:scaling>
          <c:orientation val="minMax"/>
          <c:max val="18"/>
          <c:min val="-1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328640"/>
        <c:crosses val="autoZero"/>
        <c:crossBetween val="between"/>
        <c:majorUnit val="3"/>
      </c:valAx>
      <c:valAx>
        <c:axId val="127331712"/>
        <c:scaling>
          <c:orientation val="minMax"/>
          <c:max val="30"/>
          <c:min val="-25"/>
        </c:scaling>
        <c:axPos val="r"/>
        <c:numFmt formatCode="0" sourceLinked="0"/>
        <c:tickLblPos val="nextTo"/>
        <c:crossAx val="127411328"/>
        <c:crosses val="max"/>
        <c:crossBetween val="between"/>
        <c:majorUnit val="5"/>
      </c:valAx>
      <c:catAx>
        <c:axId val="127411328"/>
        <c:scaling>
          <c:orientation val="minMax"/>
        </c:scaling>
        <c:delete val="1"/>
        <c:axPos val="b"/>
        <c:numFmt formatCode="General" sourceLinked="1"/>
        <c:tickLblPos val="none"/>
        <c:crossAx val="127331712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7528829966329967E-2"/>
          <c:y val="0.8723506235827666"/>
          <c:w val="0.95144297138047162"/>
          <c:h val="0.12079648526077141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3654503640965086E-2"/>
          <c:y val="1.6183541337351368E-2"/>
          <c:w val="0.88571919735113291"/>
          <c:h val="0.7710359290250216"/>
        </c:manualLayout>
      </c:layout>
      <c:barChart>
        <c:barDir val="col"/>
        <c:grouping val="clustered"/>
        <c:ser>
          <c:idx val="0"/>
          <c:order val="0"/>
          <c:tx>
            <c:strRef>
              <c:f>'Státní rozpočet 3'!$B$31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</c:spP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3'!$B$32:$B$45</c:f>
              <c:numCache>
                <c:formatCode>0.0</c:formatCode>
                <c:ptCount val="14"/>
                <c:pt idx="0">
                  <c:v>402.04</c:v>
                </c:pt>
                <c:pt idx="1">
                  <c:v>437.53299999999899</c:v>
                </c:pt>
                <c:pt idx="2">
                  <c:v>455.274</c:v>
                </c:pt>
                <c:pt idx="3">
                  <c:v>488.71899999999869</c:v>
                </c:pt>
                <c:pt idx="4">
                  <c:v>523.79999999999995</c:v>
                </c:pt>
                <c:pt idx="5">
                  <c:v>527.73400000000004</c:v>
                </c:pt>
                <c:pt idx="6">
                  <c:v>523.22</c:v>
                </c:pt>
                <c:pt idx="7">
                  <c:v>534.42999999999938</c:v>
                </c:pt>
                <c:pt idx="8">
                  <c:v>544.65</c:v>
                </c:pt>
                <c:pt idx="9">
                  <c:v>552.71100000000001</c:v>
                </c:pt>
                <c:pt idx="10">
                  <c:v>564.13</c:v>
                </c:pt>
                <c:pt idx="11">
                  <c:v>575.57000000000005</c:v>
                </c:pt>
                <c:pt idx="12">
                  <c:v>609.53</c:v>
                </c:pt>
                <c:pt idx="13">
                  <c:v>660.9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3F-4527-ABDB-4F30FA0C2495}"/>
            </c:ext>
          </c:extLst>
        </c:ser>
        <c:gapWidth val="70"/>
        <c:axId val="127486976"/>
        <c:axId val="127485440"/>
      </c:barChart>
      <c:lineChart>
        <c:grouping val="standard"/>
        <c:ser>
          <c:idx val="1"/>
          <c:order val="1"/>
          <c:tx>
            <c:strRef>
              <c:f>'Státní rozpočet 3'!$C$31</c:f>
              <c:strCache>
                <c:ptCount val="1"/>
                <c:pt idx="0">
                  <c:v>Platy státních zaměstnanců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3'!$C$32:$C$45</c:f>
              <c:numCache>
                <c:formatCode>0.0</c:formatCode>
                <c:ptCount val="14"/>
                <c:pt idx="0">
                  <c:v>34.160000000000011</c:v>
                </c:pt>
                <c:pt idx="1">
                  <c:v>35.65</c:v>
                </c:pt>
                <c:pt idx="2">
                  <c:v>37.92</c:v>
                </c:pt>
                <c:pt idx="3">
                  <c:v>37.730000000000011</c:v>
                </c:pt>
                <c:pt idx="4">
                  <c:v>38.980000000000004</c:v>
                </c:pt>
                <c:pt idx="5">
                  <c:v>39.36</c:v>
                </c:pt>
                <c:pt idx="6">
                  <c:v>35.700000000000003</c:v>
                </c:pt>
                <c:pt idx="7">
                  <c:v>36.300000000000004</c:v>
                </c:pt>
                <c:pt idx="8">
                  <c:v>36.880000000000003</c:v>
                </c:pt>
                <c:pt idx="9">
                  <c:v>38.090000000000003</c:v>
                </c:pt>
                <c:pt idx="10">
                  <c:v>41.88</c:v>
                </c:pt>
                <c:pt idx="11">
                  <c:v>43.220000000000013</c:v>
                </c:pt>
                <c:pt idx="12">
                  <c:v>46.52</c:v>
                </c:pt>
                <c:pt idx="13">
                  <c:v>53.13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3F-4527-ABDB-4F30FA0C2495}"/>
            </c:ext>
          </c:extLst>
        </c:ser>
        <c:ser>
          <c:idx val="2"/>
          <c:order val="2"/>
          <c:tx>
            <c:strRef>
              <c:f>'Státní rozpočet 3'!$D$31</c:f>
              <c:strCache>
                <c:ptCount val="1"/>
                <c:pt idx="0">
                  <c:v>Dávky na podpory v nezaměstnanosti</c:v>
                </c:pt>
              </c:strCache>
            </c:strRef>
          </c:tx>
          <c:spPr>
            <a:ln w="19050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3'!$D$32:$D$45</c:f>
              <c:numCache>
                <c:formatCode>0.0</c:formatCode>
                <c:ptCount val="14"/>
                <c:pt idx="0">
                  <c:v>3.69</c:v>
                </c:pt>
                <c:pt idx="1">
                  <c:v>3.8959999999999977</c:v>
                </c:pt>
                <c:pt idx="2">
                  <c:v>3.7800000000000002</c:v>
                </c:pt>
                <c:pt idx="3">
                  <c:v>3.56</c:v>
                </c:pt>
                <c:pt idx="4">
                  <c:v>7.3049999999999855</c:v>
                </c:pt>
                <c:pt idx="5">
                  <c:v>7.7700000000000014</c:v>
                </c:pt>
                <c:pt idx="6">
                  <c:v>6.2279999999999855</c:v>
                </c:pt>
                <c:pt idx="7">
                  <c:v>4.8410000000000002</c:v>
                </c:pt>
                <c:pt idx="8">
                  <c:v>5.3579999999999846</c:v>
                </c:pt>
                <c:pt idx="9">
                  <c:v>5.2690000000000001</c:v>
                </c:pt>
                <c:pt idx="10">
                  <c:v>4.6099999999999985</c:v>
                </c:pt>
                <c:pt idx="11">
                  <c:v>4.4700000000000024</c:v>
                </c:pt>
                <c:pt idx="12">
                  <c:v>4.3099999999999996</c:v>
                </c:pt>
                <c:pt idx="13">
                  <c:v>3.9899999999999998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3F-4527-ABDB-4F30FA0C2495}"/>
            </c:ext>
          </c:extLst>
        </c:ser>
        <c:ser>
          <c:idx val="3"/>
          <c:order val="3"/>
          <c:tx>
            <c:strRef>
              <c:f>'Státní rozpočet 3'!$E$31</c:f>
              <c:strCache>
                <c:ptCount val="1"/>
                <c:pt idx="0">
                  <c:v>Státní sociální podpora*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3'!$E$32:$E$45</c:f>
              <c:numCache>
                <c:formatCode>General</c:formatCode>
                <c:ptCount val="14"/>
                <c:pt idx="0">
                  <c:v>16.649999999999999</c:v>
                </c:pt>
                <c:pt idx="1">
                  <c:v>17.04</c:v>
                </c:pt>
                <c:pt idx="2">
                  <c:v>23.830000000000005</c:v>
                </c:pt>
                <c:pt idx="3">
                  <c:v>21.52</c:v>
                </c:pt>
                <c:pt idx="4">
                  <c:v>20.594999999999999</c:v>
                </c:pt>
                <c:pt idx="5">
                  <c:v>20.64</c:v>
                </c:pt>
                <c:pt idx="6">
                  <c:v>18.405999999999889</c:v>
                </c:pt>
                <c:pt idx="7">
                  <c:v>17.881</c:v>
                </c:pt>
                <c:pt idx="8">
                  <c:v>18.681999999999999</c:v>
                </c:pt>
                <c:pt idx="9">
                  <c:v>18.91</c:v>
                </c:pt>
                <c:pt idx="10">
                  <c:v>18.91</c:v>
                </c:pt>
                <c:pt idx="11">
                  <c:v>18.979999999999986</c:v>
                </c:pt>
                <c:pt idx="12">
                  <c:v>18.739999999999988</c:v>
                </c:pt>
                <c:pt idx="13">
                  <c:v>19.559999999999999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3F-4527-ABDB-4F30FA0C2495}"/>
            </c:ext>
          </c:extLst>
        </c:ser>
        <c:ser>
          <c:idx val="4"/>
          <c:order val="4"/>
          <c:tx>
            <c:strRef>
              <c:f>'Státní rozpočet 3'!$F$31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3'!$F$32:$F$45</c:f>
              <c:numCache>
                <c:formatCode>0.00</c:formatCode>
                <c:ptCount val="14"/>
                <c:pt idx="0">
                  <c:v>17.497</c:v>
                </c:pt>
                <c:pt idx="1">
                  <c:v>17.936</c:v>
                </c:pt>
                <c:pt idx="2">
                  <c:v>18.398</c:v>
                </c:pt>
                <c:pt idx="3">
                  <c:v>16.734000000000005</c:v>
                </c:pt>
                <c:pt idx="4">
                  <c:v>14.089</c:v>
                </c:pt>
                <c:pt idx="5">
                  <c:v>11.56</c:v>
                </c:pt>
                <c:pt idx="6">
                  <c:v>11.773</c:v>
                </c:pt>
                <c:pt idx="7">
                  <c:v>10.244</c:v>
                </c:pt>
                <c:pt idx="8">
                  <c:v>10.609</c:v>
                </c:pt>
                <c:pt idx="9">
                  <c:v>11.201000000000001</c:v>
                </c:pt>
                <c:pt idx="10">
                  <c:v>12.43</c:v>
                </c:pt>
                <c:pt idx="11">
                  <c:v>13.57</c:v>
                </c:pt>
                <c:pt idx="12">
                  <c:v>14.75</c:v>
                </c:pt>
                <c:pt idx="13">
                  <c:v>17.3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C3F-4527-ABDB-4F30FA0C2495}"/>
            </c:ext>
          </c:extLst>
        </c:ser>
        <c:ser>
          <c:idx val="5"/>
          <c:order val="5"/>
          <c:tx>
            <c:strRef>
              <c:f>'Státní rozpočet 3'!$G$31</c:f>
              <c:strCache>
                <c:ptCount val="1"/>
                <c:pt idx="0">
                  <c:v>Dávky sociální péče**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3'!$G$32:$G$45</c:f>
              <c:numCache>
                <c:formatCode>General</c:formatCode>
                <c:ptCount val="14"/>
                <c:pt idx="2" formatCode="0.00">
                  <c:v>11.691000000000001</c:v>
                </c:pt>
                <c:pt idx="3" formatCode="0.00">
                  <c:v>13.247</c:v>
                </c:pt>
                <c:pt idx="4" formatCode="0.00">
                  <c:v>13.003</c:v>
                </c:pt>
                <c:pt idx="5" formatCode="0.00">
                  <c:v>13.486000000000002</c:v>
                </c:pt>
                <c:pt idx="6" formatCode="0.00">
                  <c:v>12.911000000000001</c:v>
                </c:pt>
                <c:pt idx="7" formatCode="0.00">
                  <c:v>13.282</c:v>
                </c:pt>
                <c:pt idx="8" formatCode="0.00">
                  <c:v>15.668000000000001</c:v>
                </c:pt>
                <c:pt idx="9" formatCode="0.00">
                  <c:v>16.734999999999999</c:v>
                </c:pt>
                <c:pt idx="10" formatCode="0.00">
                  <c:v>16.93</c:v>
                </c:pt>
                <c:pt idx="11" formatCode="0.00">
                  <c:v>16.779999999999987</c:v>
                </c:pt>
                <c:pt idx="12" formatCode="0.00">
                  <c:v>17.489999999999856</c:v>
                </c:pt>
                <c:pt idx="13" formatCode="0.00">
                  <c:v>17.100000000000001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C3F-4527-ABDB-4F30FA0C2495}"/>
            </c:ext>
          </c:extLst>
        </c:ser>
        <c:ser>
          <c:idx val="6"/>
          <c:order val="6"/>
          <c:tx>
            <c:strRef>
              <c:f>'Státní rozpočet 3'!$H$31</c:f>
              <c:strCache>
                <c:ptCount val="1"/>
                <c:pt idx="0">
                  <c:v>Státní dluh (čisté výdaje)***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3'!$H$32:$H$45</c:f>
              <c:numCache>
                <c:formatCode>0.0</c:formatCode>
                <c:ptCount val="14"/>
                <c:pt idx="0">
                  <c:v>14.81</c:v>
                </c:pt>
                <c:pt idx="1">
                  <c:v>17.16</c:v>
                </c:pt>
                <c:pt idx="2">
                  <c:v>17.05</c:v>
                </c:pt>
                <c:pt idx="3">
                  <c:v>16.5</c:v>
                </c:pt>
                <c:pt idx="4">
                  <c:v>25.770000000000003</c:v>
                </c:pt>
                <c:pt idx="5">
                  <c:v>21.27</c:v>
                </c:pt>
                <c:pt idx="6">
                  <c:v>25.810000000000031</c:v>
                </c:pt>
                <c:pt idx="7">
                  <c:v>26.419999999999987</c:v>
                </c:pt>
                <c:pt idx="8">
                  <c:v>30.400000000000002</c:v>
                </c:pt>
                <c:pt idx="9">
                  <c:v>26.86</c:v>
                </c:pt>
                <c:pt idx="10">
                  <c:v>23.549999999999986</c:v>
                </c:pt>
                <c:pt idx="11">
                  <c:v>23.759999999999987</c:v>
                </c:pt>
                <c:pt idx="12">
                  <c:v>18.739999999999988</c:v>
                </c:pt>
                <c:pt idx="13">
                  <c:v>20.110000000000031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C3F-4527-ABDB-4F30FA0C2495}"/>
            </c:ext>
          </c:extLst>
        </c:ser>
        <c:ser>
          <c:idx val="7"/>
          <c:order val="7"/>
          <c:tx>
            <c:strRef>
              <c:f>'Státní rozpočet 3'!$I$31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3'!$I$32:$I$45</c:f>
              <c:numCache>
                <c:formatCode>0.0</c:formatCode>
                <c:ptCount val="14"/>
                <c:pt idx="0">
                  <c:v>20.45</c:v>
                </c:pt>
                <c:pt idx="1">
                  <c:v>23.643000000000001</c:v>
                </c:pt>
                <c:pt idx="2">
                  <c:v>26.771000000000001</c:v>
                </c:pt>
                <c:pt idx="3">
                  <c:v>53.505000000000003</c:v>
                </c:pt>
                <c:pt idx="4">
                  <c:v>51.149000000000001</c:v>
                </c:pt>
                <c:pt idx="5">
                  <c:v>55.873000000000005</c:v>
                </c:pt>
                <c:pt idx="6">
                  <c:v>47.277000000000001</c:v>
                </c:pt>
                <c:pt idx="7">
                  <c:v>41.93</c:v>
                </c:pt>
                <c:pt idx="8">
                  <c:v>36.779000000000003</c:v>
                </c:pt>
                <c:pt idx="9">
                  <c:v>34.894000000000005</c:v>
                </c:pt>
                <c:pt idx="10">
                  <c:v>54.02</c:v>
                </c:pt>
                <c:pt idx="11">
                  <c:v>39.090000000000003</c:v>
                </c:pt>
                <c:pt idx="12">
                  <c:v>20.350000000000001</c:v>
                </c:pt>
                <c:pt idx="13">
                  <c:v>33.11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C3F-4527-ABDB-4F30FA0C2495}"/>
            </c:ext>
          </c:extLst>
        </c:ser>
        <c:marker val="1"/>
        <c:axId val="127473920"/>
        <c:axId val="127483904"/>
      </c:lineChart>
      <c:catAx>
        <c:axId val="127473920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27483904"/>
        <c:crosses val="autoZero"/>
        <c:auto val="1"/>
        <c:lblAlgn val="ctr"/>
        <c:lblOffset val="20"/>
      </c:catAx>
      <c:valAx>
        <c:axId val="127483904"/>
        <c:scaling>
          <c:orientation val="minMax"/>
          <c:max val="6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473920"/>
        <c:crosses val="autoZero"/>
        <c:crossBetween val="between"/>
        <c:majorUnit val="5"/>
      </c:valAx>
      <c:valAx>
        <c:axId val="127485440"/>
        <c:scaling>
          <c:orientation val="minMax"/>
          <c:max val="700"/>
          <c:min val="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486976"/>
        <c:crosses val="max"/>
        <c:crossBetween val="between"/>
        <c:majorUnit val="100"/>
      </c:valAx>
      <c:catAx>
        <c:axId val="127486976"/>
        <c:scaling>
          <c:orientation val="minMax"/>
        </c:scaling>
        <c:delete val="1"/>
        <c:axPos val="b"/>
        <c:numFmt formatCode="General" sourceLinked="1"/>
        <c:tickLblPos val="none"/>
        <c:crossAx val="127485440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073638025823627E-2"/>
          <c:y val="0.84832184592375071"/>
          <c:w val="0.88356227363294071"/>
          <c:h val="0.1427396217650171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7.6118939099658112E-2"/>
          <c:y val="1.6549886621315252E-2"/>
          <c:w val="0.87821457214635323"/>
          <c:h val="0.74091383219954943"/>
        </c:manualLayout>
      </c:layout>
      <c:barChart>
        <c:barDir val="col"/>
        <c:grouping val="stacked"/>
        <c:ser>
          <c:idx val="0"/>
          <c:order val="0"/>
          <c:tx>
            <c:strRef>
              <c:f>'Státní rozpočet 5'!$J$17</c:f>
              <c:strCache>
                <c:ptCount val="1"/>
                <c:pt idx="0">
                  <c:v>Státní pokladniční poukázky</c:v>
                </c:pt>
              </c:strCache>
            </c:strRef>
          </c:tx>
          <c:spPr>
            <a:solidFill>
              <a:srgbClr val="BD1B21"/>
            </a:solidFill>
          </c:spP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5'!$K$17:$AL$17</c:f>
              <c:numCache>
                <c:formatCode>#,##0</c:formatCode>
                <c:ptCount val="28"/>
                <c:pt idx="0">
                  <c:v>109</c:v>
                </c:pt>
                <c:pt idx="1">
                  <c:v>94.248999999999995</c:v>
                </c:pt>
                <c:pt idx="2">
                  <c:v>79.324999999999989</c:v>
                </c:pt>
                <c:pt idx="3">
                  <c:v>89.568000000000012</c:v>
                </c:pt>
                <c:pt idx="4">
                  <c:v>66.144999999999996</c:v>
                </c:pt>
                <c:pt idx="5">
                  <c:v>82.167999999999992</c:v>
                </c:pt>
                <c:pt idx="6">
                  <c:v>32.875</c:v>
                </c:pt>
                <c:pt idx="7">
                  <c:v>78.748999999999995</c:v>
                </c:pt>
                <c:pt idx="8">
                  <c:v>79.837000000000003</c:v>
                </c:pt>
                <c:pt idx="9">
                  <c:v>88.183999999999983</c:v>
                </c:pt>
                <c:pt idx="10">
                  <c:v>89.194999999999993</c:v>
                </c:pt>
                <c:pt idx="11">
                  <c:v>113.331</c:v>
                </c:pt>
                <c:pt idx="12">
                  <c:v>141.077</c:v>
                </c:pt>
                <c:pt idx="13">
                  <c:v>162.60899999999998</c:v>
                </c:pt>
                <c:pt idx="14">
                  <c:v>163.38200000000018</c:v>
                </c:pt>
                <c:pt idx="15">
                  <c:v>189.13499999999999</c:v>
                </c:pt>
                <c:pt idx="16">
                  <c:v>161.66499999999999</c:v>
                </c:pt>
                <c:pt idx="17">
                  <c:v>120.89100000000002</c:v>
                </c:pt>
                <c:pt idx="18">
                  <c:v>98.149000000000001</c:v>
                </c:pt>
                <c:pt idx="19">
                  <c:v>107.627</c:v>
                </c:pt>
                <c:pt idx="20">
                  <c:v>88.458000000000013</c:v>
                </c:pt>
                <c:pt idx="21">
                  <c:v>84.432000000000002</c:v>
                </c:pt>
                <c:pt idx="22">
                  <c:v>58</c:v>
                </c:pt>
                <c:pt idx="23">
                  <c:v>4.22</c:v>
                </c:pt>
                <c:pt idx="24">
                  <c:v>147.89800000000014</c:v>
                </c:pt>
                <c:pt idx="25" formatCode="0.0">
                  <c:v>44.013999999999996</c:v>
                </c:pt>
                <c:pt idx="26" formatCode="0.0">
                  <c:v>74.099999999999994</c:v>
                </c:pt>
              </c:numCache>
            </c:numRef>
          </c:val>
        </c:ser>
        <c:ser>
          <c:idx val="1"/>
          <c:order val="1"/>
          <c:tx>
            <c:strRef>
              <c:f>'Státní rozpočet 5'!$J$18</c:f>
              <c:strCache>
                <c:ptCount val="1"/>
                <c:pt idx="0">
                  <c:v>Spořicí státní dluhopisy</c:v>
                </c:pt>
              </c:strCache>
            </c:strRef>
          </c:tx>
          <c:spPr>
            <a:solidFill>
              <a:srgbClr val="E8AFB2"/>
            </a:solidFill>
          </c:spP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5'!$K$18:$AL$18</c:f>
              <c:numCache>
                <c:formatCode>#,##0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20.428999999999974</c:v>
                </c:pt>
                <c:pt idx="14">
                  <c:v>35.714000000000006</c:v>
                </c:pt>
                <c:pt idx="15">
                  <c:v>56.206000000000003</c:v>
                </c:pt>
                <c:pt idx="16">
                  <c:v>73.781999999999996</c:v>
                </c:pt>
                <c:pt idx="17">
                  <c:v>87.578999999999979</c:v>
                </c:pt>
                <c:pt idx="18">
                  <c:v>80.653999999999982</c:v>
                </c:pt>
                <c:pt idx="19">
                  <c:v>77.828999999999979</c:v>
                </c:pt>
                <c:pt idx="20">
                  <c:v>77.828999999999979</c:v>
                </c:pt>
                <c:pt idx="21">
                  <c:v>66.921999999999997</c:v>
                </c:pt>
                <c:pt idx="22">
                  <c:v>59.9</c:v>
                </c:pt>
                <c:pt idx="23">
                  <c:v>37.757373000000001</c:v>
                </c:pt>
                <c:pt idx="24">
                  <c:v>31.02</c:v>
                </c:pt>
                <c:pt idx="25" formatCode="0.0">
                  <c:v>21.478000000000002</c:v>
                </c:pt>
                <c:pt idx="26" formatCode="0.0">
                  <c:v>14.6</c:v>
                </c:pt>
              </c:numCache>
            </c:numRef>
          </c:val>
        </c:ser>
        <c:ser>
          <c:idx val="2"/>
          <c:order val="2"/>
          <c:tx>
            <c:strRef>
              <c:f>'Státní rozpočet 5'!$J$19</c:f>
              <c:strCache>
                <c:ptCount val="1"/>
                <c:pt idx="0">
                  <c:v>Dlouho-(středně-)dobé státní dluhopisy</c:v>
                </c:pt>
              </c:strCache>
            </c:strRef>
          </c:tx>
          <c:spPr>
            <a:solidFill>
              <a:srgbClr val="A6CDE8"/>
            </a:solidFill>
          </c:spP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5'!$K$19:$AL$19</c:f>
              <c:numCache>
                <c:formatCode>#,##0</c:formatCode>
                <c:ptCount val="28"/>
                <c:pt idx="0">
                  <c:v>428.77099999999973</c:v>
                </c:pt>
                <c:pt idx="1">
                  <c:v>487.50299999999999</c:v>
                </c:pt>
                <c:pt idx="2">
                  <c:v>532.05399999999997</c:v>
                </c:pt>
                <c:pt idx="3">
                  <c:v>588.93499999999949</c:v>
                </c:pt>
                <c:pt idx="4">
                  <c:v>666.81999999999948</c:v>
                </c:pt>
                <c:pt idx="5">
                  <c:v>692.19400000000053</c:v>
                </c:pt>
                <c:pt idx="6">
                  <c:v>728.61800000000005</c:v>
                </c:pt>
                <c:pt idx="7">
                  <c:v>735.55099999999948</c:v>
                </c:pt>
                <c:pt idx="8">
                  <c:v>830.01</c:v>
                </c:pt>
                <c:pt idx="9">
                  <c:v>838.56699999999933</c:v>
                </c:pt>
                <c:pt idx="10">
                  <c:v>903.13300000000004</c:v>
                </c:pt>
                <c:pt idx="11">
                  <c:v>922.95099999999945</c:v>
                </c:pt>
                <c:pt idx="12">
                  <c:v>967.24099999999999</c:v>
                </c:pt>
                <c:pt idx="13">
                  <c:v>999.13199999999949</c:v>
                </c:pt>
                <c:pt idx="14">
                  <c:v>1063.3779999999999</c:v>
                </c:pt>
                <c:pt idx="15">
                  <c:v>1042.0029999999999</c:v>
                </c:pt>
                <c:pt idx="16">
                  <c:v>1060.3129999999999</c:v>
                </c:pt>
                <c:pt idx="17">
                  <c:v>1079.675</c:v>
                </c:pt>
                <c:pt idx="18">
                  <c:v>1150.5329999999999</c:v>
                </c:pt>
                <c:pt idx="19">
                  <c:v>1175.655</c:v>
                </c:pt>
                <c:pt idx="20">
                  <c:v>1189.82</c:v>
                </c:pt>
                <c:pt idx="21">
                  <c:v>1235.1969999999999</c:v>
                </c:pt>
                <c:pt idx="22">
                  <c:v>1288.8</c:v>
                </c:pt>
                <c:pt idx="23">
                  <c:v>1301.5999999999999</c:v>
                </c:pt>
                <c:pt idx="24">
                  <c:v>1347.2118500000001</c:v>
                </c:pt>
                <c:pt idx="25" formatCode="0.0">
                  <c:v>1305.3969999999999</c:v>
                </c:pt>
                <c:pt idx="26" formatCode="0.0">
                  <c:v>1370.6</c:v>
                </c:pt>
              </c:numCache>
            </c:numRef>
          </c:val>
        </c:ser>
        <c:ser>
          <c:idx val="3"/>
          <c:order val="3"/>
          <c:tx>
            <c:strRef>
              <c:f>'Státní rozpočet 5'!$J$20</c:f>
              <c:strCache>
                <c:ptCount val="1"/>
                <c:pt idx="0">
                  <c:v>Krátkodobé zápůjčky a směnky</c:v>
                </c:pt>
              </c:strCache>
            </c:strRef>
          </c:tx>
          <c:spPr>
            <a:solidFill>
              <a:srgbClr val="0071BC"/>
            </a:solidFill>
          </c:spP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5'!$K$20:$AL$20</c:f>
              <c:numCache>
                <c:formatCode>#,##0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2.4</c:v>
                </c:pt>
                <c:pt idx="4">
                  <c:v>0</c:v>
                </c:pt>
                <c:pt idx="5">
                  <c:v>3.9000000000000014E-2</c:v>
                </c:pt>
                <c:pt idx="6">
                  <c:v>0.79500000000000004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8.1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11.620999999999999</c:v>
                </c:pt>
                <c:pt idx="19">
                  <c:v>2.5449999999999999</c:v>
                </c:pt>
                <c:pt idx="20">
                  <c:v>11.764000000000001</c:v>
                </c:pt>
                <c:pt idx="21">
                  <c:v>2.8549999999999978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6" formatCode="0.0">
                  <c:v>51.1</c:v>
                </c:pt>
              </c:numCache>
            </c:numRef>
          </c:val>
        </c:ser>
        <c:ser>
          <c:idx val="4"/>
          <c:order val="4"/>
          <c:tx>
            <c:strRef>
              <c:f>'Státní rozpočet 5'!$J$21</c:f>
              <c:strCache>
                <c:ptCount val="1"/>
                <c:pt idx="0">
                  <c:v>Zahraniční emise dluhopisů</c:v>
                </c:pt>
              </c:strCache>
            </c:strRef>
          </c:tx>
          <c:spPr>
            <a:solidFill>
              <a:srgbClr val="7DBB2D"/>
            </a:solidFill>
          </c:spP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5'!$K$21:$AL$21</c:f>
              <c:numCache>
                <c:formatCode>#,##0</c:formatCode>
                <c:ptCount val="28"/>
                <c:pt idx="0">
                  <c:v>78.885999999999981</c:v>
                </c:pt>
                <c:pt idx="1">
                  <c:v>78.873999999999981</c:v>
                </c:pt>
                <c:pt idx="2">
                  <c:v>84.733000000000004</c:v>
                </c:pt>
                <c:pt idx="3">
                  <c:v>84.111999999999995</c:v>
                </c:pt>
                <c:pt idx="4">
                  <c:v>84.04</c:v>
                </c:pt>
                <c:pt idx="5">
                  <c:v>83.685999999999979</c:v>
                </c:pt>
                <c:pt idx="6">
                  <c:v>131.55800000000013</c:v>
                </c:pt>
                <c:pt idx="7">
                  <c:v>137.87</c:v>
                </c:pt>
                <c:pt idx="8">
                  <c:v>175.62700000000001</c:v>
                </c:pt>
                <c:pt idx="9">
                  <c:v>193.018</c:v>
                </c:pt>
                <c:pt idx="10">
                  <c:v>192.506</c:v>
                </c:pt>
                <c:pt idx="11">
                  <c:v>240.29599999999999</c:v>
                </c:pt>
                <c:pt idx="12">
                  <c:v>237.08600000000001</c:v>
                </c:pt>
                <c:pt idx="13">
                  <c:v>245.74599999999998</c:v>
                </c:pt>
                <c:pt idx="14">
                  <c:v>295.37599999999969</c:v>
                </c:pt>
                <c:pt idx="15">
                  <c:v>310.28599999999966</c:v>
                </c:pt>
                <c:pt idx="16">
                  <c:v>314.565</c:v>
                </c:pt>
                <c:pt idx="17">
                  <c:v>323.68200000000002</c:v>
                </c:pt>
                <c:pt idx="18">
                  <c:v>275.38900000000001</c:v>
                </c:pt>
                <c:pt idx="19">
                  <c:v>239.57599999999999</c:v>
                </c:pt>
                <c:pt idx="20">
                  <c:v>235.67399999999998</c:v>
                </c:pt>
                <c:pt idx="21">
                  <c:v>225.61899999999997</c:v>
                </c:pt>
                <c:pt idx="22">
                  <c:v>227.3</c:v>
                </c:pt>
                <c:pt idx="23">
                  <c:v>213.524</c:v>
                </c:pt>
                <c:pt idx="24" formatCode="0">
                  <c:v>207.51715000000002</c:v>
                </c:pt>
                <c:pt idx="25" formatCode="0.0">
                  <c:v>202.61979999999986</c:v>
                </c:pt>
                <c:pt idx="26" formatCode="0.0">
                  <c:v>154.19999999999999</c:v>
                </c:pt>
              </c:numCache>
            </c:numRef>
          </c:val>
        </c:ser>
        <c:ser>
          <c:idx val="5"/>
          <c:order val="5"/>
          <c:tx>
            <c:strRef>
              <c:f>'Státní rozpočet 5'!$J$22</c:f>
              <c:strCache>
                <c:ptCount val="1"/>
                <c:pt idx="0">
                  <c:v>Úvěry od EIB</c:v>
                </c:pt>
              </c:strCache>
            </c:strRef>
          </c:tx>
          <c:spPr>
            <a:solidFill>
              <a:srgbClr val="D2E7B6"/>
            </a:solidFill>
          </c:spP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5'!$K$22:$AL$22</c:f>
              <c:numCache>
                <c:formatCode>#,##0</c:formatCode>
                <c:ptCount val="28"/>
                <c:pt idx="0">
                  <c:v>26.164000000000001</c:v>
                </c:pt>
                <c:pt idx="1">
                  <c:v>29.731999999999999</c:v>
                </c:pt>
                <c:pt idx="2">
                  <c:v>32.028000000000013</c:v>
                </c:pt>
                <c:pt idx="3">
                  <c:v>36.704000000000001</c:v>
                </c:pt>
                <c:pt idx="4">
                  <c:v>38.434000000000005</c:v>
                </c:pt>
                <c:pt idx="5">
                  <c:v>38.743000000000002</c:v>
                </c:pt>
                <c:pt idx="6">
                  <c:v>38.913999999999994</c:v>
                </c:pt>
                <c:pt idx="7">
                  <c:v>46.811999999999998</c:v>
                </c:pt>
                <c:pt idx="8">
                  <c:v>51.226000000000013</c:v>
                </c:pt>
                <c:pt idx="9">
                  <c:v>57.911999999999999</c:v>
                </c:pt>
                <c:pt idx="10">
                  <c:v>60.694000000000003</c:v>
                </c:pt>
                <c:pt idx="11">
                  <c:v>67.184999999999988</c:v>
                </c:pt>
                <c:pt idx="12">
                  <c:v>67.218000000000004</c:v>
                </c:pt>
                <c:pt idx="13">
                  <c:v>71.322999999999979</c:v>
                </c:pt>
                <c:pt idx="14">
                  <c:v>69.756</c:v>
                </c:pt>
                <c:pt idx="15">
                  <c:v>70.003</c:v>
                </c:pt>
                <c:pt idx="16">
                  <c:v>67.778999999999982</c:v>
                </c:pt>
                <c:pt idx="17">
                  <c:v>71.512</c:v>
                </c:pt>
                <c:pt idx="18">
                  <c:v>66.956999999999994</c:v>
                </c:pt>
                <c:pt idx="19">
                  <c:v>60.432000000000002</c:v>
                </c:pt>
                <c:pt idx="20">
                  <c:v>59.491</c:v>
                </c:pt>
                <c:pt idx="21">
                  <c:v>57.950999999999993</c:v>
                </c:pt>
                <c:pt idx="22">
                  <c:v>57.4</c:v>
                </c:pt>
                <c:pt idx="23">
                  <c:v>56.3</c:v>
                </c:pt>
                <c:pt idx="24">
                  <c:v>55.2</c:v>
                </c:pt>
                <c:pt idx="25" formatCode="0.0">
                  <c:v>51.191000000000003</c:v>
                </c:pt>
                <c:pt idx="26" formatCode="0.0">
                  <c:v>48.9</c:v>
                </c:pt>
              </c:numCache>
            </c:numRef>
          </c:val>
        </c:ser>
        <c:gapWidth val="53"/>
        <c:overlap val="100"/>
        <c:axId val="127672704"/>
        <c:axId val="127674240"/>
      </c:barChart>
      <c:lineChart>
        <c:grouping val="standard"/>
        <c:ser>
          <c:idx val="6"/>
          <c:order val="6"/>
          <c:tx>
            <c:strRef>
              <c:f>'Státní rozpočet 5'!$J$23</c:f>
              <c:strCache>
                <c:ptCount val="1"/>
                <c:pt idx="0">
                  <c:v>% korun.dluhopisů v držbě nerezidentů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5'!$K$23:$AL$23</c:f>
              <c:numCache>
                <c:formatCode>0.0</c:formatCode>
                <c:ptCount val="28"/>
                <c:pt idx="0">
                  <c:v>10.923088048331014</c:v>
                </c:pt>
                <c:pt idx="1">
                  <c:v>13.001503685169766</c:v>
                </c:pt>
                <c:pt idx="2">
                  <c:v>13.130686728399851</c:v>
                </c:pt>
                <c:pt idx="3">
                  <c:v>14.023012638423241</c:v>
                </c:pt>
                <c:pt idx="4">
                  <c:v>16.017485639628543</c:v>
                </c:pt>
                <c:pt idx="5">
                  <c:v>15.636328283334832</c:v>
                </c:pt>
                <c:pt idx="6">
                  <c:v>17.908165316315252</c:v>
                </c:pt>
                <c:pt idx="7">
                  <c:v>11.3672591269615</c:v>
                </c:pt>
                <c:pt idx="8">
                  <c:v>9.4410888328706157</c:v>
                </c:pt>
                <c:pt idx="9">
                  <c:v>10.410776619638694</c:v>
                </c:pt>
                <c:pt idx="10">
                  <c:v>11.79232663254435</c:v>
                </c:pt>
                <c:pt idx="11">
                  <c:v>12.83741347982785</c:v>
                </c:pt>
                <c:pt idx="12">
                  <c:v>14.830507060003551</c:v>
                </c:pt>
                <c:pt idx="13">
                  <c:v>14.171926415445183</c:v>
                </c:pt>
                <c:pt idx="14">
                  <c:v>12.792771834252662</c:v>
                </c:pt>
                <c:pt idx="15">
                  <c:v>12.215676084031044</c:v>
                </c:pt>
                <c:pt idx="16">
                  <c:v>13.350273439240414</c:v>
                </c:pt>
                <c:pt idx="17">
                  <c:v>14.997789266625238</c:v>
                </c:pt>
                <c:pt idx="18">
                  <c:v>14.162303131717232</c:v>
                </c:pt>
                <c:pt idx="19">
                  <c:v>14.49378333679272</c:v>
                </c:pt>
                <c:pt idx="20">
                  <c:v>17.385520699212726</c:v>
                </c:pt>
                <c:pt idx="21">
                  <c:v>21.274294138798233</c:v>
                </c:pt>
                <c:pt idx="22">
                  <c:v>26.121406197883733</c:v>
                </c:pt>
                <c:pt idx="23">
                  <c:v>31.557426806363623</c:v>
                </c:pt>
                <c:pt idx="24">
                  <c:v>47.618125585631624</c:v>
                </c:pt>
                <c:pt idx="25">
                  <c:v>41.64</c:v>
                </c:pt>
                <c:pt idx="26">
                  <c:v>39.78</c:v>
                </c:pt>
              </c:numCache>
            </c:numRef>
          </c:val>
        </c:ser>
        <c:marker val="1"/>
        <c:axId val="127698048"/>
        <c:axId val="127675776"/>
      </c:lineChart>
      <c:catAx>
        <c:axId val="127672704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crossAx val="127674240"/>
        <c:crosses val="autoZero"/>
        <c:auto val="1"/>
        <c:lblAlgn val="ctr"/>
        <c:lblOffset val="10"/>
      </c:catAx>
      <c:valAx>
        <c:axId val="127674240"/>
        <c:scaling>
          <c:orientation val="minMax"/>
          <c:max val="180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tickLblPos val="nextTo"/>
        <c:spPr>
          <a:ln>
            <a:solidFill>
              <a:schemeClr val="tx1"/>
            </a:solidFill>
          </a:ln>
        </c:spPr>
        <c:crossAx val="127672704"/>
        <c:crosses val="autoZero"/>
        <c:crossBetween val="between"/>
      </c:valAx>
      <c:valAx>
        <c:axId val="127675776"/>
        <c:scaling>
          <c:orientation val="minMax"/>
          <c:max val="6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698048"/>
        <c:crosses val="max"/>
        <c:crossBetween val="between"/>
        <c:majorUnit val="5"/>
      </c:valAx>
      <c:catAx>
        <c:axId val="127698048"/>
        <c:scaling>
          <c:orientation val="minMax"/>
        </c:scaling>
        <c:delete val="1"/>
        <c:axPos val="b"/>
        <c:tickLblPos val="none"/>
        <c:crossAx val="127675776"/>
        <c:crosses val="autoZero"/>
        <c:auto val="1"/>
        <c:lblAlgn val="ctr"/>
        <c:lblOffset val="100"/>
      </c:catAx>
      <c:spPr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4583552061685696E-2"/>
          <c:y val="0.85316553287982044"/>
          <c:w val="0.87730866420347875"/>
          <c:h val="0.12993917070585131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6948352704928246E-2"/>
          <c:y val="2.8458510079622041E-2"/>
          <c:w val="0.93956464282120356"/>
          <c:h val="0.6497469886299676"/>
        </c:manualLayout>
      </c:layout>
      <c:barChart>
        <c:barDir val="col"/>
        <c:grouping val="stacked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3'!$D$10:$D$31</c:f>
              <c:numCache>
                <c:formatCode>#,##0.0</c:formatCode>
                <c:ptCount val="22"/>
                <c:pt idx="0">
                  <c:v>0.46725492777732947</c:v>
                </c:pt>
                <c:pt idx="1">
                  <c:v>0.39429278832379233</c:v>
                </c:pt>
                <c:pt idx="2">
                  <c:v>6.7975057170653885E-3</c:v>
                </c:pt>
                <c:pt idx="3">
                  <c:v>-0.11022642210119372</c:v>
                </c:pt>
                <c:pt idx="4">
                  <c:v>-0.34634066091739896</c:v>
                </c:pt>
                <c:pt idx="5">
                  <c:v>1.9385986465040451E-2</c:v>
                </c:pt>
                <c:pt idx="6">
                  <c:v>0.64097595815752251</c:v>
                </c:pt>
                <c:pt idx="7">
                  <c:v>1.122275121452168</c:v>
                </c:pt>
                <c:pt idx="8">
                  <c:v>0.95324800193997661</c:v>
                </c:pt>
                <c:pt idx="9">
                  <c:v>0.87834008534043184</c:v>
                </c:pt>
                <c:pt idx="10">
                  <c:v>0.98282233736482061</c:v>
                </c:pt>
                <c:pt idx="11">
                  <c:v>1.2011732247886713</c:v>
                </c:pt>
                <c:pt idx="12">
                  <c:v>0.93830506590305751</c:v>
                </c:pt>
                <c:pt idx="13">
                  <c:v>1.0153624426824113</c:v>
                </c:pt>
                <c:pt idx="14">
                  <c:v>1.2128070502408639</c:v>
                </c:pt>
                <c:pt idx="15">
                  <c:v>1.1229514324692931</c:v>
                </c:pt>
                <c:pt idx="16">
                  <c:v>1.9644091733618696</c:v>
                </c:pt>
                <c:pt idx="17">
                  <c:v>2.2808753275662172</c:v>
                </c:pt>
                <c:pt idx="18">
                  <c:v>2.0963173740963614</c:v>
                </c:pt>
                <c:pt idx="19">
                  <c:v>1.9706056528499598</c:v>
                </c:pt>
                <c:pt idx="20">
                  <c:v>1.5467704262498141</c:v>
                </c:pt>
                <c:pt idx="21">
                  <c:v>1.2786531644191661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53-40FD-A848-38D9B0152D27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3'!$E$10:$E$31</c:f>
              <c:numCache>
                <c:formatCode>#,##0.0</c:formatCode>
                <c:ptCount val="22"/>
                <c:pt idx="0">
                  <c:v>0.28453245782978481</c:v>
                </c:pt>
                <c:pt idx="1">
                  <c:v>0.35580734263628233</c:v>
                </c:pt>
                <c:pt idx="2">
                  <c:v>0.6338523119673295</c:v>
                </c:pt>
                <c:pt idx="3">
                  <c:v>0.53511669780358162</c:v>
                </c:pt>
                <c:pt idx="4">
                  <c:v>0.16476504522662691</c:v>
                </c:pt>
                <c:pt idx="5">
                  <c:v>0.35920558983442591</c:v>
                </c:pt>
                <c:pt idx="6">
                  <c:v>3.3755330706183892E-3</c:v>
                </c:pt>
                <c:pt idx="7">
                  <c:v>0.43296248055129682</c:v>
                </c:pt>
                <c:pt idx="8">
                  <c:v>0.38860653049012461</c:v>
                </c:pt>
                <c:pt idx="9">
                  <c:v>0.42050971602096782</c:v>
                </c:pt>
                <c:pt idx="10">
                  <c:v>0.6826406447636606</c:v>
                </c:pt>
                <c:pt idx="11">
                  <c:v>0.45173706288891075</c:v>
                </c:pt>
                <c:pt idx="12">
                  <c:v>0.43519225643702975</c:v>
                </c:pt>
                <c:pt idx="13">
                  <c:v>0.57425071934076943</c:v>
                </c:pt>
                <c:pt idx="14">
                  <c:v>0.47033661242885438</c:v>
                </c:pt>
                <c:pt idx="15">
                  <c:v>0.4456685296104968</c:v>
                </c:pt>
                <c:pt idx="16">
                  <c:v>0.34455668934880246</c:v>
                </c:pt>
                <c:pt idx="17">
                  <c:v>0.24693575632416223</c:v>
                </c:pt>
                <c:pt idx="18">
                  <c:v>0.15049357563703941</c:v>
                </c:pt>
                <c:pt idx="19">
                  <c:v>0.22124454315529224</c:v>
                </c:pt>
                <c:pt idx="20">
                  <c:v>0.61074519363869817</c:v>
                </c:pt>
                <c:pt idx="21">
                  <c:v>0.47084156864110499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53-40FD-A848-38D9B0152D27}"/>
            </c:ext>
          </c:extLst>
        </c:ser>
        <c:ser>
          <c:idx val="3"/>
          <c:order val="3"/>
          <c:tx>
            <c:strRef>
              <c:f>'souhrnná výkonnost 3'!$J$5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3'!$J$10:$J$31</c:f>
              <c:numCache>
                <c:formatCode>#,##0.0</c:formatCode>
                <c:ptCount val="22"/>
                <c:pt idx="0">
                  <c:v>-1.5397561288070221</c:v>
                </c:pt>
                <c:pt idx="1">
                  <c:v>-2.8196114680341977</c:v>
                </c:pt>
                <c:pt idx="2">
                  <c:v>0.14424204081739397</c:v>
                </c:pt>
                <c:pt idx="3">
                  <c:v>0.30085195313780827</c:v>
                </c:pt>
                <c:pt idx="4">
                  <c:v>3.1093775840910429E-3</c:v>
                </c:pt>
                <c:pt idx="5">
                  <c:v>1.7228402322588214</c:v>
                </c:pt>
                <c:pt idx="6">
                  <c:v>1.2740748429655091</c:v>
                </c:pt>
                <c:pt idx="7">
                  <c:v>0.34209608794036145</c:v>
                </c:pt>
                <c:pt idx="8">
                  <c:v>3.0940088082175001</c:v>
                </c:pt>
                <c:pt idx="9">
                  <c:v>3.9603163536228352</c:v>
                </c:pt>
                <c:pt idx="10">
                  <c:v>2.4230101905838577</c:v>
                </c:pt>
                <c:pt idx="11">
                  <c:v>1.1383788063935425</c:v>
                </c:pt>
                <c:pt idx="12">
                  <c:v>0.69863508777302163</c:v>
                </c:pt>
                <c:pt idx="13">
                  <c:v>-1.3723494139423089</c:v>
                </c:pt>
                <c:pt idx="14">
                  <c:v>-0.97881672565525457</c:v>
                </c:pt>
                <c:pt idx="15">
                  <c:v>-0.6177271288056575</c:v>
                </c:pt>
                <c:pt idx="16">
                  <c:v>-0.95987523832582333</c:v>
                </c:pt>
                <c:pt idx="17">
                  <c:v>0.35501288090591765</c:v>
                </c:pt>
                <c:pt idx="18">
                  <c:v>1.6689373554815841</c:v>
                </c:pt>
                <c:pt idx="19">
                  <c:v>1.9760464231090293</c:v>
                </c:pt>
                <c:pt idx="20">
                  <c:v>1.2736426319223497</c:v>
                </c:pt>
                <c:pt idx="21">
                  <c:v>0.12144873969598258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53-40FD-A848-38D9B0152D27}"/>
            </c:ext>
          </c:extLst>
        </c:ser>
        <c:ser>
          <c:idx val="1"/>
          <c:order val="4"/>
          <c:tx>
            <c:strRef>
              <c:f>'souhrnná výkonnost 3'!$H$5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3'!$H$10:$H$31</c:f>
              <c:numCache>
                <c:formatCode>#,##0.0</c:formatCode>
                <c:ptCount val="22"/>
                <c:pt idx="0">
                  <c:v>-1.037276740342165</c:v>
                </c:pt>
                <c:pt idx="1">
                  <c:v>0.93468551019220669</c:v>
                </c:pt>
                <c:pt idx="2">
                  <c:v>-1.1121841763544955</c:v>
                </c:pt>
                <c:pt idx="3">
                  <c:v>0.53585053019177464</c:v>
                </c:pt>
                <c:pt idx="4">
                  <c:v>1.7889130945120968</c:v>
                </c:pt>
                <c:pt idx="5">
                  <c:v>0.28187217433750822</c:v>
                </c:pt>
                <c:pt idx="6">
                  <c:v>1.4439285779813942</c:v>
                </c:pt>
                <c:pt idx="7">
                  <c:v>1.4927511797532791</c:v>
                </c:pt>
                <c:pt idx="8">
                  <c:v>0.84168612845165458</c:v>
                </c:pt>
                <c:pt idx="9">
                  <c:v>0.57781958996686456</c:v>
                </c:pt>
                <c:pt idx="10">
                  <c:v>1.5186993594783778</c:v>
                </c:pt>
                <c:pt idx="11">
                  <c:v>2.1434487917698908</c:v>
                </c:pt>
                <c:pt idx="12">
                  <c:v>1.4573635285701179</c:v>
                </c:pt>
                <c:pt idx="13">
                  <c:v>2.1300532057503894</c:v>
                </c:pt>
                <c:pt idx="14">
                  <c:v>0.94178716932770357</c:v>
                </c:pt>
                <c:pt idx="15">
                  <c:v>0.8164685092271593</c:v>
                </c:pt>
                <c:pt idx="16">
                  <c:v>1.4722186892988733</c:v>
                </c:pt>
                <c:pt idx="17">
                  <c:v>2.0042798438347247</c:v>
                </c:pt>
                <c:pt idx="18">
                  <c:v>1.1585684363011184</c:v>
                </c:pt>
                <c:pt idx="19">
                  <c:v>0.81868827817724454</c:v>
                </c:pt>
                <c:pt idx="20">
                  <c:v>0.65656874354414363</c:v>
                </c:pt>
                <c:pt idx="21">
                  <c:v>0.52812781706209355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B53-40FD-A848-38D9B0152D27}"/>
            </c:ext>
          </c:extLst>
        </c:ser>
        <c:gapWidth val="40"/>
        <c:overlap val="100"/>
        <c:axId val="115725440"/>
        <c:axId val="115726976"/>
      </c:barChart>
      <c:lineChart>
        <c:grouping val="standard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3'!$C$10:$C$31</c:f>
              <c:numCache>
                <c:formatCode>#,##0.0</c:formatCode>
                <c:ptCount val="22"/>
                <c:pt idx="0">
                  <c:v>-1.8005209038033041</c:v>
                </c:pt>
                <c:pt idx="1">
                  <c:v>-1.1205041878080806</c:v>
                </c:pt>
                <c:pt idx="2">
                  <c:v>-0.27630427810389396</c:v>
                </c:pt>
                <c:pt idx="3">
                  <c:v>1.279491849251865</c:v>
                </c:pt>
                <c:pt idx="4">
                  <c:v>1.599692644421784</c:v>
                </c:pt>
                <c:pt idx="5">
                  <c:v>2.4019552100365238</c:v>
                </c:pt>
                <c:pt idx="6">
                  <c:v>3.4030564515715609</c:v>
                </c:pt>
                <c:pt idx="7">
                  <c:v>3.4380052076485548</c:v>
                </c:pt>
                <c:pt idx="8">
                  <c:v>5.2550726107844561</c:v>
                </c:pt>
                <c:pt idx="9">
                  <c:v>5.7987847820088794</c:v>
                </c:pt>
                <c:pt idx="10">
                  <c:v>5.5707669225332523</c:v>
                </c:pt>
                <c:pt idx="11">
                  <c:v>4.9148252973919755</c:v>
                </c:pt>
                <c:pt idx="12">
                  <c:v>3.5623906099722102</c:v>
                </c:pt>
                <c:pt idx="13">
                  <c:v>2.4146777549828156</c:v>
                </c:pt>
                <c:pt idx="14">
                  <c:v>1.6940486553423915</c:v>
                </c:pt>
                <c:pt idx="15">
                  <c:v>1.8037525372218319</c:v>
                </c:pt>
                <c:pt idx="16">
                  <c:v>2.8712499788678367</c:v>
                </c:pt>
                <c:pt idx="17">
                  <c:v>4.9310728663161978</c:v>
                </c:pt>
                <c:pt idx="18">
                  <c:v>5.0995207171135899</c:v>
                </c:pt>
                <c:pt idx="19">
                  <c:v>4.9881960614611174</c:v>
                </c:pt>
                <c:pt idx="20">
                  <c:v>4.1057179162214634</c:v>
                </c:pt>
                <c:pt idx="21">
                  <c:v>2.4213773126889642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B53-40FD-A848-38D9B0152D27}"/>
            </c:ext>
          </c:extLst>
        </c:ser>
        <c:marker val="1"/>
        <c:axId val="115725440"/>
        <c:axId val="115726976"/>
      </c:lineChart>
      <c:catAx>
        <c:axId val="11572544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5726976"/>
        <c:crosses val="autoZero"/>
        <c:auto val="1"/>
        <c:lblAlgn val="ctr"/>
        <c:lblOffset val="100"/>
      </c:catAx>
      <c:valAx>
        <c:axId val="115726976"/>
        <c:scaling>
          <c:orientation val="minMax"/>
          <c:max val="6"/>
          <c:min val="-4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11572544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891184424094004E-2"/>
          <c:y val="0.79301446583361457"/>
          <c:w val="0.94049666651103803"/>
          <c:h val="0.1901432511538893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4404035346809034E-2"/>
          <c:y val="3.7154479717354444E-2"/>
          <c:w val="0.93674937195830565"/>
          <c:h val="0.63445260610154264"/>
        </c:manualLayout>
      </c:layout>
      <c:barChart>
        <c:barDir val="col"/>
        <c:grouping val="stacked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4'!$C$10:$C$31</c:f>
              <c:numCache>
                <c:formatCode>#,##0.0</c:formatCode>
                <c:ptCount val="22"/>
                <c:pt idx="0">
                  <c:v>-4.7206269934129533E-2</c:v>
                </c:pt>
                <c:pt idx="1">
                  <c:v>-0.11971862255115073</c:v>
                </c:pt>
                <c:pt idx="2">
                  <c:v>-8.9582831798117532E-2</c:v>
                </c:pt>
                <c:pt idx="3">
                  <c:v>1.1154895629322341E-3</c:v>
                </c:pt>
                <c:pt idx="4">
                  <c:v>0.10484022899366492</c:v>
                </c:pt>
                <c:pt idx="5">
                  <c:v>0.23303189360207821</c:v>
                </c:pt>
                <c:pt idx="6">
                  <c:v>0.28109723711472034</c:v>
                </c:pt>
                <c:pt idx="7">
                  <c:v>0.24717682951386638</c:v>
                </c:pt>
                <c:pt idx="8">
                  <c:v>0.26823173927838573</c:v>
                </c:pt>
                <c:pt idx="9">
                  <c:v>0.14948544343377268</c:v>
                </c:pt>
                <c:pt idx="10">
                  <c:v>9.4306850455799798E-2</c:v>
                </c:pt>
                <c:pt idx="11">
                  <c:v>9.4063144035634733E-2</c:v>
                </c:pt>
                <c:pt idx="12">
                  <c:v>1.5298427987703244E-2</c:v>
                </c:pt>
                <c:pt idx="13">
                  <c:v>0.12019796922604382</c:v>
                </c:pt>
                <c:pt idx="14">
                  <c:v>0.11238136571352395</c:v>
                </c:pt>
                <c:pt idx="15">
                  <c:v>8.4281943656207142E-2</c:v>
                </c:pt>
                <c:pt idx="16">
                  <c:v>1.5223476963877543E-2</c:v>
                </c:pt>
                <c:pt idx="17">
                  <c:v>-7.533926302704598E-2</c:v>
                </c:pt>
                <c:pt idx="18">
                  <c:v>-0.11205756022716185</c:v>
                </c:pt>
                <c:pt idx="19">
                  <c:v>-0.10204082016621188</c:v>
                </c:pt>
                <c:pt idx="20">
                  <c:v>-0.10517880120125712</c:v>
                </c:pt>
                <c:pt idx="21">
                  <c:v>-7.9386382715624024E-2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D8-4236-9345-CA1AF30E9AFD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4'!$D$10:$D$31</c:f>
              <c:numCache>
                <c:formatCode>#,##0.0</c:formatCode>
                <c:ptCount val="22"/>
                <c:pt idx="0">
                  <c:v>-0.82108999780391001</c:v>
                </c:pt>
                <c:pt idx="1">
                  <c:v>-0.62795053182774518</c:v>
                </c:pt>
                <c:pt idx="2">
                  <c:v>-0.63177475521929116</c:v>
                </c:pt>
                <c:pt idx="3">
                  <c:v>-0.60159903153105165</c:v>
                </c:pt>
                <c:pt idx="4">
                  <c:v>0.42074322312377183</c:v>
                </c:pt>
                <c:pt idx="5">
                  <c:v>1.1868852285094129</c:v>
                </c:pt>
                <c:pt idx="6">
                  <c:v>1.9567554935778007</c:v>
                </c:pt>
                <c:pt idx="7">
                  <c:v>2.5583690194642377</c:v>
                </c:pt>
                <c:pt idx="8">
                  <c:v>2.0456114828451182</c:v>
                </c:pt>
                <c:pt idx="9">
                  <c:v>1.6702996907805558</c:v>
                </c:pt>
                <c:pt idx="10">
                  <c:v>1.3766545744913512</c:v>
                </c:pt>
                <c:pt idx="11">
                  <c:v>0.74581262523505754</c:v>
                </c:pt>
                <c:pt idx="12">
                  <c:v>1.0172208499984978</c:v>
                </c:pt>
                <c:pt idx="13">
                  <c:v>0.54073292742156021</c:v>
                </c:pt>
                <c:pt idx="14">
                  <c:v>0.745157824372783</c:v>
                </c:pt>
                <c:pt idx="15">
                  <c:v>1.1608262664011106</c:v>
                </c:pt>
                <c:pt idx="16">
                  <c:v>1.9849859092156128</c:v>
                </c:pt>
                <c:pt idx="17">
                  <c:v>3.3765527579830188</c:v>
                </c:pt>
                <c:pt idx="18">
                  <c:v>3.5064603037509317</c:v>
                </c:pt>
                <c:pt idx="19">
                  <c:v>3.0770501049484777</c:v>
                </c:pt>
                <c:pt idx="20">
                  <c:v>1.8483722597320753</c:v>
                </c:pt>
                <c:pt idx="21">
                  <c:v>0.75663242011461462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D8-4236-9345-CA1AF30E9AFD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B,D,E)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4'!$E$10:$E$31</c:f>
              <c:numCache>
                <c:formatCode>#,##0.0</c:formatCode>
                <c:ptCount val="22"/>
                <c:pt idx="0">
                  <c:v>-0.98505210312746139</c:v>
                </c:pt>
                <c:pt idx="1">
                  <c:v>-1.0097047828852588</c:v>
                </c:pt>
                <c:pt idx="2">
                  <c:v>-0.65192200514203069</c:v>
                </c:pt>
                <c:pt idx="3">
                  <c:v>-0.22723397016880276</c:v>
                </c:pt>
                <c:pt idx="4">
                  <c:v>0.37424666108655086</c:v>
                </c:pt>
                <c:pt idx="5">
                  <c:v>0.10237488857645771</c:v>
                </c:pt>
                <c:pt idx="6">
                  <c:v>-0.10556119406722519</c:v>
                </c:pt>
                <c:pt idx="7">
                  <c:v>-0.15961919422518622</c:v>
                </c:pt>
                <c:pt idx="8">
                  <c:v>-0.12486694839002821</c:v>
                </c:pt>
                <c:pt idx="9">
                  <c:v>9.7685740381325825E-3</c:v>
                </c:pt>
                <c:pt idx="10">
                  <c:v>1.8886282982711888E-2</c:v>
                </c:pt>
                <c:pt idx="11">
                  <c:v>-0.11860623658777802</c:v>
                </c:pt>
                <c:pt idx="12">
                  <c:v>-0.46095331826814501</c:v>
                </c:pt>
                <c:pt idx="13">
                  <c:v>-0.29612577965426018</c:v>
                </c:pt>
                <c:pt idx="14">
                  <c:v>-0.38011145584839146</c:v>
                </c:pt>
                <c:pt idx="15">
                  <c:v>-0.15646644139843471</c:v>
                </c:pt>
                <c:pt idx="16">
                  <c:v>5.7825501486436413E-2</c:v>
                </c:pt>
                <c:pt idx="17">
                  <c:v>-3.0534120793344055E-2</c:v>
                </c:pt>
                <c:pt idx="18">
                  <c:v>0.13762248236176974</c:v>
                </c:pt>
                <c:pt idx="19">
                  <c:v>-3.9145621781268236E-2</c:v>
                </c:pt>
                <c:pt idx="20">
                  <c:v>-0.14909318551531731</c:v>
                </c:pt>
                <c:pt idx="21">
                  <c:v>-5.5343574999039058E-3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D8-4236-9345-CA1AF30E9AFD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val>
            <c:numRef>
              <c:f>'souhrnná výkonnost 4'!$F$10:$F$31</c:f>
              <c:numCache>
                <c:formatCode>#,##0.0</c:formatCode>
                <c:ptCount val="22"/>
                <c:pt idx="0">
                  <c:v>-9.3325688188073117E-2</c:v>
                </c:pt>
                <c:pt idx="1">
                  <c:v>6.9142616979527227E-2</c:v>
                </c:pt>
                <c:pt idx="2">
                  <c:v>0.13786913343723958</c:v>
                </c:pt>
                <c:pt idx="3">
                  <c:v>0.16383091405829647</c:v>
                </c:pt>
                <c:pt idx="4">
                  <c:v>0.20523242964120891</c:v>
                </c:pt>
                <c:pt idx="5">
                  <c:v>8.047665950390763E-2</c:v>
                </c:pt>
                <c:pt idx="6">
                  <c:v>3.4966330205502577E-2</c:v>
                </c:pt>
                <c:pt idx="7">
                  <c:v>0.13500830058584276</c:v>
                </c:pt>
                <c:pt idx="8">
                  <c:v>0.12988031583912321</c:v>
                </c:pt>
                <c:pt idx="9">
                  <c:v>0.27364277251097802</c:v>
                </c:pt>
                <c:pt idx="10">
                  <c:v>0.3426017497695073</c:v>
                </c:pt>
                <c:pt idx="11">
                  <c:v>0.14326265942419544</c:v>
                </c:pt>
                <c:pt idx="12">
                  <c:v>-2.8321751396452134E-2</c:v>
                </c:pt>
                <c:pt idx="13">
                  <c:v>-0.22665490762088611</c:v>
                </c:pt>
                <c:pt idx="14">
                  <c:v>-0.33919566041548832</c:v>
                </c:pt>
                <c:pt idx="15">
                  <c:v>-0.26185884641425228</c:v>
                </c:pt>
                <c:pt idx="16">
                  <c:v>-0.30278072098079545</c:v>
                </c:pt>
                <c:pt idx="17">
                  <c:v>-0.13114221691073388</c:v>
                </c:pt>
                <c:pt idx="18">
                  <c:v>-6.3560541353128594E-2</c:v>
                </c:pt>
                <c:pt idx="19">
                  <c:v>-4.4360012559824524E-2</c:v>
                </c:pt>
                <c:pt idx="20">
                  <c:v>0.30639135957268032</c:v>
                </c:pt>
                <c:pt idx="21">
                  <c:v>0.2648303660102998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D8-4236-9345-CA1AF30E9AFD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4'!$G$10:$G$31</c:f>
              <c:numCache>
                <c:formatCode>#,##0.0</c:formatCode>
                <c:ptCount val="22"/>
                <c:pt idx="0">
                  <c:v>0.33531387573905264</c:v>
                </c:pt>
                <c:pt idx="1">
                  <c:v>0.82602965393403371</c:v>
                </c:pt>
                <c:pt idx="2">
                  <c:v>1.0647317258626734</c:v>
                </c:pt>
                <c:pt idx="3">
                  <c:v>1.3526094152015899</c:v>
                </c:pt>
                <c:pt idx="4">
                  <c:v>1.2015462411733078</c:v>
                </c:pt>
                <c:pt idx="5">
                  <c:v>1.3618962066899336</c:v>
                </c:pt>
                <c:pt idx="6">
                  <c:v>1.6305753628128847</c:v>
                </c:pt>
                <c:pt idx="7">
                  <c:v>1.7371534802280579</c:v>
                </c:pt>
                <c:pt idx="8">
                  <c:v>2.3293944432592837</c:v>
                </c:pt>
                <c:pt idx="9">
                  <c:v>2.9607261994462397</c:v>
                </c:pt>
                <c:pt idx="10">
                  <c:v>3.3104809685977732</c:v>
                </c:pt>
                <c:pt idx="11">
                  <c:v>3.5102997095503552</c:v>
                </c:pt>
                <c:pt idx="12">
                  <c:v>2.8263627195651577</c:v>
                </c:pt>
                <c:pt idx="13">
                  <c:v>2.1630843086592892</c:v>
                </c:pt>
                <c:pt idx="14">
                  <c:v>1.4107617066750742</c:v>
                </c:pt>
                <c:pt idx="15">
                  <c:v>1.1370846005544846</c:v>
                </c:pt>
                <c:pt idx="16">
                  <c:v>1.0783547622951872</c:v>
                </c:pt>
                <c:pt idx="17">
                  <c:v>1.7517053491354078</c:v>
                </c:pt>
                <c:pt idx="18">
                  <c:v>1.5916101463720922</c:v>
                </c:pt>
                <c:pt idx="19">
                  <c:v>1.919300620304905</c:v>
                </c:pt>
                <c:pt idx="20">
                  <c:v>2.2058560031831767</c:v>
                </c:pt>
                <c:pt idx="21">
                  <c:v>1.4566128586726033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D8-4236-9345-CA1AF30E9AFD}"/>
            </c:ext>
          </c:extLst>
        </c:ser>
        <c:gapWidth val="70"/>
        <c:overlap val="100"/>
        <c:axId val="116016256"/>
        <c:axId val="116017792"/>
      </c:barChart>
      <c:lineChart>
        <c:grouping val="standard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4'!$A$10:$B$31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'souhrnná výkonnost 4'!$H$10:$H$31</c:f>
              <c:numCache>
                <c:formatCode>#,##0.0</c:formatCode>
                <c:ptCount val="22"/>
                <c:pt idx="0">
                  <c:v>-1.6029638849506325</c:v>
                </c:pt>
                <c:pt idx="1">
                  <c:v>-0.85391471561866972</c:v>
                </c:pt>
                <c:pt idx="2">
                  <c:v>-0.17856994731182602</c:v>
                </c:pt>
                <c:pt idx="3">
                  <c:v>0.67978995359544614</c:v>
                </c:pt>
                <c:pt idx="4">
                  <c:v>2.3247275605985616</c:v>
                </c:pt>
                <c:pt idx="5">
                  <c:v>2.9677793446742413</c:v>
                </c:pt>
                <c:pt idx="6">
                  <c:v>3.7862627849497223</c:v>
                </c:pt>
                <c:pt idx="7">
                  <c:v>4.5085738953991834</c:v>
                </c:pt>
                <c:pt idx="8">
                  <c:v>4.6449632769543845</c:v>
                </c:pt>
                <c:pt idx="9">
                  <c:v>5.0617095222013724</c:v>
                </c:pt>
                <c:pt idx="10">
                  <c:v>5.1392793226927722</c:v>
                </c:pt>
                <c:pt idx="11">
                  <c:v>4.3837812230315505</c:v>
                </c:pt>
                <c:pt idx="12">
                  <c:v>3.3693001484089842</c:v>
                </c:pt>
                <c:pt idx="13">
                  <c:v>2.3056178950667725</c:v>
                </c:pt>
                <c:pt idx="14">
                  <c:v>1.5499257674343641</c:v>
                </c:pt>
                <c:pt idx="15">
                  <c:v>1.9589295741354551</c:v>
                </c:pt>
                <c:pt idx="16">
                  <c:v>2.8499573664514282</c:v>
                </c:pt>
                <c:pt idx="17">
                  <c:v>4.8940758215988245</c:v>
                </c:pt>
                <c:pt idx="18">
                  <c:v>5.0549371235463871</c:v>
                </c:pt>
                <c:pt idx="19">
                  <c:v>4.7970012594389599</c:v>
                </c:pt>
                <c:pt idx="20">
                  <c:v>4.1608980771981745</c:v>
                </c:pt>
                <c:pt idx="21">
                  <c:v>2.4015245212064937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4D8-4236-9345-CA1AF30E9AFD}"/>
            </c:ext>
          </c:extLst>
        </c:ser>
        <c:marker val="1"/>
        <c:axId val="116016256"/>
        <c:axId val="116017792"/>
      </c:lineChart>
      <c:catAx>
        <c:axId val="11601625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017792"/>
        <c:crosses val="autoZero"/>
        <c:auto val="1"/>
        <c:lblAlgn val="ctr"/>
        <c:lblOffset val="100"/>
      </c:catAx>
      <c:valAx>
        <c:axId val="116017792"/>
        <c:scaling>
          <c:orientation val="minMax"/>
          <c:max val="6"/>
          <c:min val="-3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6016256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8782884397989404E-2"/>
          <c:y val="0.79016604750647301"/>
          <c:w val="0.92922619274506457"/>
          <c:h val="0.19462484520994866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3.2768470688525411E-2"/>
          <c:y val="2.1717929393192267E-2"/>
          <c:w val="0.93666788782242216"/>
          <c:h val="0.70893252267517515"/>
        </c:manualLayout>
      </c:layout>
      <c:barChart>
        <c:barDir val="col"/>
        <c:grouping val="stacked"/>
        <c:ser>
          <c:idx val="0"/>
          <c:order val="0"/>
          <c:tx>
            <c:strRef>
              <c:f>'GRAF příspěvky IPP'!$A$32</c:f>
              <c:strCache>
                <c:ptCount val="1"/>
                <c:pt idx="0">
                  <c:v>Výroba dopravních prostředků (29+30)</c:v>
                </c:pt>
              </c:strCache>
            </c:strRef>
          </c:tx>
          <c:spPr>
            <a:solidFill>
              <a:srgbClr val="E8AFB2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IPP'!$B$32:$AE$32</c:f>
              <c:numCache>
                <c:formatCode>0.0</c:formatCode>
                <c:ptCount val="30"/>
                <c:pt idx="0">
                  <c:v>5.1583390189821374</c:v>
                </c:pt>
                <c:pt idx="1">
                  <c:v>4.194080584359245</c:v>
                </c:pt>
                <c:pt idx="2">
                  <c:v>3.6254585881455803</c:v>
                </c:pt>
                <c:pt idx="3">
                  <c:v>3.2258487674246217</c:v>
                </c:pt>
                <c:pt idx="4">
                  <c:v>1.9477463114435285</c:v>
                </c:pt>
                <c:pt idx="5">
                  <c:v>1.0058302469588418</c:v>
                </c:pt>
                <c:pt idx="6">
                  <c:v>-0.47327260667125248</c:v>
                </c:pt>
                <c:pt idx="7">
                  <c:v>-1.6589798300201712</c:v>
                </c:pt>
                <c:pt idx="8">
                  <c:v>-2.5458879361074449</c:v>
                </c:pt>
                <c:pt idx="9">
                  <c:v>-1.325909097342487</c:v>
                </c:pt>
                <c:pt idx="10">
                  <c:v>0.76388270851172324</c:v>
                </c:pt>
                <c:pt idx="11">
                  <c:v>1.8584636345874879</c:v>
                </c:pt>
                <c:pt idx="12">
                  <c:v>3.3381841003075512</c:v>
                </c:pt>
                <c:pt idx="13">
                  <c:v>2.4352412796453371</c:v>
                </c:pt>
                <c:pt idx="14">
                  <c:v>1.858753009834001</c:v>
                </c:pt>
                <c:pt idx="15">
                  <c:v>1.4829445473338632</c:v>
                </c:pt>
                <c:pt idx="16">
                  <c:v>1.5560406088862604</c:v>
                </c:pt>
                <c:pt idx="17">
                  <c:v>2.1747965848469399</c:v>
                </c:pt>
                <c:pt idx="18">
                  <c:v>2.225670583560051</c:v>
                </c:pt>
                <c:pt idx="19">
                  <c:v>2.9326959962159269</c:v>
                </c:pt>
                <c:pt idx="20">
                  <c:v>3.4317610615849299</c:v>
                </c:pt>
                <c:pt idx="21">
                  <c:v>2.7916779937104872</c:v>
                </c:pt>
                <c:pt idx="22">
                  <c:v>1.4159459574233138</c:v>
                </c:pt>
                <c:pt idx="23">
                  <c:v>1.0292819674961451</c:v>
                </c:pt>
                <c:pt idx="24">
                  <c:v>1.833776918132584</c:v>
                </c:pt>
                <c:pt idx="25">
                  <c:v>2.0232440682518593</c:v>
                </c:pt>
                <c:pt idx="26">
                  <c:v>1.4766426933313399</c:v>
                </c:pt>
                <c:pt idx="27">
                  <c:v>1.6947521950851363</c:v>
                </c:pt>
                <c:pt idx="28">
                  <c:v>0.68613379658172513</c:v>
                </c:pt>
                <c:pt idx="29">
                  <c:v>0.32669980690669048</c:v>
                </c:pt>
              </c:numCache>
            </c:numRef>
          </c:val>
        </c:ser>
        <c:ser>
          <c:idx val="1"/>
          <c:order val="1"/>
          <c:tx>
            <c:strRef>
              <c:f>'GRAF příspěvky IPP'!$A$33</c:f>
              <c:strCache>
                <c:ptCount val="1"/>
                <c:pt idx="0">
                  <c:v>Gumárenství, elektrotechnický pr. (22+27)</c:v>
                </c:pt>
              </c:strCache>
            </c:strRef>
          </c:tx>
          <c:spPr>
            <a:solidFill>
              <a:srgbClr val="BD1B21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IPP'!$B$33:$AE$33</c:f>
              <c:numCache>
                <c:formatCode>0.0</c:formatCode>
                <c:ptCount val="30"/>
                <c:pt idx="0">
                  <c:v>1.7983691275864537</c:v>
                </c:pt>
                <c:pt idx="1">
                  <c:v>1.4558566523785288</c:v>
                </c:pt>
                <c:pt idx="2">
                  <c:v>0.48746198826577253</c:v>
                </c:pt>
                <c:pt idx="3">
                  <c:v>0.58308022139278459</c:v>
                </c:pt>
                <c:pt idx="4">
                  <c:v>0.8442656282525447</c:v>
                </c:pt>
                <c:pt idx="5">
                  <c:v>0.66654661442767604</c:v>
                </c:pt>
                <c:pt idx="6">
                  <c:v>1.0653762335640995</c:v>
                </c:pt>
                <c:pt idx="7">
                  <c:v>-0.4650281109053504</c:v>
                </c:pt>
                <c:pt idx="8">
                  <c:v>-0.28211107583639117</c:v>
                </c:pt>
                <c:pt idx="9">
                  <c:v>-0.34471853265078234</c:v>
                </c:pt>
                <c:pt idx="10">
                  <c:v>0.38728197932092373</c:v>
                </c:pt>
                <c:pt idx="11">
                  <c:v>0.67444684530708265</c:v>
                </c:pt>
                <c:pt idx="12">
                  <c:v>1.1900587156554803</c:v>
                </c:pt>
                <c:pt idx="13">
                  <c:v>1.3179606079755637</c:v>
                </c:pt>
                <c:pt idx="14">
                  <c:v>0.15682402057671571</c:v>
                </c:pt>
                <c:pt idx="15">
                  <c:v>0.79246998238680644</c:v>
                </c:pt>
                <c:pt idx="16">
                  <c:v>1.0327158178902081</c:v>
                </c:pt>
                <c:pt idx="17">
                  <c:v>1.2401487730750369</c:v>
                </c:pt>
                <c:pt idx="18">
                  <c:v>1.4263615358978559</c:v>
                </c:pt>
                <c:pt idx="19">
                  <c:v>0.6290702796134453</c:v>
                </c:pt>
                <c:pt idx="20">
                  <c:v>0.73623049391962603</c:v>
                </c:pt>
                <c:pt idx="21">
                  <c:v>0.13255877827094117</c:v>
                </c:pt>
                <c:pt idx="22">
                  <c:v>0.2843931356974948</c:v>
                </c:pt>
                <c:pt idx="23">
                  <c:v>0.43251342156214545</c:v>
                </c:pt>
                <c:pt idx="24">
                  <c:v>0.8790130954715587</c:v>
                </c:pt>
                <c:pt idx="25">
                  <c:v>1.46369224946246</c:v>
                </c:pt>
                <c:pt idx="26">
                  <c:v>0.86660777787350463</c:v>
                </c:pt>
                <c:pt idx="27">
                  <c:v>1.6549188645784949</c:v>
                </c:pt>
                <c:pt idx="28">
                  <c:v>0.88263591522283313</c:v>
                </c:pt>
                <c:pt idx="29">
                  <c:v>0.30216313943135575</c:v>
                </c:pt>
              </c:numCache>
            </c:numRef>
          </c:val>
        </c:ser>
        <c:ser>
          <c:idx val="2"/>
          <c:order val="2"/>
          <c:tx>
            <c:strRef>
              <c:f>'GRAF příspěvky IPP'!$A$34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IPP'!$B$34:$AE$34</c:f>
              <c:numCache>
                <c:formatCode>0.0</c:formatCode>
                <c:ptCount val="30"/>
                <c:pt idx="0">
                  <c:v>1.2706011457621906</c:v>
                </c:pt>
                <c:pt idx="1">
                  <c:v>1.2888664807252919</c:v>
                </c:pt>
                <c:pt idx="2">
                  <c:v>0.32307846092656867</c:v>
                </c:pt>
                <c:pt idx="3">
                  <c:v>0.70071844497242752</c:v>
                </c:pt>
                <c:pt idx="4">
                  <c:v>0.51659781480962252</c:v>
                </c:pt>
                <c:pt idx="5">
                  <c:v>0.2631231278845213</c:v>
                </c:pt>
                <c:pt idx="6">
                  <c:v>0.23301984566307926</c:v>
                </c:pt>
                <c:pt idx="7">
                  <c:v>-0.13339713383761673</c:v>
                </c:pt>
                <c:pt idx="8">
                  <c:v>7.1737084628029121E-2</c:v>
                </c:pt>
                <c:pt idx="9">
                  <c:v>0.20406264489060266</c:v>
                </c:pt>
                <c:pt idx="10">
                  <c:v>-1.7001944235035409E-2</c:v>
                </c:pt>
                <c:pt idx="11">
                  <c:v>0.64362374734259198</c:v>
                </c:pt>
                <c:pt idx="12">
                  <c:v>0.21470457876175333</c:v>
                </c:pt>
                <c:pt idx="13">
                  <c:v>0.40293012989484717</c:v>
                </c:pt>
                <c:pt idx="14">
                  <c:v>0.21152856009329646</c:v>
                </c:pt>
                <c:pt idx="15">
                  <c:v>0.33012044192863654</c:v>
                </c:pt>
                <c:pt idx="16">
                  <c:v>0.27832699102768244</c:v>
                </c:pt>
                <c:pt idx="17">
                  <c:v>0.29159295435772531</c:v>
                </c:pt>
                <c:pt idx="18">
                  <c:v>0.37916922656306401</c:v>
                </c:pt>
                <c:pt idx="19">
                  <c:v>1.781989990773131E-2</c:v>
                </c:pt>
                <c:pt idx="20">
                  <c:v>0.36450086052988112</c:v>
                </c:pt>
                <c:pt idx="21">
                  <c:v>-6.905139014941275E-2</c:v>
                </c:pt>
                <c:pt idx="22">
                  <c:v>0.19850927828339104</c:v>
                </c:pt>
                <c:pt idx="23">
                  <c:v>0.32150601856840738</c:v>
                </c:pt>
                <c:pt idx="24">
                  <c:v>0.36417963216621208</c:v>
                </c:pt>
                <c:pt idx="25">
                  <c:v>1.0647927179276138</c:v>
                </c:pt>
                <c:pt idx="26">
                  <c:v>0.848460500841837</c:v>
                </c:pt>
                <c:pt idx="27">
                  <c:v>0.80860359811504845</c:v>
                </c:pt>
                <c:pt idx="28">
                  <c:v>0.60464772961500834</c:v>
                </c:pt>
                <c:pt idx="29">
                  <c:v>0.33032635655465947</c:v>
                </c:pt>
              </c:numCache>
            </c:numRef>
          </c:val>
        </c:ser>
        <c:ser>
          <c:idx val="3"/>
          <c:order val="3"/>
          <c:tx>
            <c:strRef>
              <c:f>'GRAF příspěvky IPP'!$A$35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IPP'!$B$35:$AE$35</c:f>
              <c:numCache>
                <c:formatCode>0.0</c:formatCode>
                <c:ptCount val="30"/>
                <c:pt idx="0">
                  <c:v>1.3529708847357158</c:v>
                </c:pt>
                <c:pt idx="1">
                  <c:v>0.6122314163161523</c:v>
                </c:pt>
                <c:pt idx="2">
                  <c:v>6.1889465402554383E-2</c:v>
                </c:pt>
                <c:pt idx="3">
                  <c:v>-5.0371368079756305E-2</c:v>
                </c:pt>
                <c:pt idx="4">
                  <c:v>-0.10808602428987603</c:v>
                </c:pt>
                <c:pt idx="5">
                  <c:v>-5.7044312227523236E-2</c:v>
                </c:pt>
                <c:pt idx="6">
                  <c:v>0.1122708611139646</c:v>
                </c:pt>
                <c:pt idx="7">
                  <c:v>-0.17759790176716045</c:v>
                </c:pt>
                <c:pt idx="8">
                  <c:v>-4.9295714575087683E-2</c:v>
                </c:pt>
                <c:pt idx="9">
                  <c:v>9.2868962187095144E-2</c:v>
                </c:pt>
                <c:pt idx="10">
                  <c:v>0.37420551106540711</c:v>
                </c:pt>
                <c:pt idx="11">
                  <c:v>0.57817330515122456</c:v>
                </c:pt>
                <c:pt idx="12">
                  <c:v>0.75653656295046556</c:v>
                </c:pt>
                <c:pt idx="13">
                  <c:v>0.62179163182191965</c:v>
                </c:pt>
                <c:pt idx="14">
                  <c:v>0.13796392398444496</c:v>
                </c:pt>
                <c:pt idx="15">
                  <c:v>0.35044871686260642</c:v>
                </c:pt>
                <c:pt idx="16">
                  <c:v>0.69752018574312757</c:v>
                </c:pt>
                <c:pt idx="17">
                  <c:v>0.78069864008168111</c:v>
                </c:pt>
                <c:pt idx="18">
                  <c:v>0.92145489387273449</c:v>
                </c:pt>
                <c:pt idx="19">
                  <c:v>0.62569777143327643</c:v>
                </c:pt>
                <c:pt idx="20">
                  <c:v>0.74976781674783399</c:v>
                </c:pt>
                <c:pt idx="21">
                  <c:v>0.40323787298061481</c:v>
                </c:pt>
                <c:pt idx="22">
                  <c:v>0.20786247012396869</c:v>
                </c:pt>
                <c:pt idx="23">
                  <c:v>0.25885378383640456</c:v>
                </c:pt>
                <c:pt idx="24">
                  <c:v>0.5193760395981406</c:v>
                </c:pt>
                <c:pt idx="25">
                  <c:v>0.90938443427805682</c:v>
                </c:pt>
                <c:pt idx="26">
                  <c:v>0.82894658499995555</c:v>
                </c:pt>
                <c:pt idx="27">
                  <c:v>0.96985539906457796</c:v>
                </c:pt>
                <c:pt idx="28">
                  <c:v>0.66803550047886284</c:v>
                </c:pt>
                <c:pt idx="29">
                  <c:v>0.39486272937743511</c:v>
                </c:pt>
              </c:numCache>
            </c:numRef>
          </c:val>
        </c:ser>
        <c:ser>
          <c:idx val="4"/>
          <c:order val="4"/>
          <c:tx>
            <c:strRef>
              <c:f>'GRAF příspěvky IPP'!$A$36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IPP'!$B$36:$AE$36</c:f>
              <c:numCache>
                <c:formatCode>0.0</c:formatCode>
                <c:ptCount val="30"/>
                <c:pt idx="0">
                  <c:v>0.46607738102630258</c:v>
                </c:pt>
                <c:pt idx="1">
                  <c:v>0.2289737073350934</c:v>
                </c:pt>
                <c:pt idx="2">
                  <c:v>-0.24362549730013724</c:v>
                </c:pt>
                <c:pt idx="3">
                  <c:v>-0.78232564519731651</c:v>
                </c:pt>
                <c:pt idx="4">
                  <c:v>-0.62912903530941366</c:v>
                </c:pt>
                <c:pt idx="5">
                  <c:v>-0.7740414504357076</c:v>
                </c:pt>
                <c:pt idx="6">
                  <c:v>-0.66225050698900201</c:v>
                </c:pt>
                <c:pt idx="7">
                  <c:v>-0.44167473994696882</c:v>
                </c:pt>
                <c:pt idx="8">
                  <c:v>0.17307138431247762</c:v>
                </c:pt>
                <c:pt idx="9">
                  <c:v>0.20710305378343791</c:v>
                </c:pt>
                <c:pt idx="10">
                  <c:v>0.28808704980807831</c:v>
                </c:pt>
                <c:pt idx="11">
                  <c:v>0.37118882448330998</c:v>
                </c:pt>
                <c:pt idx="12">
                  <c:v>0.25436485129926673</c:v>
                </c:pt>
                <c:pt idx="13">
                  <c:v>0.35992422249609862</c:v>
                </c:pt>
                <c:pt idx="14">
                  <c:v>0.25073709132947558</c:v>
                </c:pt>
                <c:pt idx="15">
                  <c:v>0.43084138344861289</c:v>
                </c:pt>
                <c:pt idx="16">
                  <c:v>0.10169095278085644</c:v>
                </c:pt>
                <c:pt idx="17">
                  <c:v>1.4154514873228306E-2</c:v>
                </c:pt>
                <c:pt idx="18">
                  <c:v>4.4552452116603677E-2</c:v>
                </c:pt>
                <c:pt idx="19">
                  <c:v>-7.4237264718247084E-2</c:v>
                </c:pt>
                <c:pt idx="20">
                  <c:v>-2.1481481669667441E-3</c:v>
                </c:pt>
                <c:pt idx="21">
                  <c:v>5.1480619698657547E-2</c:v>
                </c:pt>
                <c:pt idx="22">
                  <c:v>5.3821883781074678E-2</c:v>
                </c:pt>
                <c:pt idx="23">
                  <c:v>0.15961607959276652</c:v>
                </c:pt>
                <c:pt idx="24">
                  <c:v>0.12925577438246424</c:v>
                </c:pt>
                <c:pt idx="25">
                  <c:v>0.37526184999298418</c:v>
                </c:pt>
                <c:pt idx="26">
                  <c:v>0.2380055396976837</c:v>
                </c:pt>
                <c:pt idx="27">
                  <c:v>0.23859541569534082</c:v>
                </c:pt>
                <c:pt idx="28">
                  <c:v>0.47222552264673684</c:v>
                </c:pt>
                <c:pt idx="29">
                  <c:v>0.19431603051500909</c:v>
                </c:pt>
              </c:numCache>
            </c:numRef>
          </c:val>
        </c:ser>
        <c:ser>
          <c:idx val="5"/>
          <c:order val="5"/>
          <c:tx>
            <c:strRef>
              <c:f>'GRAF příspěvky IPP'!$A$37</c:f>
              <c:strCache>
                <c:ptCount val="1"/>
                <c:pt idx="0">
                  <c:v>Chemický a farmaceutický pr. (20+21)</c:v>
                </c:pt>
              </c:strCache>
            </c:strRef>
          </c:tx>
          <c:spPr>
            <a:solidFill>
              <a:srgbClr val="F8A124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IPP'!$B$37:$AE$37</c:f>
              <c:numCache>
                <c:formatCode>0.0</c:formatCode>
                <c:ptCount val="30"/>
                <c:pt idx="0">
                  <c:v>0.10124729624413728</c:v>
                </c:pt>
                <c:pt idx="1">
                  <c:v>-0.10987307777837699</c:v>
                </c:pt>
                <c:pt idx="2">
                  <c:v>-0.35448780665781027</c:v>
                </c:pt>
                <c:pt idx="3">
                  <c:v>-0.25365533251952216</c:v>
                </c:pt>
                <c:pt idx="4">
                  <c:v>8.2098114440466885E-2</c:v>
                </c:pt>
                <c:pt idx="5">
                  <c:v>-8.0110027441629553E-2</c:v>
                </c:pt>
                <c:pt idx="6">
                  <c:v>0.30586896879335929</c:v>
                </c:pt>
                <c:pt idx="7">
                  <c:v>6.8409485771207784E-2</c:v>
                </c:pt>
                <c:pt idx="8">
                  <c:v>-0.15361204125200875</c:v>
                </c:pt>
                <c:pt idx="9">
                  <c:v>1.8223165599514458E-2</c:v>
                </c:pt>
                <c:pt idx="10">
                  <c:v>-0.21418759865827675</c:v>
                </c:pt>
                <c:pt idx="11">
                  <c:v>0.23085083648135049</c:v>
                </c:pt>
                <c:pt idx="12">
                  <c:v>0.41401687752487309</c:v>
                </c:pt>
                <c:pt idx="13">
                  <c:v>0.30065933491628777</c:v>
                </c:pt>
                <c:pt idx="14">
                  <c:v>0.38510686850209924</c:v>
                </c:pt>
                <c:pt idx="15">
                  <c:v>0.11900135459161637</c:v>
                </c:pt>
                <c:pt idx="16">
                  <c:v>7.8782994403983467E-2</c:v>
                </c:pt>
                <c:pt idx="17">
                  <c:v>0.23469012479248272</c:v>
                </c:pt>
                <c:pt idx="18">
                  <c:v>-0.1718071787031554</c:v>
                </c:pt>
                <c:pt idx="19">
                  <c:v>-0.33632275678133583</c:v>
                </c:pt>
                <c:pt idx="20">
                  <c:v>-0.42054564658408849</c:v>
                </c:pt>
                <c:pt idx="21">
                  <c:v>-0.41604329837232795</c:v>
                </c:pt>
                <c:pt idx="22">
                  <c:v>-0.11436029247510597</c:v>
                </c:pt>
                <c:pt idx="23">
                  <c:v>0.2421266841430553</c:v>
                </c:pt>
                <c:pt idx="24">
                  <c:v>0.54456420388154547</c:v>
                </c:pt>
                <c:pt idx="25">
                  <c:v>0.81097014817933744</c:v>
                </c:pt>
                <c:pt idx="26">
                  <c:v>0.64258143893579478</c:v>
                </c:pt>
                <c:pt idx="27">
                  <c:v>0.51006133838638013</c:v>
                </c:pt>
                <c:pt idx="28">
                  <c:v>0.38740414070141038</c:v>
                </c:pt>
                <c:pt idx="29">
                  <c:v>4.6275575122148797E-2</c:v>
                </c:pt>
              </c:numCache>
            </c:numRef>
          </c:val>
        </c:ser>
        <c:ser>
          <c:idx val="6"/>
          <c:order val="6"/>
          <c:tx>
            <c:strRef>
              <c:f>'GRAF příspěvky IPP'!$A$38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IPP'!$B$38:$AE$38</c:f>
              <c:numCache>
                <c:formatCode>0.0</c:formatCode>
                <c:ptCount val="30"/>
                <c:pt idx="0">
                  <c:v>0.31552663311962958</c:v>
                </c:pt>
                <c:pt idx="1">
                  <c:v>8.0724819058620154E-2</c:v>
                </c:pt>
                <c:pt idx="2">
                  <c:v>-1.3196696952264599</c:v>
                </c:pt>
                <c:pt idx="3">
                  <c:v>0.11842987325758272</c:v>
                </c:pt>
                <c:pt idx="4">
                  <c:v>-1.2660773466306157</c:v>
                </c:pt>
                <c:pt idx="5">
                  <c:v>-0.47802730548721756</c:v>
                </c:pt>
                <c:pt idx="6">
                  <c:v>-0.34646761815323956</c:v>
                </c:pt>
                <c:pt idx="7">
                  <c:v>-1.3200846686145966</c:v>
                </c:pt>
                <c:pt idx="8">
                  <c:v>-2.596248643335439E-2</c:v>
                </c:pt>
                <c:pt idx="9">
                  <c:v>-0.14296973602391649</c:v>
                </c:pt>
                <c:pt idx="10">
                  <c:v>0.16463257251793845</c:v>
                </c:pt>
                <c:pt idx="11">
                  <c:v>1.1277581264641281</c:v>
                </c:pt>
                <c:pt idx="12">
                  <c:v>1.3601037593510723</c:v>
                </c:pt>
                <c:pt idx="13">
                  <c:v>0.98430790289276615</c:v>
                </c:pt>
                <c:pt idx="14">
                  <c:v>0.25133426220692345</c:v>
                </c:pt>
                <c:pt idx="15">
                  <c:v>1.2962625167285471</c:v>
                </c:pt>
                <c:pt idx="16">
                  <c:v>1.0074721701935661</c:v>
                </c:pt>
                <c:pt idx="17">
                  <c:v>0.80495652892224179</c:v>
                </c:pt>
                <c:pt idx="18">
                  <c:v>1.5513791726730484</c:v>
                </c:pt>
                <c:pt idx="19">
                  <c:v>-0.36725300514759718</c:v>
                </c:pt>
                <c:pt idx="20">
                  <c:v>-0.13589925939302236</c:v>
                </c:pt>
                <c:pt idx="21">
                  <c:v>-0.77642186080498765</c:v>
                </c:pt>
                <c:pt idx="22">
                  <c:v>0.22786640880518444</c:v>
                </c:pt>
                <c:pt idx="23">
                  <c:v>0.45056967876598808</c:v>
                </c:pt>
                <c:pt idx="24">
                  <c:v>-0.10520398627042619</c:v>
                </c:pt>
                <c:pt idx="25">
                  <c:v>2.018859166436799</c:v>
                </c:pt>
                <c:pt idx="26">
                  <c:v>1.0351557674089027</c:v>
                </c:pt>
                <c:pt idx="27">
                  <c:v>0.97534987761746861</c:v>
                </c:pt>
                <c:pt idx="28">
                  <c:v>0.88447871486978313</c:v>
                </c:pt>
                <c:pt idx="29">
                  <c:v>0.76694961364091141</c:v>
                </c:pt>
              </c:numCache>
            </c:numRef>
          </c:val>
        </c:ser>
        <c:ser>
          <c:idx val="7"/>
          <c:order val="7"/>
          <c:tx>
            <c:strRef>
              <c:f>'GRAF příspěvky IPP'!$A$39</c:f>
              <c:strCache>
                <c:ptCount val="1"/>
                <c:pt idx="0">
                  <c:v>Těžba a energetika (B)</c:v>
                </c:pt>
              </c:strCache>
            </c:strRef>
          </c:tx>
          <c:spPr>
            <a:solidFill>
              <a:srgbClr val="808080"/>
            </a:solidFill>
          </c:spP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IPP'!$B$39:$AE$39</c:f>
              <c:numCache>
                <c:formatCode>0.0</c:formatCode>
                <c:ptCount val="30"/>
                <c:pt idx="0">
                  <c:v>-0.46313148745656374</c:v>
                </c:pt>
                <c:pt idx="1">
                  <c:v>0.44913941760544684</c:v>
                </c:pt>
                <c:pt idx="2">
                  <c:v>-0.28010550355605701</c:v>
                </c:pt>
                <c:pt idx="3">
                  <c:v>-0.14172496125080888</c:v>
                </c:pt>
                <c:pt idx="4">
                  <c:v>1.2584537283747187E-2</c:v>
                </c:pt>
                <c:pt idx="5">
                  <c:v>0.35372310632103926</c:v>
                </c:pt>
                <c:pt idx="6">
                  <c:v>-0.13454517732100951</c:v>
                </c:pt>
                <c:pt idx="7">
                  <c:v>-1.0716369042476055</c:v>
                </c:pt>
                <c:pt idx="8">
                  <c:v>-0.88656305110647016</c:v>
                </c:pt>
                <c:pt idx="9">
                  <c:v>-1.5086604604434219</c:v>
                </c:pt>
                <c:pt idx="10">
                  <c:v>-0.94690027833075763</c:v>
                </c:pt>
                <c:pt idx="11">
                  <c:v>0.51549468018282096</c:v>
                </c:pt>
                <c:pt idx="12">
                  <c:v>-0.62796944585044667</c:v>
                </c:pt>
                <c:pt idx="13">
                  <c:v>-0.32281510964282639</c:v>
                </c:pt>
                <c:pt idx="14">
                  <c:v>-0.4522477365269541</c:v>
                </c:pt>
                <c:pt idx="15">
                  <c:v>-0.70208894328074911</c:v>
                </c:pt>
                <c:pt idx="16">
                  <c:v>0.14745027907431846</c:v>
                </c:pt>
                <c:pt idx="17">
                  <c:v>-0.34103812094933217</c:v>
                </c:pt>
                <c:pt idx="18">
                  <c:v>-0.37678068598015857</c:v>
                </c:pt>
                <c:pt idx="19">
                  <c:v>-1.1274709205232185</c:v>
                </c:pt>
                <c:pt idx="20">
                  <c:v>-0.62366717863822752</c:v>
                </c:pt>
                <c:pt idx="21">
                  <c:v>8.2561284666029466E-2</c:v>
                </c:pt>
                <c:pt idx="22">
                  <c:v>-0.47403884163932031</c:v>
                </c:pt>
                <c:pt idx="23">
                  <c:v>0.50553236603507468</c:v>
                </c:pt>
                <c:pt idx="24">
                  <c:v>0.63503832263791304</c:v>
                </c:pt>
                <c:pt idx="25">
                  <c:v>-0.16620463452911374</c:v>
                </c:pt>
                <c:pt idx="26">
                  <c:v>0.76359969691098595</c:v>
                </c:pt>
                <c:pt idx="27">
                  <c:v>0.74786331145755525</c:v>
                </c:pt>
                <c:pt idx="28">
                  <c:v>-0.58556132011636097</c:v>
                </c:pt>
                <c:pt idx="29">
                  <c:v>-6.1593251548209001E-2</c:v>
                </c:pt>
              </c:numCache>
            </c:numRef>
          </c:val>
        </c:ser>
        <c:gapWidth val="32"/>
        <c:overlap val="100"/>
        <c:axId val="116091136"/>
        <c:axId val="116117504"/>
      </c:barChart>
      <c:lineChart>
        <c:grouping val="standard"/>
        <c:ser>
          <c:idx val="8"/>
          <c:order val="8"/>
          <c:tx>
            <c:strRef>
              <c:f>'GRAF příspěvky IPP'!$A$40</c:f>
              <c:strCache>
                <c:ptCount val="1"/>
                <c:pt idx="0">
                  <c:v>Průmysl celkem (NACE B až D)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'GRAF příspěvky IPP'!$B$30:$AE$31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'GRAF příspěvky IPP'!$B$40:$AE$40</c:f>
              <c:numCache>
                <c:formatCode>#,##0.0</c:formatCode>
                <c:ptCount val="30"/>
                <c:pt idx="0">
                  <c:v>10</c:v>
                </c:pt>
                <c:pt idx="1">
                  <c:v>8.2000000000000011</c:v>
                </c:pt>
                <c:pt idx="2">
                  <c:v>2.2999999999999998</c:v>
                </c:pt>
                <c:pt idx="3">
                  <c:v>3.4</c:v>
                </c:pt>
                <c:pt idx="4">
                  <c:v>1.4</c:v>
                </c:pt>
                <c:pt idx="5">
                  <c:v>0.9</c:v>
                </c:pt>
                <c:pt idx="6">
                  <c:v>0.1</c:v>
                </c:pt>
                <c:pt idx="7">
                  <c:v>-5.2</c:v>
                </c:pt>
                <c:pt idx="8">
                  <c:v>-3.7</c:v>
                </c:pt>
                <c:pt idx="9">
                  <c:v>-2.8</c:v>
                </c:pt>
                <c:pt idx="10">
                  <c:v>0.8</c:v>
                </c:pt>
                <c:pt idx="11">
                  <c:v>6</c:v>
                </c:pt>
                <c:pt idx="12">
                  <c:v>6.9</c:v>
                </c:pt>
                <c:pt idx="13">
                  <c:v>6.1</c:v>
                </c:pt>
                <c:pt idx="14">
                  <c:v>2.8</c:v>
                </c:pt>
                <c:pt idx="15">
                  <c:v>4.0999999999999996</c:v>
                </c:pt>
                <c:pt idx="16">
                  <c:v>4.9000000000000004</c:v>
                </c:pt>
                <c:pt idx="17">
                  <c:v>5.2</c:v>
                </c:pt>
                <c:pt idx="18">
                  <c:v>6</c:v>
                </c:pt>
                <c:pt idx="19">
                  <c:v>2.2999999999999998</c:v>
                </c:pt>
                <c:pt idx="20">
                  <c:v>4.0999999999999996</c:v>
                </c:pt>
                <c:pt idx="21">
                  <c:v>2.2000000000000002</c:v>
                </c:pt>
                <c:pt idx="22">
                  <c:v>1.8</c:v>
                </c:pt>
                <c:pt idx="23">
                  <c:v>3.4</c:v>
                </c:pt>
                <c:pt idx="24">
                  <c:v>4.7999999999999927</c:v>
                </c:pt>
                <c:pt idx="25">
                  <c:v>8.5</c:v>
                </c:pt>
                <c:pt idx="26">
                  <c:v>6.7000000000000028</c:v>
                </c:pt>
                <c:pt idx="27">
                  <c:v>7.6</c:v>
                </c:pt>
                <c:pt idx="28">
                  <c:v>3.9999999999999969</c:v>
                </c:pt>
                <c:pt idx="29">
                  <c:v>2.299999999999998</c:v>
                </c:pt>
              </c:numCache>
            </c:numRef>
          </c:val>
        </c:ser>
        <c:marker val="1"/>
        <c:axId val="116091136"/>
        <c:axId val="116117504"/>
      </c:lineChart>
      <c:catAx>
        <c:axId val="116091136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6117504"/>
        <c:crosses val="autoZero"/>
        <c:auto val="1"/>
        <c:lblAlgn val="ctr"/>
        <c:lblOffset val="0"/>
      </c:catAx>
      <c:valAx>
        <c:axId val="116117504"/>
        <c:scaling>
          <c:orientation val="minMax"/>
          <c:max val="11"/>
          <c:min val="-6"/>
        </c:scaling>
        <c:axPos val="l"/>
        <c:majorGridlines/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6091136"/>
        <c:crosses val="autoZero"/>
        <c:crossBetween val="between"/>
        <c:majorUnit val="1"/>
      </c:val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4.1107372900550457E-2"/>
          <c:y val="0.82802404283095155"/>
          <c:w val="0.93932449951909081"/>
          <c:h val="0.16188919209533748"/>
        </c:manualLayout>
      </c:layout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2277854581154255E-2"/>
          <c:y val="1.643251153889452E-2"/>
          <c:w val="0.92988062751698064"/>
          <c:h val="0.77409039738827201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2'!$B$31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2'!$C$31:$AF$31</c:f>
              <c:numCache>
                <c:formatCode>#,##0.0__</c:formatCode>
                <c:ptCount val="30"/>
                <c:pt idx="0">
                  <c:v>12.043107093421796</c:v>
                </c:pt>
                <c:pt idx="1">
                  <c:v>5.3292904020963094</c:v>
                </c:pt>
                <c:pt idx="2">
                  <c:v>-1.503823629327441</c:v>
                </c:pt>
                <c:pt idx="3">
                  <c:v>0.49985199872995228</c:v>
                </c:pt>
                <c:pt idx="4">
                  <c:v>7.8919882289544274</c:v>
                </c:pt>
                <c:pt idx="5">
                  <c:v>0.24363263911027391</c:v>
                </c:pt>
                <c:pt idx="6">
                  <c:v>2.6780600325356119</c:v>
                </c:pt>
                <c:pt idx="7">
                  <c:v>-2.2927798243121345</c:v>
                </c:pt>
                <c:pt idx="8">
                  <c:v>-6.7566875441004868</c:v>
                </c:pt>
                <c:pt idx="9">
                  <c:v>-0.77743908810788354</c:v>
                </c:pt>
                <c:pt idx="10">
                  <c:v>12.110592029586011</c:v>
                </c:pt>
                <c:pt idx="11">
                  <c:v>12.611542535334834</c:v>
                </c:pt>
                <c:pt idx="12">
                  <c:v>18.454576257258626</c:v>
                </c:pt>
                <c:pt idx="13">
                  <c:v>13.812603337719334</c:v>
                </c:pt>
                <c:pt idx="14">
                  <c:v>11.164927309703883</c:v>
                </c:pt>
                <c:pt idx="15">
                  <c:v>7.3250322249586759</c:v>
                </c:pt>
                <c:pt idx="16">
                  <c:v>8.5397251010390303</c:v>
                </c:pt>
                <c:pt idx="17">
                  <c:v>6.4894834031568331</c:v>
                </c:pt>
                <c:pt idx="18">
                  <c:v>4.1045761314248068</c:v>
                </c:pt>
                <c:pt idx="19">
                  <c:v>6.0151063810169205</c:v>
                </c:pt>
                <c:pt idx="20">
                  <c:v>1.3550678522953064</c:v>
                </c:pt>
                <c:pt idx="21">
                  <c:v>10.856046878525458</c:v>
                </c:pt>
                <c:pt idx="22">
                  <c:v>1.6431282237439291</c:v>
                </c:pt>
                <c:pt idx="23">
                  <c:v>6.7220844736941086</c:v>
                </c:pt>
                <c:pt idx="24">
                  <c:v>10.841479121555905</c:v>
                </c:pt>
                <c:pt idx="25">
                  <c:v>4.5315942367003705</c:v>
                </c:pt>
                <c:pt idx="26">
                  <c:v>6.9082617878945722</c:v>
                </c:pt>
                <c:pt idx="27">
                  <c:v>7.5112613571588724</c:v>
                </c:pt>
                <c:pt idx="28">
                  <c:v>1.9174044931699528</c:v>
                </c:pt>
                <c:pt idx="29">
                  <c:v>4.5205907145015232</c:v>
                </c:pt>
              </c:numCache>
            </c:numRef>
          </c:val>
        </c:ser>
        <c:gapWidth val="34"/>
        <c:overlap val="28"/>
        <c:axId val="116206976"/>
        <c:axId val="116217344"/>
      </c:barChart>
      <c:lineChart>
        <c:grouping val="standard"/>
        <c:ser>
          <c:idx val="2"/>
          <c:order val="1"/>
          <c:tx>
            <c:strRef>
              <c:f>'výkonnost odvětví 2'!$B$32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2'!$C$32:$AF$32</c:f>
              <c:numCache>
                <c:formatCode>#,##0.0__</c:formatCode>
                <c:ptCount val="30"/>
                <c:pt idx="0">
                  <c:v>2.8145814762462464</c:v>
                </c:pt>
                <c:pt idx="1">
                  <c:v>-0.65160361804250155</c:v>
                </c:pt>
                <c:pt idx="2">
                  <c:v>-11.671782921579478</c:v>
                </c:pt>
                <c:pt idx="3">
                  <c:v>-10.696553890943122</c:v>
                </c:pt>
                <c:pt idx="4">
                  <c:v>2.6214056871317126</c:v>
                </c:pt>
                <c:pt idx="5">
                  <c:v>-9.2467743432498715</c:v>
                </c:pt>
                <c:pt idx="6">
                  <c:v>-2.8571545096936277</c:v>
                </c:pt>
                <c:pt idx="7">
                  <c:v>-4.0487324448534139</c:v>
                </c:pt>
                <c:pt idx="8">
                  <c:v>-7.112663177047466</c:v>
                </c:pt>
                <c:pt idx="9">
                  <c:v>-0.59561460542927591</c:v>
                </c:pt>
                <c:pt idx="10">
                  <c:v>9.3847374388735147</c:v>
                </c:pt>
                <c:pt idx="11">
                  <c:v>7.0782158358476011</c:v>
                </c:pt>
                <c:pt idx="12">
                  <c:v>14.183839645941399</c:v>
                </c:pt>
                <c:pt idx="13">
                  <c:v>7.7929541685002084</c:v>
                </c:pt>
                <c:pt idx="14">
                  <c:v>16.845115352064926</c:v>
                </c:pt>
                <c:pt idx="15">
                  <c:v>9.6787104542652713</c:v>
                </c:pt>
                <c:pt idx="16">
                  <c:v>4.3419613010107314</c:v>
                </c:pt>
                <c:pt idx="17">
                  <c:v>10.024449168168022</c:v>
                </c:pt>
                <c:pt idx="18">
                  <c:v>-4.7604240586837063</c:v>
                </c:pt>
                <c:pt idx="19">
                  <c:v>0.56107209694786753</c:v>
                </c:pt>
                <c:pt idx="20">
                  <c:v>0.20304376106223304</c:v>
                </c:pt>
                <c:pt idx="21">
                  <c:v>4.9376200007964304</c:v>
                </c:pt>
                <c:pt idx="22">
                  <c:v>-0.65834656713856565</c:v>
                </c:pt>
                <c:pt idx="23">
                  <c:v>2.8730898893807058</c:v>
                </c:pt>
                <c:pt idx="24">
                  <c:v>16.72298936531163</c:v>
                </c:pt>
                <c:pt idx="25">
                  <c:v>11.567742610098017</c:v>
                </c:pt>
                <c:pt idx="26">
                  <c:v>14.702871802754668</c:v>
                </c:pt>
                <c:pt idx="27">
                  <c:v>15.64137465803025</c:v>
                </c:pt>
                <c:pt idx="28">
                  <c:v>-0.60650382327463603</c:v>
                </c:pt>
                <c:pt idx="29">
                  <c:v>3.3658740827299312</c:v>
                </c:pt>
              </c:numCache>
            </c:numRef>
          </c:val>
        </c:ser>
        <c:ser>
          <c:idx val="5"/>
          <c:order val="2"/>
          <c:tx>
            <c:strRef>
              <c:f>'výkonnost odvětví 2'!$B$33</c:f>
              <c:strCache>
                <c:ptCount val="1"/>
                <c:pt idx="0">
                  <c:v>Průmyslové zakázky ze zahraničí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2'!$C$33:$AF$33</c:f>
              <c:numCache>
                <c:formatCode>#,##0.0__</c:formatCode>
                <c:ptCount val="30"/>
                <c:pt idx="0">
                  <c:v>18.348366232182027</c:v>
                </c:pt>
                <c:pt idx="1">
                  <c:v>9.5205491734487566</c:v>
                </c:pt>
                <c:pt idx="2">
                  <c:v>5.6720014781022305</c:v>
                </c:pt>
                <c:pt idx="3">
                  <c:v>8.6383031975398641</c:v>
                </c:pt>
                <c:pt idx="4">
                  <c:v>11.020383939537369</c:v>
                </c:pt>
                <c:pt idx="5">
                  <c:v>6.2765650038583418</c:v>
                </c:pt>
                <c:pt idx="6">
                  <c:v>5.9432769293397172</c:v>
                </c:pt>
                <c:pt idx="7">
                  <c:v>-1.2435728368122061</c:v>
                </c:pt>
                <c:pt idx="8">
                  <c:v>-6.5613801859878338</c:v>
                </c:pt>
                <c:pt idx="9">
                  <c:v>-0.87613985904688796</c:v>
                </c:pt>
                <c:pt idx="10">
                  <c:v>13.585000036266123</c:v>
                </c:pt>
                <c:pt idx="11">
                  <c:v>15.823871636824705</c:v>
                </c:pt>
                <c:pt idx="12">
                  <c:v>20.558652721652511</c:v>
                </c:pt>
                <c:pt idx="13">
                  <c:v>16.687921882537509</c:v>
                </c:pt>
                <c:pt idx="14">
                  <c:v>8.5531225813094967</c:v>
                </c:pt>
                <c:pt idx="15">
                  <c:v>6.3161284689543784</c:v>
                </c:pt>
                <c:pt idx="16">
                  <c:v>10.348522192193441</c:v>
                </c:pt>
                <c:pt idx="17">
                  <c:v>5.0066840085656965</c:v>
                </c:pt>
                <c:pt idx="18">
                  <c:v>8.2506299270615511</c:v>
                </c:pt>
                <c:pt idx="19">
                  <c:v>8.5340301032502452</c:v>
                </c:pt>
                <c:pt idx="20">
                  <c:v>1.8244492596639788</c:v>
                </c:pt>
                <c:pt idx="21">
                  <c:v>13.457258781079091</c:v>
                </c:pt>
                <c:pt idx="22">
                  <c:v>2.5901270212493452</c:v>
                </c:pt>
                <c:pt idx="23">
                  <c:v>8.3691406681191598</c:v>
                </c:pt>
                <c:pt idx="24">
                  <c:v>8.483271558879153</c:v>
                </c:pt>
                <c:pt idx="25">
                  <c:v>1.6713484154001037</c:v>
                </c:pt>
                <c:pt idx="26">
                  <c:v>3.8025338260982671</c:v>
                </c:pt>
                <c:pt idx="27">
                  <c:v>4.2086773810061331</c:v>
                </c:pt>
                <c:pt idx="28">
                  <c:v>3.0062352307807028</c:v>
                </c:pt>
                <c:pt idx="29">
                  <c:v>5.0356815867785674</c:v>
                </c:pt>
              </c:numCache>
            </c:numRef>
          </c:val>
        </c:ser>
        <c:ser>
          <c:idx val="3"/>
          <c:order val="3"/>
          <c:tx>
            <c:strRef>
              <c:f>'výkonnost odvětví 2'!$B$34</c:f>
              <c:strCache>
                <c:ptCount val="1"/>
                <c:pt idx="0">
                  <c:v>Celkové zakázky ve výrobě motor. voz.</c:v>
                </c:pt>
              </c:strCache>
            </c:strRef>
          </c:tx>
          <c:spPr>
            <a:ln w="19050">
              <a:noFill/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2'!$C$34:$AF$34</c:f>
              <c:numCache>
                <c:formatCode>#,##0.0__</c:formatCode>
                <c:ptCount val="30"/>
                <c:pt idx="0">
                  <c:v>11.429400379513879</c:v>
                </c:pt>
                <c:pt idx="1">
                  <c:v>9.2048286805521045</c:v>
                </c:pt>
                <c:pt idx="2">
                  <c:v>4.4139955552265207</c:v>
                </c:pt>
                <c:pt idx="3">
                  <c:v>5.3718735076924125</c:v>
                </c:pt>
                <c:pt idx="4">
                  <c:v>19.54636851917148</c:v>
                </c:pt>
                <c:pt idx="5">
                  <c:v>4.6887564118292016</c:v>
                </c:pt>
                <c:pt idx="6">
                  <c:v>1.3322326875189248</c:v>
                </c:pt>
                <c:pt idx="7">
                  <c:v>-2.0219087809167182</c:v>
                </c:pt>
                <c:pt idx="8">
                  <c:v>-15.423726227988507</c:v>
                </c:pt>
                <c:pt idx="9">
                  <c:v>-3.0233686336023182</c:v>
                </c:pt>
                <c:pt idx="10">
                  <c:v>24.654149056071926</c:v>
                </c:pt>
                <c:pt idx="11">
                  <c:v>18.470996489023374</c:v>
                </c:pt>
                <c:pt idx="12">
                  <c:v>33.791068906341536</c:v>
                </c:pt>
                <c:pt idx="13">
                  <c:v>22.392943648551363</c:v>
                </c:pt>
                <c:pt idx="14">
                  <c:v>16.969041222835109</c:v>
                </c:pt>
                <c:pt idx="15">
                  <c:v>12.211301534151119</c:v>
                </c:pt>
                <c:pt idx="16">
                  <c:v>15.31635243827794</c:v>
                </c:pt>
                <c:pt idx="17">
                  <c:v>5.5843434565174555</c:v>
                </c:pt>
                <c:pt idx="18">
                  <c:v>13.898535777390734</c:v>
                </c:pt>
                <c:pt idx="19">
                  <c:v>18.975191723154538</c:v>
                </c:pt>
                <c:pt idx="20">
                  <c:v>11.460497347422457</c:v>
                </c:pt>
                <c:pt idx="21">
                  <c:v>33.0851310312922</c:v>
                </c:pt>
                <c:pt idx="22">
                  <c:v>5.912380139380474</c:v>
                </c:pt>
                <c:pt idx="23">
                  <c:v>12.001000805244416</c:v>
                </c:pt>
                <c:pt idx="24">
                  <c:v>7.9804719471503214</c:v>
                </c:pt>
                <c:pt idx="25">
                  <c:v>-1.7592612473364941</c:v>
                </c:pt>
                <c:pt idx="26">
                  <c:v>3.8626497182263222</c:v>
                </c:pt>
                <c:pt idx="27">
                  <c:v>0.3737671056841238</c:v>
                </c:pt>
                <c:pt idx="28">
                  <c:v>0.16803199459185691</c:v>
                </c:pt>
                <c:pt idx="29">
                  <c:v>3.1477893347092731</c:v>
                </c:pt>
              </c:numCache>
            </c:numRef>
          </c:val>
        </c:ser>
        <c:marker val="1"/>
        <c:axId val="116206976"/>
        <c:axId val="116217344"/>
      </c:lineChart>
      <c:lineChart>
        <c:grouping val="standard"/>
        <c:ser>
          <c:idx val="4"/>
          <c:order val="4"/>
          <c:tx>
            <c:strRef>
              <c:f>'výkonnost odvětví 2'!$B$35</c:f>
              <c:strCache>
                <c:ptCount val="1"/>
                <c:pt idx="0">
                  <c:v>Saldo souhr. indikát. důvěry v průmyslu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2'!$C$35:$AF$35</c:f>
              <c:numCache>
                <c:formatCode>0.0</c:formatCode>
                <c:ptCount val="30"/>
                <c:pt idx="0">
                  <c:v>12.200000000000001</c:v>
                </c:pt>
                <c:pt idx="1">
                  <c:v>5.8999999999999995</c:v>
                </c:pt>
                <c:pt idx="2">
                  <c:v>2.4333333333333331</c:v>
                </c:pt>
                <c:pt idx="3">
                  <c:v>1.8</c:v>
                </c:pt>
                <c:pt idx="4">
                  <c:v>1.5666666666666667</c:v>
                </c:pt>
                <c:pt idx="5">
                  <c:v>-2.5666666666666669</c:v>
                </c:pt>
                <c:pt idx="6">
                  <c:v>-8.9</c:v>
                </c:pt>
                <c:pt idx="7">
                  <c:v>-10.200000000000001</c:v>
                </c:pt>
                <c:pt idx="8">
                  <c:v>-8.9</c:v>
                </c:pt>
                <c:pt idx="9">
                  <c:v>-10</c:v>
                </c:pt>
                <c:pt idx="10">
                  <c:v>-6.2333333333333414</c:v>
                </c:pt>
                <c:pt idx="11">
                  <c:v>1.7000000000000002</c:v>
                </c:pt>
                <c:pt idx="12">
                  <c:v>2.3333333333333335</c:v>
                </c:pt>
                <c:pt idx="13">
                  <c:v>3.6333333333333342</c:v>
                </c:pt>
                <c:pt idx="14">
                  <c:v>2.5333333333333332</c:v>
                </c:pt>
                <c:pt idx="15">
                  <c:v>2.6666666666666665</c:v>
                </c:pt>
                <c:pt idx="16">
                  <c:v>3</c:v>
                </c:pt>
                <c:pt idx="17">
                  <c:v>3.7666666666666671</c:v>
                </c:pt>
                <c:pt idx="18">
                  <c:v>3.7666666666666671</c:v>
                </c:pt>
                <c:pt idx="19">
                  <c:v>0.76666666666666661</c:v>
                </c:pt>
                <c:pt idx="20">
                  <c:v>3.5666666666666664</c:v>
                </c:pt>
                <c:pt idx="21">
                  <c:v>1.9000000000000001</c:v>
                </c:pt>
                <c:pt idx="22">
                  <c:v>3.7666666666666671</c:v>
                </c:pt>
                <c:pt idx="23">
                  <c:v>5.3333333333333393</c:v>
                </c:pt>
                <c:pt idx="24">
                  <c:v>3.3333333333333335</c:v>
                </c:pt>
                <c:pt idx="25">
                  <c:v>0.8333333333333337</c:v>
                </c:pt>
                <c:pt idx="26">
                  <c:v>3.8666666666666667</c:v>
                </c:pt>
                <c:pt idx="27">
                  <c:v>5.8</c:v>
                </c:pt>
                <c:pt idx="28">
                  <c:v>3.9</c:v>
                </c:pt>
                <c:pt idx="29">
                  <c:v>3.4333333333333336</c:v>
                </c:pt>
              </c:numCache>
            </c:numRef>
          </c:val>
        </c:ser>
        <c:marker val="1"/>
        <c:axId val="116218880"/>
        <c:axId val="116237056"/>
      </c:lineChart>
      <c:catAx>
        <c:axId val="116206976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217344"/>
        <c:crossesAt val="0"/>
        <c:lblAlgn val="ctr"/>
        <c:lblOffset val="0"/>
        <c:tickLblSkip val="1"/>
        <c:tickMarkSkip val="4"/>
      </c:catAx>
      <c:valAx>
        <c:axId val="116217344"/>
        <c:scaling>
          <c:orientation val="minMax"/>
          <c:max val="36"/>
          <c:min val="-1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206976"/>
        <c:crosses val="autoZero"/>
        <c:crossBetween val="between"/>
        <c:majorUnit val="4"/>
      </c:valAx>
      <c:catAx>
        <c:axId val="116218880"/>
        <c:scaling>
          <c:orientation val="minMax"/>
        </c:scaling>
        <c:delete val="1"/>
        <c:axPos val="b"/>
        <c:numFmt formatCode="General" sourceLinked="1"/>
        <c:tickLblPos val="none"/>
        <c:crossAx val="116237056"/>
        <c:crosses val="autoZero"/>
        <c:auto val="1"/>
        <c:lblAlgn val="ctr"/>
        <c:lblOffset val="100"/>
      </c:catAx>
      <c:valAx>
        <c:axId val="116237056"/>
        <c:scaling>
          <c:orientation val="minMax"/>
          <c:max val="40"/>
          <c:min val="-30"/>
        </c:scaling>
        <c:delete val="1"/>
        <c:axPos val="r"/>
        <c:numFmt formatCode="0" sourceLinked="0"/>
        <c:majorTickMark val="in"/>
        <c:tickLblPos val="none"/>
        <c:crossAx val="116218880"/>
        <c:crosses val="max"/>
        <c:crossBetween val="between"/>
        <c:majorUnit val="10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2455780139263733E-2"/>
          <c:y val="0.87896093662051389"/>
          <c:w val="0.93069499440685177"/>
          <c:h val="0.10687971406056511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6.15040945877997E-2"/>
          <c:y val="1.6563187842952905E-2"/>
          <c:w val="0.92847707700101312"/>
          <c:h val="0.74964447062340334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3'!$C$10</c:f>
              <c:strCache>
                <c:ptCount val="1"/>
                <c:pt idx="0">
                  <c:v>Index stavební produkce (ISP)*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3'!$A$15:$B$44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3'!$C$15:$C$44</c:f>
              <c:numCache>
                <c:formatCode>0.0</c:formatCode>
                <c:ptCount val="30"/>
                <c:pt idx="0">
                  <c:v>5.4547967684881087</c:v>
                </c:pt>
                <c:pt idx="1">
                  <c:v>-5.1734325285669778</c:v>
                </c:pt>
                <c:pt idx="2">
                  <c:v>-9.056578235127354</c:v>
                </c:pt>
                <c:pt idx="3">
                  <c:v>-0.49270322945649525</c:v>
                </c:pt>
                <c:pt idx="4">
                  <c:v>-9.8158539490479715</c:v>
                </c:pt>
                <c:pt idx="5">
                  <c:v>-4.9399811658649124</c:v>
                </c:pt>
                <c:pt idx="6">
                  <c:v>-5.6510757148012516</c:v>
                </c:pt>
                <c:pt idx="7">
                  <c:v>-9.499054465131703</c:v>
                </c:pt>
                <c:pt idx="8">
                  <c:v>-10.572618150498869</c:v>
                </c:pt>
                <c:pt idx="9">
                  <c:v>-11.627766064039051</c:v>
                </c:pt>
                <c:pt idx="10">
                  <c:v>-4.9398947451908599</c:v>
                </c:pt>
                <c:pt idx="11">
                  <c:v>-2.6212387790635887</c:v>
                </c:pt>
                <c:pt idx="12">
                  <c:v>13.065404457593312</c:v>
                </c:pt>
                <c:pt idx="13">
                  <c:v>5.5566493948499183</c:v>
                </c:pt>
                <c:pt idx="14">
                  <c:v>2.4466345560924414</c:v>
                </c:pt>
                <c:pt idx="15">
                  <c:v>1.1198511878155839</c:v>
                </c:pt>
                <c:pt idx="16">
                  <c:v>9.1960028555017548</c:v>
                </c:pt>
                <c:pt idx="17">
                  <c:v>11.97873044320497</c:v>
                </c:pt>
                <c:pt idx="18">
                  <c:v>7.852786678158135</c:v>
                </c:pt>
                <c:pt idx="19">
                  <c:v>0.93515611046851599</c:v>
                </c:pt>
                <c:pt idx="20">
                  <c:v>-6.2655201570786065</c:v>
                </c:pt>
                <c:pt idx="21">
                  <c:v>-10.232071921410929</c:v>
                </c:pt>
                <c:pt idx="22">
                  <c:v>-5.9099820656760329</c:v>
                </c:pt>
                <c:pt idx="23">
                  <c:v>-1.6489038957721638</c:v>
                </c:pt>
                <c:pt idx="24">
                  <c:v>-0.85013277421342082</c:v>
                </c:pt>
                <c:pt idx="25">
                  <c:v>9.0007470610050877</c:v>
                </c:pt>
                <c:pt idx="26">
                  <c:v>2.0581071575726009</c:v>
                </c:pt>
                <c:pt idx="27">
                  <c:v>2.9381763458613812</c:v>
                </c:pt>
                <c:pt idx="28">
                  <c:v>13.181946330304072</c:v>
                </c:pt>
                <c:pt idx="29">
                  <c:v>6.426917995731813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80-457D-84D4-4F68A251E689}"/>
            </c:ext>
          </c:extLst>
        </c:ser>
        <c:gapWidth val="31"/>
        <c:axId val="116274304"/>
        <c:axId val="116276224"/>
      </c:barChart>
      <c:lineChart>
        <c:grouping val="standard"/>
        <c:ser>
          <c:idx val="1"/>
          <c:order val="1"/>
          <c:tx>
            <c:strRef>
              <c:f>'výkonnost odvětví 3'!$D$10</c:f>
              <c:strCache>
                <c:ptCount val="1"/>
                <c:pt idx="0">
                  <c:v>ISP v pozemním stavitelství*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3'!$A$15:$B$44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3'!$D$15:$D$44</c:f>
              <c:numCache>
                <c:formatCode>0.0</c:formatCode>
                <c:ptCount val="30"/>
                <c:pt idx="0">
                  <c:v>8.643687148281515</c:v>
                </c:pt>
                <c:pt idx="1">
                  <c:v>-1.7629575853668293</c:v>
                </c:pt>
                <c:pt idx="2">
                  <c:v>-6.4095020002379499</c:v>
                </c:pt>
                <c:pt idx="3">
                  <c:v>2.1112324310021933</c:v>
                </c:pt>
                <c:pt idx="4">
                  <c:v>-7.1532412146404596</c:v>
                </c:pt>
                <c:pt idx="5">
                  <c:v>-2.3484865143246028</c:v>
                </c:pt>
                <c:pt idx="6">
                  <c:v>-5.1485451817733594</c:v>
                </c:pt>
                <c:pt idx="7">
                  <c:v>-9.6734545797587028</c:v>
                </c:pt>
                <c:pt idx="8">
                  <c:v>-9.7993229316906589</c:v>
                </c:pt>
                <c:pt idx="9">
                  <c:v>-11.07864863156108</c:v>
                </c:pt>
                <c:pt idx="10">
                  <c:v>-1.5544956967322878</c:v>
                </c:pt>
                <c:pt idx="11">
                  <c:v>-2.8814188410152184</c:v>
                </c:pt>
                <c:pt idx="12">
                  <c:v>16.321006513626514</c:v>
                </c:pt>
                <c:pt idx="13">
                  <c:v>5.2628048628393245</c:v>
                </c:pt>
                <c:pt idx="14">
                  <c:v>-0.63581651846185161</c:v>
                </c:pt>
                <c:pt idx="15">
                  <c:v>-0.52994003482804464</c:v>
                </c:pt>
                <c:pt idx="16">
                  <c:v>7.7256468103625622</c:v>
                </c:pt>
                <c:pt idx="17">
                  <c:v>7.3251629054349925</c:v>
                </c:pt>
                <c:pt idx="18">
                  <c:v>1.2043700315632861</c:v>
                </c:pt>
                <c:pt idx="19">
                  <c:v>-2.6463735386968072</c:v>
                </c:pt>
                <c:pt idx="20">
                  <c:v>-6.4584025270336314</c:v>
                </c:pt>
                <c:pt idx="21">
                  <c:v>-7.5484465898539304</c:v>
                </c:pt>
                <c:pt idx="22">
                  <c:v>1.2341559267486162</c:v>
                </c:pt>
                <c:pt idx="23">
                  <c:v>6.1457971578372455</c:v>
                </c:pt>
                <c:pt idx="24">
                  <c:v>3.0113147792611699</c:v>
                </c:pt>
                <c:pt idx="25">
                  <c:v>14.58606830794295</c:v>
                </c:pt>
                <c:pt idx="26">
                  <c:v>5.0006934347104002</c:v>
                </c:pt>
                <c:pt idx="27">
                  <c:v>3.8225430782295997</c:v>
                </c:pt>
                <c:pt idx="28">
                  <c:v>14.689957913218009</c:v>
                </c:pt>
                <c:pt idx="29">
                  <c:v>7.4324099151760814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80-457D-84D4-4F68A251E689}"/>
            </c:ext>
          </c:extLst>
        </c:ser>
        <c:ser>
          <c:idx val="2"/>
          <c:order val="2"/>
          <c:tx>
            <c:strRef>
              <c:f>'výkonnost odvětví 3'!$E$10</c:f>
              <c:strCache>
                <c:ptCount val="1"/>
                <c:pt idx="0">
                  <c:v>ISP v inženýrském stavitelství*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3'!$A$15:$B$44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3'!$E$15:$E$44</c:f>
              <c:numCache>
                <c:formatCode>0.0</c:formatCode>
                <c:ptCount val="30"/>
                <c:pt idx="0">
                  <c:v>-2.7890894488650191</c:v>
                </c:pt>
                <c:pt idx="1">
                  <c:v>-11.787487635893656</c:v>
                </c:pt>
                <c:pt idx="2">
                  <c:v>-14.375798659442102</c:v>
                </c:pt>
                <c:pt idx="3">
                  <c:v>-5.9114243768010475</c:v>
                </c:pt>
                <c:pt idx="4">
                  <c:v>-17.508750433219717</c:v>
                </c:pt>
                <c:pt idx="5">
                  <c:v>-10.536891513552632</c:v>
                </c:pt>
                <c:pt idx="6">
                  <c:v>-6.7548473187488005</c:v>
                </c:pt>
                <c:pt idx="7">
                  <c:v>-9.1051871494778283</c:v>
                </c:pt>
                <c:pt idx="8">
                  <c:v>-13.087317526163702</c:v>
                </c:pt>
                <c:pt idx="9">
                  <c:v>-12.92225475103762</c:v>
                </c:pt>
                <c:pt idx="10">
                  <c:v>-12.503770089076568</c:v>
                </c:pt>
                <c:pt idx="11">
                  <c:v>-2.0373185905058597</c:v>
                </c:pt>
                <c:pt idx="12">
                  <c:v>2.0779090558675612</c:v>
                </c:pt>
                <c:pt idx="13">
                  <c:v>6.2640240917004775</c:v>
                </c:pt>
                <c:pt idx="14">
                  <c:v>10.195484215252145</c:v>
                </c:pt>
                <c:pt idx="15">
                  <c:v>4.7905616685082855</c:v>
                </c:pt>
                <c:pt idx="16">
                  <c:v>14.850790359833109</c:v>
                </c:pt>
                <c:pt idx="17">
                  <c:v>23.075756570990713</c:v>
                </c:pt>
                <c:pt idx="18">
                  <c:v>22.923206180836129</c:v>
                </c:pt>
                <c:pt idx="19">
                  <c:v>8.4993021566949665</c:v>
                </c:pt>
                <c:pt idx="20">
                  <c:v>-5.5697409692054745</c:v>
                </c:pt>
                <c:pt idx="21">
                  <c:v>-15.812551358433454</c:v>
                </c:pt>
                <c:pt idx="22">
                  <c:v>-19.242811842824889</c:v>
                </c:pt>
                <c:pt idx="23">
                  <c:v>-16.420111674620689</c:v>
                </c:pt>
                <c:pt idx="24">
                  <c:v>-14.648339343580091</c:v>
                </c:pt>
                <c:pt idx="25">
                  <c:v>-3.7537885685544383</c:v>
                </c:pt>
                <c:pt idx="26">
                  <c:v>-4.8259993710043565</c:v>
                </c:pt>
                <c:pt idx="27">
                  <c:v>0.80979248445301688</c:v>
                </c:pt>
                <c:pt idx="28">
                  <c:v>6.6784015645310575</c:v>
                </c:pt>
                <c:pt idx="29">
                  <c:v>3.693265827719955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80-457D-84D4-4F68A251E689}"/>
            </c:ext>
          </c:extLst>
        </c:ser>
        <c:ser>
          <c:idx val="3"/>
          <c:order val="3"/>
          <c:tx>
            <c:strRef>
              <c:f>'výkonnost odvětví 3'!$F$10</c:f>
              <c:strCache>
                <c:ptCount val="1"/>
                <c:pt idx="0">
                  <c:v>Nové zakázky ve stavebnictví celkem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3'!$A$15:$B$44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3'!$F$15:$F$44</c:f>
              <c:numCache>
                <c:formatCode>0.0</c:formatCode>
                <c:ptCount val="30"/>
                <c:pt idx="0">
                  <c:v>37.795405718063414</c:v>
                </c:pt>
                <c:pt idx="1">
                  <c:v>-23.565672566980954</c:v>
                </c:pt>
                <c:pt idx="2">
                  <c:v>-23.360716461156017</c:v>
                </c:pt>
                <c:pt idx="3">
                  <c:v>-9.1653963414634205</c:v>
                </c:pt>
                <c:pt idx="4">
                  <c:v>-46.322059646598063</c:v>
                </c:pt>
                <c:pt idx="5">
                  <c:v>-13.714800630772698</c:v>
                </c:pt>
                <c:pt idx="6">
                  <c:v>-7.6729748888363645</c:v>
                </c:pt>
                <c:pt idx="7">
                  <c:v>7.5624082232011753</c:v>
                </c:pt>
                <c:pt idx="8">
                  <c:v>-17.695687793252535</c:v>
                </c:pt>
                <c:pt idx="9">
                  <c:v>-1.584773641063137</c:v>
                </c:pt>
                <c:pt idx="10">
                  <c:v>-1.3308205951467045</c:v>
                </c:pt>
                <c:pt idx="11">
                  <c:v>16.153096050706978</c:v>
                </c:pt>
                <c:pt idx="12">
                  <c:v>67.509727626458485</c:v>
                </c:pt>
                <c:pt idx="13">
                  <c:v>18.978644382543834</c:v>
                </c:pt>
                <c:pt idx="14">
                  <c:v>34.050931384107542</c:v>
                </c:pt>
                <c:pt idx="15">
                  <c:v>-1</c:v>
                </c:pt>
                <c:pt idx="16">
                  <c:v>-3.1547956675580053</c:v>
                </c:pt>
                <c:pt idx="17">
                  <c:v>9.7504961091664146</c:v>
                </c:pt>
                <c:pt idx="18">
                  <c:v>-1.0976060227612561</c:v>
                </c:pt>
                <c:pt idx="19">
                  <c:v>-2.3987783410040464</c:v>
                </c:pt>
                <c:pt idx="20">
                  <c:v>-6.6406358945753805</c:v>
                </c:pt>
                <c:pt idx="21">
                  <c:v>-0.49977652269311085</c:v>
                </c:pt>
                <c:pt idx="22">
                  <c:v>-7.0322087253454839</c:v>
                </c:pt>
                <c:pt idx="23">
                  <c:v>10.122126124559955</c:v>
                </c:pt>
                <c:pt idx="24">
                  <c:v>16.177217458847608</c:v>
                </c:pt>
                <c:pt idx="25">
                  <c:v>9.5350878984013914</c:v>
                </c:pt>
                <c:pt idx="26">
                  <c:v>-1.2817324431350698</c:v>
                </c:pt>
                <c:pt idx="27">
                  <c:v>15.620806693503823</c:v>
                </c:pt>
                <c:pt idx="28">
                  <c:v>28.623225673729589</c:v>
                </c:pt>
                <c:pt idx="29">
                  <c:v>32.039070218279051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80-457D-84D4-4F68A251E689}"/>
            </c:ext>
          </c:extLst>
        </c:ser>
        <c:ser>
          <c:idx val="4"/>
          <c:order val="4"/>
          <c:tx>
            <c:strRef>
              <c:f>'výkonnost odvětví 3'!$G$10</c:f>
              <c:strCache>
                <c:ptCount val="1"/>
                <c:pt idx="0">
                  <c:v>Saldo indik. důvěry ve stavebnictví</c:v>
                </c:pt>
              </c:strCache>
            </c:strRef>
          </c:tx>
          <c:spPr>
            <a:ln w="19050">
              <a:noFill/>
              <a:prstDash val="solid"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3'!$A$15:$B$44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3'!$G$15:$G$44</c:f>
              <c:numCache>
                <c:formatCode>0.0</c:formatCode>
                <c:ptCount val="30"/>
                <c:pt idx="0">
                  <c:v>-40</c:v>
                </c:pt>
                <c:pt idx="1">
                  <c:v>-40.333333333333336</c:v>
                </c:pt>
                <c:pt idx="2">
                  <c:v>-39.166666666666174</c:v>
                </c:pt>
                <c:pt idx="3">
                  <c:v>-39.333333333333336</c:v>
                </c:pt>
                <c:pt idx="4">
                  <c:v>-46</c:v>
                </c:pt>
                <c:pt idx="5">
                  <c:v>-45.333333333333336</c:v>
                </c:pt>
                <c:pt idx="6">
                  <c:v>-43.5</c:v>
                </c:pt>
                <c:pt idx="7">
                  <c:v>-44.666666666666174</c:v>
                </c:pt>
                <c:pt idx="8">
                  <c:v>-46</c:v>
                </c:pt>
                <c:pt idx="9">
                  <c:v>-53.333333333333336</c:v>
                </c:pt>
                <c:pt idx="10">
                  <c:v>-49.5</c:v>
                </c:pt>
                <c:pt idx="11">
                  <c:v>-50.833333333333336</c:v>
                </c:pt>
                <c:pt idx="12">
                  <c:v>-45.166666666666174</c:v>
                </c:pt>
                <c:pt idx="13">
                  <c:v>-38.333333333333336</c:v>
                </c:pt>
                <c:pt idx="14">
                  <c:v>-32</c:v>
                </c:pt>
                <c:pt idx="15">
                  <c:v>-25.166666666666668</c:v>
                </c:pt>
                <c:pt idx="16">
                  <c:v>-20.833333333333101</c:v>
                </c:pt>
                <c:pt idx="17">
                  <c:v>-16.333333333333101</c:v>
                </c:pt>
                <c:pt idx="18">
                  <c:v>-18.666666666666668</c:v>
                </c:pt>
                <c:pt idx="19">
                  <c:v>-15.666666666666726</c:v>
                </c:pt>
                <c:pt idx="20">
                  <c:v>-17.166666666666668</c:v>
                </c:pt>
                <c:pt idx="21">
                  <c:v>-24</c:v>
                </c:pt>
                <c:pt idx="22">
                  <c:v>-26.666666666666668</c:v>
                </c:pt>
                <c:pt idx="23">
                  <c:v>-25.833333333333101</c:v>
                </c:pt>
                <c:pt idx="24">
                  <c:v>-24.5</c:v>
                </c:pt>
                <c:pt idx="25">
                  <c:v>-22.666666666666668</c:v>
                </c:pt>
                <c:pt idx="26">
                  <c:v>-19.833333333333101</c:v>
                </c:pt>
                <c:pt idx="27">
                  <c:v>-15.166666666666726</c:v>
                </c:pt>
                <c:pt idx="28">
                  <c:v>-9.6666666666666767</c:v>
                </c:pt>
                <c:pt idx="29">
                  <c:v>-5.666666666666667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80-457D-84D4-4F68A251E689}"/>
            </c:ext>
          </c:extLst>
        </c:ser>
        <c:marker val="1"/>
        <c:axId val="116274304"/>
        <c:axId val="116276224"/>
      </c:lineChart>
      <c:catAx>
        <c:axId val="116274304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276224"/>
        <c:crossesAt val="0"/>
        <c:lblAlgn val="ctr"/>
        <c:lblOffset val="0"/>
        <c:tickLblSkip val="1"/>
        <c:tickMarkSkip val="4"/>
      </c:catAx>
      <c:valAx>
        <c:axId val="116276224"/>
        <c:scaling>
          <c:orientation val="minMax"/>
          <c:max val="50"/>
          <c:min val="-6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274304"/>
        <c:crosses val="autoZero"/>
        <c:crossBetween val="between"/>
        <c:majorUnit val="10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104910389042733E-2"/>
          <c:y val="0.86288036570346338"/>
          <c:w val="0.92926297419604798"/>
          <c:h val="0.12280263680764775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3337294494629933E-2"/>
          <c:y val="2.1873600091567656E-2"/>
          <c:w val="0.91372590696101663"/>
          <c:h val="0.72182682958253064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5'!$C$10</c:f>
              <c:strCache>
                <c:ptCount val="1"/>
                <c:pt idx="0">
                  <c:v>Maloobchod, prodej a opravy motor.voz.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5'!$A$11:$B$40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5'!$C$11:$C$40</c:f>
              <c:numCache>
                <c:formatCode>0.0</c:formatCode>
                <c:ptCount val="30"/>
                <c:pt idx="0">
                  <c:v>4.7022153336137915</c:v>
                </c:pt>
                <c:pt idx="1">
                  <c:v>1.1056630641874958</c:v>
                </c:pt>
                <c:pt idx="2">
                  <c:v>0.29046692688701026</c:v>
                </c:pt>
                <c:pt idx="3">
                  <c:v>1.2385223521683641</c:v>
                </c:pt>
                <c:pt idx="4">
                  <c:v>-0.32381494465177524</c:v>
                </c:pt>
                <c:pt idx="5">
                  <c:v>-1.1174633520534762</c:v>
                </c:pt>
                <c:pt idx="6">
                  <c:v>-0.50575432020986</c:v>
                </c:pt>
                <c:pt idx="7">
                  <c:v>-2.0391145885964304</c:v>
                </c:pt>
                <c:pt idx="8">
                  <c:v>-0.84510191443204974</c:v>
                </c:pt>
                <c:pt idx="9">
                  <c:v>0.35871815795015038</c:v>
                </c:pt>
                <c:pt idx="10">
                  <c:v>1.1858793524466336</c:v>
                </c:pt>
                <c:pt idx="11">
                  <c:v>4.3551040936846022</c:v>
                </c:pt>
                <c:pt idx="12">
                  <c:v>4.8018367725111091</c:v>
                </c:pt>
                <c:pt idx="13">
                  <c:v>4.1758728266076446</c:v>
                </c:pt>
                <c:pt idx="14">
                  <c:v>5.7018700308560284</c:v>
                </c:pt>
                <c:pt idx="15">
                  <c:v>6.9891847370430185</c:v>
                </c:pt>
                <c:pt idx="16">
                  <c:v>7.7785155499143155</c:v>
                </c:pt>
                <c:pt idx="17">
                  <c:v>8.2376231011680989</c:v>
                </c:pt>
                <c:pt idx="18">
                  <c:v>7.1096927735488524</c:v>
                </c:pt>
                <c:pt idx="19">
                  <c:v>7.9141358275167306</c:v>
                </c:pt>
                <c:pt idx="20">
                  <c:v>6.6658477515745025</c:v>
                </c:pt>
                <c:pt idx="21">
                  <c:v>6.3702236381586914</c:v>
                </c:pt>
                <c:pt idx="22">
                  <c:v>5.2972437081185433</c:v>
                </c:pt>
                <c:pt idx="23">
                  <c:v>4.2948037512185095</c:v>
                </c:pt>
                <c:pt idx="24">
                  <c:v>6.0190332933022024</c:v>
                </c:pt>
                <c:pt idx="25">
                  <c:v>5.7245372121730655</c:v>
                </c:pt>
                <c:pt idx="26">
                  <c:v>3.8989794451072437</c:v>
                </c:pt>
                <c:pt idx="27">
                  <c:v>4.6771124312793546</c:v>
                </c:pt>
                <c:pt idx="28">
                  <c:v>3.8962023514729225</c:v>
                </c:pt>
                <c:pt idx="29">
                  <c:v>2.3801290747379857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25-494B-9870-29D38151EFAB}"/>
            </c:ext>
          </c:extLst>
        </c:ser>
        <c:gapWidth val="31"/>
        <c:axId val="116316032"/>
        <c:axId val="116350976"/>
      </c:barChart>
      <c:lineChart>
        <c:grouping val="standard"/>
        <c:ser>
          <c:idx val="1"/>
          <c:order val="1"/>
          <c:tx>
            <c:strRef>
              <c:f>'výkonnost odvětví 5'!$D$10</c:f>
              <c:strCache>
                <c:ptCount val="1"/>
                <c:pt idx="0">
                  <c:v>Maloobchod s potravinami celkem 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5'!$A$11:$B$40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5'!$D$11:$D$40</c:f>
              <c:numCache>
                <c:formatCode>0.0</c:formatCode>
                <c:ptCount val="30"/>
                <c:pt idx="0">
                  <c:v>1.0200203339011864</c:v>
                </c:pt>
                <c:pt idx="1">
                  <c:v>-0.77245895457782865</c:v>
                </c:pt>
                <c:pt idx="2">
                  <c:v>-2.2030263793204012</c:v>
                </c:pt>
                <c:pt idx="3">
                  <c:v>-2.6122663740461567</c:v>
                </c:pt>
                <c:pt idx="4">
                  <c:v>-4.1792292117951924</c:v>
                </c:pt>
                <c:pt idx="5">
                  <c:v>-2.5411879709738088</c:v>
                </c:pt>
                <c:pt idx="6">
                  <c:v>-1.6989545563239403</c:v>
                </c:pt>
                <c:pt idx="7">
                  <c:v>-2.0584542937760637</c:v>
                </c:pt>
                <c:pt idx="8">
                  <c:v>-1.0845437387326626</c:v>
                </c:pt>
                <c:pt idx="9">
                  <c:v>-1.9839890101918061</c:v>
                </c:pt>
                <c:pt idx="10">
                  <c:v>-0.64564084428931356</c:v>
                </c:pt>
                <c:pt idx="11">
                  <c:v>-0.21671648530670745</c:v>
                </c:pt>
                <c:pt idx="12">
                  <c:v>-0.64931062632505065</c:v>
                </c:pt>
                <c:pt idx="13">
                  <c:v>2.5968329035568343</c:v>
                </c:pt>
                <c:pt idx="14">
                  <c:v>-0.28362848708875227</c:v>
                </c:pt>
                <c:pt idx="15">
                  <c:v>2.8999737539912189</c:v>
                </c:pt>
                <c:pt idx="16">
                  <c:v>4.6183141075948955</c:v>
                </c:pt>
                <c:pt idx="17">
                  <c:v>3.0246216416932192</c:v>
                </c:pt>
                <c:pt idx="18">
                  <c:v>4.9291779201594155</c:v>
                </c:pt>
                <c:pt idx="19">
                  <c:v>3.9476511009256972</c:v>
                </c:pt>
                <c:pt idx="20">
                  <c:v>4.6571808562616672</c:v>
                </c:pt>
                <c:pt idx="21">
                  <c:v>3.8281360945831864</c:v>
                </c:pt>
                <c:pt idx="22">
                  <c:v>2.6514068516015641</c:v>
                </c:pt>
                <c:pt idx="23">
                  <c:v>-0.29933130313158085</c:v>
                </c:pt>
                <c:pt idx="24">
                  <c:v>1.8133469855121398</c:v>
                </c:pt>
                <c:pt idx="25">
                  <c:v>3.7507118685608947</c:v>
                </c:pt>
                <c:pt idx="26">
                  <c:v>3.0407748275680442</c:v>
                </c:pt>
                <c:pt idx="27">
                  <c:v>2.6385416371036827</c:v>
                </c:pt>
                <c:pt idx="28">
                  <c:v>3.3838929394877777</c:v>
                </c:pt>
                <c:pt idx="29">
                  <c:v>1.0670683892079598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25-494B-9870-29D38151EFAB}"/>
            </c:ext>
          </c:extLst>
        </c:ser>
        <c:ser>
          <c:idx val="2"/>
          <c:order val="2"/>
          <c:tx>
            <c:strRef>
              <c:f>'výkonnost odvětví 5'!$E$10</c:f>
              <c:strCache>
                <c:ptCount val="1"/>
                <c:pt idx="0">
                  <c:v>Maloobchod s nepotravinářs. zbožím</c:v>
                </c:pt>
              </c:strCache>
            </c:strRef>
          </c:tx>
          <c:spPr>
            <a:ln w="19050">
              <a:solidFill>
                <a:srgbClr val="48AEE7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5'!$A$11:$B$40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5'!$E$11:$E$40</c:f>
              <c:numCache>
                <c:formatCode>0.0</c:formatCode>
                <c:ptCount val="30"/>
                <c:pt idx="0">
                  <c:v>4.4885846405339365</c:v>
                </c:pt>
                <c:pt idx="1">
                  <c:v>3.1795216115752396</c:v>
                </c:pt>
                <c:pt idx="2">
                  <c:v>0.28880471681390252</c:v>
                </c:pt>
                <c:pt idx="3">
                  <c:v>2.5197824737785122</c:v>
                </c:pt>
                <c:pt idx="4">
                  <c:v>1.4765577560249596</c:v>
                </c:pt>
                <c:pt idx="5">
                  <c:v>0.88006052933151557</c:v>
                </c:pt>
                <c:pt idx="6">
                  <c:v>1.3147204053338868</c:v>
                </c:pt>
                <c:pt idx="7">
                  <c:v>9.7872831308464497E-2</c:v>
                </c:pt>
                <c:pt idx="8">
                  <c:v>1.5419364795675958</c:v>
                </c:pt>
                <c:pt idx="9">
                  <c:v>0.72034669617840386</c:v>
                </c:pt>
                <c:pt idx="10">
                  <c:v>0.80534167805757984</c:v>
                </c:pt>
                <c:pt idx="11">
                  <c:v>2.9834553392845167</c:v>
                </c:pt>
                <c:pt idx="12">
                  <c:v>2.8974454049186322</c:v>
                </c:pt>
                <c:pt idx="13">
                  <c:v>2.2398901534830777</c:v>
                </c:pt>
                <c:pt idx="14">
                  <c:v>4.2989038934441934</c:v>
                </c:pt>
                <c:pt idx="15">
                  <c:v>7.5937472464603495</c:v>
                </c:pt>
                <c:pt idx="16">
                  <c:v>7.2486276037651134</c:v>
                </c:pt>
                <c:pt idx="17">
                  <c:v>8.3737481542950292</c:v>
                </c:pt>
                <c:pt idx="18">
                  <c:v>5.8312031677395524</c:v>
                </c:pt>
                <c:pt idx="19">
                  <c:v>7.2083201340207994</c:v>
                </c:pt>
                <c:pt idx="20">
                  <c:v>5.7307041293387613</c:v>
                </c:pt>
                <c:pt idx="21">
                  <c:v>5.6062752574786705</c:v>
                </c:pt>
                <c:pt idx="22">
                  <c:v>6.9055706835124511</c:v>
                </c:pt>
                <c:pt idx="23">
                  <c:v>7.0177001189283317</c:v>
                </c:pt>
                <c:pt idx="24">
                  <c:v>9.0064474167916728</c:v>
                </c:pt>
                <c:pt idx="25">
                  <c:v>8.9842659419007589</c:v>
                </c:pt>
                <c:pt idx="26">
                  <c:v>8.5595664443738571</c:v>
                </c:pt>
                <c:pt idx="27">
                  <c:v>8.8620472976246543</c:v>
                </c:pt>
                <c:pt idx="28">
                  <c:v>8.6607378826210208</c:v>
                </c:pt>
                <c:pt idx="29">
                  <c:v>7.3614102762324087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25-494B-9870-29D38151EFAB}"/>
            </c:ext>
          </c:extLst>
        </c:ser>
        <c:ser>
          <c:idx val="3"/>
          <c:order val="3"/>
          <c:tx>
            <c:strRef>
              <c:f>'výkonnost odvětví 5'!$F$10</c:f>
              <c:strCache>
                <c:ptCount val="1"/>
                <c:pt idx="0">
                  <c:v>Maloobchodní prodej PHM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'výkonnost odvětví 5'!$A$11:$B$40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5'!$F$11:$F$40</c:f>
              <c:numCache>
                <c:formatCode>0.0</c:formatCode>
                <c:ptCount val="30"/>
                <c:pt idx="0">
                  <c:v>-4.631133777242141</c:v>
                </c:pt>
                <c:pt idx="1">
                  <c:v>-3.8994040732664388</c:v>
                </c:pt>
                <c:pt idx="2">
                  <c:v>-2.1621003597324409</c:v>
                </c:pt>
                <c:pt idx="3">
                  <c:v>-2.9915509879464541</c:v>
                </c:pt>
                <c:pt idx="4">
                  <c:v>-1.895852118088954</c:v>
                </c:pt>
                <c:pt idx="5">
                  <c:v>-3.4936345742772001</c:v>
                </c:pt>
                <c:pt idx="6">
                  <c:v>0.78230350222703748</c:v>
                </c:pt>
                <c:pt idx="7">
                  <c:v>-2.0730044432309152</c:v>
                </c:pt>
                <c:pt idx="8">
                  <c:v>0.43687421293950529</c:v>
                </c:pt>
                <c:pt idx="9">
                  <c:v>-0.52059668292064964</c:v>
                </c:pt>
                <c:pt idx="10">
                  <c:v>-5.2781034501008914</c:v>
                </c:pt>
                <c:pt idx="11">
                  <c:v>-0.86506996874481967</c:v>
                </c:pt>
                <c:pt idx="12">
                  <c:v>0.48207387094959453</c:v>
                </c:pt>
                <c:pt idx="13">
                  <c:v>3.8856542982543402E-2</c:v>
                </c:pt>
                <c:pt idx="14">
                  <c:v>2.5788957521098732</c:v>
                </c:pt>
                <c:pt idx="15">
                  <c:v>3.5103721443907574</c:v>
                </c:pt>
                <c:pt idx="16">
                  <c:v>6.1539270131965651</c:v>
                </c:pt>
                <c:pt idx="17">
                  <c:v>4.5607008813701704</c:v>
                </c:pt>
                <c:pt idx="18">
                  <c:v>6.1265662157100955</c:v>
                </c:pt>
                <c:pt idx="19">
                  <c:v>8.9586655169461267</c:v>
                </c:pt>
                <c:pt idx="20">
                  <c:v>4.9193940911014522</c:v>
                </c:pt>
                <c:pt idx="21">
                  <c:v>5.3582796877753704</c:v>
                </c:pt>
                <c:pt idx="22">
                  <c:v>4.5991242975379745</c:v>
                </c:pt>
                <c:pt idx="23">
                  <c:v>5.1789206112660775</c:v>
                </c:pt>
                <c:pt idx="24">
                  <c:v>3.9491266441740152</c:v>
                </c:pt>
                <c:pt idx="25">
                  <c:v>5.9221498576280345</c:v>
                </c:pt>
                <c:pt idx="26">
                  <c:v>6.2898941708549234</c:v>
                </c:pt>
                <c:pt idx="27">
                  <c:v>6.3299633437876404</c:v>
                </c:pt>
                <c:pt idx="28">
                  <c:v>5.7111878533216975</c:v>
                </c:pt>
                <c:pt idx="29">
                  <c:v>4.6804505710196445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025-494B-9870-29D38151EFAB}"/>
            </c:ext>
          </c:extLst>
        </c:ser>
        <c:ser>
          <c:idx val="4"/>
          <c:order val="4"/>
          <c:tx>
            <c:strRef>
              <c:f>'výkonnost odvětví 5'!$G$10</c:f>
              <c:strCache>
                <c:ptCount val="1"/>
                <c:pt idx="0">
                  <c:v>Obchod a opravy motorových voz.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'výkonnost odvětví 5'!$A$11:$B$40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5'!$G$11:$G$40</c:f>
              <c:numCache>
                <c:formatCode>0.0</c:formatCode>
                <c:ptCount val="30"/>
                <c:pt idx="0">
                  <c:v>12.399114095061028</c:v>
                </c:pt>
                <c:pt idx="1">
                  <c:v>1.5393113464408679</c:v>
                </c:pt>
                <c:pt idx="2">
                  <c:v>4.1676015774581234</c:v>
                </c:pt>
                <c:pt idx="3">
                  <c:v>4.8417140167407355</c:v>
                </c:pt>
                <c:pt idx="4">
                  <c:v>2.6476463856385948</c:v>
                </c:pt>
                <c:pt idx="5">
                  <c:v>-0.8308359885276001</c:v>
                </c:pt>
                <c:pt idx="6">
                  <c:v>-1.0054999885675358</c:v>
                </c:pt>
                <c:pt idx="7">
                  <c:v>-5.3031820450899545</c:v>
                </c:pt>
                <c:pt idx="8">
                  <c:v>-6.0597265900881734</c:v>
                </c:pt>
                <c:pt idx="9">
                  <c:v>4.0744346599402315</c:v>
                </c:pt>
                <c:pt idx="10">
                  <c:v>5.5422103353407692</c:v>
                </c:pt>
                <c:pt idx="11">
                  <c:v>12.840168791430605</c:v>
                </c:pt>
                <c:pt idx="12">
                  <c:v>14.893046851327895</c:v>
                </c:pt>
                <c:pt idx="13">
                  <c:v>7.0031832029953165</c:v>
                </c:pt>
                <c:pt idx="14">
                  <c:v>12.995196318598303</c:v>
                </c:pt>
                <c:pt idx="15">
                  <c:v>12.528076582509229</c:v>
                </c:pt>
                <c:pt idx="16">
                  <c:v>11.675877956018224</c:v>
                </c:pt>
                <c:pt idx="17">
                  <c:v>14.129424017702474</c:v>
                </c:pt>
                <c:pt idx="18">
                  <c:v>10.81301464376272</c:v>
                </c:pt>
                <c:pt idx="19">
                  <c:v>12.285366427220751</c:v>
                </c:pt>
                <c:pt idx="20">
                  <c:v>10.012458360183604</c:v>
                </c:pt>
                <c:pt idx="21">
                  <c:v>9.2274670118200977</c:v>
                </c:pt>
                <c:pt idx="22">
                  <c:v>6.6565459161231955</c:v>
                </c:pt>
                <c:pt idx="23">
                  <c:v>4.7882185594400681</c:v>
                </c:pt>
                <c:pt idx="24">
                  <c:v>6.211471159436428</c:v>
                </c:pt>
                <c:pt idx="25">
                  <c:v>4.4659425641385297</c:v>
                </c:pt>
                <c:pt idx="26">
                  <c:v>-0.120016178112067</c:v>
                </c:pt>
                <c:pt idx="27">
                  <c:v>1.4641268177413718</c:v>
                </c:pt>
                <c:pt idx="28">
                  <c:v>-1.2563520967836723</c:v>
                </c:pt>
                <c:pt idx="29">
                  <c:v>-0.87544066141409482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25-494B-9870-29D38151EFAB}"/>
            </c:ext>
          </c:extLst>
        </c:ser>
        <c:marker val="1"/>
        <c:axId val="116316032"/>
        <c:axId val="116350976"/>
      </c:lineChart>
      <c:lineChart>
        <c:grouping val="standard"/>
        <c:ser>
          <c:idx val="6"/>
          <c:order val="5"/>
          <c:tx>
            <c:strRef>
              <c:f>'výkonnost odvětví 5'!$H$10</c:f>
              <c:strCache>
                <c:ptCount val="1"/>
                <c:pt idx="0">
                  <c:v>Saldo souhr.indik.důvěry spotřebitelů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5'!$A$11:$B$40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5'!$H$11:$H$40</c:f>
              <c:numCache>
                <c:formatCode>0.0</c:formatCode>
                <c:ptCount val="30"/>
                <c:pt idx="0">
                  <c:v>-13.433333333333332</c:v>
                </c:pt>
                <c:pt idx="1">
                  <c:v>-20.099999999999987</c:v>
                </c:pt>
                <c:pt idx="2">
                  <c:v>-22.433333333333024</c:v>
                </c:pt>
                <c:pt idx="3">
                  <c:v>-26.7</c:v>
                </c:pt>
                <c:pt idx="4">
                  <c:v>-26.766666666666666</c:v>
                </c:pt>
                <c:pt idx="5">
                  <c:v>-29.866666666666664</c:v>
                </c:pt>
                <c:pt idx="6">
                  <c:v>-28.466666666666669</c:v>
                </c:pt>
                <c:pt idx="7">
                  <c:v>-26.433333333333024</c:v>
                </c:pt>
                <c:pt idx="8">
                  <c:v>-23.633333333333134</c:v>
                </c:pt>
                <c:pt idx="9">
                  <c:v>-20.866666666666667</c:v>
                </c:pt>
                <c:pt idx="10">
                  <c:v>-17.266666666666666</c:v>
                </c:pt>
                <c:pt idx="11">
                  <c:v>-10.766666666666676</c:v>
                </c:pt>
                <c:pt idx="12">
                  <c:v>-6.6000000000000005</c:v>
                </c:pt>
                <c:pt idx="13">
                  <c:v>-3.5333333333333332</c:v>
                </c:pt>
                <c:pt idx="14">
                  <c:v>-4.1333333333333524</c:v>
                </c:pt>
                <c:pt idx="15">
                  <c:v>0.69999999999999984</c:v>
                </c:pt>
                <c:pt idx="16">
                  <c:v>3.6333333333333342</c:v>
                </c:pt>
                <c:pt idx="17">
                  <c:v>1.7666666666666666</c:v>
                </c:pt>
                <c:pt idx="18">
                  <c:v>1.2</c:v>
                </c:pt>
                <c:pt idx="19">
                  <c:v>3.5</c:v>
                </c:pt>
                <c:pt idx="20">
                  <c:v>4.6000000000000005</c:v>
                </c:pt>
                <c:pt idx="21">
                  <c:v>1.8333333333333333</c:v>
                </c:pt>
                <c:pt idx="22">
                  <c:v>2</c:v>
                </c:pt>
                <c:pt idx="23">
                  <c:v>6.1000000000000005</c:v>
                </c:pt>
                <c:pt idx="24">
                  <c:v>6.533333333333383</c:v>
                </c:pt>
                <c:pt idx="25">
                  <c:v>5.2666666666666684</c:v>
                </c:pt>
                <c:pt idx="26">
                  <c:v>5.2</c:v>
                </c:pt>
                <c:pt idx="27">
                  <c:v>7.2</c:v>
                </c:pt>
                <c:pt idx="28">
                  <c:v>9.8666666666667719</c:v>
                </c:pt>
                <c:pt idx="29">
                  <c:v>10.6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025-494B-9870-29D38151EFAB}"/>
            </c:ext>
          </c:extLst>
        </c:ser>
        <c:marker val="1"/>
        <c:axId val="116354048"/>
        <c:axId val="116352512"/>
      </c:lineChart>
      <c:catAx>
        <c:axId val="116316032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350976"/>
        <c:crosses val="autoZero"/>
        <c:lblAlgn val="ctr"/>
        <c:lblOffset val="0"/>
        <c:tickLblSkip val="1"/>
        <c:tickMarkSkip val="4"/>
      </c:catAx>
      <c:valAx>
        <c:axId val="116350976"/>
        <c:scaling>
          <c:orientation val="minMax"/>
          <c:max val="15"/>
          <c:min val="-1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316032"/>
        <c:crosses val="autoZero"/>
        <c:crossBetween val="between"/>
        <c:majorUnit val="5"/>
      </c:valAx>
      <c:valAx>
        <c:axId val="116352512"/>
        <c:scaling>
          <c:orientation val="minMax"/>
          <c:max val="30"/>
          <c:min val="-30"/>
        </c:scaling>
        <c:axPos val="r"/>
        <c:numFmt formatCode="0" sourceLinked="0"/>
        <c:tickLblPos val="nextTo"/>
        <c:spPr>
          <a:ln w="9525">
            <a:solidFill>
              <a:schemeClr val="tx1"/>
            </a:solidFill>
          </a:ln>
        </c:spPr>
        <c:crossAx val="116354048"/>
        <c:crosses val="max"/>
        <c:crossBetween val="between"/>
      </c:valAx>
      <c:catAx>
        <c:axId val="116354048"/>
        <c:scaling>
          <c:orientation val="minMax"/>
        </c:scaling>
        <c:delete val="1"/>
        <c:axPos val="b"/>
        <c:numFmt formatCode="General" sourceLinked="1"/>
        <c:tickLblPos val="none"/>
        <c:crossAx val="116352512"/>
        <c:crosses val="autoZero"/>
        <c:auto val="1"/>
        <c:lblAlgn val="ctr"/>
        <c:lblOffset val="10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835358842793732E-2"/>
          <c:y val="0.84801642578021408"/>
          <c:w val="0.90712676804032544"/>
          <c:h val="0.13389587922459187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656266097578916E-2"/>
          <c:y val="2.3304908251716772E-2"/>
          <c:w val="0.92389825103639056"/>
          <c:h val="0.58623184734886868"/>
        </c:manualLayout>
      </c:layout>
      <c:barChart>
        <c:barDir val="col"/>
        <c:grouping val="clustered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                                            elektron. přístr.</c:v>
                </c:pt>
                <c:pt idx="10">
                  <c:v>Elektrická zařízení</c:v>
                </c:pt>
                <c:pt idx="11">
                  <c:v>Stroje a zařízení j.n.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-62.11</c:v>
                </c:pt>
                <c:pt idx="1">
                  <c:v>-18.779999999999987</c:v>
                </c:pt>
                <c:pt idx="2">
                  <c:v>-13.715</c:v>
                </c:pt>
                <c:pt idx="3">
                  <c:v>-5.1109999999999856</c:v>
                </c:pt>
                <c:pt idx="4">
                  <c:v>-56.528000000000013</c:v>
                </c:pt>
                <c:pt idx="5">
                  <c:v>-24.125</c:v>
                </c:pt>
                <c:pt idx="6">
                  <c:v>12.123000000000001</c:v>
                </c:pt>
                <c:pt idx="7">
                  <c:v>-63.528000000000013</c:v>
                </c:pt>
                <c:pt idx="8">
                  <c:v>29.29</c:v>
                </c:pt>
                <c:pt idx="9">
                  <c:v>-6.4160000000000004</c:v>
                </c:pt>
                <c:pt idx="10">
                  <c:v>21.526</c:v>
                </c:pt>
                <c:pt idx="11">
                  <c:v>41.231000000000002</c:v>
                </c:pt>
                <c:pt idx="12">
                  <c:v>248.04900000000001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F7-4DB8-8830-B0B968E52143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'Vnější vztahy 2'!$B$7:$N$7</c:f>
              <c:numCache>
                <c:formatCode>General</c:formatCode>
                <c:ptCount val="13"/>
                <c:pt idx="0">
                  <c:v>-54.316000000000003</c:v>
                </c:pt>
                <c:pt idx="1">
                  <c:v>-18.417000000000005</c:v>
                </c:pt>
                <c:pt idx="2">
                  <c:v>-12.892000000000024</c:v>
                </c:pt>
                <c:pt idx="3">
                  <c:v>-14.966000000000006</c:v>
                </c:pt>
                <c:pt idx="4">
                  <c:v>-58.162000000000013</c:v>
                </c:pt>
                <c:pt idx="5">
                  <c:v>-25.425999999999824</c:v>
                </c:pt>
                <c:pt idx="6">
                  <c:v>11.112</c:v>
                </c:pt>
                <c:pt idx="7">
                  <c:v>-64.673999999999978</c:v>
                </c:pt>
                <c:pt idx="8">
                  <c:v>30.420999999999989</c:v>
                </c:pt>
                <c:pt idx="9">
                  <c:v>5.0199999999999996</c:v>
                </c:pt>
                <c:pt idx="10">
                  <c:v>26.614000000000175</c:v>
                </c:pt>
                <c:pt idx="11">
                  <c:v>39.898000000000003</c:v>
                </c:pt>
                <c:pt idx="12">
                  <c:v>233.15800000000004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F7-4DB8-8830-B0B968E52143}"/>
            </c:ext>
          </c:extLst>
        </c:ser>
        <c:gapWidth val="97"/>
        <c:axId val="116535296"/>
        <c:axId val="116536832"/>
      </c:barChart>
      <c:catAx>
        <c:axId val="116535296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16536832"/>
        <c:crosses val="autoZero"/>
        <c:auto val="1"/>
        <c:lblAlgn val="ctr"/>
        <c:lblOffset val="100"/>
      </c:catAx>
      <c:valAx>
        <c:axId val="116536832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crossAx val="11653529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2593890471149387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0.47088</cdr:x>
      <cdr:y>0.02335</cdr:y>
    </cdr:from>
    <cdr:to>
      <cdr:x>0.51901</cdr:x>
      <cdr:y>0.06093</cdr:y>
    </cdr:to>
    <cdr:sp macro="" textlink="">
      <cdr:nvSpPr>
        <cdr:cNvPr id="2" name="Přímá spojovací šipka 1"/>
        <cdr:cNvSpPr/>
      </cdr:nvSpPr>
      <cdr:spPr>
        <a:xfrm xmlns:a="http://schemas.openxmlformats.org/drawingml/2006/main" flipH="1" flipV="1">
          <a:off x="2236311" y="82862"/>
          <a:ext cx="228579" cy="13334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rgbClr val="7DBB2D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0.52511</cdr:x>
      <cdr:y>0.04318</cdr:y>
    </cdr:from>
    <cdr:to>
      <cdr:x>0.58004</cdr:x>
      <cdr:y>0.08392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480246" y="153850"/>
          <a:ext cx="259459" cy="145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800">
              <a:solidFill>
                <a:srgbClr val="7DBB2D"/>
              </a:solidFill>
              <a:latin typeface="Arial" pitchFamily="34" charset="0"/>
              <a:cs typeface="Arial" pitchFamily="34" charset="0"/>
            </a:rPr>
            <a:t>67,5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1B2B-ECBE-4599-87FC-441E99C00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3B42D-732A-4357-AF5A-E3616C43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32</Pages>
  <Words>11392</Words>
  <Characters>67213</Characters>
  <Application>Microsoft Office Word</Application>
  <DocSecurity>0</DocSecurity>
  <Lines>560</Lines>
  <Paragraphs>156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78449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2</cp:revision>
  <cp:lastPrinted>2014-07-17T14:07:00Z</cp:lastPrinted>
  <dcterms:created xsi:type="dcterms:W3CDTF">2018-09-19T08:05:00Z</dcterms:created>
  <dcterms:modified xsi:type="dcterms:W3CDTF">2018-09-19T08:05:00Z</dcterms:modified>
</cp:coreProperties>
</file>