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0D3058">
      <w:pPr>
        <w:pStyle w:val="Nadpis11"/>
      </w:pPr>
      <w:bookmarkStart w:id="0" w:name="_Toc517166414"/>
      <w:r w:rsidRPr="009110F7">
        <w:t>7. Měnové podmínky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 xml:space="preserve">Bankovní rada opět zvýšila </w:t>
            </w:r>
            <w:proofErr w:type="spellStart"/>
            <w:r w:rsidRPr="009110F7">
              <w:t>měnověpolitické</w:t>
            </w:r>
            <w:proofErr w:type="spellEnd"/>
            <w:r w:rsidRPr="009110F7">
              <w:t xml:space="preserve"> sazby.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446D44" w:rsidP="00446D44">
            <w:r w:rsidRPr="009110F7">
              <w:t>V</w:t>
            </w:r>
            <w:r w:rsidR="00FA5112" w:rsidRPr="009110F7">
              <w:t> 1</w:t>
            </w:r>
            <w:r w:rsidR="00716F48" w:rsidRPr="009110F7">
              <w:t>. čtvrt</w:t>
            </w:r>
            <w:r w:rsidR="00FA5112" w:rsidRPr="009110F7">
              <w:t>letí</w:t>
            </w:r>
            <w:r w:rsidR="000D3058" w:rsidRPr="009110F7">
              <w:t xml:space="preserve"> </w:t>
            </w:r>
            <w:r w:rsidRPr="009110F7">
              <w:t xml:space="preserve">2018 pokračovalo </w:t>
            </w:r>
            <w:r w:rsidR="000D3058" w:rsidRPr="009110F7">
              <w:t>zv</w:t>
            </w:r>
            <w:r w:rsidR="00915D07">
              <w:t>y</w:t>
            </w:r>
            <w:r w:rsidR="000D3058" w:rsidRPr="009110F7">
              <w:t>š</w:t>
            </w:r>
            <w:r w:rsidRPr="009110F7">
              <w:t>ování</w:t>
            </w:r>
            <w:r w:rsidR="000D3058" w:rsidRPr="009110F7">
              <w:t xml:space="preserve"> </w:t>
            </w:r>
            <w:proofErr w:type="spellStart"/>
            <w:r w:rsidR="000D3058" w:rsidRPr="009110F7">
              <w:t>měnověpolitických</w:t>
            </w:r>
            <w:proofErr w:type="spellEnd"/>
            <w:r w:rsidR="000D3058" w:rsidRPr="009110F7">
              <w:t xml:space="preserve"> sazeb. Sazba na dvoutýdenních </w:t>
            </w:r>
            <w:proofErr w:type="spellStart"/>
            <w:r w:rsidR="000D3058" w:rsidRPr="009110F7">
              <w:t>repo</w:t>
            </w:r>
            <w:proofErr w:type="spellEnd"/>
            <w:r w:rsidR="000D3058" w:rsidRPr="009110F7">
              <w:t xml:space="preserve"> operacích (2T</w:t>
            </w:r>
            <w:r w:rsidR="00915D07">
              <w:t> </w:t>
            </w:r>
            <w:proofErr w:type="spellStart"/>
            <w:r w:rsidR="000D3058" w:rsidRPr="009110F7">
              <w:t>repo</w:t>
            </w:r>
            <w:proofErr w:type="spellEnd"/>
            <w:r w:rsidR="000D3058" w:rsidRPr="009110F7">
              <w:t>) byla v únoru zvýšena z 0,50</w:t>
            </w:r>
            <w:r w:rsidR="00167CB9" w:rsidRPr="009110F7">
              <w:t> %</w:t>
            </w:r>
            <w:r w:rsidR="000D3058" w:rsidRPr="009110F7">
              <w:t xml:space="preserve"> na 0,75</w:t>
            </w:r>
            <w:r w:rsidR="00167CB9" w:rsidRPr="009110F7">
              <w:t> %</w:t>
            </w:r>
            <w:r w:rsidR="000D3058" w:rsidRPr="009110F7">
              <w:t xml:space="preserve"> a</w:t>
            </w:r>
            <w:r w:rsidRPr="009110F7">
              <w:t> </w:t>
            </w:r>
            <w:r w:rsidR="000D3058" w:rsidRPr="009110F7">
              <w:t>lombardní sazba z 1,00</w:t>
            </w:r>
            <w:r w:rsidR="00167CB9" w:rsidRPr="009110F7">
              <w:t> %</w:t>
            </w:r>
            <w:r w:rsidR="000D3058" w:rsidRPr="009110F7">
              <w:t xml:space="preserve"> na 1,50</w:t>
            </w:r>
            <w:r w:rsidR="00167CB9" w:rsidRPr="009110F7">
              <w:t> %</w:t>
            </w:r>
            <w:r w:rsidR="000D3058" w:rsidRPr="009110F7">
              <w:t>. Diskontní sazba zůstala na hodnotě 0,05</w:t>
            </w:r>
            <w:r w:rsidR="00167CB9" w:rsidRPr="009110F7">
              <w:t> %</w:t>
            </w:r>
            <w:r w:rsidR="000D3058" w:rsidRPr="009110F7">
              <w:t xml:space="preserve"> (již od listopadu 2012). Kurz koruny vůči euru v 1</w:t>
            </w:r>
            <w:r w:rsidR="00716F48" w:rsidRPr="009110F7">
              <w:t>. čtvrt</w:t>
            </w:r>
            <w:r w:rsidR="000D3058" w:rsidRPr="009110F7">
              <w:t>letí spíše stagnoval, držel se však pod hodnotou 25,50</w:t>
            </w:r>
            <w:r w:rsidR="00A44B0D" w:rsidRPr="009110F7">
              <w:t> </w:t>
            </w:r>
            <w:r w:rsidR="000D3058" w:rsidRPr="009110F7">
              <w:t>CZK/EUR</w:t>
            </w:r>
            <w:r w:rsidRPr="009110F7">
              <w:rPr>
                <w:rStyle w:val="Znakapoznpodarou"/>
              </w:rPr>
              <w:footnoteReference w:id="1"/>
            </w:r>
            <w:r w:rsidR="000D3058" w:rsidRPr="009110F7">
              <w:t>. Čtvrtletní průměr činil 25,4</w:t>
            </w:r>
            <w:r w:rsidR="00167CB9" w:rsidRPr="009110F7">
              <w:t>0 </w:t>
            </w:r>
            <w:r w:rsidR="000D3058" w:rsidRPr="009110F7">
              <w:t>CZK/EUR a</w:t>
            </w:r>
            <w:r w:rsidRPr="009110F7">
              <w:t> </w:t>
            </w:r>
            <w:proofErr w:type="spellStart"/>
            <w:r w:rsidRPr="009110F7">
              <w:t>mezičtvrtletně</w:t>
            </w:r>
            <w:proofErr w:type="spellEnd"/>
            <w:r w:rsidR="000D3058" w:rsidRPr="009110F7">
              <w:t xml:space="preserve"> kurz posílil o 1,0</w:t>
            </w:r>
            <w:r w:rsidR="00167CB9" w:rsidRPr="009110F7">
              <w:t> %</w:t>
            </w:r>
            <w:r w:rsidR="000D3058" w:rsidRPr="009110F7">
              <w:t xml:space="preserve">, v porovnání se stejným obdobím minulého roku byl silnější </w:t>
            </w:r>
            <w:r w:rsidR="00716F48" w:rsidRPr="009110F7">
              <w:t>o </w:t>
            </w:r>
            <w:r w:rsidR="000D3058" w:rsidRPr="009110F7">
              <w:t>6,0</w:t>
            </w:r>
            <w:r w:rsidR="00167CB9" w:rsidRPr="009110F7">
              <w:t> %</w:t>
            </w:r>
            <w:r w:rsidR="000D3058" w:rsidRPr="009110F7">
              <w:t>. Kurz koruny vůči dolaru výrazně posiloval během celého minulého roku. Průměrná hodnota v 1</w:t>
            </w:r>
            <w:r w:rsidR="00716F48" w:rsidRPr="009110F7">
              <w:t>. čtvrt</w:t>
            </w:r>
            <w:r w:rsidR="000D3058" w:rsidRPr="009110F7">
              <w:t>letí 2018 činila 20,6</w:t>
            </w:r>
            <w:r w:rsidR="00167CB9" w:rsidRPr="009110F7">
              <w:t>7 </w:t>
            </w:r>
            <w:r w:rsidR="000D3058" w:rsidRPr="009110F7">
              <w:t xml:space="preserve">CZK/USD. </w:t>
            </w:r>
            <w:proofErr w:type="spellStart"/>
            <w:r w:rsidR="000D3058" w:rsidRPr="009110F7">
              <w:t>Mezičtvrtletně</w:t>
            </w:r>
            <w:proofErr w:type="spellEnd"/>
            <w:r w:rsidR="000D3058" w:rsidRPr="009110F7">
              <w:t xml:space="preserve"> kurz posílil o 5,1 %, meziročně </w:t>
            </w:r>
            <w:r w:rsidR="00716F48" w:rsidRPr="009110F7">
              <w:t>o </w:t>
            </w:r>
            <w:r w:rsidR="000D3058" w:rsidRPr="009110F7">
              <w:t>18,6</w:t>
            </w:r>
            <w:r w:rsidR="00167CB9" w:rsidRPr="009110F7">
              <w:t> %</w:t>
            </w:r>
            <w:r w:rsidR="000D3058" w:rsidRPr="009110F7">
              <w:t>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 xml:space="preserve">Peněžní zásoba rostla pomaleji než loni. Je patrné oživení zájmu </w:t>
            </w:r>
            <w:r w:rsidR="00716F48" w:rsidRPr="009110F7">
              <w:t>o </w:t>
            </w:r>
            <w:r w:rsidRPr="009110F7">
              <w:t>vklady s dohodnutou splatností.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446D44">
            <w:r w:rsidRPr="009110F7">
              <w:t>Peněžní zásoba v 1</w:t>
            </w:r>
            <w:r w:rsidR="00716F48" w:rsidRPr="009110F7">
              <w:t>. čtvrt</w:t>
            </w:r>
            <w:r w:rsidRPr="009110F7">
              <w:t xml:space="preserve">letí 2018 rostla, ve srovnání s minulým rokem však tempo značně polevilo. </w:t>
            </w:r>
            <w:r w:rsidR="00446D44" w:rsidRPr="009110F7">
              <w:t>Průměrný meziroční růst celkové</w:t>
            </w:r>
            <w:r w:rsidRPr="009110F7">
              <w:t xml:space="preserve"> zásob</w:t>
            </w:r>
            <w:r w:rsidR="00446D44" w:rsidRPr="009110F7">
              <w:t>y</w:t>
            </w:r>
            <w:r w:rsidRPr="009110F7">
              <w:t xml:space="preserve"> peněz (měřeno agregátem M3) </w:t>
            </w:r>
            <w:r w:rsidR="00716F48" w:rsidRPr="009110F7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>letí činil 8,0</w:t>
            </w:r>
            <w:r w:rsidR="00167CB9" w:rsidRPr="009110F7">
              <w:t> %</w:t>
            </w:r>
            <w:r w:rsidRPr="009110F7">
              <w:t>. Celkové množství peněz v ekonomice na konci března dosáhlo 4 350,0</w:t>
            </w:r>
            <w:r w:rsidR="00A44B0D" w:rsidRPr="009110F7">
              <w:t> </w:t>
            </w:r>
            <w:r w:rsidRPr="009110F7">
              <w:t xml:space="preserve">mld. korun (hranice 4 bilionů korun byla překročena v březnu 2017). Mírnějším tempem než loni roste množství oběživa </w:t>
            </w:r>
            <w:r w:rsidR="00716F48" w:rsidRPr="009110F7">
              <w:t>a </w:t>
            </w:r>
            <w:r w:rsidRPr="009110F7">
              <w:t xml:space="preserve">běžných vkladů, které tvoří hlavní část peněz v ekonomice. Po letech poklesu </w:t>
            </w:r>
            <w:r w:rsidR="00915D07" w:rsidRPr="009110F7">
              <w:t xml:space="preserve">však </w:t>
            </w:r>
            <w:r w:rsidRPr="009110F7">
              <w:t>v 1</w:t>
            </w:r>
            <w:r w:rsidR="00716F48" w:rsidRPr="009110F7">
              <w:t>. čtvrt</w:t>
            </w:r>
            <w:r w:rsidRPr="009110F7">
              <w:t xml:space="preserve">letí výrazně meziročně narostl objem vkladů s dohodnutou splatností do </w:t>
            </w:r>
            <w:r w:rsidR="00167CB9" w:rsidRPr="009110F7">
              <w:t>2 </w:t>
            </w:r>
            <w:r w:rsidRPr="009110F7">
              <w:t>let (průměrné meziroční tempo 11,2</w:t>
            </w:r>
            <w:r w:rsidR="00167CB9" w:rsidRPr="009110F7">
              <w:t> %</w:t>
            </w:r>
            <w:r w:rsidRPr="009110F7">
              <w:t>).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>Mezibankovní sazby v Česku rostly. Výnosy na dluhopisech rovněž stoupaly.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AC2395" w:rsidP="00AC2395">
            <w:r w:rsidRPr="009110F7">
              <w:t>Růst t</w:t>
            </w:r>
            <w:r w:rsidR="000D3058" w:rsidRPr="009110F7">
              <w:t>ržní</w:t>
            </w:r>
            <w:r w:rsidRPr="009110F7">
              <w:t>ch</w:t>
            </w:r>
            <w:r w:rsidR="000D3058" w:rsidRPr="009110F7">
              <w:t xml:space="preserve"> úrokov</w:t>
            </w:r>
            <w:r w:rsidRPr="009110F7">
              <w:t>ých</w:t>
            </w:r>
            <w:r w:rsidR="000D3058" w:rsidRPr="009110F7">
              <w:t xml:space="preserve"> saz</w:t>
            </w:r>
            <w:r w:rsidRPr="009110F7">
              <w:t>e</w:t>
            </w:r>
            <w:r w:rsidR="000D3058" w:rsidRPr="009110F7">
              <w:t>b v 1</w:t>
            </w:r>
            <w:r w:rsidR="00716F48" w:rsidRPr="009110F7">
              <w:t>. čtvrt</w:t>
            </w:r>
            <w:r w:rsidR="000D3058" w:rsidRPr="009110F7">
              <w:t>letí roku pokračoval. Tříměsíční sazba PRIBOR se zvýšila z 0,75</w:t>
            </w:r>
            <w:r w:rsidR="00167CB9" w:rsidRPr="009110F7">
              <w:t> %</w:t>
            </w:r>
            <w:r w:rsidR="000D3058" w:rsidRPr="009110F7">
              <w:t xml:space="preserve"> v prosinci 2017 na 0,90</w:t>
            </w:r>
            <w:r w:rsidR="00167CB9" w:rsidRPr="009110F7">
              <w:t> %</w:t>
            </w:r>
            <w:r w:rsidR="000D3058" w:rsidRPr="009110F7">
              <w:t xml:space="preserve"> v březnu. Výše této úrokové sazby se posouvá v souladu s </w:t>
            </w:r>
            <w:proofErr w:type="spellStart"/>
            <w:r w:rsidR="000D3058" w:rsidRPr="009110F7">
              <w:t>měnověpolitickými</w:t>
            </w:r>
            <w:proofErr w:type="spellEnd"/>
            <w:r w:rsidR="000D3058" w:rsidRPr="009110F7">
              <w:t xml:space="preserve"> sazbami, které vyhlašuje ČNB. Naproti tomu Evropská centrální banka </w:t>
            </w:r>
            <w:r w:rsidR="00FA5112" w:rsidRPr="009110F7">
              <w:t>pokračovala</w:t>
            </w:r>
            <w:r w:rsidR="000D3058" w:rsidRPr="009110F7">
              <w:t xml:space="preserve"> v uvolněné monetární politice a</w:t>
            </w:r>
            <w:r w:rsidRPr="009110F7">
              <w:t> </w:t>
            </w:r>
            <w:proofErr w:type="spellStart"/>
            <w:r w:rsidR="00FA5112" w:rsidRPr="009110F7">
              <w:t>měnověpolitické</w:t>
            </w:r>
            <w:proofErr w:type="spellEnd"/>
            <w:r w:rsidR="00FA5112" w:rsidRPr="009110F7">
              <w:t xml:space="preserve"> sazby ponechala</w:t>
            </w:r>
            <w:r w:rsidR="000D3058" w:rsidRPr="009110F7">
              <w:t xml:space="preserve"> na záporné úrovni. Sazba EURIBOR</w:t>
            </w:r>
            <w:r w:rsidR="00063975">
              <w:t> </w:t>
            </w:r>
            <w:r w:rsidR="000D3058" w:rsidRPr="009110F7">
              <w:t>3M se tak drž</w:t>
            </w:r>
            <w:r w:rsidR="00FA5112" w:rsidRPr="009110F7">
              <w:t>ela</w:t>
            </w:r>
            <w:r w:rsidR="000D3058" w:rsidRPr="009110F7">
              <w:t xml:space="preserve"> v okolí hodnoty </w:t>
            </w:r>
            <w:r w:rsidR="00CA37FF">
              <w:t>-</w:t>
            </w:r>
            <w:r w:rsidR="000D3058" w:rsidRPr="009110F7">
              <w:t>0,33</w:t>
            </w:r>
            <w:r w:rsidR="00167CB9" w:rsidRPr="009110F7">
              <w:t> %</w:t>
            </w:r>
            <w:r w:rsidR="000D3058" w:rsidRPr="009110F7">
              <w:t>. Pomalu rost</w:t>
            </w:r>
            <w:r w:rsidR="00FA5112" w:rsidRPr="009110F7">
              <w:t>ly</w:t>
            </w:r>
            <w:r w:rsidR="000D3058" w:rsidRPr="009110F7">
              <w:t xml:space="preserve"> </w:t>
            </w:r>
            <w:r w:rsidR="00716F48" w:rsidRPr="009110F7">
              <w:t>i </w:t>
            </w:r>
            <w:r w:rsidR="000D3058" w:rsidRPr="009110F7">
              <w:t>výnosy na státních dluhopisech. Ke</w:t>
            </w:r>
            <w:r w:rsidRPr="009110F7">
              <w:t> </w:t>
            </w:r>
            <w:r w:rsidR="000D3058" w:rsidRPr="009110F7">
              <w:t xml:space="preserve">konci března dosahoval průměrný výnos na dluhopisech se splatností do </w:t>
            </w:r>
            <w:r w:rsidR="00167CB9" w:rsidRPr="009110F7">
              <w:t>2 </w:t>
            </w:r>
            <w:r w:rsidR="000D3058" w:rsidRPr="009110F7">
              <w:t>let 0,62</w:t>
            </w:r>
            <w:r w:rsidR="00167CB9" w:rsidRPr="009110F7">
              <w:t> %</w:t>
            </w:r>
            <w:r w:rsidR="000D3058" w:rsidRPr="009110F7">
              <w:t xml:space="preserve">, na splatnosti do </w:t>
            </w:r>
            <w:r w:rsidR="00167CB9" w:rsidRPr="009110F7">
              <w:t>5 </w:t>
            </w:r>
            <w:r w:rsidR="000D3058" w:rsidRPr="009110F7">
              <w:t>let 1,09</w:t>
            </w:r>
            <w:r w:rsidR="00167CB9" w:rsidRPr="009110F7">
              <w:t> %</w:t>
            </w:r>
            <w:r w:rsidR="000D3058" w:rsidRPr="009110F7">
              <w:t xml:space="preserve"> </w:t>
            </w:r>
            <w:r w:rsidR="00716F48" w:rsidRPr="009110F7">
              <w:t>a u </w:t>
            </w:r>
            <w:r w:rsidR="000D3058" w:rsidRPr="009110F7">
              <w:t>splatnosti 1</w:t>
            </w:r>
            <w:r w:rsidR="00167CB9" w:rsidRPr="009110F7">
              <w:t>0 </w:t>
            </w:r>
            <w:r w:rsidR="000D3058" w:rsidRPr="009110F7">
              <w:t>let 1,81</w:t>
            </w:r>
            <w:r w:rsidR="00167CB9" w:rsidRPr="009110F7">
              <w:t> %</w:t>
            </w:r>
            <w:r w:rsidR="000D3058" w:rsidRPr="009110F7">
              <w:t>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FA5112" w:rsidP="00FA5112">
            <w:pPr>
              <w:pStyle w:val="Marginlie"/>
            </w:pPr>
            <w:r w:rsidRPr="009110F7">
              <w:t>Situace na běžných účtech se z</w:t>
            </w:r>
            <w:r w:rsidR="000D3058" w:rsidRPr="009110F7">
              <w:t xml:space="preserve">atím příliš neměnila, úrokové sazby na nich </w:t>
            </w:r>
            <w:r w:rsidRPr="009110F7">
              <w:t>byly</w:t>
            </w:r>
            <w:r w:rsidR="000D3058" w:rsidRPr="009110F7">
              <w:t xml:space="preserve"> na technické nule.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AC2395" w:rsidP="00AC2395">
            <w:r w:rsidRPr="009110F7">
              <w:t>Ú</w:t>
            </w:r>
            <w:r w:rsidR="000D3058" w:rsidRPr="009110F7">
              <w:t>roveň úroků na běžných účtech</w:t>
            </w:r>
            <w:r w:rsidRPr="009110F7">
              <w:t xml:space="preserve"> se nezměnila </w:t>
            </w:r>
            <w:r w:rsidR="00716F48" w:rsidRPr="009110F7">
              <w:t>a </w:t>
            </w:r>
            <w:r w:rsidR="000D3058" w:rsidRPr="009110F7">
              <w:t xml:space="preserve">pro domácnosti </w:t>
            </w:r>
            <w:r w:rsidR="00716F48" w:rsidRPr="009110F7">
              <w:t>i </w:t>
            </w:r>
            <w:r w:rsidR="000D3058" w:rsidRPr="009110F7">
              <w:t>nefinanční podniky zůstal</w:t>
            </w:r>
            <w:r w:rsidRPr="009110F7">
              <w:t>y úroky</w:t>
            </w:r>
            <w:r w:rsidR="000D3058" w:rsidRPr="009110F7">
              <w:t xml:space="preserve"> na technicky nulové úrovni. Posuny vzhůru byly však patrné u</w:t>
            </w:r>
            <w:r w:rsidRPr="009110F7">
              <w:t> </w:t>
            </w:r>
            <w:r w:rsidR="000D3058" w:rsidRPr="009110F7">
              <w:t>vkladů s dohodnutou splatností. U</w:t>
            </w:r>
            <w:r w:rsidR="00A44B0D" w:rsidRPr="009110F7">
              <w:t> </w:t>
            </w:r>
            <w:r w:rsidR="000D3058" w:rsidRPr="009110F7">
              <w:t>domácností se průměrné úročení zvýšilo z prosincových 0,66</w:t>
            </w:r>
            <w:r w:rsidR="00167CB9" w:rsidRPr="009110F7">
              <w:t> %</w:t>
            </w:r>
            <w:r w:rsidR="000D3058" w:rsidRPr="009110F7">
              <w:t xml:space="preserve"> na 0,78</w:t>
            </w:r>
            <w:r w:rsidR="00167CB9" w:rsidRPr="009110F7">
              <w:t> %</w:t>
            </w:r>
            <w:r w:rsidR="000D3058" w:rsidRPr="009110F7">
              <w:t xml:space="preserve"> v březnu, nefinanční podniky se z technické nuly v minulém roce dostaly na 0,43</w:t>
            </w:r>
            <w:r w:rsidR="00167CB9" w:rsidRPr="009110F7">
              <w:t> %</w:t>
            </w:r>
            <w:r w:rsidR="000D3058" w:rsidRPr="009110F7">
              <w:t xml:space="preserve"> v březnu. Tato dynamika byla v souladu s vývojem výše jednotlivých</w:t>
            </w:r>
            <w:r w:rsidR="00FA5112" w:rsidRPr="009110F7">
              <w:t xml:space="preserve"> druhů</w:t>
            </w:r>
            <w:r w:rsidR="000D3058" w:rsidRPr="009110F7">
              <w:t xml:space="preserve"> vkladů nefinančních podniků. Zatímco nárůst prostředků na jednodenních vkladech v 1.</w:t>
            </w:r>
            <w:r w:rsidR="00A44B0D" w:rsidRPr="009110F7">
              <w:t> </w:t>
            </w:r>
            <w:r w:rsidR="000D3058" w:rsidRPr="009110F7">
              <w:t xml:space="preserve">čtvrtletí zpomalil (především ve srovnání s počátkem roku 2017), vkladů s dohodnutou splatností výrazně přibylo. Domácnosti využívaly k uložení svých prostředků jednodenní vklady, ke vkladům s dohodnutou splatností </w:t>
            </w:r>
            <w:r w:rsidR="00716F48" w:rsidRPr="009110F7">
              <w:t>i </w:t>
            </w:r>
            <w:r w:rsidR="000D3058" w:rsidRPr="009110F7">
              <w:t xml:space="preserve">výpovědní lhůtou se podle zveřejněných údajů zatím nevrátily. 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E1444C">
            <w:pPr>
              <w:pStyle w:val="Marginlie"/>
            </w:pPr>
            <w:r w:rsidRPr="009110F7">
              <w:t xml:space="preserve">Rostly sazby hypotečních úvěrů. Úvěrů na bydlení přibývalo, ale </w:t>
            </w:r>
            <w:r w:rsidR="00FA5112" w:rsidRPr="009110F7">
              <w:t>pomaleji</w:t>
            </w:r>
            <w:r w:rsidRPr="009110F7">
              <w:t xml:space="preserve"> než</w:t>
            </w:r>
            <w:r w:rsidR="0015753D">
              <w:t xml:space="preserve"> loni.</w:t>
            </w:r>
            <w:r w:rsidRPr="009110F7">
              <w:t xml:space="preserve">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6C15A1">
            <w:r w:rsidRPr="009110F7">
              <w:t xml:space="preserve">Úrokové sazby </w:t>
            </w:r>
            <w:r w:rsidR="00716F48" w:rsidRPr="009110F7">
              <w:t>u </w:t>
            </w:r>
            <w:r w:rsidRPr="009110F7">
              <w:t>úvěrů na spotřebu</w:t>
            </w:r>
            <w:r w:rsidR="00A44B0D" w:rsidRPr="009110F7">
              <w:t xml:space="preserve"> domácností</w:t>
            </w:r>
            <w:r w:rsidRPr="009110F7">
              <w:t xml:space="preserve"> v minulém roce poprvé klesly pod 10% hranici a</w:t>
            </w:r>
            <w:r w:rsidR="00A44B0D" w:rsidRPr="009110F7">
              <w:t> </w:t>
            </w:r>
            <w:r w:rsidRPr="009110F7">
              <w:t xml:space="preserve">snižování pokračovalo </w:t>
            </w:r>
            <w:r w:rsidR="00716F48" w:rsidRPr="009110F7">
              <w:t>i </w:t>
            </w:r>
            <w:r w:rsidRPr="009110F7">
              <w:t>v 1</w:t>
            </w:r>
            <w:r w:rsidR="00716F48" w:rsidRPr="009110F7">
              <w:t>. čtvrt</w:t>
            </w:r>
            <w:r w:rsidRPr="009110F7">
              <w:t>letí 201</w:t>
            </w:r>
            <w:r w:rsidR="00FA5112" w:rsidRPr="009110F7">
              <w:t>8</w:t>
            </w:r>
            <w:r w:rsidRPr="009110F7">
              <w:t>. Průměrná hodnota v březnu dosáhla 8,49</w:t>
            </w:r>
            <w:r w:rsidR="00FA5112" w:rsidRPr="009110F7">
              <w:t> </w:t>
            </w:r>
            <w:r w:rsidRPr="009110F7">
              <w:t xml:space="preserve">%, což odpovídá meziročnímu snížení </w:t>
            </w:r>
            <w:r w:rsidR="00716F48" w:rsidRPr="009110F7">
              <w:t>o </w:t>
            </w:r>
            <w:r w:rsidRPr="009110F7">
              <w:t>0,93</w:t>
            </w:r>
            <w:r w:rsidR="00167CB9" w:rsidRPr="009110F7">
              <w:t> 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 xml:space="preserve"> Poněkud odlišný vývoj probíhal </w:t>
            </w:r>
            <w:r w:rsidR="00716F48" w:rsidRPr="009110F7">
              <w:t>u </w:t>
            </w:r>
            <w:r w:rsidRPr="009110F7">
              <w:t xml:space="preserve">sazeb </w:t>
            </w:r>
            <w:r w:rsidR="00716F48" w:rsidRPr="009110F7">
              <w:t>u </w:t>
            </w:r>
            <w:r w:rsidRPr="009110F7">
              <w:t>úvěrů na bydlení. Ty od konce roku 2016 postupně rost</w:t>
            </w:r>
            <w:r w:rsidR="00FA5112" w:rsidRPr="009110F7">
              <w:t>ly</w:t>
            </w:r>
            <w:r w:rsidRPr="009110F7">
              <w:t>. Celková průměrná hodnota úročení úvěrů na bydlení dosáhla v březnu 2,57</w:t>
            </w:r>
            <w:r w:rsidR="00446D44" w:rsidRPr="009110F7">
              <w:t> </w:t>
            </w:r>
            <w:r w:rsidRPr="009110F7">
              <w:t>% a</w:t>
            </w:r>
            <w:r w:rsidR="00A44B0D" w:rsidRPr="009110F7">
              <w:t> </w:t>
            </w:r>
            <w:r w:rsidRPr="009110F7">
              <w:t xml:space="preserve">meziročně se zvýšila </w:t>
            </w:r>
            <w:r w:rsidR="00716F48" w:rsidRPr="009110F7">
              <w:t>o </w:t>
            </w:r>
            <w:r w:rsidRPr="009110F7">
              <w:t>0,29</w:t>
            </w:r>
            <w:r w:rsidR="00167CB9" w:rsidRPr="009110F7">
              <w:t> 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 xml:space="preserve"> Výrazně narostly sazby </w:t>
            </w:r>
            <w:r w:rsidR="00716F48" w:rsidRPr="009110F7">
              <w:t>u </w:t>
            </w:r>
            <w:r w:rsidR="00FA5112" w:rsidRPr="009110F7">
              <w:t>nejobvyklejšíc</w:t>
            </w:r>
            <w:r w:rsidRPr="009110F7">
              <w:t xml:space="preserve">h fixací </w:t>
            </w:r>
            <w:r w:rsidR="00CA37FF" w:rsidRPr="00CA37FF">
              <w:t>–</w:t>
            </w:r>
            <w:r w:rsidRPr="009110F7">
              <w:t xml:space="preserve"> od </w:t>
            </w:r>
            <w:r w:rsidR="00167CB9" w:rsidRPr="009110F7">
              <w:t>1 </w:t>
            </w:r>
            <w:r w:rsidRPr="009110F7">
              <w:t xml:space="preserve">roku do </w:t>
            </w:r>
            <w:r w:rsidR="00167CB9" w:rsidRPr="009110F7">
              <w:t>5 </w:t>
            </w:r>
            <w:r w:rsidRPr="009110F7">
              <w:t xml:space="preserve">let včetně </w:t>
            </w:r>
            <w:r w:rsidR="00716F48" w:rsidRPr="009110F7">
              <w:t>a </w:t>
            </w:r>
            <w:r w:rsidRPr="009110F7">
              <w:t xml:space="preserve">mezi </w:t>
            </w:r>
            <w:r w:rsidR="00716F48" w:rsidRPr="009110F7">
              <w:t>5 a </w:t>
            </w:r>
            <w:r w:rsidRPr="009110F7">
              <w:t>1</w:t>
            </w:r>
            <w:r w:rsidR="00167CB9" w:rsidRPr="009110F7">
              <w:t>0 </w:t>
            </w:r>
            <w:r w:rsidRPr="009110F7">
              <w:t>lety. Celkově se objem poskytnutých úvěrů během 1</w:t>
            </w:r>
            <w:r w:rsidR="00716F48" w:rsidRPr="009110F7">
              <w:t>. čtvrt</w:t>
            </w:r>
            <w:r w:rsidRPr="009110F7">
              <w:t xml:space="preserve">letí zvýšil </w:t>
            </w:r>
            <w:r w:rsidR="00716F48" w:rsidRPr="009110F7">
              <w:t>o </w:t>
            </w:r>
            <w:r w:rsidRPr="009110F7">
              <w:t>20,9</w:t>
            </w:r>
            <w:r w:rsidR="00167CB9" w:rsidRPr="009110F7">
              <w:t> mld.</w:t>
            </w:r>
            <w:r w:rsidRPr="009110F7">
              <w:t xml:space="preserve"> korun. To </w:t>
            </w:r>
            <w:r w:rsidR="00FA5112" w:rsidRPr="009110F7">
              <w:t xml:space="preserve">je </w:t>
            </w:r>
            <w:r w:rsidR="00716F48" w:rsidRPr="009110F7">
              <w:t>o </w:t>
            </w:r>
            <w:r w:rsidRPr="009110F7">
              <w:t>0,4</w:t>
            </w:r>
            <w:r w:rsidR="00167CB9" w:rsidRPr="009110F7">
              <w:t> mld.</w:t>
            </w:r>
            <w:r w:rsidRPr="009110F7">
              <w:t xml:space="preserve"> více než ve stejném období minulého roku, které bylo rekordním. Příznivý vývoj ekonomiky stimulující výdaje domácností měl pozitivní vliv na růst objemu poskytnutých </w:t>
            </w:r>
            <w:r w:rsidRPr="009110F7">
              <w:lastRenderedPageBreak/>
              <w:t xml:space="preserve">spotřebních úvěrů (nárůst </w:t>
            </w:r>
            <w:r w:rsidR="00716F48" w:rsidRPr="009110F7">
              <w:t>o </w:t>
            </w:r>
            <w:r w:rsidRPr="009110F7">
              <w:t>3,5</w:t>
            </w:r>
            <w:r w:rsidR="00167CB9" w:rsidRPr="009110F7">
              <w:t> mld.</w:t>
            </w:r>
            <w:r w:rsidRPr="009110F7">
              <w:t xml:space="preserve"> korun). Objem úvěrů na bydlení se během 1.</w:t>
            </w:r>
            <w:r w:rsidR="00446D44" w:rsidRPr="009110F7">
              <w:t> </w:t>
            </w:r>
            <w:r w:rsidRPr="009110F7">
              <w:t>čtvrtletí zvýšil o</w:t>
            </w:r>
            <w:r w:rsidR="00A44B0D" w:rsidRPr="009110F7">
              <w:t> </w:t>
            </w:r>
            <w:r w:rsidRPr="009110F7">
              <w:t>19,0</w:t>
            </w:r>
            <w:r w:rsidR="00A44B0D" w:rsidRPr="009110F7">
              <w:t> </w:t>
            </w:r>
            <w:r w:rsidRPr="009110F7">
              <w:t xml:space="preserve">mld. korun, což je </w:t>
            </w:r>
            <w:r w:rsidR="00716F48" w:rsidRPr="009110F7">
              <w:t>o </w:t>
            </w:r>
            <w:r w:rsidRPr="009110F7">
              <w:t>1,6</w:t>
            </w:r>
            <w:r w:rsidR="00167CB9" w:rsidRPr="009110F7">
              <w:t> mld.</w:t>
            </w:r>
            <w:r w:rsidRPr="009110F7">
              <w:t xml:space="preserve"> méně než minulý rok </w:t>
            </w:r>
            <w:r w:rsidR="00FA5112" w:rsidRPr="009110F7">
              <w:t>(</w:t>
            </w:r>
            <w:r w:rsidRPr="009110F7">
              <w:t xml:space="preserve">stále </w:t>
            </w:r>
            <w:r w:rsidR="00DF5D1E">
              <w:t xml:space="preserve">však </w:t>
            </w:r>
            <w:r w:rsidRPr="009110F7">
              <w:t>jde o</w:t>
            </w:r>
            <w:r w:rsidR="00A44B0D" w:rsidRPr="009110F7">
              <w:t> </w:t>
            </w:r>
            <w:r w:rsidRPr="009110F7">
              <w:t>mimořádnou hodnotu</w:t>
            </w:r>
            <w:r w:rsidR="00FA5112" w:rsidRPr="009110F7">
              <w:t xml:space="preserve">, </w:t>
            </w:r>
            <w:r w:rsidRPr="009110F7">
              <w:t xml:space="preserve">začátek roku bývá obvykle mnohem slabší). Jistý útlum v oblasti hypoték však lze pozorovat na vývoji počtu nových úvěrových smluv. V minulém roce jich bylo </w:t>
            </w:r>
            <w:r w:rsidR="00716F48" w:rsidRPr="009110F7">
              <w:t>o </w:t>
            </w:r>
            <w:r w:rsidRPr="009110F7">
              <w:t>16,</w:t>
            </w:r>
            <w:r w:rsidR="00167CB9" w:rsidRPr="009110F7">
              <w:t>7 </w:t>
            </w:r>
            <w:r w:rsidRPr="009110F7">
              <w:t xml:space="preserve">tis. méně než v roce 2016 </w:t>
            </w:r>
            <w:r w:rsidR="00716F48" w:rsidRPr="009110F7">
              <w:t>a </w:t>
            </w:r>
            <w:r w:rsidR="006C15A1">
              <w:t>pokles pokračoval. V 1. čtvrtletí 2018 bylo uzavřeno 45,9 tis. nových smluv (o 3,1 tis. méně než ve stejném období minulého roku).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67CB9" w:rsidRPr="009110F7" w:rsidRDefault="000D3058" w:rsidP="00965797">
            <w:pPr>
              <w:pStyle w:val="Marginlie"/>
            </w:pPr>
            <w:r w:rsidRPr="009110F7">
              <w:lastRenderedPageBreak/>
              <w:t>Nefinanční podniky si půjčují dráž než před rokem.</w:t>
            </w: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</w:p>
          <w:p w:rsidR="000D3058" w:rsidRPr="009110F7" w:rsidRDefault="000D3058" w:rsidP="00965797">
            <w:pPr>
              <w:pStyle w:val="Marginlie"/>
            </w:pPr>
            <w:r w:rsidRPr="009110F7">
              <w:t xml:space="preserve">Objem poskytnutých úvěrů odráží příznivý vývoj v jednotlivých odvětvích.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A44B0D">
            <w:r w:rsidRPr="009110F7">
              <w:t>Úrokové sazby na úvěrech nefinančním podnikům se vesměs pohybovaly ve směru zvyšujících se mezibankovních sazeb. Počátek růstu lze vysledovat ve 3</w:t>
            </w:r>
            <w:r w:rsidR="00716F48" w:rsidRPr="009110F7">
              <w:t>. čtvrt</w:t>
            </w:r>
            <w:r w:rsidRPr="009110F7">
              <w:t>letí 2017, letošní rok prozatím potvrdil nový trend. Nejvýrazněji (</w:t>
            </w:r>
            <w:r w:rsidR="00716F48" w:rsidRPr="009110F7">
              <w:t>o </w:t>
            </w:r>
            <w:r w:rsidRPr="009110F7">
              <w:t>0,31</w:t>
            </w:r>
            <w:r w:rsidR="00167CB9" w:rsidRPr="009110F7">
              <w:t> 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>) se zvýšilo úročení úvěrů do 7,</w:t>
            </w:r>
            <w:r w:rsidR="00167CB9" w:rsidRPr="009110F7">
              <w:t>5 </w:t>
            </w:r>
            <w:r w:rsidRPr="009110F7">
              <w:t>mil. korun, v březnu dosáhlo 3,63</w:t>
            </w:r>
            <w:r w:rsidR="00167CB9" w:rsidRPr="009110F7">
              <w:t> %</w:t>
            </w:r>
            <w:r w:rsidRPr="009110F7">
              <w:t xml:space="preserve"> (meziroční zvýšení o 0,42 </w:t>
            </w:r>
            <w:r w:rsidR="00167CB9" w:rsidRPr="009110F7">
              <w:t>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>). Úvěry mezi 7,</w:t>
            </w:r>
            <w:r w:rsidR="00167CB9" w:rsidRPr="009110F7">
              <w:t>5 </w:t>
            </w:r>
            <w:r w:rsidRPr="009110F7">
              <w:t xml:space="preserve">mil. </w:t>
            </w:r>
            <w:r w:rsidR="00716F48" w:rsidRPr="009110F7">
              <w:t>a </w:t>
            </w:r>
            <w:r w:rsidRPr="009110F7">
              <w:t>3</w:t>
            </w:r>
            <w:r w:rsidR="00167CB9" w:rsidRPr="009110F7">
              <w:t>0 </w:t>
            </w:r>
            <w:r w:rsidRPr="009110F7">
              <w:t>mil. byly v březnu úročeny průměrně 2,49</w:t>
            </w:r>
            <w:r w:rsidR="00167CB9" w:rsidRPr="009110F7">
              <w:t> %</w:t>
            </w:r>
            <w:r w:rsidRPr="009110F7">
              <w:t xml:space="preserve">, což znamená zvýšení od prosince </w:t>
            </w:r>
            <w:r w:rsidR="00716F48" w:rsidRPr="009110F7">
              <w:t>o </w:t>
            </w:r>
            <w:r w:rsidRPr="009110F7">
              <w:t>0,08</w:t>
            </w:r>
            <w:r w:rsidR="00167CB9" w:rsidRPr="009110F7">
              <w:t> 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 xml:space="preserve"> (meziročně </w:t>
            </w:r>
            <w:r w:rsidR="00716F48" w:rsidRPr="009110F7">
              <w:t>o </w:t>
            </w:r>
            <w:r w:rsidRPr="009110F7">
              <w:t>0,56</w:t>
            </w:r>
            <w:r w:rsidR="00167CB9" w:rsidRPr="009110F7">
              <w:t> 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 xml:space="preserve">). </w:t>
            </w:r>
            <w:r w:rsidR="00716F48" w:rsidRPr="009110F7">
              <w:t>U </w:t>
            </w:r>
            <w:r w:rsidRPr="009110F7">
              <w:t>úvěrů nad 3</w:t>
            </w:r>
            <w:r w:rsidR="00167CB9" w:rsidRPr="009110F7">
              <w:t>0 </w:t>
            </w:r>
            <w:r w:rsidRPr="009110F7">
              <w:t>mil. korun byly sazby nejnižší (2,22</w:t>
            </w:r>
            <w:r w:rsidR="00167CB9" w:rsidRPr="009110F7">
              <w:t> %</w:t>
            </w:r>
            <w:r w:rsidRPr="009110F7">
              <w:t xml:space="preserve"> </w:t>
            </w:r>
            <w:r w:rsidR="00716F48" w:rsidRPr="009110F7">
              <w:t>v </w:t>
            </w:r>
            <w:r w:rsidRPr="009110F7">
              <w:t xml:space="preserve">březnu) </w:t>
            </w:r>
            <w:r w:rsidR="00716F48" w:rsidRPr="009110F7">
              <w:t>a </w:t>
            </w:r>
            <w:r w:rsidRPr="009110F7">
              <w:t xml:space="preserve">růstový trend byl </w:t>
            </w:r>
            <w:r w:rsidR="00716F48" w:rsidRPr="009110F7">
              <w:t>u </w:t>
            </w:r>
            <w:r w:rsidRPr="009110F7">
              <w:t xml:space="preserve">nich méně výrazný (mezi březnem 2017 </w:t>
            </w:r>
            <w:r w:rsidR="00716F48" w:rsidRPr="009110F7">
              <w:t>a </w:t>
            </w:r>
            <w:r w:rsidRPr="009110F7">
              <w:t xml:space="preserve">2018 došlo ke zvýšení </w:t>
            </w:r>
            <w:r w:rsidR="00716F48" w:rsidRPr="009110F7">
              <w:t>o </w:t>
            </w:r>
            <w:r w:rsidRPr="009110F7">
              <w:t>0,49</w:t>
            </w:r>
            <w:r w:rsidR="00167CB9" w:rsidRPr="009110F7">
              <w:t> 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>, ale od loňského října sazby stagnovaly). Celkově objem úvěrů poskytnutých podnikům v 1</w:t>
            </w:r>
            <w:r w:rsidR="00716F48" w:rsidRPr="009110F7">
              <w:t>. čtvrt</w:t>
            </w:r>
            <w:r w:rsidRPr="009110F7">
              <w:t>letí meziročně rostl průměrným tempem 4,2</w:t>
            </w:r>
            <w:r w:rsidR="00167CB9" w:rsidRPr="009110F7">
              <w:t> %</w:t>
            </w:r>
            <w:r w:rsidRPr="009110F7">
              <w:t>. Z pohledu jednotlivých odvětví solidně rostl objem úvěrů pro zpracovatelský průmysl (4,4</w:t>
            </w:r>
            <w:r w:rsidR="00167CB9" w:rsidRPr="009110F7">
              <w:t> %</w:t>
            </w:r>
            <w:r w:rsidRPr="009110F7">
              <w:t>), patrné bylo oživení ve stavebnictví (průměrný růst v 1</w:t>
            </w:r>
            <w:r w:rsidR="00716F48" w:rsidRPr="009110F7">
              <w:t>. čtvrt</w:t>
            </w:r>
            <w:r w:rsidRPr="009110F7">
              <w:t>letí 6,5</w:t>
            </w:r>
            <w:r w:rsidR="00167CB9" w:rsidRPr="009110F7">
              <w:t> %</w:t>
            </w:r>
            <w:r w:rsidRPr="009110F7">
              <w:t>, v roce 2017 0,3</w:t>
            </w:r>
            <w:r w:rsidR="00167CB9" w:rsidRPr="009110F7">
              <w:t> %</w:t>
            </w:r>
            <w:r w:rsidRPr="009110F7">
              <w:t xml:space="preserve">). Po poklesech z minulých let se obnovil zájem </w:t>
            </w:r>
            <w:r w:rsidR="00716F48" w:rsidRPr="009110F7">
              <w:t>o </w:t>
            </w:r>
            <w:r w:rsidRPr="009110F7">
              <w:t>úvěrové financování ve velkoobchodě a</w:t>
            </w:r>
            <w:r w:rsidR="00A44B0D" w:rsidRPr="009110F7">
              <w:t> </w:t>
            </w:r>
            <w:r w:rsidRPr="009110F7">
              <w:t>maloobchodě</w:t>
            </w:r>
            <w:r w:rsidR="00DF5D1E">
              <w:t xml:space="preserve"> v </w:t>
            </w:r>
            <w:r w:rsidRPr="009110F7">
              <w:t xml:space="preserve">opravách </w:t>
            </w:r>
            <w:r w:rsidR="00716F48" w:rsidRPr="009110F7">
              <w:t>a </w:t>
            </w:r>
            <w:r w:rsidRPr="009110F7">
              <w:t>údržbě motorových vozidel (4,9</w:t>
            </w:r>
            <w:r w:rsidR="00167CB9" w:rsidRPr="009110F7">
              <w:t> %</w:t>
            </w:r>
            <w:r w:rsidRPr="009110F7">
              <w:t xml:space="preserve">). Pokračující konjunktura </w:t>
            </w:r>
            <w:r w:rsidR="00FA5112" w:rsidRPr="009110F7">
              <w:t xml:space="preserve">byla </w:t>
            </w:r>
            <w:r w:rsidRPr="009110F7">
              <w:t xml:space="preserve">patrná z výrazného růstu úvěrů v dopravě </w:t>
            </w:r>
            <w:r w:rsidR="00716F48" w:rsidRPr="009110F7">
              <w:t>a </w:t>
            </w:r>
            <w:r w:rsidRPr="009110F7">
              <w:t>skladování (18,8</w:t>
            </w:r>
            <w:r w:rsidR="00167CB9" w:rsidRPr="009110F7">
              <w:t> %</w:t>
            </w:r>
            <w:r w:rsidRPr="009110F7">
              <w:t xml:space="preserve">) i ubytování, stravování </w:t>
            </w:r>
            <w:r w:rsidR="00716F48" w:rsidRPr="009110F7">
              <w:t>a </w:t>
            </w:r>
            <w:r w:rsidRPr="009110F7">
              <w:t>pohostinství (23,0</w:t>
            </w:r>
            <w:r w:rsidR="00167CB9" w:rsidRPr="009110F7">
              <w:t> %</w:t>
            </w:r>
            <w:r w:rsidRPr="009110F7">
              <w:t xml:space="preserve">). Oproti minulému roku výrazně zpomalilo tempo růstu objemu úvěrů v peněžnictví </w:t>
            </w:r>
            <w:r w:rsidR="00716F48" w:rsidRPr="009110F7">
              <w:t>a </w:t>
            </w:r>
            <w:r w:rsidRPr="009110F7">
              <w:t>pojišťovnictví akcelerované očekávaným ukončením intervencí (8,5</w:t>
            </w:r>
            <w:r w:rsidR="00167CB9" w:rsidRPr="009110F7">
              <w:t> %</w:t>
            </w:r>
            <w:r w:rsidRPr="009110F7">
              <w:t>, v roce 2017 24,3</w:t>
            </w:r>
            <w:r w:rsidR="00167CB9" w:rsidRPr="009110F7">
              <w:t> %</w:t>
            </w:r>
            <w:r w:rsidRPr="009110F7">
              <w:t xml:space="preserve">). O 2,8 % poklesl objem úvěrů činnostem v oblasti nemovitostí (rovněž ovlivněno srovnáním s „divokým“ počátkem minulého roku) </w:t>
            </w:r>
            <w:r w:rsidR="00716F48" w:rsidRPr="009110F7">
              <w:t>a </w:t>
            </w:r>
            <w:r w:rsidRPr="009110F7">
              <w:t>prakticky miz</w:t>
            </w:r>
            <w:r w:rsidR="00D40556">
              <w:t>ej</w:t>
            </w:r>
            <w:r w:rsidRPr="009110F7">
              <w:t xml:space="preserve">í úvěry pro těžbu </w:t>
            </w:r>
            <w:r w:rsidR="00716F48" w:rsidRPr="009110F7">
              <w:t>a </w:t>
            </w:r>
            <w:r w:rsidRPr="009110F7">
              <w:t>dobývání (</w:t>
            </w:r>
            <w:r w:rsidR="00CA37FF">
              <w:t>-</w:t>
            </w:r>
            <w:r w:rsidRPr="009110F7">
              <w:t>49,7</w:t>
            </w:r>
            <w:r w:rsidR="00167CB9" w:rsidRPr="009110F7">
              <w:t> %</w:t>
            </w:r>
            <w:r w:rsidRPr="009110F7">
              <w:t xml:space="preserve">). Klesal objem úvěrů pro informační </w:t>
            </w:r>
            <w:r w:rsidR="00716F48" w:rsidRPr="009110F7">
              <w:t>a </w:t>
            </w:r>
            <w:r w:rsidRPr="009110F7">
              <w:t>komunikační činnosti (</w:t>
            </w:r>
            <w:r w:rsidR="00CA37FF">
              <w:t>-</w:t>
            </w:r>
            <w:r w:rsidRPr="009110F7">
              <w:t>9,5</w:t>
            </w:r>
            <w:r w:rsidR="00167CB9" w:rsidRPr="009110F7">
              <w:t> %</w:t>
            </w:r>
            <w:r w:rsidRPr="009110F7">
              <w:t xml:space="preserve">) i výrobu </w:t>
            </w:r>
            <w:r w:rsidR="00716F48" w:rsidRPr="009110F7">
              <w:t>a </w:t>
            </w:r>
            <w:r w:rsidRPr="009110F7">
              <w:t xml:space="preserve">rozvod elektřiny, plynu, tepla </w:t>
            </w:r>
            <w:r w:rsidR="00716F48" w:rsidRPr="009110F7">
              <w:t>a </w:t>
            </w:r>
            <w:r w:rsidRPr="009110F7">
              <w:t>vzduchu (</w:t>
            </w:r>
            <w:r w:rsidR="00CA37FF">
              <w:t>-</w:t>
            </w:r>
            <w:r w:rsidRPr="009110F7">
              <w:t>3,9</w:t>
            </w:r>
            <w:r w:rsidR="00167CB9" w:rsidRPr="009110F7">
              <w:t> %</w:t>
            </w:r>
            <w:r w:rsidRPr="009110F7">
              <w:t>).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B8561A" w:rsidP="0015753D">
            <w:pPr>
              <w:spacing w:after="0"/>
              <w:rPr>
                <w:b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 </w:t>
            </w:r>
            <w:r w:rsidR="00167CB9" w:rsidRPr="009110F7">
              <w:rPr>
                <w:rFonts w:cs="Arial"/>
                <w:b/>
                <w:bCs/>
                <w:color w:val="000000"/>
                <w:szCs w:val="20"/>
              </w:rPr>
              <w:t>č. </w:t>
            </w:r>
            <w:proofErr w:type="gramStart"/>
            <w:r w:rsidR="00935BD4" w:rsidRPr="009110F7">
              <w:rPr>
                <w:rFonts w:cs="Arial"/>
                <w:b/>
                <w:bCs/>
                <w:color w:val="000000"/>
                <w:szCs w:val="20"/>
              </w:rPr>
              <w:t>17</w:t>
            </w:r>
            <w:r w:rsidR="0015753D"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r w:rsidR="000D3058" w:rsidRPr="009110F7">
              <w:rPr>
                <w:b/>
                <w:spacing w:val="-4"/>
                <w:szCs w:val="20"/>
              </w:rPr>
              <w:t>Tržní</w:t>
            </w:r>
            <w:proofErr w:type="gramEnd"/>
            <w:r w:rsidR="000D3058" w:rsidRPr="009110F7">
              <w:rPr>
                <w:b/>
                <w:spacing w:val="-4"/>
                <w:szCs w:val="20"/>
              </w:rPr>
              <w:t xml:space="preserve"> úrokové sazby (v</w:t>
            </w:r>
            <w:r w:rsidR="00167CB9" w:rsidRPr="009110F7">
              <w:rPr>
                <w:b/>
                <w:spacing w:val="-4"/>
                <w:szCs w:val="20"/>
              </w:rPr>
              <w:t> %</w:t>
            </w:r>
            <w:r w:rsidR="000D3058" w:rsidRPr="009110F7">
              <w:rPr>
                <w:b/>
                <w:spacing w:val="-4"/>
                <w:szCs w:val="20"/>
              </w:rPr>
              <w:t>)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spacing w:after="0"/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ČNB</w:t>
            </w:r>
          </w:p>
        </w:tc>
      </w:tr>
    </w:tbl>
    <w:p w:rsidR="00A50D73" w:rsidRPr="009110F7" w:rsidRDefault="00A50D73" w:rsidP="009D6372">
      <w:pPr>
        <w:pStyle w:val="Nadpis11"/>
        <w:rPr>
          <w:sz w:val="2"/>
          <w:szCs w:val="2"/>
        </w:rPr>
      </w:pPr>
    </w:p>
    <w:sectPr w:rsidR="00A50D73" w:rsidRPr="009110F7" w:rsidSect="009D637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2AB5" w15:done="0"/>
  <w15:commentEx w15:paraId="6B652B08" w15:done="0"/>
  <w15:commentEx w15:paraId="3F7CEACF" w15:done="0"/>
  <w15:commentEx w15:paraId="63CE648C" w15:done="0"/>
  <w15:commentEx w15:paraId="23A24FDD" w15:done="0"/>
  <w15:commentEx w15:paraId="50CD0878" w15:done="0"/>
  <w15:commentEx w15:paraId="52F35228" w15:done="0"/>
  <w15:commentEx w15:paraId="7A77491F" w15:done="0"/>
  <w15:commentEx w15:paraId="4E0D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2AB5" w16cid:durableId="1ECFA4FD"/>
  <w16cid:commentId w16cid:paraId="6B652B08" w16cid:durableId="1ECFA85B"/>
  <w16cid:commentId w16cid:paraId="3F7CEACF" w16cid:durableId="1ED155AF"/>
  <w16cid:commentId w16cid:paraId="63CE648C" w16cid:durableId="1ED21B60"/>
  <w16cid:commentId w16cid:paraId="23A24FDD" w16cid:durableId="1ED22580"/>
  <w16cid:commentId w16cid:paraId="50CD0878" w16cid:durableId="1ED23FB5"/>
  <w16cid:commentId w16cid:paraId="52F35228" w16cid:durableId="1ED248CC"/>
  <w16cid:commentId w16cid:paraId="7A77491F" w16cid:durableId="1ED25A84"/>
  <w16cid:commentId w16cid:paraId="4E0D4B34" w16cid:durableId="1ED24E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88" w:rsidRDefault="00E16588" w:rsidP="00E71A58">
      <w:r>
        <w:separator/>
      </w:r>
    </w:p>
  </w:endnote>
  <w:endnote w:type="continuationSeparator" w:id="0">
    <w:p w:rsidR="00E16588" w:rsidRDefault="00E1658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560D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96560D" w:rsidRPr="00932443">
      <w:rPr>
        <w:szCs w:val="16"/>
      </w:rPr>
      <w:fldChar w:fldCharType="separate"/>
    </w:r>
    <w:r w:rsidR="009D6372">
      <w:rPr>
        <w:szCs w:val="16"/>
      </w:rPr>
      <w:t>24</w:t>
    </w:r>
    <w:r w:rsidR="0096560D" w:rsidRPr="00932443">
      <w:rPr>
        <w:szCs w:val="16"/>
      </w:rPr>
      <w:fldChar w:fldCharType="end"/>
    </w:r>
    <w:r w:rsidRPr="00932443">
      <w:rPr>
        <w:szCs w:val="16"/>
      </w:rPr>
      <w:tab/>
    </w:r>
    <w:r>
      <w:t>1. 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čtvrtletí 2018</w:t>
    </w:r>
    <w:r w:rsidRPr="00932443">
      <w:rPr>
        <w:szCs w:val="16"/>
      </w:rPr>
      <w:tab/>
    </w:r>
    <w:r w:rsidR="0096560D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96560D" w:rsidRPr="00932443">
      <w:rPr>
        <w:rStyle w:val="ZpatChar"/>
        <w:szCs w:val="16"/>
      </w:rPr>
      <w:fldChar w:fldCharType="separate"/>
    </w:r>
    <w:r w:rsidR="009D6372">
      <w:rPr>
        <w:rStyle w:val="ZpatChar"/>
        <w:szCs w:val="16"/>
      </w:rPr>
      <w:t>25</w:t>
    </w:r>
    <w:r w:rsidR="0096560D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88" w:rsidRDefault="00E16588" w:rsidP="00E71A58">
      <w:r>
        <w:separator/>
      </w:r>
    </w:p>
  </w:footnote>
  <w:footnote w:type="continuationSeparator" w:id="0">
    <w:p w:rsidR="00E16588" w:rsidRDefault="00E16588" w:rsidP="00E71A58">
      <w:r>
        <w:continuationSeparator/>
      </w:r>
    </w:p>
  </w:footnote>
  <w:footnote w:id="1">
    <w:p w:rsidR="00583E52" w:rsidRPr="00E83936" w:rsidRDefault="00583E52" w:rsidP="00446D44">
      <w:pPr>
        <w:pStyle w:val="Textpoznpodarou"/>
        <w:rPr>
          <w:sz w:val="16"/>
          <w:szCs w:val="16"/>
        </w:rPr>
      </w:pPr>
      <w:r w:rsidRPr="00E83936">
        <w:rPr>
          <w:rStyle w:val="Znakapoznpodarou"/>
          <w:sz w:val="16"/>
          <w:szCs w:val="16"/>
        </w:rPr>
        <w:footnoteRef/>
      </w:r>
      <w:r w:rsidRPr="00E83936">
        <w:rPr>
          <w:sz w:val="16"/>
          <w:szCs w:val="16"/>
        </w:rPr>
        <w:t xml:space="preserve"> Kurzy devizového trhu vyhlašované ČNB</w:t>
      </w:r>
      <w:r>
        <w:rPr>
          <w:sz w:val="16"/>
          <w:szCs w:val="16"/>
        </w:rPr>
        <w:t xml:space="preserve"> v pracovních dnech</w:t>
      </w:r>
      <w:r w:rsidRPr="00E83936">
        <w:rPr>
          <w:sz w:val="16"/>
          <w:szCs w:val="16"/>
        </w:rPr>
        <w:t>.</w:t>
      </w:r>
      <w:r>
        <w:rPr>
          <w:sz w:val="16"/>
          <w:szCs w:val="16"/>
        </w:rPr>
        <w:t xml:space="preserve"> Není-li uvedeno jinak, jsou veškeré údaje převzaty z databáze ARAD České národní banky.</w:t>
      </w:r>
      <w:r w:rsidRPr="00E83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912"/>
    <w:rsid w:val="00016420"/>
    <w:rsid w:val="00017B01"/>
    <w:rsid w:val="0002195D"/>
    <w:rsid w:val="000234D6"/>
    <w:rsid w:val="00023D29"/>
    <w:rsid w:val="00026389"/>
    <w:rsid w:val="00031AE0"/>
    <w:rsid w:val="000322EF"/>
    <w:rsid w:val="00033FCD"/>
    <w:rsid w:val="00034DF7"/>
    <w:rsid w:val="00036195"/>
    <w:rsid w:val="000403A7"/>
    <w:rsid w:val="00041CEC"/>
    <w:rsid w:val="00044183"/>
    <w:rsid w:val="0004694F"/>
    <w:rsid w:val="00047D54"/>
    <w:rsid w:val="000522E4"/>
    <w:rsid w:val="00053713"/>
    <w:rsid w:val="0005434E"/>
    <w:rsid w:val="00057B1E"/>
    <w:rsid w:val="000610E1"/>
    <w:rsid w:val="00062EC5"/>
    <w:rsid w:val="00062F22"/>
    <w:rsid w:val="00063975"/>
    <w:rsid w:val="0006533F"/>
    <w:rsid w:val="00065A75"/>
    <w:rsid w:val="00070A87"/>
    <w:rsid w:val="000712B3"/>
    <w:rsid w:val="0007474E"/>
    <w:rsid w:val="0008263E"/>
    <w:rsid w:val="00082C19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B03CC"/>
    <w:rsid w:val="000C0EA8"/>
    <w:rsid w:val="000C3408"/>
    <w:rsid w:val="000C6AFD"/>
    <w:rsid w:val="000D3058"/>
    <w:rsid w:val="000D5637"/>
    <w:rsid w:val="000E0E96"/>
    <w:rsid w:val="000E2C7D"/>
    <w:rsid w:val="000E6253"/>
    <w:rsid w:val="000E6FBD"/>
    <w:rsid w:val="00100F5C"/>
    <w:rsid w:val="00101CDA"/>
    <w:rsid w:val="00102037"/>
    <w:rsid w:val="00103DCB"/>
    <w:rsid w:val="00104C4C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405FA"/>
    <w:rsid w:val="001425C3"/>
    <w:rsid w:val="0014262D"/>
    <w:rsid w:val="001459BC"/>
    <w:rsid w:val="001554C2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5B9F"/>
    <w:rsid w:val="00181BBC"/>
    <w:rsid w:val="00184017"/>
    <w:rsid w:val="00184B08"/>
    <w:rsid w:val="00185010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1B66"/>
    <w:rsid w:val="001C31A2"/>
    <w:rsid w:val="001D22C2"/>
    <w:rsid w:val="001D5DF2"/>
    <w:rsid w:val="001D68B2"/>
    <w:rsid w:val="001E504C"/>
    <w:rsid w:val="001F4597"/>
    <w:rsid w:val="00200085"/>
    <w:rsid w:val="00203CD5"/>
    <w:rsid w:val="00203D8F"/>
    <w:rsid w:val="00203DA4"/>
    <w:rsid w:val="002071D5"/>
    <w:rsid w:val="002118B9"/>
    <w:rsid w:val="00217C5B"/>
    <w:rsid w:val="0022139E"/>
    <w:rsid w:val="00222729"/>
    <w:rsid w:val="0022441D"/>
    <w:rsid w:val="002252E0"/>
    <w:rsid w:val="002255F6"/>
    <w:rsid w:val="00227850"/>
    <w:rsid w:val="00227A53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53C0F"/>
    <w:rsid w:val="002558C1"/>
    <w:rsid w:val="00256207"/>
    <w:rsid w:val="002603E1"/>
    <w:rsid w:val="0026291D"/>
    <w:rsid w:val="00271022"/>
    <w:rsid w:val="00271465"/>
    <w:rsid w:val="00272DF4"/>
    <w:rsid w:val="0027583D"/>
    <w:rsid w:val="00275DEF"/>
    <w:rsid w:val="002812E3"/>
    <w:rsid w:val="002837AE"/>
    <w:rsid w:val="002853FA"/>
    <w:rsid w:val="00285412"/>
    <w:rsid w:val="00291640"/>
    <w:rsid w:val="0029237E"/>
    <w:rsid w:val="00292997"/>
    <w:rsid w:val="0029588F"/>
    <w:rsid w:val="00297D51"/>
    <w:rsid w:val="002A0122"/>
    <w:rsid w:val="002A016B"/>
    <w:rsid w:val="002A16D4"/>
    <w:rsid w:val="002A1E4F"/>
    <w:rsid w:val="002A230C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22E"/>
    <w:rsid w:val="002E37D1"/>
    <w:rsid w:val="002E3BEE"/>
    <w:rsid w:val="002E4E4C"/>
    <w:rsid w:val="002E5846"/>
    <w:rsid w:val="002F498A"/>
    <w:rsid w:val="00304771"/>
    <w:rsid w:val="003052D4"/>
    <w:rsid w:val="00306C5B"/>
    <w:rsid w:val="00307DB3"/>
    <w:rsid w:val="0031076D"/>
    <w:rsid w:val="00311C4D"/>
    <w:rsid w:val="003121AB"/>
    <w:rsid w:val="003153C8"/>
    <w:rsid w:val="003209D6"/>
    <w:rsid w:val="00321924"/>
    <w:rsid w:val="0032656E"/>
    <w:rsid w:val="00332190"/>
    <w:rsid w:val="00341F05"/>
    <w:rsid w:val="0034335E"/>
    <w:rsid w:val="00344668"/>
    <w:rsid w:val="003462D9"/>
    <w:rsid w:val="00360C86"/>
    <w:rsid w:val="00360FBC"/>
    <w:rsid w:val="00361537"/>
    <w:rsid w:val="0036242A"/>
    <w:rsid w:val="00362E90"/>
    <w:rsid w:val="00364FA0"/>
    <w:rsid w:val="003657F3"/>
    <w:rsid w:val="003738BD"/>
    <w:rsid w:val="00374E21"/>
    <w:rsid w:val="003818DC"/>
    <w:rsid w:val="00383388"/>
    <w:rsid w:val="003834F8"/>
    <w:rsid w:val="00384327"/>
    <w:rsid w:val="00385D98"/>
    <w:rsid w:val="003908A6"/>
    <w:rsid w:val="003927F6"/>
    <w:rsid w:val="003A04F6"/>
    <w:rsid w:val="003A2B4D"/>
    <w:rsid w:val="003A2D12"/>
    <w:rsid w:val="003A478C"/>
    <w:rsid w:val="003A5525"/>
    <w:rsid w:val="003A6B38"/>
    <w:rsid w:val="003A6B83"/>
    <w:rsid w:val="003B1F9D"/>
    <w:rsid w:val="003B461F"/>
    <w:rsid w:val="003B5A32"/>
    <w:rsid w:val="003C3490"/>
    <w:rsid w:val="003C6221"/>
    <w:rsid w:val="003C7E62"/>
    <w:rsid w:val="003D242B"/>
    <w:rsid w:val="003D2492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2ADB"/>
    <w:rsid w:val="004059D2"/>
    <w:rsid w:val="00406C2E"/>
    <w:rsid w:val="00407C13"/>
    <w:rsid w:val="00410638"/>
    <w:rsid w:val="00412511"/>
    <w:rsid w:val="004125C2"/>
    <w:rsid w:val="00413465"/>
    <w:rsid w:val="0041501E"/>
    <w:rsid w:val="004159C3"/>
    <w:rsid w:val="00416DAC"/>
    <w:rsid w:val="00432A58"/>
    <w:rsid w:val="00434617"/>
    <w:rsid w:val="00440900"/>
    <w:rsid w:val="00441BF6"/>
    <w:rsid w:val="004441A0"/>
    <w:rsid w:val="00446D44"/>
    <w:rsid w:val="0045078A"/>
    <w:rsid w:val="0045086D"/>
    <w:rsid w:val="00451EF1"/>
    <w:rsid w:val="00460FB3"/>
    <w:rsid w:val="004707FE"/>
    <w:rsid w:val="0047276D"/>
    <w:rsid w:val="00474A04"/>
    <w:rsid w:val="00476240"/>
    <w:rsid w:val="00476439"/>
    <w:rsid w:val="0047735C"/>
    <w:rsid w:val="004776BC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5494"/>
    <w:rsid w:val="004A61C5"/>
    <w:rsid w:val="004A62A0"/>
    <w:rsid w:val="004A77DF"/>
    <w:rsid w:val="004B1417"/>
    <w:rsid w:val="004B55B7"/>
    <w:rsid w:val="004B6468"/>
    <w:rsid w:val="004B7125"/>
    <w:rsid w:val="004B756A"/>
    <w:rsid w:val="004B7FB1"/>
    <w:rsid w:val="004C384C"/>
    <w:rsid w:val="004C3867"/>
    <w:rsid w:val="004C3DB0"/>
    <w:rsid w:val="004C4CD0"/>
    <w:rsid w:val="004C5165"/>
    <w:rsid w:val="004C6E0E"/>
    <w:rsid w:val="004C70DC"/>
    <w:rsid w:val="004D0211"/>
    <w:rsid w:val="004D0794"/>
    <w:rsid w:val="004E1A40"/>
    <w:rsid w:val="004E200A"/>
    <w:rsid w:val="004E765E"/>
    <w:rsid w:val="004F06F5"/>
    <w:rsid w:val="004F12A4"/>
    <w:rsid w:val="004F253F"/>
    <w:rsid w:val="004F33A0"/>
    <w:rsid w:val="004F3BD2"/>
    <w:rsid w:val="0050689D"/>
    <w:rsid w:val="005108C0"/>
    <w:rsid w:val="00511873"/>
    <w:rsid w:val="00512461"/>
    <w:rsid w:val="00512A2F"/>
    <w:rsid w:val="00513B7E"/>
    <w:rsid w:val="00515BE9"/>
    <w:rsid w:val="00515C74"/>
    <w:rsid w:val="0052007E"/>
    <w:rsid w:val="0052337A"/>
    <w:rsid w:val="00525137"/>
    <w:rsid w:val="005251DD"/>
    <w:rsid w:val="00532CE7"/>
    <w:rsid w:val="0053324C"/>
    <w:rsid w:val="00534A28"/>
    <w:rsid w:val="00535018"/>
    <w:rsid w:val="00537571"/>
    <w:rsid w:val="00541508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72079"/>
    <w:rsid w:val="00573602"/>
    <w:rsid w:val="0057364B"/>
    <w:rsid w:val="00574773"/>
    <w:rsid w:val="00580DE7"/>
    <w:rsid w:val="00583E52"/>
    <w:rsid w:val="00583FFD"/>
    <w:rsid w:val="0058519A"/>
    <w:rsid w:val="005911BE"/>
    <w:rsid w:val="00591273"/>
    <w:rsid w:val="00593152"/>
    <w:rsid w:val="005A10F2"/>
    <w:rsid w:val="005A21E0"/>
    <w:rsid w:val="005A28FF"/>
    <w:rsid w:val="005A2C09"/>
    <w:rsid w:val="005A3DF8"/>
    <w:rsid w:val="005A5549"/>
    <w:rsid w:val="005B121D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7119"/>
    <w:rsid w:val="005D76C8"/>
    <w:rsid w:val="005D7890"/>
    <w:rsid w:val="005E4BC9"/>
    <w:rsid w:val="005E5314"/>
    <w:rsid w:val="005E7C78"/>
    <w:rsid w:val="005F04A7"/>
    <w:rsid w:val="005F18C5"/>
    <w:rsid w:val="005F36CC"/>
    <w:rsid w:val="005F3EB1"/>
    <w:rsid w:val="005F466B"/>
    <w:rsid w:val="005F46D8"/>
    <w:rsid w:val="005F5469"/>
    <w:rsid w:val="005F63F3"/>
    <w:rsid w:val="00604307"/>
    <w:rsid w:val="0060487F"/>
    <w:rsid w:val="00604EAD"/>
    <w:rsid w:val="006104FB"/>
    <w:rsid w:val="00612A2F"/>
    <w:rsid w:val="00612AAE"/>
    <w:rsid w:val="00616E05"/>
    <w:rsid w:val="00617985"/>
    <w:rsid w:val="00624093"/>
    <w:rsid w:val="00631698"/>
    <w:rsid w:val="00634CE7"/>
    <w:rsid w:val="006350D5"/>
    <w:rsid w:val="0063642C"/>
    <w:rsid w:val="006404A7"/>
    <w:rsid w:val="006451E4"/>
    <w:rsid w:val="00645B33"/>
    <w:rsid w:val="006516CB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D76"/>
    <w:rsid w:val="00676F9F"/>
    <w:rsid w:val="00677594"/>
    <w:rsid w:val="0068032F"/>
    <w:rsid w:val="00680D37"/>
    <w:rsid w:val="0068174E"/>
    <w:rsid w:val="00681DCE"/>
    <w:rsid w:val="0068260E"/>
    <w:rsid w:val="00684E25"/>
    <w:rsid w:val="006858A4"/>
    <w:rsid w:val="00686718"/>
    <w:rsid w:val="00686BFA"/>
    <w:rsid w:val="00695BEF"/>
    <w:rsid w:val="006968C1"/>
    <w:rsid w:val="006977F6"/>
    <w:rsid w:val="00697A13"/>
    <w:rsid w:val="006A109C"/>
    <w:rsid w:val="006A7691"/>
    <w:rsid w:val="006A7EE2"/>
    <w:rsid w:val="006B0514"/>
    <w:rsid w:val="006B0F92"/>
    <w:rsid w:val="006B2785"/>
    <w:rsid w:val="006B344A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6D4"/>
    <w:rsid w:val="006C6924"/>
    <w:rsid w:val="006C7CA6"/>
    <w:rsid w:val="006D3E8A"/>
    <w:rsid w:val="006D61F6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5242"/>
    <w:rsid w:val="00706AD4"/>
    <w:rsid w:val="00707150"/>
    <w:rsid w:val="007140BE"/>
    <w:rsid w:val="00715E4D"/>
    <w:rsid w:val="00716F48"/>
    <w:rsid w:val="007211F5"/>
    <w:rsid w:val="007240E2"/>
    <w:rsid w:val="0072583E"/>
    <w:rsid w:val="00725BB5"/>
    <w:rsid w:val="00730AE8"/>
    <w:rsid w:val="00730F1B"/>
    <w:rsid w:val="00741493"/>
    <w:rsid w:val="007434E5"/>
    <w:rsid w:val="00752180"/>
    <w:rsid w:val="00752323"/>
    <w:rsid w:val="00753CAB"/>
    <w:rsid w:val="00754A70"/>
    <w:rsid w:val="00755202"/>
    <w:rsid w:val="00755D3A"/>
    <w:rsid w:val="0075751D"/>
    <w:rsid w:val="007578D3"/>
    <w:rsid w:val="00760391"/>
    <w:rsid w:val="007609C6"/>
    <w:rsid w:val="0076175D"/>
    <w:rsid w:val="00763B85"/>
    <w:rsid w:val="0076521E"/>
    <w:rsid w:val="007661E9"/>
    <w:rsid w:val="00776169"/>
    <w:rsid w:val="00776527"/>
    <w:rsid w:val="00777040"/>
    <w:rsid w:val="00780EF1"/>
    <w:rsid w:val="00786C87"/>
    <w:rsid w:val="007877C9"/>
    <w:rsid w:val="00790764"/>
    <w:rsid w:val="0079085F"/>
    <w:rsid w:val="0079453C"/>
    <w:rsid w:val="00794677"/>
    <w:rsid w:val="007A3CAF"/>
    <w:rsid w:val="007A516D"/>
    <w:rsid w:val="007A775D"/>
    <w:rsid w:val="007B0834"/>
    <w:rsid w:val="007B11FA"/>
    <w:rsid w:val="007B2011"/>
    <w:rsid w:val="007B2CFE"/>
    <w:rsid w:val="007B3DCB"/>
    <w:rsid w:val="007B6689"/>
    <w:rsid w:val="007B6F72"/>
    <w:rsid w:val="007C2D94"/>
    <w:rsid w:val="007C5F92"/>
    <w:rsid w:val="007C6227"/>
    <w:rsid w:val="007C6BBD"/>
    <w:rsid w:val="007D0382"/>
    <w:rsid w:val="007D1A1F"/>
    <w:rsid w:val="007D40DF"/>
    <w:rsid w:val="007D4458"/>
    <w:rsid w:val="007E1788"/>
    <w:rsid w:val="007E29B4"/>
    <w:rsid w:val="007E435A"/>
    <w:rsid w:val="007E49F7"/>
    <w:rsid w:val="007E7E61"/>
    <w:rsid w:val="007F0845"/>
    <w:rsid w:val="007F20F3"/>
    <w:rsid w:val="007F708D"/>
    <w:rsid w:val="00801E13"/>
    <w:rsid w:val="0080734C"/>
    <w:rsid w:val="00807C82"/>
    <w:rsid w:val="008117CC"/>
    <w:rsid w:val="00816905"/>
    <w:rsid w:val="00817A17"/>
    <w:rsid w:val="00817EC1"/>
    <w:rsid w:val="0082112D"/>
    <w:rsid w:val="00821FF6"/>
    <w:rsid w:val="00822574"/>
    <w:rsid w:val="00825C4D"/>
    <w:rsid w:val="00830E86"/>
    <w:rsid w:val="0083143E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6121"/>
    <w:rsid w:val="0084708F"/>
    <w:rsid w:val="008477C8"/>
    <w:rsid w:val="0085114D"/>
    <w:rsid w:val="00852217"/>
    <w:rsid w:val="00855408"/>
    <w:rsid w:val="00856D65"/>
    <w:rsid w:val="00861B41"/>
    <w:rsid w:val="00861B9F"/>
    <w:rsid w:val="00861BE3"/>
    <w:rsid w:val="00863434"/>
    <w:rsid w:val="00865E4C"/>
    <w:rsid w:val="00867DAB"/>
    <w:rsid w:val="008701E4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A0ADD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500"/>
    <w:rsid w:val="00902EFF"/>
    <w:rsid w:val="00904F96"/>
    <w:rsid w:val="009052A3"/>
    <w:rsid w:val="00905B8D"/>
    <w:rsid w:val="00906401"/>
    <w:rsid w:val="009110F7"/>
    <w:rsid w:val="0091155E"/>
    <w:rsid w:val="00912A92"/>
    <w:rsid w:val="00915D07"/>
    <w:rsid w:val="009162AE"/>
    <w:rsid w:val="00917251"/>
    <w:rsid w:val="0091728D"/>
    <w:rsid w:val="0092180B"/>
    <w:rsid w:val="00921F14"/>
    <w:rsid w:val="00923CB0"/>
    <w:rsid w:val="00924AC8"/>
    <w:rsid w:val="00925429"/>
    <w:rsid w:val="0092597A"/>
    <w:rsid w:val="00926520"/>
    <w:rsid w:val="0093033E"/>
    <w:rsid w:val="00930FB1"/>
    <w:rsid w:val="0093139F"/>
    <w:rsid w:val="00932443"/>
    <w:rsid w:val="00935BD4"/>
    <w:rsid w:val="009373B2"/>
    <w:rsid w:val="00937AE2"/>
    <w:rsid w:val="0094416B"/>
    <w:rsid w:val="0094427A"/>
    <w:rsid w:val="00944C7C"/>
    <w:rsid w:val="00945245"/>
    <w:rsid w:val="0095759C"/>
    <w:rsid w:val="009618EE"/>
    <w:rsid w:val="009624D2"/>
    <w:rsid w:val="009628D9"/>
    <w:rsid w:val="009637AE"/>
    <w:rsid w:val="00964A4E"/>
    <w:rsid w:val="009651C7"/>
    <w:rsid w:val="0096560D"/>
    <w:rsid w:val="00965797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3764"/>
    <w:rsid w:val="009B6FD3"/>
    <w:rsid w:val="009C1750"/>
    <w:rsid w:val="009C2E29"/>
    <w:rsid w:val="009C3E8F"/>
    <w:rsid w:val="009C554B"/>
    <w:rsid w:val="009C719E"/>
    <w:rsid w:val="009D3ACD"/>
    <w:rsid w:val="009D6372"/>
    <w:rsid w:val="009E5273"/>
    <w:rsid w:val="009E5DDB"/>
    <w:rsid w:val="009F4982"/>
    <w:rsid w:val="009F4CA7"/>
    <w:rsid w:val="00A04616"/>
    <w:rsid w:val="00A04717"/>
    <w:rsid w:val="00A05EE4"/>
    <w:rsid w:val="00A10D66"/>
    <w:rsid w:val="00A14114"/>
    <w:rsid w:val="00A16413"/>
    <w:rsid w:val="00A16AED"/>
    <w:rsid w:val="00A16E1D"/>
    <w:rsid w:val="00A17A15"/>
    <w:rsid w:val="00A17D5B"/>
    <w:rsid w:val="00A23E43"/>
    <w:rsid w:val="00A25216"/>
    <w:rsid w:val="00A2628E"/>
    <w:rsid w:val="00A30F65"/>
    <w:rsid w:val="00A40EAC"/>
    <w:rsid w:val="00A418BC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E71"/>
    <w:rsid w:val="00A96116"/>
    <w:rsid w:val="00A9614E"/>
    <w:rsid w:val="00A96C0F"/>
    <w:rsid w:val="00AA2996"/>
    <w:rsid w:val="00AA52BF"/>
    <w:rsid w:val="00AA559A"/>
    <w:rsid w:val="00AA7CE8"/>
    <w:rsid w:val="00AB2AF1"/>
    <w:rsid w:val="00AB5A64"/>
    <w:rsid w:val="00AC044E"/>
    <w:rsid w:val="00AC2395"/>
    <w:rsid w:val="00AC2960"/>
    <w:rsid w:val="00AC2AC4"/>
    <w:rsid w:val="00AC4284"/>
    <w:rsid w:val="00AC45BD"/>
    <w:rsid w:val="00AD168E"/>
    <w:rsid w:val="00AD306C"/>
    <w:rsid w:val="00AD5AD2"/>
    <w:rsid w:val="00AD6462"/>
    <w:rsid w:val="00AD68C4"/>
    <w:rsid w:val="00AE09B3"/>
    <w:rsid w:val="00AE1A83"/>
    <w:rsid w:val="00AE7CE7"/>
    <w:rsid w:val="00AE7FAB"/>
    <w:rsid w:val="00AF436B"/>
    <w:rsid w:val="00AF5179"/>
    <w:rsid w:val="00B00913"/>
    <w:rsid w:val="00B01593"/>
    <w:rsid w:val="00B01FF9"/>
    <w:rsid w:val="00B023F2"/>
    <w:rsid w:val="00B10A4D"/>
    <w:rsid w:val="00B10C90"/>
    <w:rsid w:val="00B14BC1"/>
    <w:rsid w:val="00B16EB8"/>
    <w:rsid w:val="00B17E71"/>
    <w:rsid w:val="00B17FDE"/>
    <w:rsid w:val="00B20632"/>
    <w:rsid w:val="00B2379C"/>
    <w:rsid w:val="00B2687D"/>
    <w:rsid w:val="00B32DDB"/>
    <w:rsid w:val="00B34528"/>
    <w:rsid w:val="00B34CC9"/>
    <w:rsid w:val="00B402FC"/>
    <w:rsid w:val="00B439DA"/>
    <w:rsid w:val="00B46604"/>
    <w:rsid w:val="00B47089"/>
    <w:rsid w:val="00B52151"/>
    <w:rsid w:val="00B530CD"/>
    <w:rsid w:val="00B55F5E"/>
    <w:rsid w:val="00B56B6F"/>
    <w:rsid w:val="00B5752E"/>
    <w:rsid w:val="00B63A11"/>
    <w:rsid w:val="00B64C24"/>
    <w:rsid w:val="00B6608F"/>
    <w:rsid w:val="00B679FB"/>
    <w:rsid w:val="00B76D1E"/>
    <w:rsid w:val="00B77543"/>
    <w:rsid w:val="00B80EC6"/>
    <w:rsid w:val="00B81D70"/>
    <w:rsid w:val="00B84CF6"/>
    <w:rsid w:val="00B85016"/>
    <w:rsid w:val="00B8561A"/>
    <w:rsid w:val="00B92D1D"/>
    <w:rsid w:val="00B938C5"/>
    <w:rsid w:val="00B95940"/>
    <w:rsid w:val="00B95ACA"/>
    <w:rsid w:val="00BA46E8"/>
    <w:rsid w:val="00BA6C2B"/>
    <w:rsid w:val="00BA7B64"/>
    <w:rsid w:val="00BB0351"/>
    <w:rsid w:val="00BB1AF4"/>
    <w:rsid w:val="00BB46F3"/>
    <w:rsid w:val="00BB4CB1"/>
    <w:rsid w:val="00BB4F98"/>
    <w:rsid w:val="00BB5ABF"/>
    <w:rsid w:val="00BB6EA2"/>
    <w:rsid w:val="00BC5C12"/>
    <w:rsid w:val="00BC7154"/>
    <w:rsid w:val="00BC731E"/>
    <w:rsid w:val="00BD25BB"/>
    <w:rsid w:val="00BD366B"/>
    <w:rsid w:val="00BD6D50"/>
    <w:rsid w:val="00BE18B9"/>
    <w:rsid w:val="00BE2495"/>
    <w:rsid w:val="00BF02C8"/>
    <w:rsid w:val="00BF1578"/>
    <w:rsid w:val="00BF1D12"/>
    <w:rsid w:val="00C06EE3"/>
    <w:rsid w:val="00C07749"/>
    <w:rsid w:val="00C21430"/>
    <w:rsid w:val="00C21E61"/>
    <w:rsid w:val="00C21F94"/>
    <w:rsid w:val="00C27913"/>
    <w:rsid w:val="00C33B68"/>
    <w:rsid w:val="00C36A79"/>
    <w:rsid w:val="00C401D2"/>
    <w:rsid w:val="00C405D4"/>
    <w:rsid w:val="00C419D5"/>
    <w:rsid w:val="00C4513B"/>
    <w:rsid w:val="00C5390B"/>
    <w:rsid w:val="00C54697"/>
    <w:rsid w:val="00C55402"/>
    <w:rsid w:val="00C5603B"/>
    <w:rsid w:val="00C61F47"/>
    <w:rsid w:val="00C62828"/>
    <w:rsid w:val="00C71D2F"/>
    <w:rsid w:val="00C73885"/>
    <w:rsid w:val="00C7435A"/>
    <w:rsid w:val="00C747B1"/>
    <w:rsid w:val="00C82191"/>
    <w:rsid w:val="00C83134"/>
    <w:rsid w:val="00C832F3"/>
    <w:rsid w:val="00C85545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75BE"/>
    <w:rsid w:val="00D12C25"/>
    <w:rsid w:val="00D133B4"/>
    <w:rsid w:val="00D13986"/>
    <w:rsid w:val="00D214EF"/>
    <w:rsid w:val="00D21D6D"/>
    <w:rsid w:val="00D21D83"/>
    <w:rsid w:val="00D235B7"/>
    <w:rsid w:val="00D25F28"/>
    <w:rsid w:val="00D26071"/>
    <w:rsid w:val="00D27973"/>
    <w:rsid w:val="00D31E1E"/>
    <w:rsid w:val="00D35BBB"/>
    <w:rsid w:val="00D35E1A"/>
    <w:rsid w:val="00D36E1C"/>
    <w:rsid w:val="00D373AF"/>
    <w:rsid w:val="00D40556"/>
    <w:rsid w:val="00D41F74"/>
    <w:rsid w:val="00D50F46"/>
    <w:rsid w:val="00D544E7"/>
    <w:rsid w:val="00D57677"/>
    <w:rsid w:val="00D63BE5"/>
    <w:rsid w:val="00D66223"/>
    <w:rsid w:val="00D72076"/>
    <w:rsid w:val="00D77252"/>
    <w:rsid w:val="00D8084C"/>
    <w:rsid w:val="00D8598C"/>
    <w:rsid w:val="00D915EA"/>
    <w:rsid w:val="00D97D00"/>
    <w:rsid w:val="00DA096C"/>
    <w:rsid w:val="00DA6364"/>
    <w:rsid w:val="00DA7114"/>
    <w:rsid w:val="00DA7C0C"/>
    <w:rsid w:val="00DB08A9"/>
    <w:rsid w:val="00DB2EC8"/>
    <w:rsid w:val="00DC17D0"/>
    <w:rsid w:val="00DC56FE"/>
    <w:rsid w:val="00DC5B3B"/>
    <w:rsid w:val="00DC7B1A"/>
    <w:rsid w:val="00DD129F"/>
    <w:rsid w:val="00DD32DD"/>
    <w:rsid w:val="00DF42FF"/>
    <w:rsid w:val="00DF5D1E"/>
    <w:rsid w:val="00E01C0E"/>
    <w:rsid w:val="00E0368F"/>
    <w:rsid w:val="00E03D73"/>
    <w:rsid w:val="00E03F9A"/>
    <w:rsid w:val="00E04694"/>
    <w:rsid w:val="00E129E7"/>
    <w:rsid w:val="00E12B1E"/>
    <w:rsid w:val="00E1444C"/>
    <w:rsid w:val="00E16588"/>
    <w:rsid w:val="00E17262"/>
    <w:rsid w:val="00E2009B"/>
    <w:rsid w:val="00E2251C"/>
    <w:rsid w:val="00E2363D"/>
    <w:rsid w:val="00E253A2"/>
    <w:rsid w:val="00E27233"/>
    <w:rsid w:val="00E31771"/>
    <w:rsid w:val="00E3309D"/>
    <w:rsid w:val="00E417BE"/>
    <w:rsid w:val="00E43A9E"/>
    <w:rsid w:val="00E453F9"/>
    <w:rsid w:val="00E45D7D"/>
    <w:rsid w:val="00E47EBA"/>
    <w:rsid w:val="00E50156"/>
    <w:rsid w:val="00E5076C"/>
    <w:rsid w:val="00E53470"/>
    <w:rsid w:val="00E539F6"/>
    <w:rsid w:val="00E578A2"/>
    <w:rsid w:val="00E61740"/>
    <w:rsid w:val="00E6519D"/>
    <w:rsid w:val="00E67696"/>
    <w:rsid w:val="00E71A58"/>
    <w:rsid w:val="00E72A26"/>
    <w:rsid w:val="00E72A7A"/>
    <w:rsid w:val="00E747DC"/>
    <w:rsid w:val="00E75C94"/>
    <w:rsid w:val="00E76E61"/>
    <w:rsid w:val="00E80CA3"/>
    <w:rsid w:val="00E82618"/>
    <w:rsid w:val="00E930A1"/>
    <w:rsid w:val="00E93820"/>
    <w:rsid w:val="00E94A86"/>
    <w:rsid w:val="00E96143"/>
    <w:rsid w:val="00EA0C68"/>
    <w:rsid w:val="00EA32BC"/>
    <w:rsid w:val="00EA35A7"/>
    <w:rsid w:val="00EA513E"/>
    <w:rsid w:val="00EB4511"/>
    <w:rsid w:val="00EB6FAC"/>
    <w:rsid w:val="00EC03D7"/>
    <w:rsid w:val="00EC13A7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FF9"/>
    <w:rsid w:val="00F0160B"/>
    <w:rsid w:val="00F04811"/>
    <w:rsid w:val="00F0488C"/>
    <w:rsid w:val="00F073ED"/>
    <w:rsid w:val="00F10F11"/>
    <w:rsid w:val="00F15AAA"/>
    <w:rsid w:val="00F15BEF"/>
    <w:rsid w:val="00F207C2"/>
    <w:rsid w:val="00F219A1"/>
    <w:rsid w:val="00F24407"/>
    <w:rsid w:val="00F24FAA"/>
    <w:rsid w:val="00F25040"/>
    <w:rsid w:val="00F27331"/>
    <w:rsid w:val="00F3364D"/>
    <w:rsid w:val="00F437CC"/>
    <w:rsid w:val="00F44537"/>
    <w:rsid w:val="00F46423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9F3"/>
    <w:rsid w:val="00FA05A0"/>
    <w:rsid w:val="00FA17CC"/>
    <w:rsid w:val="00FA5112"/>
    <w:rsid w:val="00FA5526"/>
    <w:rsid w:val="00FA5D4D"/>
    <w:rsid w:val="00FB0EE2"/>
    <w:rsid w:val="00FB1A79"/>
    <w:rsid w:val="00FB208B"/>
    <w:rsid w:val="00FB2B2D"/>
    <w:rsid w:val="00FB542E"/>
    <w:rsid w:val="00FC05F8"/>
    <w:rsid w:val="00FC0E5F"/>
    <w:rsid w:val="00FC1A95"/>
    <w:rsid w:val="00FC56DE"/>
    <w:rsid w:val="00FC684B"/>
    <w:rsid w:val="00FC7D98"/>
    <w:rsid w:val="00FD1135"/>
    <w:rsid w:val="00FD3265"/>
    <w:rsid w:val="00FD4916"/>
    <w:rsid w:val="00FE27C7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Heading1">
    <w:name w:val="Heading 1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10006E-2"/>
          <c:w val="0.93757303275920301"/>
          <c:h val="0.73130361364405339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1'!$A$30:$B$80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1'!$C$30:$C$80</c:f>
              <c:numCache>
                <c:formatCode>0.00</c:formatCode>
                <c:ptCount val="51"/>
                <c:pt idx="0">
                  <c:v>5.0000000000000031E-2</c:v>
                </c:pt>
                <c:pt idx="1">
                  <c:v>5.0000000000000031E-2</c:v>
                </c:pt>
                <c:pt idx="2">
                  <c:v>5.0000000000000031E-2</c:v>
                </c:pt>
                <c:pt idx="3">
                  <c:v>5.0000000000000031E-2</c:v>
                </c:pt>
                <c:pt idx="4">
                  <c:v>5.0000000000000031E-2</c:v>
                </c:pt>
                <c:pt idx="5">
                  <c:v>5.0000000000000031E-2</c:v>
                </c:pt>
                <c:pt idx="6">
                  <c:v>5.0000000000000031E-2</c:v>
                </c:pt>
                <c:pt idx="7">
                  <c:v>5.0000000000000031E-2</c:v>
                </c:pt>
                <c:pt idx="8">
                  <c:v>5.0000000000000031E-2</c:v>
                </c:pt>
                <c:pt idx="9">
                  <c:v>5.0000000000000031E-2</c:v>
                </c:pt>
                <c:pt idx="10">
                  <c:v>5.0000000000000031E-2</c:v>
                </c:pt>
                <c:pt idx="11">
                  <c:v>5.0000000000000031E-2</c:v>
                </c:pt>
                <c:pt idx="12">
                  <c:v>5.0000000000000031E-2</c:v>
                </c:pt>
                <c:pt idx="13">
                  <c:v>5.0000000000000031E-2</c:v>
                </c:pt>
                <c:pt idx="14">
                  <c:v>5.0000000000000031E-2</c:v>
                </c:pt>
                <c:pt idx="15">
                  <c:v>5.0000000000000031E-2</c:v>
                </c:pt>
                <c:pt idx="16">
                  <c:v>5.0000000000000031E-2</c:v>
                </c:pt>
                <c:pt idx="17">
                  <c:v>5.0000000000000031E-2</c:v>
                </c:pt>
                <c:pt idx="18">
                  <c:v>5.0000000000000031E-2</c:v>
                </c:pt>
                <c:pt idx="19">
                  <c:v>5.0000000000000031E-2</c:v>
                </c:pt>
                <c:pt idx="20">
                  <c:v>5.0000000000000031E-2</c:v>
                </c:pt>
                <c:pt idx="21">
                  <c:v>5.0000000000000031E-2</c:v>
                </c:pt>
                <c:pt idx="22">
                  <c:v>5.0000000000000031E-2</c:v>
                </c:pt>
                <c:pt idx="23">
                  <c:v>5.0000000000000031E-2</c:v>
                </c:pt>
                <c:pt idx="24" formatCode="General">
                  <c:v>5.0000000000000031E-2</c:v>
                </c:pt>
                <c:pt idx="25" formatCode="General">
                  <c:v>5.0000000000000031E-2</c:v>
                </c:pt>
                <c:pt idx="26" formatCode="General">
                  <c:v>5.0000000000000031E-2</c:v>
                </c:pt>
                <c:pt idx="27" formatCode="General">
                  <c:v>5.0000000000000031E-2</c:v>
                </c:pt>
                <c:pt idx="28" formatCode="General">
                  <c:v>5.0000000000000031E-2</c:v>
                </c:pt>
                <c:pt idx="29" formatCode="General">
                  <c:v>5.0000000000000031E-2</c:v>
                </c:pt>
                <c:pt idx="30" formatCode="General">
                  <c:v>5.0000000000000031E-2</c:v>
                </c:pt>
                <c:pt idx="31" formatCode="General">
                  <c:v>5.0000000000000031E-2</c:v>
                </c:pt>
                <c:pt idx="32" formatCode="General">
                  <c:v>5.0000000000000031E-2</c:v>
                </c:pt>
                <c:pt idx="33" formatCode="General">
                  <c:v>5.0000000000000031E-2</c:v>
                </c:pt>
                <c:pt idx="34" formatCode="General">
                  <c:v>5.0000000000000031E-2</c:v>
                </c:pt>
                <c:pt idx="35" formatCode="General">
                  <c:v>5.0000000000000031E-2</c:v>
                </c:pt>
                <c:pt idx="36" formatCode="General">
                  <c:v>5.0000000000000031E-2</c:v>
                </c:pt>
                <c:pt idx="37" formatCode="General">
                  <c:v>5.0000000000000031E-2</c:v>
                </c:pt>
                <c:pt idx="38" formatCode="General">
                  <c:v>5.0000000000000031E-2</c:v>
                </c:pt>
                <c:pt idx="39" formatCode="General">
                  <c:v>5.0000000000000031E-2</c:v>
                </c:pt>
                <c:pt idx="40" formatCode="General">
                  <c:v>5.0000000000000031E-2</c:v>
                </c:pt>
                <c:pt idx="41" formatCode="General">
                  <c:v>5.0000000000000031E-2</c:v>
                </c:pt>
                <c:pt idx="42" formatCode="General">
                  <c:v>5.0000000000000031E-2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0.75000000000000588</c:v>
                </c:pt>
                <c:pt idx="50" formatCode="General">
                  <c:v>0.75000000000000588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DA-4094-B148-BBA01B7D35B0}"/>
            </c:ext>
          </c:extLst>
        </c:ser>
        <c:gapWidth val="31"/>
        <c:axId val="108863488"/>
        <c:axId val="108905216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1'!$A$30:$B$80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1'!$F$30:$F$80</c:f>
              <c:numCache>
                <c:formatCode>General</c:formatCode>
                <c:ptCount val="51"/>
                <c:pt idx="0">
                  <c:v>0.23</c:v>
                </c:pt>
                <c:pt idx="1">
                  <c:v>0.28000000000000008</c:v>
                </c:pt>
                <c:pt idx="2">
                  <c:v>0.26</c:v>
                </c:pt>
                <c:pt idx="3">
                  <c:v>0.23</c:v>
                </c:pt>
                <c:pt idx="4">
                  <c:v>0.21000000000000021</c:v>
                </c:pt>
                <c:pt idx="5">
                  <c:v>0.24000000000000021</c:v>
                </c:pt>
                <c:pt idx="6">
                  <c:v>0.23</c:v>
                </c:pt>
                <c:pt idx="7">
                  <c:v>0.18000000000000024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9.0000000000000066E-2</c:v>
                </c:pt>
                <c:pt idx="13">
                  <c:v>6.0000000000000039E-2</c:v>
                </c:pt>
                <c:pt idx="14">
                  <c:v>4.0000000000000029E-2</c:v>
                </c:pt>
                <c:pt idx="15">
                  <c:v>-3.0000000000000016E-2</c:v>
                </c:pt>
                <c:pt idx="16">
                  <c:v>4.0000000000000029E-2</c:v>
                </c:pt>
                <c:pt idx="17">
                  <c:v>0.11000000000000003</c:v>
                </c:pt>
                <c:pt idx="18">
                  <c:v>2.0000000000000014E-2</c:v>
                </c:pt>
                <c:pt idx="19">
                  <c:v>-7.0000000000000034E-2</c:v>
                </c:pt>
                <c:pt idx="20">
                  <c:v>-0.30000000000000032</c:v>
                </c:pt>
                <c:pt idx="21">
                  <c:v>-0.28000000000000008</c:v>
                </c:pt>
                <c:pt idx="22">
                  <c:v>-0.33000000000000351</c:v>
                </c:pt>
                <c:pt idx="23">
                  <c:v>-0.38000000000000311</c:v>
                </c:pt>
                <c:pt idx="24">
                  <c:v>-0.21000000000000021</c:v>
                </c:pt>
                <c:pt idx="25">
                  <c:v>-0.18000000000000024</c:v>
                </c:pt>
                <c:pt idx="26">
                  <c:v>-0.17</c:v>
                </c:pt>
                <c:pt idx="27">
                  <c:v>-8.0000000000000057E-2</c:v>
                </c:pt>
                <c:pt idx="28">
                  <c:v>-4.0000000000000029E-2</c:v>
                </c:pt>
                <c:pt idx="29">
                  <c:v>-5.0000000000000031E-2</c:v>
                </c:pt>
                <c:pt idx="30">
                  <c:v>-0.13</c:v>
                </c:pt>
                <c:pt idx="31">
                  <c:v>-0.22000000000000006</c:v>
                </c:pt>
                <c:pt idx="32">
                  <c:v>-0.5</c:v>
                </c:pt>
                <c:pt idx="33">
                  <c:v>-0.74000000000000365</c:v>
                </c:pt>
                <c:pt idx="34">
                  <c:v>-0.73000000000000065</c:v>
                </c:pt>
                <c:pt idx="35">
                  <c:v>-0.81</c:v>
                </c:pt>
                <c:pt idx="36">
                  <c:v>-0.88000000000000023</c:v>
                </c:pt>
                <c:pt idx="37">
                  <c:v>-0.53</c:v>
                </c:pt>
                <c:pt idx="38">
                  <c:v>-0.44000000000000011</c:v>
                </c:pt>
                <c:pt idx="39">
                  <c:v>-0.23</c:v>
                </c:pt>
                <c:pt idx="40">
                  <c:v>-0.24000000000000021</c:v>
                </c:pt>
                <c:pt idx="41">
                  <c:v>-0.25</c:v>
                </c:pt>
                <c:pt idx="42">
                  <c:v>-0.29000000000000031</c:v>
                </c:pt>
                <c:pt idx="43">
                  <c:v>-0.33000000000000351</c:v>
                </c:pt>
                <c:pt idx="44">
                  <c:v>-0.29000000000000031</c:v>
                </c:pt>
                <c:pt idx="45">
                  <c:v>0.12000000000000002</c:v>
                </c:pt>
                <c:pt idx="46">
                  <c:v>0.31000000000000238</c:v>
                </c:pt>
                <c:pt idx="47">
                  <c:v>0.19000000000000006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0.62000000000000577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DA-4094-B148-BBA01B7D35B0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1'!$A$30:$B$80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1'!$D$30:$D$80</c:f>
              <c:numCache>
                <c:formatCode>General</c:formatCode>
                <c:ptCount val="51"/>
                <c:pt idx="0">
                  <c:v>0.37000000000000038</c:v>
                </c:pt>
                <c:pt idx="1">
                  <c:v>0.37000000000000038</c:v>
                </c:pt>
                <c:pt idx="2">
                  <c:v>0.37000000000000038</c:v>
                </c:pt>
                <c:pt idx="3">
                  <c:v>0.37000000000000038</c:v>
                </c:pt>
                <c:pt idx="4">
                  <c:v>0.37000000000000038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0.35000000000000031</c:v>
                </c:pt>
                <c:pt idx="8">
                  <c:v>0.35000000000000031</c:v>
                </c:pt>
                <c:pt idx="9">
                  <c:v>0.35000000000000031</c:v>
                </c:pt>
                <c:pt idx="10">
                  <c:v>0.3400000000000003</c:v>
                </c:pt>
                <c:pt idx="11">
                  <c:v>0.3400000000000003</c:v>
                </c:pt>
                <c:pt idx="12">
                  <c:v>0.33000000000000351</c:v>
                </c:pt>
                <c:pt idx="13">
                  <c:v>0.33000000000000351</c:v>
                </c:pt>
                <c:pt idx="14">
                  <c:v>0.32000000000000323</c:v>
                </c:pt>
                <c:pt idx="15">
                  <c:v>0.31000000000000238</c:v>
                </c:pt>
                <c:pt idx="16">
                  <c:v>0.31000000000000238</c:v>
                </c:pt>
                <c:pt idx="17">
                  <c:v>0.31000000000000238</c:v>
                </c:pt>
                <c:pt idx="18">
                  <c:v>0.31000000000000238</c:v>
                </c:pt>
                <c:pt idx="19">
                  <c:v>0.31000000000000238</c:v>
                </c:pt>
                <c:pt idx="20">
                  <c:v>0.30000000000000032</c:v>
                </c:pt>
                <c:pt idx="21">
                  <c:v>0.29000000000000031</c:v>
                </c:pt>
                <c:pt idx="22">
                  <c:v>0.29000000000000031</c:v>
                </c:pt>
                <c:pt idx="23">
                  <c:v>0.29000000000000031</c:v>
                </c:pt>
                <c:pt idx="24">
                  <c:v>0.29000000000000031</c:v>
                </c:pt>
                <c:pt idx="25">
                  <c:v>0.28000000000000008</c:v>
                </c:pt>
                <c:pt idx="26">
                  <c:v>0.29000000000000031</c:v>
                </c:pt>
                <c:pt idx="27">
                  <c:v>0.29000000000000031</c:v>
                </c:pt>
                <c:pt idx="28">
                  <c:v>0.29000000000000031</c:v>
                </c:pt>
                <c:pt idx="29">
                  <c:v>0.29000000000000031</c:v>
                </c:pt>
                <c:pt idx="30">
                  <c:v>0.29000000000000031</c:v>
                </c:pt>
                <c:pt idx="31">
                  <c:v>0.29000000000000031</c:v>
                </c:pt>
                <c:pt idx="32">
                  <c:v>0.29000000000000031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0.28000000000000008</c:v>
                </c:pt>
                <c:pt idx="37">
                  <c:v>0.28000000000000008</c:v>
                </c:pt>
                <c:pt idx="38">
                  <c:v>0.28000000000000008</c:v>
                </c:pt>
                <c:pt idx="39">
                  <c:v>0.29000000000000031</c:v>
                </c:pt>
                <c:pt idx="40">
                  <c:v>0.30000000000000032</c:v>
                </c:pt>
                <c:pt idx="41">
                  <c:v>0.30000000000000032</c:v>
                </c:pt>
                <c:pt idx="42">
                  <c:v>0.30000000000000032</c:v>
                </c:pt>
                <c:pt idx="43">
                  <c:v>0.43000000000000038</c:v>
                </c:pt>
                <c:pt idx="44">
                  <c:v>0.46</c:v>
                </c:pt>
                <c:pt idx="45">
                  <c:v>0.51</c:v>
                </c:pt>
                <c:pt idx="46">
                  <c:v>0.71000000000000063</c:v>
                </c:pt>
                <c:pt idx="47">
                  <c:v>0.75000000000000588</c:v>
                </c:pt>
                <c:pt idx="48">
                  <c:v>0.77000000000000624</c:v>
                </c:pt>
                <c:pt idx="49">
                  <c:v>0.9</c:v>
                </c:pt>
                <c:pt idx="50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DA-4094-B148-BBA01B7D35B0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1'!$A$30:$B$80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1'!$G$30:$G$80</c:f>
              <c:numCache>
                <c:formatCode>General</c:formatCode>
                <c:ptCount val="51"/>
                <c:pt idx="0">
                  <c:v>1.0900000000000001</c:v>
                </c:pt>
                <c:pt idx="1">
                  <c:v>1.2</c:v>
                </c:pt>
                <c:pt idx="2">
                  <c:v>1.139999999999987</c:v>
                </c:pt>
                <c:pt idx="3">
                  <c:v>0.99</c:v>
                </c:pt>
                <c:pt idx="4">
                  <c:v>0.8</c:v>
                </c:pt>
                <c:pt idx="5">
                  <c:v>0.6800000000000006</c:v>
                </c:pt>
                <c:pt idx="6">
                  <c:v>0.65000000000000668</c:v>
                </c:pt>
                <c:pt idx="7">
                  <c:v>0.62000000000000577</c:v>
                </c:pt>
                <c:pt idx="8">
                  <c:v>0.51</c:v>
                </c:pt>
                <c:pt idx="9">
                  <c:v>0.37000000000000038</c:v>
                </c:pt>
                <c:pt idx="10">
                  <c:v>0.24000000000000021</c:v>
                </c:pt>
                <c:pt idx="11">
                  <c:v>0.22000000000000006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5.0000000000000031E-2</c:v>
                </c:pt>
                <c:pt idx="16">
                  <c:v>0.22000000000000006</c:v>
                </c:pt>
                <c:pt idx="17">
                  <c:v>0.43000000000000038</c:v>
                </c:pt>
                <c:pt idx="18">
                  <c:v>0.35000000000000031</c:v>
                </c:pt>
                <c:pt idx="19">
                  <c:v>0.2</c:v>
                </c:pt>
                <c:pt idx="20">
                  <c:v>6.0000000000000039E-2</c:v>
                </c:pt>
                <c:pt idx="21">
                  <c:v>-5.0000000000000031E-2</c:v>
                </c:pt>
                <c:pt idx="22">
                  <c:v>-5.0000000000000031E-2</c:v>
                </c:pt>
                <c:pt idx="23">
                  <c:v>-0.11000000000000003</c:v>
                </c:pt>
                <c:pt idx="24">
                  <c:v>4.0000000000000029E-2</c:v>
                </c:pt>
                <c:pt idx="25">
                  <c:v>-8.0000000000000057E-2</c:v>
                </c:pt>
                <c:pt idx="26">
                  <c:v>-0.1</c:v>
                </c:pt>
                <c:pt idx="27">
                  <c:v>4.0000000000000029E-2</c:v>
                </c:pt>
                <c:pt idx="28">
                  <c:v>7.0000000000000034E-2</c:v>
                </c:pt>
                <c:pt idx="29">
                  <c:v>5.0000000000000031E-2</c:v>
                </c:pt>
                <c:pt idx="30">
                  <c:v>-2.0000000000000014E-2</c:v>
                </c:pt>
                <c:pt idx="31">
                  <c:v>-9.0000000000000066E-2</c:v>
                </c:pt>
                <c:pt idx="32">
                  <c:v>-0.19000000000000006</c:v>
                </c:pt>
                <c:pt idx="33">
                  <c:v>-0.17</c:v>
                </c:pt>
                <c:pt idx="34">
                  <c:v>-0.17</c:v>
                </c:pt>
                <c:pt idx="35">
                  <c:v>-0.21000000000000021</c:v>
                </c:pt>
                <c:pt idx="36">
                  <c:v>-0.22000000000000006</c:v>
                </c:pt>
                <c:pt idx="37">
                  <c:v>9.0000000000000066E-2</c:v>
                </c:pt>
                <c:pt idx="38">
                  <c:v>0.1</c:v>
                </c:pt>
                <c:pt idx="39">
                  <c:v>0.16000000000000006</c:v>
                </c:pt>
                <c:pt idx="40">
                  <c:v>4.0000000000000029E-2</c:v>
                </c:pt>
                <c:pt idx="41">
                  <c:v>-3.0000000000000016E-2</c:v>
                </c:pt>
                <c:pt idx="42">
                  <c:v>0.14000000000000001</c:v>
                </c:pt>
                <c:pt idx="43">
                  <c:v>9.0000000000000066E-2</c:v>
                </c:pt>
                <c:pt idx="44">
                  <c:v>0.1</c:v>
                </c:pt>
                <c:pt idx="45">
                  <c:v>0.63000000000000644</c:v>
                </c:pt>
                <c:pt idx="46">
                  <c:v>0.87000000000000577</c:v>
                </c:pt>
                <c:pt idx="47">
                  <c:v>0.6800000000000006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DA-4094-B148-BBA01B7D35B0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1'!$A$30:$B$80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1'!$E$30:$E$80</c:f>
              <c:numCache>
                <c:formatCode>General</c:formatCode>
                <c:ptCount val="51"/>
                <c:pt idx="0">
                  <c:v>0.58000000000000029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0.49000000000000032</c:v>
                </c:pt>
                <c:pt idx="15">
                  <c:v>0.48000000000000032</c:v>
                </c:pt>
                <c:pt idx="16">
                  <c:v>0.48000000000000032</c:v>
                </c:pt>
                <c:pt idx="17">
                  <c:v>0.48000000000000032</c:v>
                </c:pt>
                <c:pt idx="18">
                  <c:v>0.48000000000000032</c:v>
                </c:pt>
                <c:pt idx="19">
                  <c:v>0.48000000000000032</c:v>
                </c:pt>
                <c:pt idx="20">
                  <c:v>0.47000000000000008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0.44000000000000011</c:v>
                </c:pt>
                <c:pt idx="37">
                  <c:v>0.44000000000000011</c:v>
                </c:pt>
                <c:pt idx="38">
                  <c:v>0.44000000000000011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0.47000000000000008</c:v>
                </c:pt>
                <c:pt idx="43">
                  <c:v>0.60000000000000064</c:v>
                </c:pt>
                <c:pt idx="44">
                  <c:v>0.64000000000000645</c:v>
                </c:pt>
                <c:pt idx="45">
                  <c:v>0.69000000000000061</c:v>
                </c:pt>
                <c:pt idx="46">
                  <c:v>0.91</c:v>
                </c:pt>
                <c:pt idx="47">
                  <c:v>0.96000000000000063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DA-4094-B148-BBA01B7D35B0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1'!$A$30:$B$80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1'!$H$30:$H$80</c:f>
              <c:numCache>
                <c:formatCode>General</c:formatCode>
                <c:ptCount val="51"/>
                <c:pt idx="0">
                  <c:v>2.4299999999999997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1.7300000000000004</c:v>
                </c:pt>
                <c:pt idx="5">
                  <c:v>1.55</c:v>
                </c:pt>
                <c:pt idx="6">
                  <c:v>1.49</c:v>
                </c:pt>
                <c:pt idx="7">
                  <c:v>1.3800000000000001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0.87000000000000577</c:v>
                </c:pt>
                <c:pt idx="11">
                  <c:v>0.67000000000000748</c:v>
                </c:pt>
                <c:pt idx="12">
                  <c:v>0.35000000000000031</c:v>
                </c:pt>
                <c:pt idx="13">
                  <c:v>0.4</c:v>
                </c:pt>
                <c:pt idx="14">
                  <c:v>0.35000000000000031</c:v>
                </c:pt>
                <c:pt idx="15">
                  <c:v>0.26</c:v>
                </c:pt>
                <c:pt idx="16">
                  <c:v>0.60000000000000064</c:v>
                </c:pt>
                <c:pt idx="17">
                  <c:v>1.01</c:v>
                </c:pt>
                <c:pt idx="18">
                  <c:v>0.97000000000000064</c:v>
                </c:pt>
                <c:pt idx="19">
                  <c:v>0.74000000000000365</c:v>
                </c:pt>
                <c:pt idx="20">
                  <c:v>0.6800000000000006</c:v>
                </c:pt>
                <c:pt idx="21">
                  <c:v>0.56000000000000005</c:v>
                </c:pt>
                <c:pt idx="22">
                  <c:v>0.49000000000000032</c:v>
                </c:pt>
                <c:pt idx="23">
                  <c:v>0.49000000000000032</c:v>
                </c:pt>
                <c:pt idx="24">
                  <c:v>0.62000000000000577</c:v>
                </c:pt>
                <c:pt idx="25">
                  <c:v>0.46</c:v>
                </c:pt>
                <c:pt idx="26">
                  <c:v>0.35000000000000031</c:v>
                </c:pt>
                <c:pt idx="27">
                  <c:v>0.43000000000000038</c:v>
                </c:pt>
                <c:pt idx="28">
                  <c:v>0.46</c:v>
                </c:pt>
                <c:pt idx="29">
                  <c:v>0.45</c:v>
                </c:pt>
                <c:pt idx="30">
                  <c:v>0.37000000000000038</c:v>
                </c:pt>
                <c:pt idx="31">
                  <c:v>0.29000000000000031</c:v>
                </c:pt>
                <c:pt idx="32">
                  <c:v>0.25</c:v>
                </c:pt>
                <c:pt idx="33">
                  <c:v>0.37000000000000038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0.47000000000000008</c:v>
                </c:pt>
                <c:pt idx="37">
                  <c:v>0.63000000000000644</c:v>
                </c:pt>
                <c:pt idx="38">
                  <c:v>0.87000000000000577</c:v>
                </c:pt>
                <c:pt idx="39">
                  <c:v>0.96000000000000063</c:v>
                </c:pt>
                <c:pt idx="40">
                  <c:v>0.74000000000000365</c:v>
                </c:pt>
                <c:pt idx="41">
                  <c:v>0.77000000000000624</c:v>
                </c:pt>
                <c:pt idx="42">
                  <c:v>0.9</c:v>
                </c:pt>
                <c:pt idx="43">
                  <c:v>0.83000000000000063</c:v>
                </c:pt>
                <c:pt idx="44">
                  <c:v>0.97000000000000064</c:v>
                </c:pt>
                <c:pt idx="45">
                  <c:v>1.45</c:v>
                </c:pt>
                <c:pt idx="46">
                  <c:v>1.6800000000000115</c:v>
                </c:pt>
                <c:pt idx="47">
                  <c:v>1.5</c:v>
                </c:pt>
                <c:pt idx="48">
                  <c:v>1.7700000000000005</c:v>
                </c:pt>
                <c:pt idx="49">
                  <c:v>1.82</c:v>
                </c:pt>
                <c:pt idx="50">
                  <c:v>1.81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BDA-4094-B148-BBA01B7D35B0}"/>
            </c:ext>
          </c:extLst>
        </c:ser>
        <c:marker val="1"/>
        <c:axId val="108863488"/>
        <c:axId val="108905216"/>
      </c:lineChart>
      <c:catAx>
        <c:axId val="10886348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08905216"/>
        <c:crosses val="autoZero"/>
        <c:auto val="1"/>
        <c:lblAlgn val="ctr"/>
        <c:lblOffset val="100"/>
      </c:catAx>
      <c:valAx>
        <c:axId val="108905216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886348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7013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869B-9D2C-43D9-98D2-ED10A9B58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6E163-2453-45DF-9D11-ED5B12B2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918</Words>
  <Characters>5418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6324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2018-06-20T13:20:00Z</dcterms:created>
  <dcterms:modified xsi:type="dcterms:W3CDTF">2018-06-20T13:32:00Z</dcterms:modified>
</cp:coreProperties>
</file>