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28" w:rsidRPr="009110F7" w:rsidRDefault="00C62828" w:rsidP="00C62828">
      <w:pPr>
        <w:pStyle w:val="Nadpis11"/>
      </w:pPr>
      <w:bookmarkStart w:id="0" w:name="_Toc5708390"/>
      <w:r w:rsidRPr="009110F7">
        <w:t>2. Souhrnná výkonnost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A90F2C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Marginlie"/>
            </w:pPr>
            <w:r>
              <w:t>Růst hrubého domácího produktu loni oslabil…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B83E07" w:rsidRDefault="00A90F2C" w:rsidP="00B42D5F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Hrubý domácí produkt (HDP) loni vzrostl o 2,9 %</w:t>
            </w:r>
            <w:r w:rsidRPr="00B83E07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. To je o 1,6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 xml:space="preserve">. </w:t>
            </w:r>
            <w:proofErr w:type="gramStart"/>
            <w:r>
              <w:rPr>
                <w:spacing w:val="-2"/>
              </w:rPr>
              <w:t>méně</w:t>
            </w:r>
            <w:proofErr w:type="gramEnd"/>
            <w:r>
              <w:rPr>
                <w:spacing w:val="-2"/>
              </w:rPr>
              <w:t xml:space="preserve"> než v roce 2017. Šlo o třetí nejvyšší přírůstek za posledních deset let. Meziroční dynamika v průběhu roku nejprve oslabila (4,2 %, 2,3 %, 2,4 % v 1., 2. a 3. čtvrtletí), ve 4. kvartálu růst opět mírně posílil (2,6 %). Růst HDP v roce 2018 poměrně rovnoměrně podpořily všechny jeho složky. Dominovala domácí poptávka reprezentovaná výdaji na konečnou spotřebu (1,7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>.</w:t>
            </w:r>
            <w:r w:rsidRPr="009110F7">
              <w:rPr>
                <w:rStyle w:val="Znakapoznpodarou"/>
              </w:rPr>
              <w:footnoteReference w:id="2"/>
            </w:r>
            <w:r>
              <w:rPr>
                <w:spacing w:val="-2"/>
              </w:rPr>
              <w:t xml:space="preserve">) a tvorbou hrubého kapitálu (0,8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 xml:space="preserve">.). Zejména na konci roku posílil vliv zahraniční poptávky. Bilance zahraničního obchodu k růstu HDP přispěla 0,4 p. </w:t>
            </w:r>
            <w:proofErr w:type="spellStart"/>
            <w:r>
              <w:rPr>
                <w:spacing w:val="-2"/>
              </w:rPr>
              <w:t>b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Mezičtvrtletní</w:t>
            </w:r>
            <w:proofErr w:type="spellEnd"/>
            <w:r>
              <w:rPr>
                <w:spacing w:val="-2"/>
              </w:rPr>
              <w:t xml:space="preserve"> dynamika HDP v průběhu roku dosahovala poměrně solidní úrovně a zrychlila v jeho druhé polovině (0,6 %, 0,5 %, 0,7 % a 0,8 % v jednotlivých čtvrtletích). Hrubá přidaná hodnota (HPH) vzrostla loni o 3,0 %. Růst podporovala zejména odvětví služeb, kterým svědčila silná domácí poptávka. Váhově dominantnímu zpracovatelskému průmyslu se nadále dařilo, jeho příspěvek k růstu HPH </w:t>
            </w:r>
            <w:r w:rsidR="00B42D5F">
              <w:rPr>
                <w:spacing w:val="-2"/>
              </w:rPr>
              <w:t xml:space="preserve">byl </w:t>
            </w:r>
            <w:r>
              <w:rPr>
                <w:spacing w:val="-2"/>
              </w:rPr>
              <w:t xml:space="preserve">však nižší než v předchozím roce. Ve 4. čtvrtletí dosáhl meziroční přírůstek HPH 2,9 %.          </w:t>
            </w:r>
          </w:p>
        </w:tc>
      </w:tr>
      <w:tr w:rsidR="00A90F2C" w:rsidRPr="009110F7" w:rsidTr="004F1469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41745D" w:rsidRDefault="00A90F2C" w:rsidP="0033709C">
            <w:pPr>
              <w:spacing w:after="0"/>
              <w:rPr>
                <w:b/>
              </w:rPr>
            </w:pPr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proofErr w:type="gramStart"/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 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(objemové indexy, očištěno o sezónní a kalendářní vlivy,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A90F2C" w:rsidRPr="009110F7" w:rsidTr="004F146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spacing w:after="0"/>
            </w:pPr>
            <w:r w:rsidRPr="006F45C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90F2C" w:rsidRPr="009110F7" w:rsidTr="004F146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9110F7" w:rsidRDefault="00A90F2C" w:rsidP="00B83E07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A90F2C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Marginlie"/>
            </w:pPr>
            <w:r>
              <w:t>… podobně jako v EU.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Default="00A90F2C" w:rsidP="00B42D5F">
            <w:r>
              <w:t xml:space="preserve">Celkový nárůst HDP v Evropské unii v roce 2018 činil 1,9 % a v porovnání s rokem 2017 došlo ke zpomalení o 0,5 p. </w:t>
            </w:r>
            <w:proofErr w:type="spellStart"/>
            <w:r>
              <w:t>b</w:t>
            </w:r>
            <w:proofErr w:type="spellEnd"/>
            <w:r>
              <w:t>. Zatímco dynamika výdajů na konečnou spotřebu v EU (1,5 %) byla slabší než celkový růst HDP, kapitálové výdaje rostly poměrně silně (3,8 %). Investiční aktivita byla výrazná zejména u novějších členů Unie. Kombinace silného růstu investic a spotřebních výdajů způsobila, že na druhém až třináctém místě žebříčku nejrych</w:t>
            </w:r>
            <w:r w:rsidR="00B42D5F">
              <w:t xml:space="preserve">leji rostoucích ekonomik EU se </w:t>
            </w:r>
            <w:r>
              <w:t xml:space="preserve">řadili pouze noví členové. Na první příčce je stejně jako v roce 2017 Irsko (6,7 %), dále </w:t>
            </w:r>
            <w:r w:rsidR="00B42D5F">
              <w:t>M</w:t>
            </w:r>
            <w:r>
              <w:t xml:space="preserve">alta (6,6 %) a Polsko (5,1 %). Ve 4. čtvrtletí se oproti předchozímu kvartálu zvýšil HDP Unie o 0,3 %. Meziroční přírůstek dosáhl 1,4 %. Poměrně výrazný propad </w:t>
            </w:r>
            <w:r>
              <w:lastRenderedPageBreak/>
              <w:t xml:space="preserve">meziročního tempa lze spojit i se stagnací největší ekonomiky EU </w:t>
            </w:r>
            <w:r w:rsidR="001F4826">
              <w:br/>
            </w:r>
            <w:r>
              <w:t xml:space="preserve">– Německa. Zde meziroční dynamika činila 0,6 %, ekonomický růst byl druhý nejnižší v Unii. Meziročně nezměněn zůstal HDP Itálie, o 1,0 % vzrostla ekonomika </w:t>
            </w:r>
            <w:r w:rsidR="009E1A3D">
              <w:t>Francie</w:t>
            </w:r>
            <w:r>
              <w:t xml:space="preserve">. Nejvyšší meziroční přírůstek ve 4. čtvrtletí měly Malta (7,4 %), Lotyšsko </w:t>
            </w:r>
            <w:r w:rsidR="00557E45">
              <w:br/>
            </w:r>
            <w:r>
              <w:t xml:space="preserve">(5,6 %) a Maďarsko (4,9 %).  </w:t>
            </w:r>
          </w:p>
        </w:tc>
      </w:tr>
      <w:tr w:rsidR="00A90F2C" w:rsidRPr="009110F7" w:rsidTr="004F1469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A90F2C" w:rsidRDefault="00A90F2C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41745D" w:rsidRDefault="00A90F2C" w:rsidP="0033709C">
            <w:pPr>
              <w:spacing w:after="0"/>
              <w:rPr>
                <w:b/>
                <w:sz w:val="18"/>
                <w:szCs w:val="18"/>
              </w:rPr>
            </w:pPr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Graf </w:t>
            </w:r>
            <w:proofErr w:type="gramStart"/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č. 2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(objemové indexy, očištěno o sezónní a kalendářní vlivy, meziročně v %, pravá osa) a indikátory důvěry (2005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=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100, levá osa)</w:t>
            </w:r>
          </w:p>
        </w:tc>
      </w:tr>
      <w:tr w:rsidR="00A90F2C" w:rsidRPr="009110F7" w:rsidTr="004F146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spacing w:after="0"/>
            </w:pPr>
            <w:r w:rsidRPr="006F45C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90F2C" w:rsidRPr="009110F7" w:rsidTr="004F146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A90F2C" w:rsidRPr="009110F7" w:rsidRDefault="00A90F2C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D70289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407711">
            <w:pPr>
              <w:pStyle w:val="Marginlie"/>
            </w:pPr>
            <w:r>
              <w:t xml:space="preserve">Nárůst objemu vyplacených mezd a platů loni dosáhl nejvyšší hodnoty za posledních dvacet let.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r>
              <w:t xml:space="preserve">Objem vyplacených mezd a platů loni vzrostl o 9,3 % oproti předchozímu roku. To je nejvíce od roku 1996. Zaměstnanost se zároveň </w:t>
            </w:r>
            <w:r w:rsidRPr="00EA5C7F">
              <w:t xml:space="preserve">zvýšila </w:t>
            </w:r>
            <w:r>
              <w:t>o 1,6 %</w:t>
            </w:r>
            <w:r w:rsidRPr="00B83E07">
              <w:rPr>
                <w:rStyle w:val="Znakapoznpodarou"/>
                <w:spacing w:val="-2"/>
              </w:rPr>
              <w:footnoteReference w:id="3"/>
            </w:r>
            <w:r>
              <w:t xml:space="preserve">, nárůst objemu vyplacených prostředků se tedy promítl do průměrné mzdy. Reálně se loni objem mezd a platů </w:t>
            </w:r>
            <w:r w:rsidRPr="00EA5C7F">
              <w:t>zvýšil</w:t>
            </w:r>
            <w:r>
              <w:t xml:space="preserve"> o 6,6 %</w:t>
            </w:r>
            <w:r w:rsidRPr="00B83E07">
              <w:rPr>
                <w:rStyle w:val="Znakapoznpodarou"/>
                <w:spacing w:val="-2"/>
              </w:rPr>
              <w:footnoteReference w:id="4"/>
            </w:r>
            <w:r>
              <w:t>. V samotném 4. čtvrtletí meziroční přírůstek objemu mezd a platů činil 7,5 %, tedy nejméně od 1. čtvrtletí 2017. Reálný nárůst činil stále solidních 4,8 %. Silný růst mezd a platů v loňském roce probíhal napříč odvětvími. Ve zpracovatelském průmyslu se objem mzdových prostředků zvýšil o 8,1 %, v obchodě, dopravě, u</w:t>
            </w:r>
            <w:r w:rsidR="00B42D5F">
              <w:t>bytování a pohostinství o 9,1 %;</w:t>
            </w:r>
            <w:r>
              <w:t xml:space="preserve"> ke zrychlení na 10,6 % </w:t>
            </w:r>
            <w:r>
              <w:br/>
              <w:t xml:space="preserve">(za současného nárůstu zaměstnanosti o 4,6 %) došlo u informačních </w:t>
            </w:r>
            <w:r>
              <w:br/>
              <w:t>a komunikačních služeb. Dvouciferného růstu mezd a platů se dočkaly činnosti v oblasti nemovitostí (12,3 %) a na silný rok 2017 navázala odvětví s dominancí veřejného sektoru</w:t>
            </w:r>
            <w:r>
              <w:rPr>
                <w:rStyle w:val="Znakapoznpodarou"/>
                <w:spacing w:val="-2"/>
              </w:rPr>
              <w:footnoteReference w:id="5"/>
            </w:r>
            <w:r>
              <w:t xml:space="preserve"> (12,0 %). Na 6,9 % zrychlil růst objemu vyplacených mezd </w:t>
            </w:r>
            <w:r>
              <w:br/>
              <w:t xml:space="preserve">ve stavebnictví (při poklesu zaměstnanosti o 0,4 %). Nejpomaleji se zvyšovaly mzdy a platy v peněžnictví a pojišťovnictví (5,9 %), na rozdíl od zbytku ekonomiky zde nijak nerostla zaměstnanost. Ve 4. čtvrtletí meziroční dynamika objemu mezd </w:t>
            </w:r>
            <w:r>
              <w:br/>
              <w:t xml:space="preserve">a platů napříč odvětvími zpomalovala (nejvýrazněji u činností v oblasti nemovitostí na 8,1 %, u odvětví s dominancí veřejného sektoru na 7,4 %). Výjimkou bylo uskupení obchod, doprava, ubytování a stravování, kde tempo zrychlilo na 9,0 %. Rekordní tempo růstu objemu mezd a platů se neobešlo bez částečných změn ve </w:t>
            </w:r>
            <w:r>
              <w:lastRenderedPageBreak/>
              <w:t>struktuře rozdělování vytvořené hrubé přidané hodnoty. I proto míra zisku nefinančních podniků</w:t>
            </w:r>
            <w:r>
              <w:rPr>
                <w:rStyle w:val="Znakapoznpodarou"/>
              </w:rPr>
              <w:footnoteReference w:id="6"/>
            </w:r>
            <w:r>
              <w:t xml:space="preserve"> loni klesla na 47,0 %, nejméně v dostupné časové řadě. Ve srovnání s průměrem EU (dlouhodobě kolísá okolo 40 %) však zůstává tento ukazatel nadprůměrný.</w:t>
            </w:r>
          </w:p>
        </w:tc>
      </w:tr>
      <w:tr w:rsidR="00D70289" w:rsidRPr="009110F7" w:rsidTr="004F1469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41745D" w:rsidRDefault="00D70289" w:rsidP="0033709C">
            <w:pPr>
              <w:spacing w:after="0"/>
              <w:rPr>
                <w:b/>
                <w:sz w:val="18"/>
                <w:szCs w:val="18"/>
              </w:rPr>
            </w:pPr>
            <w:r w:rsidRPr="0041745D">
              <w:rPr>
                <w:b/>
                <w:sz w:val="18"/>
                <w:szCs w:val="18"/>
              </w:rPr>
              <w:t xml:space="preserve">Graf </w:t>
            </w:r>
            <w:proofErr w:type="gramStart"/>
            <w:r w:rsidRPr="0041745D">
              <w:rPr>
                <w:b/>
                <w:sz w:val="18"/>
                <w:szCs w:val="18"/>
              </w:rPr>
              <w:t xml:space="preserve">č. 3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výdajových složek k reálné změně HDP* (objemové indexy, meziroční růst, příspěvky v p. </w:t>
            </w:r>
            <w:proofErr w:type="spellStart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b</w:t>
            </w:r>
            <w:proofErr w:type="spell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., HDP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70289" w:rsidRPr="009110F7" w:rsidTr="004F146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spacing w:after="0"/>
            </w:pPr>
            <w:r w:rsidRPr="006F45C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70289" w:rsidRPr="009110F7" w:rsidTr="004F146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D70289" w:rsidRPr="009110F7" w:rsidRDefault="00D70289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D70289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t xml:space="preserve">Spotřeba zůstala klíčovým </w:t>
            </w:r>
            <w:proofErr w:type="spellStart"/>
            <w:r>
              <w:t>prorůstovým</w:t>
            </w:r>
            <w:proofErr w:type="spellEnd"/>
            <w:r>
              <w:t xml:space="preserve"> faktorem. V případě domácností její meziroční dynamika na konci roku zpomalovala.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B83E07" w:rsidRDefault="00D70289" w:rsidP="000622A6">
            <w:pPr>
              <w:rPr>
                <w:spacing w:val="-2"/>
              </w:rPr>
            </w:pPr>
            <w:r>
              <w:t xml:space="preserve">Celkový růst výdajů na konečnou spotřebu v roce 2018 dosáhl 3,3 %. Dynamika spotřeby se tak držela nad 3% hranicí již čtyři roky v řadě. Spotřeba domácností vzrostla o 3,1 % a vládních institucí o 3,7 % (nejvíce od roku 2003). V samotném 4. čtvrtletí se celková spotřeba meziročně zvýšila o 2,6 % (pod 3 % se dynamika dostala po 14 čtvrtletích). Oslabení růstu způsobil zejména mírnější přírůstek výdajů domácností (2,2 %, nejméně od 3. čtvrtletí 2014), který znamenal i nižší příspěvek k růstu HDP (0,6 p. </w:t>
            </w:r>
            <w:proofErr w:type="spellStart"/>
            <w:r>
              <w:t>b</w:t>
            </w:r>
            <w:proofErr w:type="spellEnd"/>
            <w:r>
              <w:t xml:space="preserve">.). Naopak vládní instituce na spotřebu vydaly meziročně o 3,6 % více, čímž přispěly k růstu 0,7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</w:p>
        </w:tc>
      </w:tr>
      <w:tr w:rsidR="00D70289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t>Domácnosti v loňském roce více spořily.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B42D5F">
            <w:r>
              <w:t>Pomalejší dynamika spotřeby domácností se v minulém roce objevila navzdory rekordnímu růstu průměrné mzdy. Domácnosti totiž výraznější část příjmů uspořily. Míra úspor</w:t>
            </w:r>
            <w:r>
              <w:rPr>
                <w:rStyle w:val="Znakapoznpodarou"/>
              </w:rPr>
              <w:footnoteReference w:id="7"/>
            </w:r>
            <w:r>
              <w:t xml:space="preserve"> loni dosáhla 10,8 %. Ačkoli jde z dlouhodobého pohledu o poměrně nízké číslo (obvykle míra úspor přesahuje 11 %), jde o výrazný nárůst v porovnání s rekordně nízkou hodnotou roku 2017 (9,5 %). Průměrný měsíční příjem domácností na osobu</w:t>
            </w:r>
            <w:r>
              <w:rPr>
                <w:rStyle w:val="Znakapoznpodarou"/>
              </w:rPr>
              <w:footnoteReference w:id="8"/>
            </w:r>
            <w:r>
              <w:t xml:space="preserve"> loni dosáhl 26 389 korun a meziročně se zvýšil o 1 810 korun, což je nejvýraznější nominální nárůst za celou dostupnou časovou řadu. Reálný nárůst příjmů domácností na obyvatele loni dosáhl 4,7 % (upraveno </w:t>
            </w:r>
            <w:r>
              <w:lastRenderedPageBreak/>
              <w:t>deflátorem výdajů na konečnou spotřebu domácností za rok 2018).  Součástí t</w:t>
            </w:r>
            <w:r w:rsidR="00B42D5F">
              <w:t>ěchto</w:t>
            </w:r>
            <w:r>
              <w:t xml:space="preserve"> příjm</w:t>
            </w:r>
            <w:r w:rsidR="00B42D5F">
              <w:t>ů</w:t>
            </w:r>
            <w:r>
              <w:t xml:space="preserve"> jsou i naturální sociální transfery</w:t>
            </w:r>
            <w:r>
              <w:rPr>
                <w:rStyle w:val="Znakapoznpodarou"/>
              </w:rPr>
              <w:footnoteReference w:id="9"/>
            </w:r>
            <w:r>
              <w:t>. Jejich průměrná měsíční hodnota na obyvatele dosáhla loni 4 689 korun a na celkových příjmech domácností se podílela 17,8 %.</w:t>
            </w:r>
          </w:p>
        </w:tc>
      </w:tr>
      <w:tr w:rsidR="00D70289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lastRenderedPageBreak/>
              <w:t>Investiční výdaje loni silně rostly u domácností, vládních institucí i nefinančních podniků.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r>
              <w:t xml:space="preserve">Výdaje na tvorbu hrubého kapitálu loni vzrostly o 5,7 %. Výdaje na fixní kapitál, které v národních účtech reprezentují investice, se přitom zvýšily o 10,4 % (a jejich příspěvek k růstu HDP činil 2,0 p. </w:t>
            </w:r>
            <w:proofErr w:type="spellStart"/>
            <w:r>
              <w:t>b</w:t>
            </w:r>
            <w:proofErr w:type="spellEnd"/>
            <w:r>
              <w:t>.). Negativně působila změna zásob</w:t>
            </w:r>
            <w:r>
              <w:rPr>
                <w:rStyle w:val="Znakapoznpodarou"/>
              </w:rPr>
              <w:footnoteReference w:id="10"/>
            </w:r>
            <w:r>
              <w:t xml:space="preserve"> (-1,2 p. </w:t>
            </w:r>
            <w:proofErr w:type="spellStart"/>
            <w:r>
              <w:t>b</w:t>
            </w:r>
            <w:proofErr w:type="spellEnd"/>
            <w:r>
              <w:t>.). Ve 4. čtvrtletí investiční výdaje vzrostly o 10,4 %. Zároveň došlo poprvé od 2. kvartálu 2016 k </w:t>
            </w:r>
            <w:proofErr w:type="spellStart"/>
            <w:r>
              <w:t>mezičtvrtletnímu</w:t>
            </w:r>
            <w:proofErr w:type="spellEnd"/>
            <w:r>
              <w:t xml:space="preserve"> poklesu o 0,2 %. </w:t>
            </w:r>
            <w:proofErr w:type="spellStart"/>
            <w:r>
              <w:t>Mezičtvrtletní</w:t>
            </w:r>
            <w:proofErr w:type="spellEnd"/>
            <w:r>
              <w:t xml:space="preserve"> dynamika tvorby hrubého fixního kapitálu v 1. až 3. čtvrtletí přitom dosahovala velmi vysoké úrovně (4,6 %, 2,7 % a 2,9 %). Z hlediska jednotlivých sektorů loni k růstu výdajů na tvorbu hrubého fixního kapitálu více než z poloviny přispěly nefinanční podniky, jejichž investice se nominálně zvýšily o 9,7 %. Míra investic</w:t>
            </w:r>
            <w:r>
              <w:rPr>
                <w:rStyle w:val="Znakapoznpodarou"/>
              </w:rPr>
              <w:footnoteReference w:id="11"/>
            </w:r>
            <w:r>
              <w:t xml:space="preserve"> nefinančních podniků se tak meziročně zvýšila o 1,5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na</w:t>
            </w:r>
            <w:proofErr w:type="gramEnd"/>
            <w:r>
              <w:t xml:space="preserve"> 29,6 % (nejvíce od roku 2013). Druhý nejvyšší příspěvek měl sektor vládních institucí. Na jeho investiční aktivitě (nominální nárůst o 27,7 %) se mimo jiné projevil cyklus čerpání prostředků z evropských fondů (nutnost dočerpání ke konci roku). Poměrně výrazný příspěvek měly i domácnosti, které proinvestovaly o 9,5 % prostředků více než v roce 2017. Míra investic</w:t>
            </w:r>
            <w:r>
              <w:rPr>
                <w:rStyle w:val="Znakapoznpodarou"/>
              </w:rPr>
              <w:footnoteReference w:id="12"/>
            </w:r>
            <w:r>
              <w:t xml:space="preserve"> u nich rostla pátým rokem v řadě a dosáhla 9,4 % (nejvíce od roku 2010). Naopak finanční instituce, které v letech 2015 až 2017 výrazně navyšovaly výdaje na tvorbu fixního kapitálu, loni na tento trend nenavázaly (pokles o 15,3 %).</w:t>
            </w:r>
          </w:p>
        </w:tc>
      </w:tr>
      <w:tr w:rsidR="00D70289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t>Investice do ostatních budov a staveb ovlivnilo zvýšení aktivity sektoru vládních institucí.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CD1CB5">
            <w:r>
              <w:t>Nejvýrazněji v loňském roce narůstaly investice do ostatních budov a staveb</w:t>
            </w:r>
            <w:r w:rsidRPr="009110F7">
              <w:rPr>
                <w:rStyle w:val="Znakapoznpodarou"/>
              </w:rPr>
              <w:footnoteReference w:id="13"/>
            </w:r>
            <w:r>
              <w:t xml:space="preserve"> (14,4 %). Dynamika položky, u které má výraznou roli sektor vládních institucí, </w:t>
            </w:r>
            <w:r>
              <w:br/>
              <w:t xml:space="preserve">od počátku roku zrychlovala. Ve 4. čtvrtletí došlo k mírnému zpomalení </w:t>
            </w:r>
            <w:r w:rsidR="00B42D5F">
              <w:t>meziročního přírůstku na 13,1 %;</w:t>
            </w:r>
            <w:r>
              <w:t xml:space="preserve"> stojí za tím zejména vysoká základna předchozího roku. </w:t>
            </w:r>
            <w:r>
              <w:br/>
              <w:t xml:space="preserve">Na výsledcích se podepsalo hlavně zrychlené čerpání evropských fondů. Pokračoval dvouciferný růst investic do obydlí (12,8 %). Dynamika se udržela po celý rok. Ve 4. čtvrtletí investice do obydlí meziročně vzrostly o 12,1 %. Posílení investiční aktivity se týkalo i podniků. To je patrné zejména na nárůstu investic do ICT </w:t>
            </w:r>
            <w:r>
              <w:br/>
              <w:t xml:space="preserve">a ostatních strojů a zařízení o 10,1 % (v roce 2017 to bylo 3,3 %). Ve 4. kvartálu zde došlo ke zrychlení na 14,4 %. Loni zrychlil i růst výdajů na dopravní prostředky </w:t>
            </w:r>
            <w:r>
              <w:br/>
              <w:t xml:space="preserve">a zařízení na 8,8 %. Přírůstku ve výši 4,8 % dosáhly investice do produktů duševního vlastnictví.         </w:t>
            </w:r>
          </w:p>
        </w:tc>
      </w:tr>
      <w:tr w:rsidR="00D70289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t>Zejména v závěru roku zesílil příspěvek salda zahraničního obchodu k růstu HDP.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F9644E">
            <w:r>
              <w:t>Bilance zahraničního obchodu se zbožím a službami v roce 2018 dosáhla 331,9 mld. korun</w:t>
            </w:r>
            <w:r w:rsidRPr="009110F7">
              <w:rPr>
                <w:rStyle w:val="Znakapoznpodarou"/>
              </w:rPr>
              <w:footnoteReference w:id="14"/>
            </w:r>
            <w:r>
              <w:t xml:space="preserve">. To je o 49,8 mld. méně než v předchozím roce. Propad nastal téměř výhradně u obchodu se zbožím (přebytek 205,4 mld.). Přebytek obchodu se službami zůstal prakticky nezměněn (126,6 mld.). Ve 4. čtvrtletí činil přebytek </w:t>
            </w:r>
            <w:r>
              <w:lastRenderedPageBreak/>
              <w:t xml:space="preserve">87,4 mld. korun a meziročně poklesl o 8,8 mld. Příspěvek salda zahraničního obchodu k růstu ale v závěru roku zesílil na 0,9 p. </w:t>
            </w:r>
            <w:proofErr w:type="spellStart"/>
            <w:r>
              <w:t>b</w:t>
            </w:r>
            <w:proofErr w:type="spellEnd"/>
            <w:r>
              <w:t xml:space="preserve">. Vývoz i dovoz loni meziročně rostl. Výsledné saldo však poznamenala skutečnost, že zvýšení poptávky bylo z velké části saturováno importem. To platilo pro spotřebu domácností (příspěvek k růstu HDP 1,5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bez</w:t>
            </w:r>
            <w:proofErr w:type="gramEnd"/>
            <w:r>
              <w:t xml:space="preserve"> vyloučení dovozu pro konečné užití, 1,0 p. </w:t>
            </w:r>
            <w:proofErr w:type="spellStart"/>
            <w:r>
              <w:t>b</w:t>
            </w:r>
            <w:proofErr w:type="spellEnd"/>
            <w:r>
              <w:t xml:space="preserve">. po vyloučení) i investiční aktivitu (2,6 p. </w:t>
            </w:r>
            <w:proofErr w:type="spellStart"/>
            <w:r>
              <w:t>b</w:t>
            </w:r>
            <w:proofErr w:type="spellEnd"/>
            <w:r>
              <w:t xml:space="preserve">. bez vyloučení, 2,0 p. </w:t>
            </w:r>
            <w:proofErr w:type="spellStart"/>
            <w:r>
              <w:t>b</w:t>
            </w:r>
            <w:proofErr w:type="spellEnd"/>
            <w:r>
              <w:t>. po vyloučení).</w:t>
            </w:r>
          </w:p>
        </w:tc>
      </w:tr>
      <w:tr w:rsidR="00D70289" w:rsidRPr="009110F7" w:rsidTr="004F14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  <w:r>
              <w:lastRenderedPageBreak/>
              <w:t>Domácí poptávka pozitivně stimulovala především odvětví služeb. Vliv zpracovatelského průmyslu na růst HPH byl tentokrát mírnější.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530AD4">
            <w:r>
              <w:t>Růst hrubé přidané hodnoty v roce 2018 podporovala zejména odvětví služeb (1,8 p. </w:t>
            </w:r>
            <w:proofErr w:type="spellStart"/>
            <w:r>
              <w:t>b</w:t>
            </w:r>
            <w:proofErr w:type="spellEnd"/>
            <w:r>
              <w:t xml:space="preserve">.). Stejně silně působily služby ve 4. čtvrtletí. Z nich nejvýrazněji se loni projevilo váhově dominantní uskupení obchod, doprava, ubytování a pohostinství (0,8 p. </w:t>
            </w:r>
            <w:proofErr w:type="spellStart"/>
            <w:r>
              <w:t>b</w:t>
            </w:r>
            <w:proofErr w:type="spellEnd"/>
            <w:r>
              <w:t xml:space="preserve">., růst o 4,1 %). Druhý největší příspěvek (0,4 p. </w:t>
            </w:r>
            <w:proofErr w:type="spellStart"/>
            <w:r>
              <w:t>b</w:t>
            </w:r>
            <w:proofErr w:type="spellEnd"/>
            <w:r>
              <w:t xml:space="preserve">.) měly informační </w:t>
            </w:r>
            <w:r>
              <w:br/>
              <w:t xml:space="preserve">a komunikační činnosti, které v posledních dvou letech zažívají nadprůměrný růst HPH (loni 6,7 %) a rostou již šest let v řadě. Příspěvek o velikosti 0,3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mělo</w:t>
            </w:r>
            <w:proofErr w:type="gramEnd"/>
            <w:r>
              <w:t xml:space="preserve"> peněžnictví a pojišťovnictví. Zpracovatelský průmysl, který byl hlavní</w:t>
            </w:r>
            <w:r w:rsidRPr="00EA5C7F">
              <w:t xml:space="preserve"> </w:t>
            </w:r>
            <w:proofErr w:type="spellStart"/>
            <w:r>
              <w:t>prorůstovou</w:t>
            </w:r>
            <w:proofErr w:type="spellEnd"/>
            <w:r>
              <w:t xml:space="preserve"> silou v předchozích letech, byl více v pozadí (příspěvek 0,9 p. </w:t>
            </w:r>
            <w:proofErr w:type="spellStart"/>
            <w:r>
              <w:t>b</w:t>
            </w:r>
            <w:proofErr w:type="spellEnd"/>
            <w:r>
              <w:t xml:space="preserve">., navýšení o 3,4 %). Po celý rok na dynamiku HPH pozitivně působilo stavebnictví (celkově 0,4 p. </w:t>
            </w:r>
            <w:proofErr w:type="spellStart"/>
            <w:r>
              <w:t>b</w:t>
            </w:r>
            <w:proofErr w:type="spellEnd"/>
            <w:r>
              <w:t>.). Jeho HPH vzrostla o 6,7 %, což je nejvíce od roku 2004. Až letos se zde podařilo překonat nominální úroveň HPH roku 2010</w:t>
            </w:r>
            <w:r>
              <w:rPr>
                <w:rStyle w:val="Znakapoznpodarou"/>
              </w:rPr>
              <w:footnoteReference w:id="15"/>
            </w:r>
            <w:r>
              <w:t xml:space="preserve">. </w:t>
            </w:r>
          </w:p>
        </w:tc>
      </w:tr>
      <w:tr w:rsidR="00D70289" w:rsidRPr="009110F7" w:rsidTr="004F1469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Default="00D70289" w:rsidP="0033709C">
            <w:pPr>
              <w:spacing w:after="0"/>
            </w:pPr>
            <w:r w:rsidRPr="00A85DE1">
              <w:rPr>
                <w:b/>
                <w:sz w:val="18"/>
                <w:szCs w:val="18"/>
              </w:rPr>
              <w:t xml:space="preserve">Graf </w:t>
            </w:r>
            <w:proofErr w:type="gramStart"/>
            <w:r w:rsidRPr="00A85DE1">
              <w:rPr>
                <w:b/>
                <w:sz w:val="18"/>
                <w:szCs w:val="18"/>
              </w:rPr>
              <w:t xml:space="preserve">č. 4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odvětví k reálné změně HPH (objemové indexy, meziroční příspěvky v p. </w:t>
            </w:r>
            <w:proofErr w:type="spellStart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b</w:t>
            </w:r>
            <w:proofErr w:type="spell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., HPH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70289" w:rsidRPr="009110F7" w:rsidTr="004F146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spacing w:after="0"/>
            </w:pPr>
            <w:r w:rsidRPr="006F45C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6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D70289" w:rsidRPr="009110F7" w:rsidTr="004F1469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D70289" w:rsidRPr="009110F7" w:rsidRDefault="00D70289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D70289" w:rsidRPr="009110F7" w:rsidRDefault="00D70289" w:rsidP="00E54698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4F1469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D1" w:rsidRDefault="00C41BD1" w:rsidP="00E71A58">
      <w:r>
        <w:separator/>
      </w:r>
    </w:p>
  </w:endnote>
  <w:endnote w:type="continuationSeparator" w:id="0">
    <w:p w:rsidR="00C41BD1" w:rsidRDefault="00C41BD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37C7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FF37C7" w:rsidRPr="00932443">
      <w:rPr>
        <w:szCs w:val="16"/>
      </w:rPr>
      <w:fldChar w:fldCharType="separate"/>
    </w:r>
    <w:r w:rsidR="004F1469">
      <w:rPr>
        <w:szCs w:val="16"/>
      </w:rPr>
      <w:t>6</w:t>
    </w:r>
    <w:r w:rsidR="00FF37C7"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="00FF37C7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FF37C7" w:rsidRPr="00932443">
      <w:rPr>
        <w:rStyle w:val="ZpatChar"/>
        <w:szCs w:val="16"/>
      </w:rPr>
      <w:fldChar w:fldCharType="separate"/>
    </w:r>
    <w:r w:rsidR="004F1469">
      <w:rPr>
        <w:rStyle w:val="ZpatChar"/>
        <w:szCs w:val="16"/>
      </w:rPr>
      <w:t>5</w:t>
    </w:r>
    <w:r w:rsidR="00FF37C7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D1" w:rsidRDefault="00C41BD1" w:rsidP="00E71A58">
      <w:r>
        <w:separator/>
      </w:r>
    </w:p>
  </w:footnote>
  <w:footnote w:type="continuationSeparator" w:id="0">
    <w:p w:rsidR="00C41BD1" w:rsidRDefault="00C41BD1" w:rsidP="00E71A58">
      <w:r>
        <w:continuationSeparator/>
      </w:r>
    </w:p>
  </w:footnote>
  <w:footnote w:id="1">
    <w:p w:rsidR="00B42D5F" w:rsidRPr="00EF1EE3" w:rsidRDefault="00B42D5F" w:rsidP="0033709C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po</w:t>
      </w:r>
      <w:r w:rsidRPr="00EF1EE3">
        <w:rPr>
          <w:sz w:val="16"/>
          <w:szCs w:val="16"/>
        </w:rPr>
        <w:t> 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jsou platné ke 2. 4. 2019</w:t>
      </w:r>
      <w:r w:rsidRPr="00EF1EE3">
        <w:rPr>
          <w:sz w:val="16"/>
          <w:szCs w:val="16"/>
        </w:rPr>
        <w:t>.</w:t>
      </w:r>
    </w:p>
  </w:footnote>
  <w:footnote w:id="2">
    <w:p w:rsidR="00B42D5F" w:rsidRPr="009C6EA8" w:rsidRDefault="00B42D5F" w:rsidP="0033709C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3">
    <w:p w:rsidR="00B42D5F" w:rsidRDefault="00B42D5F" w:rsidP="0033709C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 xml:space="preserve"> pojetí národních účtů, </w:t>
      </w:r>
      <w:r>
        <w:rPr>
          <w:sz w:val="16"/>
          <w:szCs w:val="16"/>
        </w:rPr>
        <w:t xml:space="preserve">údaj o osobách i odpracovaných hodinách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4">
    <w:p w:rsidR="00B42D5F" w:rsidRPr="009C6EA8" w:rsidRDefault="00B42D5F" w:rsidP="0033709C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5">
    <w:p w:rsidR="00B42D5F" w:rsidRPr="00771972" w:rsidRDefault="00B42D5F" w:rsidP="0033709C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 obrana, vzdělávání, zdravotní a sociální péče.</w:t>
      </w:r>
    </w:p>
  </w:footnote>
  <w:footnote w:id="6">
    <w:p w:rsidR="00B42D5F" w:rsidRPr="001553B8" w:rsidRDefault="00B42D5F" w:rsidP="001553B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1553B8">
        <w:rPr>
          <w:rStyle w:val="Znakapoznpodarou"/>
          <w:rFonts w:cs="Arial"/>
          <w:sz w:val="16"/>
          <w:szCs w:val="16"/>
        </w:rPr>
        <w:footnoteRef/>
      </w:r>
      <w:r w:rsidRPr="001553B8">
        <w:rPr>
          <w:rFonts w:cs="Arial"/>
          <w:sz w:val="16"/>
          <w:szCs w:val="16"/>
        </w:rPr>
        <w:t xml:space="preserve"> </w:t>
      </w:r>
      <w:r w:rsidRPr="001553B8">
        <w:rPr>
          <w:rFonts w:eastAsia="Calibr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1553B8">
        <w:rPr>
          <w:rFonts w:eastAsia="Calibri" w:cs="Arial"/>
          <w:iCs/>
          <w:sz w:val="16"/>
          <w:szCs w:val="16"/>
          <w:lang w:eastAsia="en-US"/>
        </w:rPr>
        <w:t>je definována jako podíl hrubého provozního přebytku k hrubé přidané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553B8">
        <w:rPr>
          <w:rFonts w:eastAsia="Calibri" w:cs="Arial"/>
          <w:iCs/>
          <w:sz w:val="16"/>
          <w:szCs w:val="16"/>
          <w:lang w:eastAsia="en-US"/>
        </w:rPr>
        <w:t>hodnotě (B.2g/B.1g). Tento ukazatel reprezentuje ziskovost výrobních faktorů z výrobního procesu.</w:t>
      </w:r>
    </w:p>
  </w:footnote>
  <w:footnote w:id="7">
    <w:p w:rsidR="00B42D5F" w:rsidRPr="003D6F54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3D6F54">
        <w:rPr>
          <w:rStyle w:val="Znakapoznpodarou"/>
          <w:rFonts w:cs="Arial"/>
          <w:sz w:val="16"/>
          <w:szCs w:val="16"/>
        </w:rPr>
        <w:footnoteRef/>
      </w:r>
      <w:r w:rsidRPr="003D6F54">
        <w:rPr>
          <w:rFonts w:cs="Arial"/>
          <w:sz w:val="16"/>
          <w:szCs w:val="16"/>
        </w:rPr>
        <w:t xml:space="preserve"> </w:t>
      </w:r>
      <w:r w:rsidRPr="003D6F54">
        <w:rPr>
          <w:rFonts w:eastAsia="Calibri" w:cs="Arial"/>
          <w:bCs/>
          <w:iCs/>
          <w:sz w:val="16"/>
          <w:szCs w:val="16"/>
          <w:lang w:eastAsia="en-US"/>
        </w:rPr>
        <w:t xml:space="preserve">Míra úspor domácností </w:t>
      </w:r>
      <w:r w:rsidRPr="003D6F54">
        <w:rPr>
          <w:rFonts w:eastAsia="Calibri" w:cs="Arial"/>
          <w:iCs/>
          <w:sz w:val="16"/>
          <w:szCs w:val="16"/>
          <w:lang w:eastAsia="en-US"/>
        </w:rPr>
        <w:t>je definována jako podíl hrubých úspor a hrubého disponibilního důchodu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se zahrnutím úpravy o čistý podíl domácností na rezervách penzijních fondů (B.8g/(B.6g+D.8)). Hrubé úspory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představují část hrubého disponibilního důchodu, který nebyl spotřebován ve formě výdajů na konečnou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spotřebu.</w:t>
      </w:r>
    </w:p>
  </w:footnote>
  <w:footnote w:id="8">
    <w:p w:rsidR="00B42D5F" w:rsidRPr="001003BB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1003BB">
        <w:rPr>
          <w:rStyle w:val="Znakapoznpodarou"/>
          <w:rFonts w:cs="Arial"/>
          <w:sz w:val="16"/>
          <w:szCs w:val="16"/>
        </w:rPr>
        <w:footnoteRef/>
      </w:r>
      <w:r w:rsidRPr="001003BB">
        <w:rPr>
          <w:rFonts w:cs="Arial"/>
          <w:sz w:val="16"/>
          <w:szCs w:val="16"/>
        </w:rPr>
        <w:t xml:space="preserve"> </w:t>
      </w:r>
      <w:r w:rsidRPr="001003BB">
        <w:rPr>
          <w:rFonts w:eastAsia="Calibri" w:cs="Arial"/>
          <w:bCs/>
          <w:iCs/>
          <w:sz w:val="16"/>
          <w:szCs w:val="16"/>
          <w:lang w:eastAsia="en-US"/>
        </w:rPr>
        <w:t xml:space="preserve">Průměrný měsíční příjem domácností na osobu v nominálním vyjádření </w:t>
      </w:r>
      <w:r w:rsidRPr="001003BB">
        <w:rPr>
          <w:rFonts w:eastAsia="Calibri" w:cs="Arial"/>
          <w:iCs/>
          <w:sz w:val="16"/>
          <w:szCs w:val="16"/>
          <w:lang w:eastAsia="en-US"/>
        </w:rPr>
        <w:t>je definován jako podíl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upraveného disponibilního důchodu domácností a středního stavu obyvatelstva.</w:t>
      </w:r>
    </w:p>
  </w:footnote>
  <w:footnote w:id="9">
    <w:p w:rsidR="00B42D5F" w:rsidRPr="001003BB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1003BB">
        <w:rPr>
          <w:rStyle w:val="Znakapoznpodarou"/>
          <w:rFonts w:cs="Arial"/>
          <w:sz w:val="16"/>
          <w:szCs w:val="16"/>
        </w:rPr>
        <w:footnoteRef/>
      </w:r>
      <w:r w:rsidRPr="001003BB">
        <w:rPr>
          <w:rFonts w:cs="Arial"/>
          <w:sz w:val="16"/>
          <w:szCs w:val="16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 xml:space="preserve">Naturální sociální </w:t>
      </w:r>
      <w:proofErr w:type="gramStart"/>
      <w:r w:rsidRPr="001003BB">
        <w:rPr>
          <w:rFonts w:eastAsia="Calibri" w:cs="Arial"/>
          <w:iCs/>
          <w:sz w:val="16"/>
          <w:szCs w:val="16"/>
          <w:lang w:eastAsia="en-US"/>
        </w:rPr>
        <w:t>transfery (D.63</w:t>
      </w:r>
      <w:proofErr w:type="gramEnd"/>
      <w:r w:rsidRPr="001003BB">
        <w:rPr>
          <w:rFonts w:eastAsia="Calibri" w:cs="Arial"/>
          <w:iCs/>
          <w:sz w:val="16"/>
          <w:szCs w:val="16"/>
          <w:lang w:eastAsia="en-US"/>
        </w:rPr>
        <w:t xml:space="preserve">) zahrnují </w:t>
      </w:r>
      <w:r>
        <w:rPr>
          <w:rFonts w:eastAsia="Calibri" w:cs="Arial"/>
          <w:iCs/>
          <w:sz w:val="16"/>
          <w:szCs w:val="16"/>
          <w:lang w:eastAsia="en-US"/>
        </w:rPr>
        <w:t xml:space="preserve">hodnotu individuálních služeb a zboží poskytnutých vládními institucemi a neziskovými institucemi sloužícími domácnostem (NISD), a také </w:t>
      </w:r>
      <w:r w:rsidRPr="001003BB">
        <w:rPr>
          <w:rFonts w:eastAsia="Calibri" w:cs="Arial"/>
          <w:iCs/>
          <w:sz w:val="16"/>
          <w:szCs w:val="16"/>
          <w:lang w:eastAsia="en-US"/>
        </w:rPr>
        <w:t>věcné dávky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poskytované obcemi (včetně refundací schválených výdajů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domácností za určité druhy výrobků a služeb) a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veškeré hodnoty netržních služeb vládních institucí a NISD poskytnutých pro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individuální spotřebu.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bCs/>
          <w:iCs/>
          <w:sz w:val="16"/>
          <w:szCs w:val="16"/>
          <w:lang w:eastAsia="en-US"/>
        </w:rPr>
        <w:t>Individuální služby a zboží poskytnuté domácnostem vládními institucemi a neziskovými institucemi</w:t>
      </w:r>
      <w:r>
        <w:rPr>
          <w:rFonts w:eastAsia="Calibri" w:cs="Arial"/>
          <w:bCs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bCs/>
          <w:iCs/>
          <w:sz w:val="16"/>
          <w:szCs w:val="16"/>
          <w:lang w:eastAsia="en-US"/>
        </w:rPr>
        <w:t>sloužícími</w:t>
      </w:r>
      <w:r>
        <w:rPr>
          <w:rFonts w:eastAsia="Calibri" w:cs="Arial"/>
          <w:bCs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bCs/>
          <w:iCs/>
          <w:sz w:val="16"/>
          <w:szCs w:val="16"/>
          <w:lang w:eastAsia="en-US"/>
        </w:rPr>
        <w:t xml:space="preserve">domácnostem </w:t>
      </w:r>
      <w:r w:rsidRPr="001003BB">
        <w:rPr>
          <w:rFonts w:eastAsia="Calibri" w:cs="Arial"/>
          <w:iCs/>
          <w:sz w:val="16"/>
          <w:szCs w:val="16"/>
          <w:lang w:eastAsia="en-US"/>
        </w:rPr>
        <w:t>představují hodnotu výrobků a služeb poskytnutých ve formě zdravotní a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sociální péče, vzdělání, bydlení apod. Jsou to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zejména naturální dávky související se zdravotním pojištěním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(platby za zdravotní pomůcky, lékařské, zubní ošetření, operace, apod.)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>hrazené zdravotními pojišťovnami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1003BB">
        <w:rPr>
          <w:rFonts w:eastAsia="Calibri" w:cs="Arial"/>
          <w:iCs/>
          <w:sz w:val="16"/>
          <w:szCs w:val="16"/>
          <w:lang w:eastAsia="en-US"/>
        </w:rPr>
        <w:t xml:space="preserve">těm, kdo toto zboží a služby poskytují. </w:t>
      </w:r>
    </w:p>
  </w:footnote>
  <w:footnote w:id="10">
    <w:p w:rsidR="00B42D5F" w:rsidRPr="00457568" w:rsidRDefault="00B42D5F" w:rsidP="0033709C">
      <w:pPr>
        <w:pStyle w:val="Textpoznpodarou"/>
        <w:rPr>
          <w:sz w:val="16"/>
          <w:szCs w:val="16"/>
        </w:rPr>
      </w:pPr>
      <w:r w:rsidRPr="00457568">
        <w:rPr>
          <w:rStyle w:val="Znakapoznpodarou"/>
          <w:sz w:val="16"/>
          <w:szCs w:val="16"/>
        </w:rPr>
        <w:footnoteRef/>
      </w:r>
      <w:r w:rsidRPr="004575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Příčinou je zejména vysoká srovnávací základna předchozího roku. </w:t>
      </w:r>
      <w:r w:rsidRPr="00457568">
        <w:rPr>
          <w:sz w:val="16"/>
          <w:szCs w:val="16"/>
        </w:rPr>
        <w:t>Po celý rok</w:t>
      </w:r>
      <w:r>
        <w:rPr>
          <w:sz w:val="16"/>
          <w:szCs w:val="16"/>
        </w:rPr>
        <w:t xml:space="preserve"> 2017</w:t>
      </w:r>
      <w:r w:rsidRPr="00457568">
        <w:rPr>
          <w:sz w:val="16"/>
          <w:szCs w:val="16"/>
        </w:rPr>
        <w:t xml:space="preserve"> zásoby výrazně </w:t>
      </w:r>
      <w:r>
        <w:rPr>
          <w:sz w:val="16"/>
          <w:szCs w:val="16"/>
        </w:rPr>
        <w:t xml:space="preserve">meziročně </w:t>
      </w:r>
      <w:r w:rsidRPr="00457568">
        <w:rPr>
          <w:sz w:val="16"/>
          <w:szCs w:val="16"/>
        </w:rPr>
        <w:t>rostly</w:t>
      </w:r>
      <w:r>
        <w:rPr>
          <w:sz w:val="16"/>
          <w:szCs w:val="16"/>
        </w:rPr>
        <w:t xml:space="preserve"> a celkově změna činila +49,0 mld. korun</w:t>
      </w:r>
      <w:r w:rsidRPr="00457568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 loňském roce rostly zásoby jen v 1. čtvrtletí a celkově došlo k jejich snížení o 10,4 mld. Loňský pokles sice v průběhu roku zmírňoval, narážel však na srovnání s rokem 2017, kdy nárůst směrem ke konci roku sílil. Tento rozdíl tak po většinu roku tlumil příspěvek kapitálových výdajů k růstu HDP. </w:t>
      </w:r>
    </w:p>
  </w:footnote>
  <w:footnote w:id="11">
    <w:p w:rsidR="00B42D5F" w:rsidRPr="00D20875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eastAsia="Calibr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D20875">
        <w:rPr>
          <w:rFonts w:eastAsia="Calibri" w:cs="Arial"/>
          <w:iCs/>
          <w:sz w:val="16"/>
          <w:szCs w:val="16"/>
          <w:lang w:eastAsia="en-US"/>
        </w:rPr>
        <w:t>je definována jako podíl hrubé tvorby fixního kapitálu k hrubé přidané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hodnotě (P.51g/B.1g). Tento</w:t>
      </w:r>
      <w:r w:rsidR="008704E9"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ukazatel vyjadřuje podíl investic do nefinančních aktiv (budovy, stroje, aj.)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a hodnoty vytvořené v průběhu výrobního procesu.</w:t>
      </w:r>
    </w:p>
  </w:footnote>
  <w:footnote w:id="12">
    <w:p w:rsidR="00B42D5F" w:rsidRPr="00D20875" w:rsidRDefault="00B42D5F" w:rsidP="0033709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eastAsia="Calibri" w:cs="Arial"/>
          <w:bCs/>
          <w:iCs/>
          <w:sz w:val="16"/>
          <w:szCs w:val="16"/>
          <w:lang w:eastAsia="en-US"/>
        </w:rPr>
        <w:t xml:space="preserve">Míra investic domácností </w:t>
      </w:r>
      <w:r w:rsidRPr="00D20875">
        <w:rPr>
          <w:rFonts w:eastAsia="Calibri" w:cs="Arial"/>
          <w:iCs/>
          <w:sz w:val="16"/>
          <w:szCs w:val="16"/>
          <w:lang w:eastAsia="en-US"/>
        </w:rPr>
        <w:t>je definována jako podíl hrubé tvorby fixního kapitálu k hrubému disponibilnímu důchodu se zahrnutím</w:t>
      </w:r>
      <w:r w:rsidR="008704E9"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úpravy o čistý podíl domácností na rezervách penzijních fondů (P.51g/B.6g-D.8).</w:t>
      </w:r>
    </w:p>
  </w:footnote>
  <w:footnote w:id="13">
    <w:p w:rsidR="00B42D5F" w:rsidRPr="0021552C" w:rsidRDefault="00B42D5F" w:rsidP="0033709C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14">
    <w:p w:rsidR="00B42D5F" w:rsidRPr="00167B30" w:rsidRDefault="00B42D5F" w:rsidP="0033709C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  <w:footnote w:id="15">
    <w:p w:rsidR="00B42D5F" w:rsidRPr="00187C58" w:rsidRDefault="00B42D5F">
      <w:pPr>
        <w:pStyle w:val="Textpoznpodarou"/>
        <w:rPr>
          <w:sz w:val="16"/>
          <w:szCs w:val="16"/>
        </w:rPr>
      </w:pPr>
      <w:r w:rsidRPr="00187C58">
        <w:rPr>
          <w:rStyle w:val="Znakapoznpodarou"/>
          <w:sz w:val="16"/>
          <w:szCs w:val="16"/>
        </w:rPr>
        <w:footnoteRef/>
      </w:r>
      <w:r w:rsidRPr="00187C58">
        <w:rPr>
          <w:sz w:val="16"/>
          <w:szCs w:val="16"/>
        </w:rPr>
        <w:t xml:space="preserve"> Hodnota vyjádřená ve stálých cenách roku 2010 zatím překročena nebyla.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1469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3602"/>
    <w:rsid w:val="0057364B"/>
    <w:rsid w:val="00574773"/>
    <w:rsid w:val="005761EC"/>
    <w:rsid w:val="00577C07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1BD1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C7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7C7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2240163796014245E-2"/>
          <c:y val="2.3046636085626956E-2"/>
          <c:w val="0.93617042384329663"/>
          <c:h val="0.74192840256672299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cat>
            <c:multiLvlStrRef>
              <c:f>'souhrnná výkonnost 1'!$A$9:$B$32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1'!$C$9:$C$32</c:f>
              <c:numCache>
                <c:formatCode>#,##0.0</c:formatCode>
                <c:ptCount val="24"/>
                <c:pt idx="0">
                  <c:v>-1.8</c:v>
                </c:pt>
                <c:pt idx="1">
                  <c:v>-1.1000000000000001</c:v>
                </c:pt>
                <c:pt idx="2">
                  <c:v>-0.30000000000000032</c:v>
                </c:pt>
                <c:pt idx="3">
                  <c:v>1.3</c:v>
                </c:pt>
                <c:pt idx="4">
                  <c:v>1.599692644421808</c:v>
                </c:pt>
                <c:pt idx="5">
                  <c:v>2.4019552100365473</c:v>
                </c:pt>
                <c:pt idx="6">
                  <c:v>3.4030564515715742</c:v>
                </c:pt>
                <c:pt idx="7">
                  <c:v>3.4380052076485867</c:v>
                </c:pt>
                <c:pt idx="8">
                  <c:v>5.2550726107844694</c:v>
                </c:pt>
                <c:pt idx="9">
                  <c:v>5.7987847820089087</c:v>
                </c:pt>
                <c:pt idx="10">
                  <c:v>5.5707669225332523</c:v>
                </c:pt>
                <c:pt idx="11">
                  <c:v>4.9148252973919755</c:v>
                </c:pt>
                <c:pt idx="12">
                  <c:v>3.5623906099722142</c:v>
                </c:pt>
                <c:pt idx="13">
                  <c:v>2.4146777549828045</c:v>
                </c:pt>
                <c:pt idx="14">
                  <c:v>1.6940486553423995</c:v>
                </c:pt>
                <c:pt idx="15">
                  <c:v>1.8037525372218317</c:v>
                </c:pt>
                <c:pt idx="16">
                  <c:v>3</c:v>
                </c:pt>
                <c:pt idx="17">
                  <c:v>5</c:v>
                </c:pt>
                <c:pt idx="18">
                  <c:v>5.2</c:v>
                </c:pt>
                <c:pt idx="19">
                  <c:v>4.9881960614611103</c:v>
                </c:pt>
                <c:pt idx="20">
                  <c:v>4.2</c:v>
                </c:pt>
                <c:pt idx="21" formatCode="General">
                  <c:v>2.2999999999999998</c:v>
                </c:pt>
                <c:pt idx="22" formatCode="General">
                  <c:v>2.4</c:v>
                </c:pt>
                <c:pt idx="2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B3-4B40-A8EC-B1EB628541D3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cat>
            <c:multiLvlStrRef>
              <c:f>'souhrnná výkonnost 1'!$A$9:$B$32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1'!$D$9:$D$32</c:f>
              <c:numCache>
                <c:formatCode>#,##0.0</c:formatCode>
                <c:ptCount val="24"/>
                <c:pt idx="0">
                  <c:v>-0.60000000000000064</c:v>
                </c:pt>
                <c:pt idx="1">
                  <c:v>0.1</c:v>
                </c:pt>
                <c:pt idx="2">
                  <c:v>0.5</c:v>
                </c:pt>
                <c:pt idx="3">
                  <c:v>1.2</c:v>
                </c:pt>
                <c:pt idx="4">
                  <c:v>1.8</c:v>
                </c:pt>
                <c:pt idx="5">
                  <c:v>1.6</c:v>
                </c:pt>
                <c:pt idx="6">
                  <c:v>1.7000000000000002</c:v>
                </c:pt>
                <c:pt idx="7">
                  <c:v>1.9000000000000001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</c:v>
                </c:pt>
                <c:pt idx="13">
                  <c:v>1.9000000000000001</c:v>
                </c:pt>
                <c:pt idx="14">
                  <c:v>1.8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2.5</c:v>
                </c:pt>
                <c:pt idx="18">
                  <c:v>2.8</c:v>
                </c:pt>
                <c:pt idx="19">
                  <c:v>2.7</c:v>
                </c:pt>
                <c:pt idx="20">
                  <c:v>2.4</c:v>
                </c:pt>
                <c:pt idx="21">
                  <c:v>2.2000000000000002</c:v>
                </c:pt>
                <c:pt idx="22">
                  <c:v>1.8</c:v>
                </c:pt>
                <c:pt idx="23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B3-4B40-A8EC-B1EB628541D3}"/>
            </c:ext>
          </c:extLst>
        </c:ser>
        <c:gapWidth val="100"/>
        <c:axId val="100931456"/>
        <c:axId val="100943360"/>
      </c:barChart>
      <c:lineChart>
        <c:grouping val="standard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1'!$A$9:$B$32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1'!$E$9:$E$32</c:f>
              <c:numCache>
                <c:formatCode>#,##0.0</c:formatCode>
                <c:ptCount val="24"/>
                <c:pt idx="0">
                  <c:v>-0.5</c:v>
                </c:pt>
                <c:pt idx="1">
                  <c:v>0.2</c:v>
                </c:pt>
                <c:pt idx="2">
                  <c:v>0.30000000000000032</c:v>
                </c:pt>
                <c:pt idx="3">
                  <c:v>1.3</c:v>
                </c:pt>
                <c:pt idx="4">
                  <c:v>-0.15199361076162302</c:v>
                </c:pt>
                <c:pt idx="5">
                  <c:v>0.94354943170505123</c:v>
                </c:pt>
                <c:pt idx="6">
                  <c:v>1.300826710614877</c:v>
                </c:pt>
                <c:pt idx="7">
                  <c:v>1.3092680104703618</c:v>
                </c:pt>
                <c:pt idx="8">
                  <c:v>1.6020092561128079</c:v>
                </c:pt>
                <c:pt idx="9">
                  <c:v>1.4649897297471739</c:v>
                </c:pt>
                <c:pt idx="10">
                  <c:v>1.0825028639160712</c:v>
                </c:pt>
                <c:pt idx="11">
                  <c:v>0.67980430723309127</c:v>
                </c:pt>
                <c:pt idx="12">
                  <c:v>0.29227937532607656</c:v>
                </c:pt>
                <c:pt idx="13">
                  <c:v>0.34052096885529004</c:v>
                </c:pt>
                <c:pt idx="14">
                  <c:v>0.37124745966146122</c:v>
                </c:pt>
                <c:pt idx="15">
                  <c:v>0.78841405879090232</c:v>
                </c:pt>
                <c:pt idx="16">
                  <c:v>1.4</c:v>
                </c:pt>
                <c:pt idx="17">
                  <c:v>2.2999999999999998</c:v>
                </c:pt>
                <c:pt idx="18">
                  <c:v>0.60000000000000064</c:v>
                </c:pt>
                <c:pt idx="19">
                  <c:v>0.60000000000000064</c:v>
                </c:pt>
                <c:pt idx="20">
                  <c:v>0.60000000000000064</c:v>
                </c:pt>
                <c:pt idx="21">
                  <c:v>0.5</c:v>
                </c:pt>
                <c:pt idx="22">
                  <c:v>0.70000000000000062</c:v>
                </c:pt>
                <c:pt idx="2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B3-4B40-A8EC-B1EB628541D3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1'!$A$9:$B$32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1'!$F$9:$F$32</c:f>
              <c:numCache>
                <c:formatCode>#,##0.0</c:formatCode>
                <c:ptCount val="24"/>
                <c:pt idx="0">
                  <c:v>-0.1</c:v>
                </c:pt>
                <c:pt idx="1">
                  <c:v>0.5</c:v>
                </c:pt>
                <c:pt idx="2">
                  <c:v>0.5</c:v>
                </c:pt>
                <c:pt idx="3">
                  <c:v>0.30000000000000032</c:v>
                </c:pt>
                <c:pt idx="4">
                  <c:v>0.5</c:v>
                </c:pt>
                <c:pt idx="5">
                  <c:v>0.30000000000000032</c:v>
                </c:pt>
                <c:pt idx="6">
                  <c:v>0.5</c:v>
                </c:pt>
                <c:pt idx="7">
                  <c:v>0.5</c:v>
                </c:pt>
                <c:pt idx="8">
                  <c:v>0.8</c:v>
                </c:pt>
                <c:pt idx="9">
                  <c:v>0.4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0.30000000000000032</c:v>
                </c:pt>
                <c:pt idx="14">
                  <c:v>0.4</c:v>
                </c:pt>
                <c:pt idx="15">
                  <c:v>0.8</c:v>
                </c:pt>
                <c:pt idx="16">
                  <c:v>0.70000000000000062</c:v>
                </c:pt>
                <c:pt idx="17">
                  <c:v>0.60000000000000064</c:v>
                </c:pt>
                <c:pt idx="18">
                  <c:v>0.60000000000000064</c:v>
                </c:pt>
                <c:pt idx="19">
                  <c:v>0.70000000000000062</c:v>
                </c:pt>
                <c:pt idx="20">
                  <c:v>0.4</c:v>
                </c:pt>
                <c:pt idx="21">
                  <c:v>0.5</c:v>
                </c:pt>
                <c:pt idx="22">
                  <c:v>0.30000000000000032</c:v>
                </c:pt>
                <c:pt idx="23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B3-4B40-A8EC-B1EB628541D3}"/>
            </c:ext>
          </c:extLst>
        </c:ser>
        <c:marker val="1"/>
        <c:axId val="100931456"/>
        <c:axId val="100943360"/>
      </c:lineChart>
      <c:catAx>
        <c:axId val="10093145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0943360"/>
        <c:crosses val="autoZero"/>
        <c:auto val="1"/>
        <c:lblAlgn val="ctr"/>
        <c:lblOffset val="100"/>
      </c:catAx>
      <c:valAx>
        <c:axId val="100943360"/>
        <c:scaling>
          <c:orientation val="minMax"/>
          <c:max val="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09314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667131036811895E-2"/>
          <c:y val="0.89437255125718007"/>
          <c:w val="0.93714918946301962"/>
          <c:h val="9.030175575879101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3724701079031984E-2"/>
          <c:y val="2.6970778117567824E-2"/>
          <c:w val="0.87770649039241666"/>
          <c:h val="0.76009512552065761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val>
            <c:numRef>
              <c:f>'souhrnná výkonnost 2'!$C$18:$C$89</c:f>
              <c:numCache>
                <c:formatCode>0.0</c:formatCode>
                <c:ptCount val="72"/>
                <c:pt idx="0">
                  <c:v>-1.8</c:v>
                </c:pt>
                <c:pt idx="1">
                  <c:v>-1.8</c:v>
                </c:pt>
                <c:pt idx="2">
                  <c:v>-1.8</c:v>
                </c:pt>
                <c:pt idx="3">
                  <c:v>-1.1000000000000001</c:v>
                </c:pt>
                <c:pt idx="4">
                  <c:v>-1.1000000000000001</c:v>
                </c:pt>
                <c:pt idx="5">
                  <c:v>-1.1000000000000001</c:v>
                </c:pt>
                <c:pt idx="6">
                  <c:v>-0.30000000000000032</c:v>
                </c:pt>
                <c:pt idx="7">
                  <c:v>-0.30000000000000032</c:v>
                </c:pt>
                <c:pt idx="8">
                  <c:v>-0.30000000000000032</c:v>
                </c:pt>
                <c:pt idx="9">
                  <c:v>1.3</c:v>
                </c:pt>
                <c:pt idx="10">
                  <c:v>1.3</c:v>
                </c:pt>
                <c:pt idx="11">
                  <c:v>1.3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2.4</c:v>
                </c:pt>
                <c:pt idx="16">
                  <c:v>2.4</c:v>
                </c:pt>
                <c:pt idx="17">
                  <c:v>2.4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  <c:pt idx="21">
                  <c:v>3.4</c:v>
                </c:pt>
                <c:pt idx="22">
                  <c:v>3.4</c:v>
                </c:pt>
                <c:pt idx="23">
                  <c:v>3.4</c:v>
                </c:pt>
                <c:pt idx="24">
                  <c:v>5.3</c:v>
                </c:pt>
                <c:pt idx="25">
                  <c:v>5.3</c:v>
                </c:pt>
                <c:pt idx="26">
                  <c:v>5.3</c:v>
                </c:pt>
                <c:pt idx="27">
                  <c:v>5.8</c:v>
                </c:pt>
                <c:pt idx="28">
                  <c:v>5.8</c:v>
                </c:pt>
                <c:pt idx="29">
                  <c:v>5.8</c:v>
                </c:pt>
                <c:pt idx="30">
                  <c:v>5.6</c:v>
                </c:pt>
                <c:pt idx="31">
                  <c:v>5.6</c:v>
                </c:pt>
                <c:pt idx="32">
                  <c:v>5.6</c:v>
                </c:pt>
                <c:pt idx="33">
                  <c:v>4.9000000000000004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3.6</c:v>
                </c:pt>
                <c:pt idx="37">
                  <c:v>3.6</c:v>
                </c:pt>
                <c:pt idx="38">
                  <c:v>3.6</c:v>
                </c:pt>
                <c:pt idx="39">
                  <c:v>2.4</c:v>
                </c:pt>
                <c:pt idx="40">
                  <c:v>2.4</c:v>
                </c:pt>
                <c:pt idx="41" formatCode="General">
                  <c:v>2.4</c:v>
                </c:pt>
                <c:pt idx="42" formatCode="General">
                  <c:v>1.7</c:v>
                </c:pt>
                <c:pt idx="43" formatCode="General">
                  <c:v>1.7</c:v>
                </c:pt>
                <c:pt idx="44" formatCode="General">
                  <c:v>1.7</c:v>
                </c:pt>
                <c:pt idx="45" formatCode="General">
                  <c:v>1.8</c:v>
                </c:pt>
                <c:pt idx="46" formatCode="General">
                  <c:v>1.8</c:v>
                </c:pt>
                <c:pt idx="47" formatCode="General">
                  <c:v>1.8</c:v>
                </c:pt>
                <c:pt idx="48" formatCode="General">
                  <c:v>3</c:v>
                </c:pt>
                <c:pt idx="49" formatCode="General">
                  <c:v>3</c:v>
                </c:pt>
                <c:pt idx="50" formatCode="General">
                  <c:v>3</c:v>
                </c:pt>
                <c:pt idx="51" formatCode="General">
                  <c:v>5</c:v>
                </c:pt>
                <c:pt idx="52" formatCode="General">
                  <c:v>5</c:v>
                </c:pt>
                <c:pt idx="53" formatCode="General">
                  <c:v>5</c:v>
                </c:pt>
                <c:pt idx="54" formatCode="General">
                  <c:v>5.2</c:v>
                </c:pt>
                <c:pt idx="55" formatCode="General">
                  <c:v>5.2</c:v>
                </c:pt>
                <c:pt idx="56" formatCode="General">
                  <c:v>5.2</c:v>
                </c:pt>
                <c:pt idx="57" formatCode="General">
                  <c:v>5</c:v>
                </c:pt>
                <c:pt idx="58" formatCode="General">
                  <c:v>5</c:v>
                </c:pt>
                <c:pt idx="59" formatCode="General">
                  <c:v>5</c:v>
                </c:pt>
                <c:pt idx="60" formatCode="General">
                  <c:v>4.2</c:v>
                </c:pt>
                <c:pt idx="61" formatCode="General">
                  <c:v>4.2</c:v>
                </c:pt>
                <c:pt idx="62" formatCode="General">
                  <c:v>4.2</c:v>
                </c:pt>
                <c:pt idx="63" formatCode="General">
                  <c:v>2.2999999999999998</c:v>
                </c:pt>
                <c:pt idx="64" formatCode="General">
                  <c:v>2.2999999999999998</c:v>
                </c:pt>
                <c:pt idx="65" formatCode="General">
                  <c:v>2.2999999999999998</c:v>
                </c:pt>
                <c:pt idx="66" formatCode="General">
                  <c:v>2.4</c:v>
                </c:pt>
                <c:pt idx="67" formatCode="General">
                  <c:v>2.4</c:v>
                </c:pt>
                <c:pt idx="68" formatCode="General">
                  <c:v>2.4</c:v>
                </c:pt>
                <c:pt idx="69" formatCode="General">
                  <c:v>2.6</c:v>
                </c:pt>
                <c:pt idx="70" formatCode="General">
                  <c:v>2.6</c:v>
                </c:pt>
                <c:pt idx="71" formatCode="General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BE-47D7-A94A-481E2909E180}"/>
            </c:ext>
          </c:extLst>
        </c:ser>
        <c:gapWidth val="30"/>
        <c:axId val="116968448"/>
        <c:axId val="109353216"/>
      </c:barChart>
      <c:lineChart>
        <c:grouping val="standard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2'!$A$18:$B$89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2'!$D$18:$D$89</c:f>
              <c:numCache>
                <c:formatCode>###,###,##0.0</c:formatCode>
                <c:ptCount val="72"/>
                <c:pt idx="0">
                  <c:v>84.6</c:v>
                </c:pt>
                <c:pt idx="1">
                  <c:v>85.2</c:v>
                </c:pt>
                <c:pt idx="2" formatCode="###,###,##0">
                  <c:v>85</c:v>
                </c:pt>
                <c:pt idx="3">
                  <c:v>82.7</c:v>
                </c:pt>
                <c:pt idx="4">
                  <c:v>83.6</c:v>
                </c:pt>
                <c:pt idx="5" formatCode="###,###,##0">
                  <c:v>84</c:v>
                </c:pt>
                <c:pt idx="6" formatCode="###,###,##0">
                  <c:v>84</c:v>
                </c:pt>
                <c:pt idx="7">
                  <c:v>84.8</c:v>
                </c:pt>
                <c:pt idx="8">
                  <c:v>87.5</c:v>
                </c:pt>
                <c:pt idx="9" formatCode="###,###,##0">
                  <c:v>89</c:v>
                </c:pt>
                <c:pt idx="10">
                  <c:v>89.9</c:v>
                </c:pt>
                <c:pt idx="11">
                  <c:v>90.9</c:v>
                </c:pt>
                <c:pt idx="12">
                  <c:v>90.1</c:v>
                </c:pt>
                <c:pt idx="13">
                  <c:v>90.9</c:v>
                </c:pt>
                <c:pt idx="14">
                  <c:v>91.6</c:v>
                </c:pt>
                <c:pt idx="15">
                  <c:v>91.5</c:v>
                </c:pt>
                <c:pt idx="16">
                  <c:v>91.5</c:v>
                </c:pt>
                <c:pt idx="17">
                  <c:v>92.5</c:v>
                </c:pt>
                <c:pt idx="18">
                  <c:v>91.6</c:v>
                </c:pt>
                <c:pt idx="19">
                  <c:v>92.5</c:v>
                </c:pt>
                <c:pt idx="20">
                  <c:v>93.2</c:v>
                </c:pt>
                <c:pt idx="21">
                  <c:v>92.8</c:v>
                </c:pt>
                <c:pt idx="22">
                  <c:v>93.5</c:v>
                </c:pt>
                <c:pt idx="23">
                  <c:v>94.8</c:v>
                </c:pt>
                <c:pt idx="24">
                  <c:v>94.3</c:v>
                </c:pt>
                <c:pt idx="25">
                  <c:v>93.4</c:v>
                </c:pt>
                <c:pt idx="26">
                  <c:v>92.9</c:v>
                </c:pt>
                <c:pt idx="27">
                  <c:v>93.2</c:v>
                </c:pt>
                <c:pt idx="28">
                  <c:v>93.8</c:v>
                </c:pt>
                <c:pt idx="29">
                  <c:v>95.5</c:v>
                </c:pt>
                <c:pt idx="30">
                  <c:v>94.6</c:v>
                </c:pt>
                <c:pt idx="31">
                  <c:v>94.2</c:v>
                </c:pt>
                <c:pt idx="32">
                  <c:v>94.4</c:v>
                </c:pt>
                <c:pt idx="33">
                  <c:v>93.2</c:v>
                </c:pt>
                <c:pt idx="34">
                  <c:v>94.2</c:v>
                </c:pt>
                <c:pt idx="35">
                  <c:v>94.3</c:v>
                </c:pt>
                <c:pt idx="36" formatCode="0.0">
                  <c:v>96</c:v>
                </c:pt>
                <c:pt idx="37" formatCode="0.0">
                  <c:v>95.3</c:v>
                </c:pt>
                <c:pt idx="38" formatCode="0.0">
                  <c:v>95.1</c:v>
                </c:pt>
                <c:pt idx="39" formatCode="0.0">
                  <c:v>93.8</c:v>
                </c:pt>
                <c:pt idx="40" formatCode="0.0">
                  <c:v>94.3</c:v>
                </c:pt>
                <c:pt idx="41" formatCode="0.0">
                  <c:v>93.5</c:v>
                </c:pt>
                <c:pt idx="42" formatCode="0.0">
                  <c:v>94</c:v>
                </c:pt>
                <c:pt idx="43" formatCode="0.0">
                  <c:v>95.3</c:v>
                </c:pt>
                <c:pt idx="44" formatCode="0.0">
                  <c:v>95.2</c:v>
                </c:pt>
                <c:pt idx="45" formatCode="0.0">
                  <c:v>95.2</c:v>
                </c:pt>
                <c:pt idx="46" formatCode="0.0">
                  <c:v>97.5</c:v>
                </c:pt>
                <c:pt idx="47" formatCode="0.0">
                  <c:v>97.1</c:v>
                </c:pt>
                <c:pt idx="48" formatCode="0.0">
                  <c:v>97</c:v>
                </c:pt>
                <c:pt idx="49" formatCode="0.0">
                  <c:v>95.9</c:v>
                </c:pt>
                <c:pt idx="50" formatCode="0.0">
                  <c:v>94.1</c:v>
                </c:pt>
                <c:pt idx="51" formatCode="0.0">
                  <c:v>95.1</c:v>
                </c:pt>
                <c:pt idx="52" formatCode="0.0">
                  <c:v>94.9</c:v>
                </c:pt>
                <c:pt idx="53" formatCode="0.0">
                  <c:v>95.2</c:v>
                </c:pt>
                <c:pt idx="54" formatCode="0.0">
                  <c:v>96.1</c:v>
                </c:pt>
                <c:pt idx="55" formatCode="0.0">
                  <c:v>96.8</c:v>
                </c:pt>
                <c:pt idx="56" formatCode="0.0">
                  <c:v>97</c:v>
                </c:pt>
                <c:pt idx="57" formatCode="0.0">
                  <c:v>97.4</c:v>
                </c:pt>
                <c:pt idx="58" formatCode="0.0">
                  <c:v>96.7</c:v>
                </c:pt>
                <c:pt idx="59" formatCode="0.0">
                  <c:v>97.5</c:v>
                </c:pt>
                <c:pt idx="60" formatCode="0.0">
                  <c:v>96.9</c:v>
                </c:pt>
                <c:pt idx="61" formatCode="0.0">
                  <c:v>97.5</c:v>
                </c:pt>
                <c:pt idx="62" formatCode="0.0">
                  <c:v>97</c:v>
                </c:pt>
                <c:pt idx="63" formatCode="0.0">
                  <c:v>97.6</c:v>
                </c:pt>
                <c:pt idx="64" formatCode="0.0">
                  <c:v>96.2</c:v>
                </c:pt>
                <c:pt idx="65" formatCode="0.0">
                  <c:v>97.4</c:v>
                </c:pt>
                <c:pt idx="66" formatCode="0.0">
                  <c:v>96.1</c:v>
                </c:pt>
                <c:pt idx="67" formatCode="0.0">
                  <c:v>96.9</c:v>
                </c:pt>
                <c:pt idx="68" formatCode="0.0">
                  <c:v>97.3</c:v>
                </c:pt>
                <c:pt idx="69" formatCode="0.0">
                  <c:v>97.3</c:v>
                </c:pt>
                <c:pt idx="70" formatCode="0.0">
                  <c:v>97.8</c:v>
                </c:pt>
                <c:pt idx="71" formatCode="0.0">
                  <c:v>96.4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BE-47D7-A94A-481E2909E180}"/>
            </c:ext>
          </c:extLst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2'!$A$18:$B$89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2'!$E$18:$E$89</c:f>
              <c:numCache>
                <c:formatCode>###,###,##0.0</c:formatCode>
                <c:ptCount val="72"/>
                <c:pt idx="0">
                  <c:v>73.8</c:v>
                </c:pt>
                <c:pt idx="1">
                  <c:v>79.5</c:v>
                </c:pt>
                <c:pt idx="2" formatCode="###,###,##0">
                  <c:v>81</c:v>
                </c:pt>
                <c:pt idx="3">
                  <c:v>77.900000000000006</c:v>
                </c:pt>
                <c:pt idx="4" formatCode="###,###,##0">
                  <c:v>82</c:v>
                </c:pt>
                <c:pt idx="5">
                  <c:v>82.8</c:v>
                </c:pt>
                <c:pt idx="6">
                  <c:v>81.3</c:v>
                </c:pt>
                <c:pt idx="7">
                  <c:v>84.9</c:v>
                </c:pt>
                <c:pt idx="8">
                  <c:v>87.7</c:v>
                </c:pt>
                <c:pt idx="9">
                  <c:v>88.5</c:v>
                </c:pt>
                <c:pt idx="10">
                  <c:v>92.8</c:v>
                </c:pt>
                <c:pt idx="11">
                  <c:v>92.6</c:v>
                </c:pt>
                <c:pt idx="12">
                  <c:v>96.9</c:v>
                </c:pt>
                <c:pt idx="13">
                  <c:v>93.1</c:v>
                </c:pt>
                <c:pt idx="14">
                  <c:v>96.7</c:v>
                </c:pt>
                <c:pt idx="15">
                  <c:v>98.4</c:v>
                </c:pt>
                <c:pt idx="16">
                  <c:v>98.2</c:v>
                </c:pt>
                <c:pt idx="17">
                  <c:v>99.4</c:v>
                </c:pt>
                <c:pt idx="18">
                  <c:v>99.9</c:v>
                </c:pt>
                <c:pt idx="19">
                  <c:v>97.9</c:v>
                </c:pt>
                <c:pt idx="20">
                  <c:v>96.3</c:v>
                </c:pt>
                <c:pt idx="21">
                  <c:v>100.2</c:v>
                </c:pt>
                <c:pt idx="22">
                  <c:v>103.6</c:v>
                </c:pt>
                <c:pt idx="23">
                  <c:v>105.1</c:v>
                </c:pt>
                <c:pt idx="24">
                  <c:v>106.7</c:v>
                </c:pt>
                <c:pt idx="25">
                  <c:v>105.7</c:v>
                </c:pt>
                <c:pt idx="26">
                  <c:v>105.7</c:v>
                </c:pt>
                <c:pt idx="27">
                  <c:v>104.3</c:v>
                </c:pt>
                <c:pt idx="28">
                  <c:v>103.6</c:v>
                </c:pt>
                <c:pt idx="29">
                  <c:v>104.3</c:v>
                </c:pt>
                <c:pt idx="30">
                  <c:v>103.6</c:v>
                </c:pt>
                <c:pt idx="31">
                  <c:v>103.6</c:v>
                </c:pt>
                <c:pt idx="32">
                  <c:v>103.3</c:v>
                </c:pt>
                <c:pt idx="33">
                  <c:v>104.8</c:v>
                </c:pt>
                <c:pt idx="34">
                  <c:v>105.3</c:v>
                </c:pt>
                <c:pt idx="35">
                  <c:v>107.4</c:v>
                </c:pt>
                <c:pt idx="36" formatCode="0.0">
                  <c:v>110</c:v>
                </c:pt>
                <c:pt idx="37" formatCode="0.0">
                  <c:v>106.2</c:v>
                </c:pt>
                <c:pt idx="38" formatCode="0.0">
                  <c:v>104.8</c:v>
                </c:pt>
                <c:pt idx="39" formatCode="0.0">
                  <c:v>104.3</c:v>
                </c:pt>
                <c:pt idx="40" formatCode="0.0">
                  <c:v>104.3</c:v>
                </c:pt>
                <c:pt idx="41" formatCode="0.0">
                  <c:v>103.8</c:v>
                </c:pt>
                <c:pt idx="42" formatCode="0.0">
                  <c:v>102.3</c:v>
                </c:pt>
                <c:pt idx="43" formatCode="0.0">
                  <c:v>104.3</c:v>
                </c:pt>
                <c:pt idx="44" formatCode="0.0">
                  <c:v>106.4</c:v>
                </c:pt>
                <c:pt idx="45" formatCode="0.0">
                  <c:v>108.9</c:v>
                </c:pt>
                <c:pt idx="46" formatCode="0.0">
                  <c:v>107.9</c:v>
                </c:pt>
                <c:pt idx="47" formatCode="0.0">
                  <c:v>108.7</c:v>
                </c:pt>
                <c:pt idx="48" formatCode="0.0">
                  <c:v>110</c:v>
                </c:pt>
                <c:pt idx="49" formatCode="0.0">
                  <c:v>108.2</c:v>
                </c:pt>
                <c:pt idx="50" formatCode="0.0">
                  <c:v>108.7</c:v>
                </c:pt>
                <c:pt idx="51" formatCode="0.0">
                  <c:v>108.4</c:v>
                </c:pt>
                <c:pt idx="52" formatCode="0.0">
                  <c:v>108.4</c:v>
                </c:pt>
                <c:pt idx="53" formatCode="0.0">
                  <c:v>106.2</c:v>
                </c:pt>
                <c:pt idx="54" formatCode="0.0">
                  <c:v>105.7</c:v>
                </c:pt>
                <c:pt idx="55" formatCode="0.0">
                  <c:v>107.9</c:v>
                </c:pt>
                <c:pt idx="56" formatCode="0.0">
                  <c:v>109.2</c:v>
                </c:pt>
                <c:pt idx="57" formatCode="0.0">
                  <c:v>108.7</c:v>
                </c:pt>
                <c:pt idx="58" formatCode="0.0">
                  <c:v>110.3</c:v>
                </c:pt>
                <c:pt idx="59" formatCode="0.0">
                  <c:v>110</c:v>
                </c:pt>
                <c:pt idx="60" formatCode="0.0">
                  <c:v>112.3</c:v>
                </c:pt>
                <c:pt idx="61" formatCode="0.0">
                  <c:v>112</c:v>
                </c:pt>
                <c:pt idx="62" formatCode="0.0">
                  <c:v>112.8</c:v>
                </c:pt>
                <c:pt idx="63" formatCode="0.0">
                  <c:v>112.5</c:v>
                </c:pt>
                <c:pt idx="64" formatCode="0.0">
                  <c:v>113.8</c:v>
                </c:pt>
                <c:pt idx="65" formatCode="0.0">
                  <c:v>113</c:v>
                </c:pt>
                <c:pt idx="66" formatCode="0.0">
                  <c:v>111.8</c:v>
                </c:pt>
                <c:pt idx="67" formatCode="0.0">
                  <c:v>110.3</c:v>
                </c:pt>
                <c:pt idx="68" formatCode="0.0">
                  <c:v>111</c:v>
                </c:pt>
                <c:pt idx="69" formatCode="0.0">
                  <c:v>112</c:v>
                </c:pt>
                <c:pt idx="70" formatCode="0.0">
                  <c:v>106.9</c:v>
                </c:pt>
                <c:pt idx="71" formatCode="0.0">
                  <c:v>109.2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BE-47D7-A94A-481E2909E180}"/>
            </c:ext>
          </c:extLst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2'!$A$18:$B$89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2'!$F$18:$F$89</c:f>
              <c:numCache>
                <c:formatCode>###,###,##0.0</c:formatCode>
                <c:ptCount val="72"/>
                <c:pt idx="0">
                  <c:v>82.8</c:v>
                </c:pt>
                <c:pt idx="1">
                  <c:v>84.2</c:v>
                </c:pt>
                <c:pt idx="2">
                  <c:v>84.4</c:v>
                </c:pt>
                <c:pt idx="3">
                  <c:v>81.900000000000006</c:v>
                </c:pt>
                <c:pt idx="4">
                  <c:v>83.3</c:v>
                </c:pt>
                <c:pt idx="5">
                  <c:v>83.8</c:v>
                </c:pt>
                <c:pt idx="6">
                  <c:v>83.6</c:v>
                </c:pt>
                <c:pt idx="7">
                  <c:v>84.8</c:v>
                </c:pt>
                <c:pt idx="8">
                  <c:v>87.5</c:v>
                </c:pt>
                <c:pt idx="9">
                  <c:v>88.9</c:v>
                </c:pt>
                <c:pt idx="10">
                  <c:v>90.4</c:v>
                </c:pt>
                <c:pt idx="11">
                  <c:v>91.2</c:v>
                </c:pt>
                <c:pt idx="12">
                  <c:v>91.3</c:v>
                </c:pt>
                <c:pt idx="13">
                  <c:v>91.2</c:v>
                </c:pt>
                <c:pt idx="14">
                  <c:v>92.4</c:v>
                </c:pt>
                <c:pt idx="15">
                  <c:v>92.6</c:v>
                </c:pt>
                <c:pt idx="16">
                  <c:v>92.6</c:v>
                </c:pt>
                <c:pt idx="17">
                  <c:v>93.6</c:v>
                </c:pt>
                <c:pt idx="18" formatCode="###,###,##0">
                  <c:v>93</c:v>
                </c:pt>
                <c:pt idx="19">
                  <c:v>93.4</c:v>
                </c:pt>
                <c:pt idx="20">
                  <c:v>93.7</c:v>
                </c:pt>
                <c:pt idx="21">
                  <c:v>94.1</c:v>
                </c:pt>
                <c:pt idx="22">
                  <c:v>95.2</c:v>
                </c:pt>
                <c:pt idx="23">
                  <c:v>96.5</c:v>
                </c:pt>
                <c:pt idx="24">
                  <c:v>96.4</c:v>
                </c:pt>
                <c:pt idx="25">
                  <c:v>95.5</c:v>
                </c:pt>
                <c:pt idx="26">
                  <c:v>95.1</c:v>
                </c:pt>
                <c:pt idx="27">
                  <c:v>95.1</c:v>
                </c:pt>
                <c:pt idx="28">
                  <c:v>95.5</c:v>
                </c:pt>
                <c:pt idx="29" formatCode="###,###,##0">
                  <c:v>97</c:v>
                </c:pt>
                <c:pt idx="30">
                  <c:v>96.1</c:v>
                </c:pt>
                <c:pt idx="31">
                  <c:v>95.7</c:v>
                </c:pt>
                <c:pt idx="32">
                  <c:v>95.9</c:v>
                </c:pt>
                <c:pt idx="33">
                  <c:v>95.1</c:v>
                </c:pt>
                <c:pt idx="34" formatCode="###,###,##0">
                  <c:v>96</c:v>
                </c:pt>
                <c:pt idx="35">
                  <c:v>96.5</c:v>
                </c:pt>
                <c:pt idx="36" formatCode="0.0">
                  <c:v>98.4</c:v>
                </c:pt>
                <c:pt idx="37" formatCode="0.0">
                  <c:v>97.1</c:v>
                </c:pt>
                <c:pt idx="38" formatCode="0.0">
                  <c:v>96.7</c:v>
                </c:pt>
                <c:pt idx="39" formatCode="0.0">
                  <c:v>95.6</c:v>
                </c:pt>
                <c:pt idx="40" formatCode="0.0">
                  <c:v>96</c:v>
                </c:pt>
                <c:pt idx="41" formatCode="0.0">
                  <c:v>95.3</c:v>
                </c:pt>
                <c:pt idx="42" formatCode="0.0">
                  <c:v>95.4</c:v>
                </c:pt>
                <c:pt idx="43" formatCode="0.0">
                  <c:v>96.8</c:v>
                </c:pt>
                <c:pt idx="44" formatCode="0.0">
                  <c:v>97.1</c:v>
                </c:pt>
                <c:pt idx="45" formatCode="0.0">
                  <c:v>97.5</c:v>
                </c:pt>
                <c:pt idx="46" formatCode="0.0">
                  <c:v>99.3</c:v>
                </c:pt>
                <c:pt idx="47" formatCode="0.0">
                  <c:v>99.1</c:v>
                </c:pt>
                <c:pt idx="48" formatCode="0.0">
                  <c:v>99.2</c:v>
                </c:pt>
                <c:pt idx="49" formatCode="0.0">
                  <c:v>98</c:v>
                </c:pt>
                <c:pt idx="50" formatCode="0.0">
                  <c:v>96.6</c:v>
                </c:pt>
                <c:pt idx="51" formatCode="0.0">
                  <c:v>97.4</c:v>
                </c:pt>
                <c:pt idx="52" formatCode="0.0">
                  <c:v>97.2</c:v>
                </c:pt>
                <c:pt idx="53" formatCode="0.0">
                  <c:v>97.1</c:v>
                </c:pt>
                <c:pt idx="54" formatCode="0.0">
                  <c:v>97.7</c:v>
                </c:pt>
                <c:pt idx="55" formatCode="0.0">
                  <c:v>98.7</c:v>
                </c:pt>
                <c:pt idx="56" formatCode="0.0">
                  <c:v>99.1</c:v>
                </c:pt>
                <c:pt idx="57" formatCode="0.0">
                  <c:v>99.3</c:v>
                </c:pt>
                <c:pt idx="58" formatCode="0.0">
                  <c:v>99</c:v>
                </c:pt>
                <c:pt idx="59" formatCode="0.0">
                  <c:v>99.6</c:v>
                </c:pt>
                <c:pt idx="60" formatCode="0.0">
                  <c:v>99.5</c:v>
                </c:pt>
                <c:pt idx="61" formatCode="0.0">
                  <c:v>99.9</c:v>
                </c:pt>
                <c:pt idx="62" formatCode="0.0">
                  <c:v>99.7</c:v>
                </c:pt>
                <c:pt idx="63" formatCode="0.0">
                  <c:v>100.1</c:v>
                </c:pt>
                <c:pt idx="64" formatCode="0.0">
                  <c:v>99.2</c:v>
                </c:pt>
                <c:pt idx="65" formatCode="0.0">
                  <c:v>100</c:v>
                </c:pt>
                <c:pt idx="66" formatCode="0.0">
                  <c:v>98.7</c:v>
                </c:pt>
                <c:pt idx="67" formatCode="0.0">
                  <c:v>99.1</c:v>
                </c:pt>
                <c:pt idx="68" formatCode="0.0">
                  <c:v>99.6</c:v>
                </c:pt>
                <c:pt idx="69" formatCode="0.0">
                  <c:v>99.8</c:v>
                </c:pt>
                <c:pt idx="70" formatCode="0.0">
                  <c:v>99.3</c:v>
                </c:pt>
                <c:pt idx="71" formatCode="0.0">
                  <c:v>98.6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BE-47D7-A94A-481E2909E180}"/>
            </c:ext>
          </c:extLst>
        </c:ser>
        <c:marker val="1"/>
        <c:axId val="101565184"/>
        <c:axId val="104907904"/>
      </c:lineChart>
      <c:catAx>
        <c:axId val="10156518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04907904"/>
        <c:crossesAt val="100"/>
        <c:auto val="1"/>
        <c:lblAlgn val="ctr"/>
        <c:lblOffset val="100"/>
      </c:catAx>
      <c:valAx>
        <c:axId val="104907904"/>
        <c:scaling>
          <c:orientation val="minMax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01565184"/>
        <c:crosses val="autoZero"/>
        <c:crossBetween val="between"/>
        <c:majorUnit val="5"/>
      </c:valAx>
      <c:valAx>
        <c:axId val="109353216"/>
        <c:scaling>
          <c:orientation val="minMax"/>
          <c:min val="-2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16968448"/>
        <c:crosses val="max"/>
        <c:crossBetween val="between"/>
        <c:majorUnit val="1"/>
      </c:valAx>
      <c:catAx>
        <c:axId val="116968448"/>
        <c:scaling>
          <c:orientation val="minMax"/>
        </c:scaling>
        <c:delete val="1"/>
        <c:axPos val="b"/>
        <c:tickLblPos val="none"/>
        <c:crossAx val="109353216"/>
        <c:crossesAt val="0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4765"/>
          <c:w val="0.88075331324325201"/>
          <c:h val="8.264578408195417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6948352704928246E-2"/>
          <c:y val="2.8458510079622041E-2"/>
          <c:w val="0.93956464282120356"/>
          <c:h val="0.6497469886299676"/>
        </c:manualLayout>
      </c:layout>
      <c:barChart>
        <c:barDir val="col"/>
        <c:grouping val="stacked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3'!$D$10:$D$33</c:f>
              <c:numCache>
                <c:formatCode>#,##0.0</c:formatCode>
                <c:ptCount val="24"/>
                <c:pt idx="0">
                  <c:v>0.46725492777732947</c:v>
                </c:pt>
                <c:pt idx="1">
                  <c:v>0.39429278832379161</c:v>
                </c:pt>
                <c:pt idx="2">
                  <c:v>6.7975057170653885E-3</c:v>
                </c:pt>
                <c:pt idx="3">
                  <c:v>-0.11022642210119372</c:v>
                </c:pt>
                <c:pt idx="4">
                  <c:v>-0.34634066091739812</c:v>
                </c:pt>
                <c:pt idx="5">
                  <c:v>1.9385986465040451E-2</c:v>
                </c:pt>
                <c:pt idx="6">
                  <c:v>0.64097595815752029</c:v>
                </c:pt>
                <c:pt idx="7">
                  <c:v>1.1222751214521647</c:v>
                </c:pt>
                <c:pt idx="8">
                  <c:v>0.95324800193997661</c:v>
                </c:pt>
                <c:pt idx="9">
                  <c:v>0.87834008534043184</c:v>
                </c:pt>
                <c:pt idx="10">
                  <c:v>0.98282233736482061</c:v>
                </c:pt>
                <c:pt idx="11">
                  <c:v>1.2011732247886713</c:v>
                </c:pt>
                <c:pt idx="12">
                  <c:v>0.93830506590305751</c:v>
                </c:pt>
                <c:pt idx="13">
                  <c:v>1.0153624426824142</c:v>
                </c:pt>
                <c:pt idx="14">
                  <c:v>1.2128070502408639</c:v>
                </c:pt>
                <c:pt idx="15">
                  <c:v>1.1229514324692931</c:v>
                </c:pt>
                <c:pt idx="16">
                  <c:v>1.9458738005336886</c:v>
                </c:pt>
                <c:pt idx="17">
                  <c:v>2.2652735745102026</c:v>
                </c:pt>
                <c:pt idx="18">
                  <c:v>2.0895125347925299</c:v>
                </c:pt>
                <c:pt idx="19">
                  <c:v>1.9257383607728384</c:v>
                </c:pt>
                <c:pt idx="20">
                  <c:v>1.4872469872456477</c:v>
                </c:pt>
                <c:pt idx="21">
                  <c:v>1.0676463699887231</c:v>
                </c:pt>
                <c:pt idx="22">
                  <c:v>0.81935055793072309</c:v>
                </c:pt>
                <c:pt idx="23">
                  <c:v>0.56103747497586398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55-4974-8192-9CD9C4A041FF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3'!$E$10:$E$33</c:f>
              <c:numCache>
                <c:formatCode>#,##0.0</c:formatCode>
                <c:ptCount val="24"/>
                <c:pt idx="0">
                  <c:v>0.28453245782978481</c:v>
                </c:pt>
                <c:pt idx="1">
                  <c:v>0.35580734263628233</c:v>
                </c:pt>
                <c:pt idx="2">
                  <c:v>0.6338523119673295</c:v>
                </c:pt>
                <c:pt idx="3">
                  <c:v>0.53511669780358162</c:v>
                </c:pt>
                <c:pt idx="4">
                  <c:v>0.16476504522662691</c:v>
                </c:pt>
                <c:pt idx="5">
                  <c:v>0.35920558983442497</c:v>
                </c:pt>
                <c:pt idx="6">
                  <c:v>3.3755330706183887E-3</c:v>
                </c:pt>
                <c:pt idx="7">
                  <c:v>0.43296248055129682</c:v>
                </c:pt>
                <c:pt idx="8">
                  <c:v>0.38860653049012461</c:v>
                </c:pt>
                <c:pt idx="9">
                  <c:v>0.42050971602096782</c:v>
                </c:pt>
                <c:pt idx="10">
                  <c:v>0.6826406447636606</c:v>
                </c:pt>
                <c:pt idx="11">
                  <c:v>0.45173706288891075</c:v>
                </c:pt>
                <c:pt idx="12">
                  <c:v>0.43519225643702975</c:v>
                </c:pt>
                <c:pt idx="13">
                  <c:v>0.57425071934076943</c:v>
                </c:pt>
                <c:pt idx="14">
                  <c:v>0.47033661242885438</c:v>
                </c:pt>
                <c:pt idx="15">
                  <c:v>0.4456685296104968</c:v>
                </c:pt>
                <c:pt idx="16">
                  <c:v>0.39517296657767625</c:v>
                </c:pt>
                <c:pt idx="17">
                  <c:v>0.24462460795774518</c:v>
                </c:pt>
                <c:pt idx="18">
                  <c:v>0.15366770388228063</c:v>
                </c:pt>
                <c:pt idx="19">
                  <c:v>0.18391952152497684</c:v>
                </c:pt>
                <c:pt idx="20">
                  <c:v>0.51547910815386211</c:v>
                </c:pt>
                <c:pt idx="21">
                  <c:v>0.49029690704908174</c:v>
                </c:pt>
                <c:pt idx="22">
                  <c:v>0.9</c:v>
                </c:pt>
                <c:pt idx="23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55-4974-8192-9CD9C4A041FF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3'!$G$10:$G$33</c:f>
              <c:numCache>
                <c:formatCode>#,##0.0</c:formatCode>
                <c:ptCount val="24"/>
                <c:pt idx="0">
                  <c:v>-1.5397561288070221</c:v>
                </c:pt>
                <c:pt idx="1">
                  <c:v>-2.8196114680341977</c:v>
                </c:pt>
                <c:pt idx="2">
                  <c:v>0.14424204081739289</c:v>
                </c:pt>
                <c:pt idx="3">
                  <c:v>0.30085195313780694</c:v>
                </c:pt>
                <c:pt idx="4">
                  <c:v>3.1093775840910299E-3</c:v>
                </c:pt>
                <c:pt idx="5">
                  <c:v>1.7228402322588214</c:v>
                </c:pt>
                <c:pt idx="6">
                  <c:v>1.2740748429655091</c:v>
                </c:pt>
                <c:pt idx="7">
                  <c:v>0.34209608794036062</c:v>
                </c:pt>
                <c:pt idx="8">
                  <c:v>3.0940088082175081</c:v>
                </c:pt>
                <c:pt idx="9">
                  <c:v>3.9603163536228392</c:v>
                </c:pt>
                <c:pt idx="10">
                  <c:v>2.4230101905838577</c:v>
                </c:pt>
                <c:pt idx="11">
                  <c:v>1.1383788063935409</c:v>
                </c:pt>
                <c:pt idx="12">
                  <c:v>0.69863508777302163</c:v>
                </c:pt>
                <c:pt idx="13">
                  <c:v>-1.3723494139423089</c:v>
                </c:pt>
                <c:pt idx="14">
                  <c:v>-0.97881672565525746</c:v>
                </c:pt>
                <c:pt idx="15">
                  <c:v>-0.61772712880566016</c:v>
                </c:pt>
                <c:pt idx="16">
                  <c:v>-0.91202695306872372</c:v>
                </c:pt>
                <c:pt idx="17">
                  <c:v>0.39448109649743396</c:v>
                </c:pt>
                <c:pt idx="18">
                  <c:v>1.7505503340288204</c:v>
                </c:pt>
                <c:pt idx="19">
                  <c:v>2.1128152209543964</c:v>
                </c:pt>
                <c:pt idx="20">
                  <c:v>1.7</c:v>
                </c:pt>
                <c:pt idx="21">
                  <c:v>0.53438288039647419</c:v>
                </c:pt>
                <c:pt idx="22">
                  <c:v>0.60000000000000064</c:v>
                </c:pt>
                <c:pt idx="2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55-4974-8192-9CD9C4A041FF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3'!$F$10:$F$33</c:f>
              <c:numCache>
                <c:formatCode>#,##0.0</c:formatCode>
                <c:ptCount val="24"/>
                <c:pt idx="0">
                  <c:v>-1.0372767403421688</c:v>
                </c:pt>
                <c:pt idx="1">
                  <c:v>0.93468551019220669</c:v>
                </c:pt>
                <c:pt idx="2">
                  <c:v>-1.1121841763544955</c:v>
                </c:pt>
                <c:pt idx="3">
                  <c:v>0.53585053019177464</c:v>
                </c:pt>
                <c:pt idx="4">
                  <c:v>1.7889130945120968</c:v>
                </c:pt>
                <c:pt idx="5">
                  <c:v>0.28187217433750678</c:v>
                </c:pt>
                <c:pt idx="6">
                  <c:v>1.4439285779813971</c:v>
                </c:pt>
                <c:pt idx="7">
                  <c:v>1.4927511797532758</c:v>
                </c:pt>
                <c:pt idx="8">
                  <c:v>0.84168612845165458</c:v>
                </c:pt>
                <c:pt idx="9">
                  <c:v>0.57781958996686456</c:v>
                </c:pt>
                <c:pt idx="10">
                  <c:v>1.5186993594783778</c:v>
                </c:pt>
                <c:pt idx="11">
                  <c:v>2.1434487917698908</c:v>
                </c:pt>
                <c:pt idx="12">
                  <c:v>1.4573635285701179</c:v>
                </c:pt>
                <c:pt idx="13">
                  <c:v>2.1300532057503894</c:v>
                </c:pt>
                <c:pt idx="14">
                  <c:v>0.94178716932770357</c:v>
                </c:pt>
                <c:pt idx="15">
                  <c:v>0.81646850922716108</c:v>
                </c:pt>
                <c:pt idx="16">
                  <c:v>1.4723667997214176</c:v>
                </c:pt>
                <c:pt idx="17">
                  <c:v>2.0147147493291402</c:v>
                </c:pt>
                <c:pt idx="18">
                  <c:v>1.1771214609805769</c:v>
                </c:pt>
                <c:pt idx="19">
                  <c:v>0.82510354577362066</c:v>
                </c:pt>
                <c:pt idx="20">
                  <c:v>0.41800471804078182</c:v>
                </c:pt>
                <c:pt idx="21">
                  <c:v>0.27612011495077382</c:v>
                </c:pt>
                <c:pt idx="22">
                  <c:v>2.027821958542857E-2</c:v>
                </c:pt>
                <c:pt idx="23">
                  <c:v>0.92533076303029849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55-4974-8192-9CD9C4A041FF}"/>
            </c:ext>
          </c:extLst>
        </c:ser>
        <c:gapWidth val="40"/>
        <c:overlap val="100"/>
        <c:axId val="119055488"/>
        <c:axId val="119057024"/>
      </c:barChart>
      <c:lineChart>
        <c:grouping val="standard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3'!$A$10:$B$33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3'!$C$10:$C$33</c:f>
              <c:numCache>
                <c:formatCode>#,##0.0</c:formatCode>
                <c:ptCount val="24"/>
                <c:pt idx="0">
                  <c:v>-1.8005209038033041</c:v>
                </c:pt>
                <c:pt idx="1">
                  <c:v>-1.1205041878080806</c:v>
                </c:pt>
                <c:pt idx="2">
                  <c:v>-0.27630427810389302</c:v>
                </c:pt>
                <c:pt idx="3">
                  <c:v>1.279491849251865</c:v>
                </c:pt>
                <c:pt idx="4">
                  <c:v>1.599692644421784</c:v>
                </c:pt>
                <c:pt idx="5">
                  <c:v>2.4019552100365238</c:v>
                </c:pt>
                <c:pt idx="6">
                  <c:v>3.4030564515715609</c:v>
                </c:pt>
                <c:pt idx="7">
                  <c:v>3.4380052076485548</c:v>
                </c:pt>
                <c:pt idx="8">
                  <c:v>5.2550726107844561</c:v>
                </c:pt>
                <c:pt idx="9">
                  <c:v>5.7987847820088794</c:v>
                </c:pt>
                <c:pt idx="10">
                  <c:v>5.5707669225332523</c:v>
                </c:pt>
                <c:pt idx="11">
                  <c:v>4.9148252973919755</c:v>
                </c:pt>
                <c:pt idx="12">
                  <c:v>3.5623906099722102</c:v>
                </c:pt>
                <c:pt idx="13">
                  <c:v>2.4146777549828156</c:v>
                </c:pt>
                <c:pt idx="14">
                  <c:v>1.6940486553423915</c:v>
                </c:pt>
                <c:pt idx="15">
                  <c:v>1.803752537221829</c:v>
                </c:pt>
                <c:pt idx="16">
                  <c:v>2.951494542529185</c:v>
                </c:pt>
                <c:pt idx="17">
                  <c:v>4.9632301254937534</c:v>
                </c:pt>
                <c:pt idx="18">
                  <c:v>5.1967259795663656</c:v>
                </c:pt>
                <c:pt idx="19">
                  <c:v>5.0477771937092006</c:v>
                </c:pt>
                <c:pt idx="20">
                  <c:v>4.2055290436672985</c:v>
                </c:pt>
                <c:pt idx="21">
                  <c:v>2.2999999999999998</c:v>
                </c:pt>
                <c:pt idx="22">
                  <c:v>2.4</c:v>
                </c:pt>
                <c:pt idx="2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55-4974-8192-9CD9C4A041FF}"/>
            </c:ext>
          </c:extLst>
        </c:ser>
        <c:marker val="1"/>
        <c:axId val="119055488"/>
        <c:axId val="119057024"/>
      </c:lineChart>
      <c:catAx>
        <c:axId val="119055488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9057024"/>
        <c:crosses val="autoZero"/>
        <c:auto val="1"/>
        <c:lblAlgn val="ctr"/>
        <c:lblOffset val="100"/>
      </c:catAx>
      <c:valAx>
        <c:axId val="119057024"/>
        <c:scaling>
          <c:orientation val="minMax"/>
          <c:max val="6"/>
          <c:min val="-4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1905548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404035346809034E-2"/>
          <c:y val="3.7154479717354444E-2"/>
          <c:w val="0.93674937195830565"/>
          <c:h val="0.63445260610154264"/>
        </c:manualLayout>
      </c:layout>
      <c:barChart>
        <c:barDir val="col"/>
        <c:grouping val="stacked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4'!$C$10:$C$33</c:f>
              <c:numCache>
                <c:formatCode>#,##0.0</c:formatCode>
                <c:ptCount val="24"/>
                <c:pt idx="0">
                  <c:v>-4.7206269934129533E-2</c:v>
                </c:pt>
                <c:pt idx="1">
                  <c:v>-0.11971862255115061</c:v>
                </c:pt>
                <c:pt idx="2">
                  <c:v>-8.9582831798117532E-2</c:v>
                </c:pt>
                <c:pt idx="3">
                  <c:v>1.1154895629322318E-3</c:v>
                </c:pt>
                <c:pt idx="4">
                  <c:v>0.10484022899366492</c:v>
                </c:pt>
                <c:pt idx="5">
                  <c:v>0.23303189360207821</c:v>
                </c:pt>
                <c:pt idx="6">
                  <c:v>0.28109723711472034</c:v>
                </c:pt>
                <c:pt idx="7">
                  <c:v>0.24717682951386638</c:v>
                </c:pt>
                <c:pt idx="8">
                  <c:v>0.26823173927838573</c:v>
                </c:pt>
                <c:pt idx="9">
                  <c:v>0.14948544343377249</c:v>
                </c:pt>
                <c:pt idx="10">
                  <c:v>9.4306850455799798E-2</c:v>
                </c:pt>
                <c:pt idx="11">
                  <c:v>9.4063144035634733E-2</c:v>
                </c:pt>
                <c:pt idx="12">
                  <c:v>1.5298427987703244E-2</c:v>
                </c:pt>
                <c:pt idx="13">
                  <c:v>0.12019796922604382</c:v>
                </c:pt>
                <c:pt idx="14">
                  <c:v>0.11238136571352395</c:v>
                </c:pt>
                <c:pt idx="15">
                  <c:v>8.4281943656207142E-2</c:v>
                </c:pt>
                <c:pt idx="16">
                  <c:v>1.5223476963877543E-2</c:v>
                </c:pt>
                <c:pt idx="17">
                  <c:v>-7.4308208257119993E-2</c:v>
                </c:pt>
                <c:pt idx="18">
                  <c:v>-0.1100961441944634</c:v>
                </c:pt>
                <c:pt idx="19">
                  <c:v>-0.10583189318283943</c:v>
                </c:pt>
                <c:pt idx="20">
                  <c:v>-9.6355561876134144E-2</c:v>
                </c:pt>
                <c:pt idx="21">
                  <c:v>-8.2873829708365349E-2</c:v>
                </c:pt>
                <c:pt idx="22">
                  <c:v>-5.2133372629545101E-2</c:v>
                </c:pt>
                <c:pt idx="23">
                  <c:v>-3.2058598089916242E-2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61-4C3A-A640-4C5136F6E92E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4'!$D$10:$D$33</c:f>
              <c:numCache>
                <c:formatCode>#,##0.0</c:formatCode>
                <c:ptCount val="24"/>
                <c:pt idx="0">
                  <c:v>-0.82108999780391001</c:v>
                </c:pt>
                <c:pt idx="1">
                  <c:v>-0.62795053182774518</c:v>
                </c:pt>
                <c:pt idx="2">
                  <c:v>-0.63177475521929061</c:v>
                </c:pt>
                <c:pt idx="3">
                  <c:v>-0.60159903153105165</c:v>
                </c:pt>
                <c:pt idx="4">
                  <c:v>0.42074322312377183</c:v>
                </c:pt>
                <c:pt idx="5">
                  <c:v>1.1868852285094129</c:v>
                </c:pt>
                <c:pt idx="6">
                  <c:v>1.9567554935777993</c:v>
                </c:pt>
                <c:pt idx="7">
                  <c:v>2.5583690194642377</c:v>
                </c:pt>
                <c:pt idx="8">
                  <c:v>2.0456114828451182</c:v>
                </c:pt>
                <c:pt idx="9">
                  <c:v>1.6702996907805558</c:v>
                </c:pt>
                <c:pt idx="10">
                  <c:v>1.3766545744913496</c:v>
                </c:pt>
                <c:pt idx="11">
                  <c:v>0.74581262523505754</c:v>
                </c:pt>
                <c:pt idx="12">
                  <c:v>1.0172208499984978</c:v>
                </c:pt>
                <c:pt idx="13">
                  <c:v>0.54073292742156021</c:v>
                </c:pt>
                <c:pt idx="14">
                  <c:v>0.74515782437278244</c:v>
                </c:pt>
                <c:pt idx="15">
                  <c:v>1.1608262664011106</c:v>
                </c:pt>
                <c:pt idx="16">
                  <c:v>1.9829195456844466</c:v>
                </c:pt>
                <c:pt idx="17">
                  <c:v>3.3837701413725196</c:v>
                </c:pt>
                <c:pt idx="18">
                  <c:v>3.5515728725029998</c:v>
                </c:pt>
                <c:pt idx="19">
                  <c:v>3.0210161964587967</c:v>
                </c:pt>
                <c:pt idx="20">
                  <c:v>2.0156583927773184</c:v>
                </c:pt>
                <c:pt idx="21">
                  <c:v>0.66648902265503085</c:v>
                </c:pt>
                <c:pt idx="22">
                  <c:v>0.32803863027082186</c:v>
                </c:pt>
                <c:pt idx="23">
                  <c:v>0.69907970655174889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61-4C3A-A640-4C5136F6E92E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B,D,E)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4'!$E$10:$E$33</c:f>
              <c:numCache>
                <c:formatCode>#,##0.0</c:formatCode>
                <c:ptCount val="24"/>
                <c:pt idx="0">
                  <c:v>-0.98505210312746228</c:v>
                </c:pt>
                <c:pt idx="1">
                  <c:v>-1.0097047828852599</c:v>
                </c:pt>
                <c:pt idx="2">
                  <c:v>-0.65192200514203069</c:v>
                </c:pt>
                <c:pt idx="3">
                  <c:v>-0.22723397016880276</c:v>
                </c:pt>
                <c:pt idx="4">
                  <c:v>0.37424666108655047</c:v>
                </c:pt>
                <c:pt idx="5">
                  <c:v>0.10237488857645771</c:v>
                </c:pt>
                <c:pt idx="6">
                  <c:v>-0.10556119406722519</c:v>
                </c:pt>
                <c:pt idx="7">
                  <c:v>-0.15961919422518606</c:v>
                </c:pt>
                <c:pt idx="8">
                  <c:v>-0.12486694839002821</c:v>
                </c:pt>
                <c:pt idx="9">
                  <c:v>9.7685740381325825E-3</c:v>
                </c:pt>
                <c:pt idx="10">
                  <c:v>1.8886282982711888E-2</c:v>
                </c:pt>
                <c:pt idx="11">
                  <c:v>-0.11860623658777802</c:v>
                </c:pt>
                <c:pt idx="12">
                  <c:v>-0.46095331826814501</c:v>
                </c:pt>
                <c:pt idx="13">
                  <c:v>-0.29612577965425957</c:v>
                </c:pt>
                <c:pt idx="14">
                  <c:v>-0.38011145584839146</c:v>
                </c:pt>
                <c:pt idx="15">
                  <c:v>-0.15646644139843435</c:v>
                </c:pt>
                <c:pt idx="16">
                  <c:v>7.482603781089682E-2</c:v>
                </c:pt>
                <c:pt idx="17">
                  <c:v>-4.1125865248032356E-2</c:v>
                </c:pt>
                <c:pt idx="18">
                  <c:v>0.12800220372520071</c:v>
                </c:pt>
                <c:pt idx="19">
                  <c:v>-2.0745047871292211E-2</c:v>
                </c:pt>
                <c:pt idx="20">
                  <c:v>-0.1530317502417462</c:v>
                </c:pt>
                <c:pt idx="21">
                  <c:v>-6.0934899112849404E-2</c:v>
                </c:pt>
                <c:pt idx="22" formatCode="General">
                  <c:v>0.19935125060450237</c:v>
                </c:pt>
                <c:pt idx="23" formatCode="General">
                  <c:v>4.7198815832797732E-2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61-4C3A-A640-4C5136F6E92E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'souhrnná výkonnost 4'!$F$10:$F$33</c:f>
              <c:numCache>
                <c:formatCode>#,##0.0</c:formatCode>
                <c:ptCount val="24"/>
                <c:pt idx="0">
                  <c:v>-9.3325688188072894E-2</c:v>
                </c:pt>
                <c:pt idx="1">
                  <c:v>6.9142616979527158E-2</c:v>
                </c:pt>
                <c:pt idx="2">
                  <c:v>0.13786913343723931</c:v>
                </c:pt>
                <c:pt idx="3">
                  <c:v>0.16383091405829647</c:v>
                </c:pt>
                <c:pt idx="4">
                  <c:v>0.20523242964120891</c:v>
                </c:pt>
                <c:pt idx="5">
                  <c:v>8.047665950390763E-2</c:v>
                </c:pt>
                <c:pt idx="6">
                  <c:v>3.4966330205502577E-2</c:v>
                </c:pt>
                <c:pt idx="7">
                  <c:v>0.13500830058584254</c:v>
                </c:pt>
                <c:pt idx="8">
                  <c:v>0.12988031583912321</c:v>
                </c:pt>
                <c:pt idx="9">
                  <c:v>0.27364277251097802</c:v>
                </c:pt>
                <c:pt idx="10">
                  <c:v>0.3426017497695073</c:v>
                </c:pt>
                <c:pt idx="11">
                  <c:v>0.14326265942419544</c:v>
                </c:pt>
                <c:pt idx="12">
                  <c:v>-2.8321751396452165E-2</c:v>
                </c:pt>
                <c:pt idx="13">
                  <c:v>-0.22665490762088625</c:v>
                </c:pt>
                <c:pt idx="14">
                  <c:v>-0.33919566041548832</c:v>
                </c:pt>
                <c:pt idx="15">
                  <c:v>-0.261858846414252</c:v>
                </c:pt>
                <c:pt idx="16">
                  <c:v>-0.2919792752497874</c:v>
                </c:pt>
                <c:pt idx="17">
                  <c:v>-0.12429976252850311</c:v>
                </c:pt>
                <c:pt idx="18">
                  <c:v>-5.2539251264632304E-2</c:v>
                </c:pt>
                <c:pt idx="19">
                  <c:v>-4.7966155185397485E-2</c:v>
                </c:pt>
                <c:pt idx="20">
                  <c:v>0.31168031134997992</c:v>
                </c:pt>
                <c:pt idx="21">
                  <c:v>0.3212227133309033</c:v>
                </c:pt>
                <c:pt idx="22">
                  <c:v>0.37091271338337312</c:v>
                </c:pt>
                <c:pt idx="23">
                  <c:v>0.41610819905952351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61-4C3A-A640-4C5136F6E92E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4'!$G$10:$G$33</c:f>
              <c:numCache>
                <c:formatCode>#,##0.0</c:formatCode>
                <c:ptCount val="24"/>
                <c:pt idx="0">
                  <c:v>0.33531387573905164</c:v>
                </c:pt>
                <c:pt idx="1">
                  <c:v>0.82602965393403294</c:v>
                </c:pt>
                <c:pt idx="2">
                  <c:v>1.0647317258626734</c:v>
                </c:pt>
                <c:pt idx="3">
                  <c:v>1.3526094152015899</c:v>
                </c:pt>
                <c:pt idx="4">
                  <c:v>1.2015462411733078</c:v>
                </c:pt>
                <c:pt idx="5">
                  <c:v>1.3618962066899354</c:v>
                </c:pt>
                <c:pt idx="6">
                  <c:v>1.6305753628128847</c:v>
                </c:pt>
                <c:pt idx="7">
                  <c:v>1.7371534802280579</c:v>
                </c:pt>
                <c:pt idx="8">
                  <c:v>2.3293944432592837</c:v>
                </c:pt>
                <c:pt idx="9">
                  <c:v>2.9607261994462397</c:v>
                </c:pt>
                <c:pt idx="10">
                  <c:v>3.3104809685977732</c:v>
                </c:pt>
                <c:pt idx="11">
                  <c:v>3.5102997095503552</c:v>
                </c:pt>
                <c:pt idx="12">
                  <c:v>2.8263627195651577</c:v>
                </c:pt>
                <c:pt idx="13">
                  <c:v>2.1630843086592892</c:v>
                </c:pt>
                <c:pt idx="14">
                  <c:v>1.4107617066750753</c:v>
                </c:pt>
                <c:pt idx="15">
                  <c:v>1.1370846005544857</c:v>
                </c:pt>
                <c:pt idx="16">
                  <c:v>1.1261629003568023</c:v>
                </c:pt>
                <c:pt idx="17">
                  <c:v>1.7690458157205164</c:v>
                </c:pt>
                <c:pt idx="18">
                  <c:v>1.6362557113068605</c:v>
                </c:pt>
                <c:pt idx="19">
                  <c:v>1.9697866170629228</c:v>
                </c:pt>
                <c:pt idx="20">
                  <c:v>2.1</c:v>
                </c:pt>
                <c:pt idx="21">
                  <c:v>1.5</c:v>
                </c:pt>
                <c:pt idx="22" formatCode="General">
                  <c:v>1.7</c:v>
                </c:pt>
                <c:pt idx="23" formatCode="General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C61-4C3A-A640-4C5136F6E92E}"/>
            </c:ext>
          </c:extLst>
        </c:ser>
        <c:gapWidth val="70"/>
        <c:overlap val="100"/>
        <c:axId val="120166272"/>
        <c:axId val="120190080"/>
      </c:barChart>
      <c:lineChart>
        <c:grouping val="standard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4'!$A$10:$B$33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4'!$H$10:$H$33</c:f>
              <c:numCache>
                <c:formatCode>#,##0.0</c:formatCode>
                <c:ptCount val="24"/>
                <c:pt idx="0">
                  <c:v>-1.6029638849506325</c:v>
                </c:pt>
                <c:pt idx="1">
                  <c:v>-0.85391471561866972</c:v>
                </c:pt>
                <c:pt idx="2">
                  <c:v>-0.17856994731182582</c:v>
                </c:pt>
                <c:pt idx="3">
                  <c:v>0.67978995359544492</c:v>
                </c:pt>
                <c:pt idx="4">
                  <c:v>2.3247275605985616</c:v>
                </c:pt>
                <c:pt idx="5">
                  <c:v>2.9677793446742413</c:v>
                </c:pt>
                <c:pt idx="6">
                  <c:v>3.7862627849497223</c:v>
                </c:pt>
                <c:pt idx="7">
                  <c:v>4.5085738953991834</c:v>
                </c:pt>
                <c:pt idx="8">
                  <c:v>4.6449632769543845</c:v>
                </c:pt>
                <c:pt idx="9">
                  <c:v>5.0617095222013724</c:v>
                </c:pt>
                <c:pt idx="10">
                  <c:v>5.1392793226927642</c:v>
                </c:pt>
                <c:pt idx="11">
                  <c:v>4.3837812230315505</c:v>
                </c:pt>
                <c:pt idx="12">
                  <c:v>3.3693001484089842</c:v>
                </c:pt>
                <c:pt idx="13">
                  <c:v>2.3056178950667725</c:v>
                </c:pt>
                <c:pt idx="14">
                  <c:v>1.5499257674343656</c:v>
                </c:pt>
                <c:pt idx="15">
                  <c:v>1.9589295741354551</c:v>
                </c:pt>
                <c:pt idx="16">
                  <c:v>2.9235011230373482</c:v>
                </c:pt>
                <c:pt idx="17">
                  <c:v>4.9159154362708755</c:v>
                </c:pt>
                <c:pt idx="18">
                  <c:v>5.1480576847178794</c:v>
                </c:pt>
                <c:pt idx="19">
                  <c:v>4.8024567059751302</c:v>
                </c:pt>
                <c:pt idx="20">
                  <c:v>4.3062539535985334</c:v>
                </c:pt>
                <c:pt idx="21">
                  <c:v>2.409560175355995</c:v>
                </c:pt>
                <c:pt idx="22">
                  <c:v>2.5</c:v>
                </c:pt>
                <c:pt idx="23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C61-4C3A-A640-4C5136F6E92E}"/>
            </c:ext>
          </c:extLst>
        </c:ser>
        <c:marker val="1"/>
        <c:axId val="120166272"/>
        <c:axId val="120190080"/>
      </c:lineChart>
      <c:catAx>
        <c:axId val="12016627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0190080"/>
        <c:crosses val="autoZero"/>
        <c:auto val="1"/>
        <c:lblAlgn val="ctr"/>
        <c:lblOffset val="100"/>
      </c:catAx>
      <c:valAx>
        <c:axId val="120190080"/>
        <c:scaling>
          <c:orientation val="minMax"/>
          <c:max val="6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016627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8782884397989404E-2"/>
          <c:y val="0.79016604750647301"/>
          <c:w val="0.92922619274506457"/>
          <c:h val="0.1946248452099481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CED2-E25B-4A16-8D7B-4523EEF0D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11D7E-0691-44D4-9ED7-6C10983C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4</TotalTime>
  <Pages>5</Pages>
  <Words>1544</Words>
  <Characters>9112</Characters>
  <Application>Microsoft Office Word</Application>
  <DocSecurity>0</DocSecurity>
  <Lines>75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10635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2019-04-12T08:50:00Z</dcterms:created>
  <dcterms:modified xsi:type="dcterms:W3CDTF">2019-04-12T09:19:00Z</dcterms:modified>
</cp:coreProperties>
</file>