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708391"/>
      <w:r w:rsidRPr="009110F7">
        <w:t>3</w:t>
      </w:r>
      <w:r w:rsidR="001554C2" w:rsidRPr="009110F7">
        <w:t xml:space="preserve">. </w:t>
      </w:r>
      <w:bookmarkStart w:id="1" w:name="_Toc454185150"/>
      <w:bookmarkStart w:id="2" w:name="_Toc493683635"/>
      <w:r w:rsidRPr="009110F7">
        <w:t>Výkonnost odvětví</w:t>
      </w:r>
      <w:bookmarkEnd w:id="0"/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39"/>
        <w:gridCol w:w="233"/>
        <w:gridCol w:w="7567"/>
      </w:tblGrid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Růstové tempo HPH meziročně o třetinu oslabilo. V </w:t>
            </w:r>
            <w:proofErr w:type="spellStart"/>
            <w:r>
              <w:t>mezičtvrtletním</w:t>
            </w:r>
            <w:proofErr w:type="spellEnd"/>
            <w:r>
              <w:t xml:space="preserve"> vyjádření ale loni ekonomika v trendu nezpomalovala.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E58CB">
            <w:pPr>
              <w:spacing w:after="200"/>
            </w:pPr>
            <w:r>
              <w:t>Výkon všech odvětví ekonomiky optikou hrubé přidané hodnoty (HPH)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t xml:space="preserve"> loni vzrostl o 3,0 % a v porovnání s tempem dosaženým v předcházejícím roce se o třetinu snížil. Z jemnějšího </w:t>
            </w:r>
            <w:proofErr w:type="spellStart"/>
            <w:r>
              <w:t>mezičtvrtletního</w:t>
            </w:r>
            <w:proofErr w:type="spellEnd"/>
            <w:r>
              <w:t xml:space="preserve"> srovnání </w:t>
            </w:r>
            <w:r w:rsidR="006E58CB">
              <w:t>vyplývá</w:t>
            </w:r>
            <w:r>
              <w:t xml:space="preserve">, že za relativně slabším loňským výsledkem stály jak vysoká základna první poloviny roku 2017 (kdy tuzemská ekonomika profitovala zejména ze svižného růstu zahraniční poptávky), </w:t>
            </w:r>
            <w:r w:rsidR="007602CF">
              <w:br/>
            </w:r>
            <w:r>
              <w:t xml:space="preserve">tak dočasné zvolnění ve 2. čtvrtletí 2018 (kdy se </w:t>
            </w:r>
            <w:proofErr w:type="spellStart"/>
            <w:r>
              <w:t>mezičtv</w:t>
            </w:r>
            <w:r w:rsidR="007602CF">
              <w:t>r</w:t>
            </w:r>
            <w:r>
              <w:t>tletní</w:t>
            </w:r>
            <w:proofErr w:type="spellEnd"/>
            <w:r>
              <w:t xml:space="preserve"> růst HPH snížil až na 0,3 %, tedy dvouleté minimum). </w:t>
            </w: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růst přetrvával v tuzemské ekonomice </w:t>
            </w:r>
            <w:r w:rsidR="007602CF">
              <w:rPr>
                <w:spacing w:val="-4"/>
              </w:rPr>
              <w:br/>
            </w:r>
            <w:r>
              <w:rPr>
                <w:spacing w:val="-4"/>
              </w:rPr>
              <w:t>již dvacet dva čtvrtletí v řadě, v úhrnu se za toto období HPH navýšila o 21,2 %.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 xml:space="preserve">K růstu přidané hodnoty </w:t>
            </w:r>
            <w:r w:rsidR="008704E9">
              <w:t xml:space="preserve">loni nejvíce přispěl </w:t>
            </w:r>
            <w:r>
              <w:t>zpracovatelský průmysl. Nejsilnějším tempem ale rostla HPH ve stavebnictví, finančnictví a v informačních a komunikačních činnostech.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>Na nižších výkonech zemědělství se již druhým rokem v řadě podepsala slabší úroda hlavních plodin.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F40DF">
            <w:pPr>
              <w:spacing w:after="200"/>
            </w:pPr>
            <w:r>
              <w:t xml:space="preserve">Přestože přidaná hodnota vzrostla loni ve zpracovatelském průmyslu nejslabším tempem za posledních pět let (+3,4 %), přispělo toto odvětví k navýšení HPH v celé ekonomice 0,9 p. </w:t>
            </w:r>
            <w:proofErr w:type="spellStart"/>
            <w:r>
              <w:t>b</w:t>
            </w:r>
            <w:proofErr w:type="spellEnd"/>
            <w:r>
              <w:t xml:space="preserve">. – stále nejvíce ze všech jedenácti sledovaných hlavních odvětví. Projevil se vliv váhově významné výroby motorových vozidel i dynamicky rostoucí výroby počítačů a elektronických a optických přístrojů. Ze služeb </w:t>
            </w:r>
            <w:r w:rsidR="006F40DF">
              <w:t xml:space="preserve">loni nejvíce </w:t>
            </w:r>
            <w:proofErr w:type="gramStart"/>
            <w:r>
              <w:t>přispělo</w:t>
            </w:r>
            <w:proofErr w:type="gramEnd"/>
            <w:r w:rsidR="006F40DF">
              <w:t xml:space="preserve"> </w:t>
            </w:r>
            <w:r>
              <w:t xml:space="preserve">váhově dominantní uskupení odvětví </w:t>
            </w:r>
            <w:proofErr w:type="gramStart"/>
            <w:r>
              <w:rPr>
                <w:spacing w:val="-4"/>
              </w:rPr>
              <w:t>obchod</w:t>
            </w:r>
            <w:proofErr w:type="gramEnd"/>
            <w:r>
              <w:rPr>
                <w:spacing w:val="-4"/>
              </w:rPr>
              <w:t>, doprava, ubytování</w:t>
            </w:r>
            <w:r w:rsidR="008704E9">
              <w:rPr>
                <w:spacing w:val="-4"/>
              </w:rPr>
              <w:t xml:space="preserve"> </w:t>
            </w:r>
            <w:r>
              <w:rPr>
                <w:spacing w:val="-4"/>
              </w:rPr>
              <w:t>a </w:t>
            </w:r>
            <w:r w:rsidRPr="0059285E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(+0,8</w:t>
            </w:r>
            <w:r>
              <w:t> </w:t>
            </w:r>
            <w:r>
              <w:rPr>
                <w:spacing w:val="-4"/>
              </w:rPr>
              <w:t xml:space="preserve">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Ze stabilnější tuzemské poptávky profitovala i většina dalších odvětví terciární sféry. V peněžnictví a pojišťovnictví dosáhl růst HPH pětiletého maxima (6,9</w:t>
            </w:r>
            <w:r>
              <w:t> </w:t>
            </w:r>
            <w:r>
              <w:rPr>
                <w:spacing w:val="-4"/>
              </w:rPr>
              <w:t>%). Podobným tempem se navýšila přidaná hodnota rovněž v informačních a</w:t>
            </w:r>
            <w:r>
              <w:t> </w:t>
            </w:r>
            <w:r>
              <w:rPr>
                <w:spacing w:val="-4"/>
              </w:rPr>
              <w:t xml:space="preserve">komunikačních činnostech (za posledních pět let činil kumulovaný růst bezmála 40 %). Naopak jen velmi mírný růst byl v posledních letech typický pro činnosti v oblasti nemovitostí a také </w:t>
            </w:r>
            <w:r w:rsidR="001C4BB8">
              <w:rPr>
                <w:spacing w:val="-4"/>
              </w:rPr>
              <w:br/>
              <w:t xml:space="preserve">v </w:t>
            </w:r>
            <w:r>
              <w:rPr>
                <w:spacing w:val="-4"/>
              </w:rPr>
              <w:t>odvětvích s dominancí veřejného sektoru. Růst HPH v p</w:t>
            </w:r>
            <w:r w:rsidRPr="00065E6F">
              <w:rPr>
                <w:spacing w:val="-4"/>
              </w:rPr>
              <w:t>rofesní</w:t>
            </w:r>
            <w:r>
              <w:rPr>
                <w:spacing w:val="-4"/>
              </w:rPr>
              <w:t>ch, vědeckých, technických</w:t>
            </w:r>
            <w:r w:rsidRPr="00065E6F">
              <w:rPr>
                <w:spacing w:val="-4"/>
              </w:rPr>
              <w:t xml:space="preserve"> a administrativní</w:t>
            </w:r>
            <w:r>
              <w:rPr>
                <w:spacing w:val="-4"/>
              </w:rPr>
              <w:t>ch</w:t>
            </w:r>
            <w:r w:rsidRPr="00065E6F">
              <w:rPr>
                <w:spacing w:val="-4"/>
              </w:rPr>
              <w:t xml:space="preserve"> </w:t>
            </w:r>
            <w:r>
              <w:rPr>
                <w:spacing w:val="-4"/>
              </w:rPr>
              <w:t>činnostech slábl již třetím rokem v řadě, loni se snížil až na osmileté minimum (1,0 %).</w:t>
            </w:r>
            <w:r>
              <w:rPr>
                <w:rFonts w:cs="Arial"/>
                <w:spacing w:val="-4"/>
              </w:rPr>
              <w:t xml:space="preserve"> Zásadní obrat zaznamenalo stavebnictví. Jestliže v roce 2017 zde HPH o</w:t>
            </w:r>
            <w:r>
              <w:rPr>
                <w:spacing w:val="-4"/>
              </w:rPr>
              <w:t> </w:t>
            </w:r>
            <w:r>
              <w:rPr>
                <w:rFonts w:cs="Arial"/>
                <w:spacing w:val="-4"/>
              </w:rPr>
              <w:t>2,3 % poklesla, loni se její růst vyšplhal na 6,7 % (silnější celoroční tempo bylo naposledy zaznamenáno v roce 2004). Naopak předloňský pokles v zemědělství, lesnictví a rybářství pokračoval obdobným tempem i v roce 2018 (-2,8 %). Stály za tím nižší výkony rostlinné výroby poznamenané podprůměrnou úrodou většiny hlavních plodin (vyjma řepky, suché a teplé počasí svědčilo také ovocnářství)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rFonts w:cs="Arial"/>
                <w:spacing w:val="-4"/>
              </w:rPr>
              <w:t xml:space="preserve">. 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Růst průmyslové produkce loni ve srovnání s rokem 2017 v Česku podobně jako v EU zvolnil o polovinu,…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>…s nižší produkcí se ale v Česku potýkaly jen tři průmyslové obory.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6F40DF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Podrobnější pohled na dílčí odvětví přináší podnikové statistiky. Průmysl loni na velmi silný rok 2017 plně nenavázal. I</w:t>
            </w:r>
            <w:r>
              <w:rPr>
                <w:color w:val="000000" w:themeColor="text1"/>
                <w:spacing w:val="-4"/>
              </w:rPr>
              <w:t>ndex průmyslové</w:t>
            </w:r>
            <w:r w:rsidRPr="008D59A9">
              <w:rPr>
                <w:color w:val="000000" w:themeColor="text1"/>
                <w:spacing w:val="-4"/>
              </w:rPr>
              <w:t xml:space="preserve"> produkce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3"/>
            </w:r>
            <w:r>
              <w:rPr>
                <w:color w:val="000000" w:themeColor="text1"/>
                <w:spacing w:val="-4"/>
              </w:rPr>
              <w:t xml:space="preserve"> vzrostl meziročně o 3,</w:t>
            </w:r>
            <w:r w:rsidR="005048E2">
              <w:rPr>
                <w:color w:val="000000" w:themeColor="text1"/>
                <w:spacing w:val="-4"/>
              </w:rPr>
              <w:t>2</w:t>
            </w:r>
            <w:r>
              <w:rPr>
                <w:color w:val="000000" w:themeColor="text1"/>
                <w:spacing w:val="-4"/>
              </w:rPr>
              <w:t xml:space="preserve"> % (ani ne polovičním tempem než v roce 2017 – obdobně jako v celé EU), v samotném 4. čtvrtletí o</w:t>
            </w:r>
            <w:r>
              <w:rPr>
                <w:rFonts w:cs="Arial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2,3 %. Na tomto vývoji se podepsalo hlavně zhoršení situace v klíčových exportních teritoriích. V poslední čtvrtině loňského roku průmyslová produkce v EU poprvé od konce recese meziročně klesla (o 0,8 %), snížila se i ve všech pěti největších ekonomikách EU (meziročně i </w:t>
            </w:r>
            <w:proofErr w:type="spellStart"/>
            <w:r>
              <w:rPr>
                <w:color w:val="000000" w:themeColor="text1"/>
                <w:spacing w:val="-4"/>
              </w:rPr>
              <w:t>mezičtvrtletně</w:t>
            </w:r>
            <w:proofErr w:type="spellEnd"/>
            <w:r>
              <w:rPr>
                <w:color w:val="000000" w:themeColor="text1"/>
                <w:spacing w:val="-4"/>
              </w:rPr>
              <w:t>). Na loňském zvolnění průmyslu v ČR měly vliv i domácí faktory, zejména zpomalení růstu ve váhově významném odvětví energetiky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>
              <w:rPr>
                <w:color w:val="000000" w:themeColor="text1"/>
                <w:spacing w:val="-4"/>
              </w:rPr>
              <w:t xml:space="preserve"> a v chemickém průmyslu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5"/>
            </w:r>
            <w:r w:rsidR="000C30C3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 xml:space="preserve"> Navzdory méně příznivému vývoji zahraniční poptávky vykázaly v roce 2018 pokles produkce jen tři průmyslové obory (z téměř 30</w:t>
            </w:r>
            <w:r w:rsidR="006F40DF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sledovaných) – těžba uhlí (</w:t>
            </w:r>
            <w:r>
              <w:t>-</w:t>
            </w:r>
            <w:r>
              <w:rPr>
                <w:color w:val="000000" w:themeColor="text1"/>
                <w:spacing w:val="-4"/>
              </w:rPr>
              <w:t>4,</w:t>
            </w:r>
            <w:r w:rsidR="005048E2">
              <w:rPr>
                <w:color w:val="000000" w:themeColor="text1"/>
                <w:spacing w:val="-4"/>
              </w:rPr>
              <w:t>2</w:t>
            </w:r>
            <w:r>
              <w:rPr>
                <w:color w:val="000000" w:themeColor="text1"/>
                <w:spacing w:val="-4"/>
              </w:rPr>
              <w:t xml:space="preserve"> 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6"/>
            </w:r>
            <w:r>
              <w:rPr>
                <w:color w:val="000000" w:themeColor="text1"/>
                <w:spacing w:val="-4"/>
              </w:rPr>
              <w:t>, textilní (-5,6 %) a kožedělný průmysl (</w:t>
            </w:r>
            <w:r>
              <w:t>-</w:t>
            </w:r>
            <w:r>
              <w:rPr>
                <w:color w:val="000000" w:themeColor="text1"/>
                <w:spacing w:val="-4"/>
              </w:rPr>
              <w:t>21,9 %).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lastRenderedPageBreak/>
              <w:t>Růst průmyslové produkce loni táhla sílící výroba počítačů a</w:t>
            </w:r>
            <w:r>
              <w:t> </w:t>
            </w:r>
            <w:r>
              <w:rPr>
                <w:spacing w:val="-3"/>
              </w:rPr>
              <w:t>elektronických a</w:t>
            </w:r>
            <w:r>
              <w:t> </w:t>
            </w:r>
            <w:r>
              <w:rPr>
                <w:spacing w:val="-3"/>
              </w:rPr>
              <w:t>optických přístrojů. Příspěvek automobilového průmyslu se naopak proti roku 2017 výrazně zredukoval.</w:t>
            </w:r>
          </w:p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8704E9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Výroba počítačů, elektronických a optických přístrojů byla nejrychleji rostoucím průmyslovým oborem (+12,1 %) a k meziročnímu růstu celého průmyslu loni přispěla (+0,40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 xml:space="preserve">.). Výrazně naopak oslabil vliv výroby motorových vozidel (na 0,41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V roce 2017 šlo přitom o odvětví, jež samo o sobě zajistilo bezmála třetinu růstu celého průmyslu (příspěvek 1,</w:t>
            </w:r>
            <w:r w:rsidR="005048E2">
              <w:rPr>
                <w:spacing w:val="-4"/>
              </w:rPr>
              <w:t>82</w:t>
            </w:r>
            <w:r>
              <w:rPr>
                <w:spacing w:val="-4"/>
              </w:rPr>
              <w:t xml:space="preserve"> p. 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.). Vývoj tohoto odvětví ve druhé polovině loňského roku ovlivnila i regulační opatření (zavedení</w:t>
            </w:r>
            <w:r w:rsidRPr="00263965">
              <w:rPr>
                <w:spacing w:val="-4"/>
              </w:rPr>
              <w:t xml:space="preserve"> přísnějších emisních norem</w:t>
            </w:r>
            <w:r>
              <w:rPr>
                <w:spacing w:val="-4"/>
              </w:rPr>
              <w:t xml:space="preserve">). Jen mírný loňský </w:t>
            </w:r>
            <w:r w:rsidRPr="00263965">
              <w:rPr>
                <w:spacing w:val="-4"/>
              </w:rPr>
              <w:t>růst automobil</w:t>
            </w:r>
            <w:r>
              <w:rPr>
                <w:spacing w:val="-4"/>
              </w:rPr>
              <w:t>ového průmyslu dokládají i data</w:t>
            </w:r>
            <w:r w:rsidRPr="00263965">
              <w:rPr>
                <w:spacing w:val="-4"/>
              </w:rPr>
              <w:t xml:space="preserve"> o fyzické produkci</w:t>
            </w:r>
            <w:r w:rsidRPr="00263965">
              <w:rPr>
                <w:rStyle w:val="Znakapoznpodarou"/>
                <w:spacing w:val="-4"/>
              </w:rPr>
              <w:footnoteReference w:id="7"/>
            </w:r>
            <w:r w:rsidRPr="00263965">
              <w:rPr>
                <w:spacing w:val="-4"/>
              </w:rPr>
              <w:t>.</w:t>
            </w:r>
            <w:r>
              <w:rPr>
                <w:spacing w:val="-4"/>
              </w:rPr>
              <w:t xml:space="preserve"> Citelné zpomalení zaznamenala i nejbližší subdodavatelská</w:t>
            </w:r>
            <w:r w:rsidRPr="00263965">
              <w:rPr>
                <w:spacing w:val="-4"/>
              </w:rPr>
              <w:t xml:space="preserve"> odvětví</w:t>
            </w:r>
            <w:r>
              <w:rPr>
                <w:spacing w:val="-4"/>
              </w:rPr>
              <w:t xml:space="preserve"> – hlavně gumárenství a </w:t>
            </w:r>
            <w:proofErr w:type="spellStart"/>
            <w:r>
              <w:rPr>
                <w:spacing w:val="-4"/>
              </w:rPr>
              <w:t>plastikářství</w:t>
            </w:r>
            <w:proofErr w:type="spellEnd"/>
            <w:r w:rsidR="008704E9">
              <w:rPr>
                <w:spacing w:val="-4"/>
              </w:rPr>
              <w:t xml:space="preserve"> – </w:t>
            </w:r>
            <w:r>
              <w:rPr>
                <w:spacing w:val="-4"/>
              </w:rPr>
              <w:t xml:space="preserve">kde produkce po svižném růstu v roce 2017 (+8,3 %) loni jen stagnovala. 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Dařilo se i kovovýrobě či strojírenství. Díky tuzemské poptávce pokračovalo oživení v hutnictví i výroby stavebních hmot.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53595E">
            <w:pPr>
              <w:spacing w:after="200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Růst průmyslu loni podpořilo i váhově významné odvětví kovovýroby (příspěvek 0,45 p. </w:t>
            </w:r>
            <w:proofErr w:type="spellStart"/>
            <w:r>
              <w:rPr>
                <w:spacing w:val="-4"/>
              </w:rPr>
              <w:t>b</w:t>
            </w:r>
            <w:proofErr w:type="spellEnd"/>
            <w:r>
              <w:rPr>
                <w:spacing w:val="-4"/>
              </w:rPr>
              <w:t>.), jehož produkce rostla vyšším tempem než celý zpracovatelský průmysl čtvrtým rokem v řadě. Ve strojírenství, kde již z velké části vyprchal silný impuls v podobě akcelerace tuzemské poptávky v roce 2017, růst produkce loni zvolnil na 3,0 %. I tak šlo o třetí nejlepší výsledek po roce 2011. V hutnictví a slévárenství předloňské oživení zejména tuzemské poptávky přetrvalo i v roce 2018 a výkon odvětví tak loni vzrostl o 2,7 % (nejvíce za posledních čtyři roky)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>. Podobná situace panovala i v odvětví výroby stavebních hmot. V potravinářství jako v jednom z mála významnějších průmyslových oborů tempo růstu produkce loni posílilo, i tak ale nedosáhlo ani 3,5 %. Tradičně s</w:t>
            </w:r>
            <w:r w:rsidRPr="00263965">
              <w:rPr>
                <w:spacing w:val="-4"/>
              </w:rPr>
              <w:t xml:space="preserve">labší výkony </w:t>
            </w:r>
            <w:r>
              <w:rPr>
                <w:spacing w:val="-4"/>
              </w:rPr>
              <w:t>zde</w:t>
            </w:r>
            <w:r w:rsidRPr="00263965">
              <w:rPr>
                <w:spacing w:val="-4"/>
              </w:rPr>
              <w:t xml:space="preserve"> </w:t>
            </w:r>
            <w:r>
              <w:rPr>
                <w:spacing w:val="-4"/>
              </w:rPr>
              <w:t>souvisejí</w:t>
            </w:r>
            <w:r w:rsidRPr="00263965">
              <w:rPr>
                <w:spacing w:val="-4"/>
              </w:rPr>
              <w:t xml:space="preserve"> s prohlubujícím se negativním saldem zahraničního obchodu s potravinářskými výrobky</w:t>
            </w:r>
            <w:r>
              <w:rPr>
                <w:rStyle w:val="Znakapoznpodarou"/>
                <w:spacing w:val="-4"/>
              </w:rPr>
              <w:footnoteReference w:id="9"/>
            </w:r>
            <w:r w:rsidRPr="00263965">
              <w:rPr>
                <w:spacing w:val="-4"/>
              </w:rPr>
              <w:t>.</w:t>
            </w:r>
          </w:p>
        </w:tc>
      </w:tr>
      <w:tr w:rsidR="00006B67" w:rsidRPr="00F704D2" w:rsidTr="00723435">
        <w:trPr>
          <w:trHeight w:val="170"/>
        </w:trPr>
        <w:tc>
          <w:tcPr>
            <w:tcW w:w="1839" w:type="dxa"/>
            <w:vMerge w:val="restart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 w:val="restart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spacing w:after="0"/>
              <w:rPr>
                <w:b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</w:t>
            </w:r>
            <w:proofErr w:type="gramStart"/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č. 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</w:rPr>
              <w:t>Příspěvky</w:t>
            </w:r>
            <w:proofErr w:type="gramEnd"/>
            <w:r>
              <w:rPr>
                <w:b/>
              </w:rPr>
              <w:t xml:space="preserve"> dílčích odvětví k meziroční změně průmyslové produkce</w:t>
            </w:r>
          </w:p>
          <w:p w:rsidR="00006B67" w:rsidRPr="00F704D2" w:rsidRDefault="00006B67" w:rsidP="00723435">
            <w:pPr>
              <w:spacing w:after="0"/>
              <w:jc w:val="left"/>
              <w:rPr>
                <w:rFonts w:cs="Arial"/>
                <w:bCs/>
              </w:rPr>
            </w:pPr>
            <w:r>
              <w:t>(v procentních bodech, očištěno o kalendářní vlivy</w:t>
            </w:r>
            <w:r w:rsidRPr="001D04BA">
              <w:t>)</w:t>
            </w:r>
          </w:p>
        </w:tc>
      </w:tr>
      <w:tr w:rsidR="00006B67" w:rsidTr="00723435">
        <w:trPr>
          <w:trHeight w:val="170"/>
        </w:trPr>
        <w:tc>
          <w:tcPr>
            <w:tcW w:w="1839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spacing w:after="0"/>
            </w:pPr>
            <w:r w:rsidRPr="00AF5949">
              <w:rPr>
                <w:noProof/>
              </w:rPr>
              <w:drawing>
                <wp:inline distT="0" distB="0" distL="0" distR="0">
                  <wp:extent cx="4798088" cy="3637504"/>
                  <wp:effectExtent l="0" t="0" r="0" b="0"/>
                  <wp:docPr id="3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06B67" w:rsidRPr="007B3A78" w:rsidTr="00723435">
        <w:trPr>
          <w:trHeight w:val="170"/>
        </w:trPr>
        <w:tc>
          <w:tcPr>
            <w:tcW w:w="1839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vMerge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7B3A78" w:rsidRDefault="00006B67" w:rsidP="00723435">
            <w:pPr>
              <w:spacing w:after="200" w:line="240" w:lineRule="auto"/>
              <w:jc w:val="left"/>
              <w:rPr>
                <w:rFonts w:cs="Arial"/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4D53B1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31324B" w:rsidRDefault="00006B67" w:rsidP="00723435">
            <w:pPr>
              <w:pStyle w:val="Marginlie"/>
              <w:rPr>
                <w:color w:val="0D0D0D" w:themeColor="text1" w:themeTint="F2"/>
              </w:rPr>
            </w:pPr>
            <w:r w:rsidRPr="0031324B">
              <w:rPr>
                <w:color w:val="0D0D0D" w:themeColor="text1" w:themeTint="F2"/>
              </w:rPr>
              <w:lastRenderedPageBreak/>
              <w:t>Z menších zpracovatelských odvětví pokračoval svižný růst farmaceutického průmyslu</w:t>
            </w:r>
            <w:r>
              <w:rPr>
                <w:color w:val="0D0D0D" w:themeColor="text1" w:themeTint="F2"/>
              </w:rPr>
              <w:t>, výrobcům nápojů pomohlo i teplé počasí.</w:t>
            </w:r>
          </w:p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4D53B1" w:rsidRDefault="00006B67" w:rsidP="00C33301">
            <w:pPr>
              <w:pStyle w:val="Textpoznpodarou"/>
              <w:spacing w:after="220" w:line="276" w:lineRule="auto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Loňské zvolnění růstu většiny váhově významných průmyslových odvětví bylo zčásti kompenzováno dynamickým vývojem některých menších oborů. Šlo zejména o výrazně exportně orientovaný farmaceutický průmysl (+5,7 %) a </w:t>
            </w:r>
            <w:r>
              <w:rPr>
                <w:spacing w:val="-3"/>
              </w:rPr>
              <w:t xml:space="preserve">výrobu ostatních – zejména kolejových – dopravních prostředků (kde růst plně kompenzoval takřka 10% propad produkce z roku 2017). Vyšší tuzemská poptávka se pozitivně odrazila i ve výkonech nábytkářství či </w:t>
            </w:r>
            <w:r>
              <w:rPr>
                <w:color w:val="0D0D0D" w:themeColor="text1" w:themeTint="F2"/>
                <w:spacing w:val="-4"/>
              </w:rPr>
              <w:t>ostatního zpracovatelského průmyslu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>
              <w:rPr>
                <w:color w:val="0D0D0D" w:themeColor="text1" w:themeTint="F2"/>
                <w:spacing w:val="-4"/>
              </w:rPr>
              <w:t>. Dařilo se i dřevozpracujícímu průmyslu, oděvnictví (s růstem produkce za poslední čtyři roky o více než třetinu) i</w:t>
            </w:r>
            <w:r>
              <w:rPr>
                <w:spacing w:val="-3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výrobcům nápojů, u nichž růst o 5,1 % </w:t>
            </w:r>
            <w:r>
              <w:rPr>
                <w:spacing w:val="-3"/>
              </w:rPr>
              <w:t xml:space="preserve">(podpořený dlouhým horkým letním obdobím i oživením exportu) představoval nejlepší výsledek po roce 2007. </w:t>
            </w:r>
          </w:p>
        </w:tc>
      </w:tr>
      <w:tr w:rsidR="00006B67" w:rsidRPr="002A4B9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spacing w:line="276" w:lineRule="auto"/>
              <w:rPr>
                <w:b/>
                <w:spacing w:val="-3"/>
              </w:rPr>
            </w:pPr>
            <w:r w:rsidRPr="002A4B98">
              <w:rPr>
                <w:b/>
                <w:spacing w:val="-3"/>
              </w:rPr>
              <w:t xml:space="preserve">Graf </w:t>
            </w:r>
            <w:proofErr w:type="gramStart"/>
            <w:r w:rsidRPr="002A4B98">
              <w:rPr>
                <w:b/>
                <w:spacing w:val="-3"/>
              </w:rPr>
              <w:t>č. 6  Nové</w:t>
            </w:r>
            <w:proofErr w:type="gramEnd"/>
            <w:r w:rsidRPr="002A4B98">
              <w:rPr>
                <w:b/>
                <w:spacing w:val="-3"/>
              </w:rPr>
              <w:t xml:space="preserve"> zakázky v automobilovém průmyslu, v průmyslu celkem</w:t>
            </w:r>
          </w:p>
          <w:p w:rsidR="00006B67" w:rsidRPr="002A4B98" w:rsidRDefault="00006B67" w:rsidP="00723435">
            <w:pPr>
              <w:pStyle w:val="Textpoznpodarou"/>
              <w:spacing w:line="276" w:lineRule="auto"/>
              <w:rPr>
                <w:spacing w:val="-3"/>
              </w:rPr>
            </w:pPr>
            <w:r w:rsidRPr="002A4B98">
              <w:rPr>
                <w:bCs/>
                <w:spacing w:val="-3"/>
              </w:rPr>
              <w:t xml:space="preserve">(v běžných cenách, </w:t>
            </w:r>
            <w:r w:rsidRPr="002A4B98">
              <w:rPr>
                <w:spacing w:val="-3"/>
              </w:rPr>
              <w:t>meziročně</w:t>
            </w:r>
            <w:r w:rsidRPr="002A4B98">
              <w:rPr>
                <w:bCs/>
                <w:spacing w:val="-3"/>
              </w:rPr>
              <w:t xml:space="preserve"> v %)</w:t>
            </w:r>
            <w:r>
              <w:rPr>
                <w:bCs/>
                <w:spacing w:val="-3"/>
              </w:rPr>
              <w:t>,</w:t>
            </w:r>
            <w:r w:rsidRPr="002A4B98">
              <w:rPr>
                <w:b/>
                <w:spacing w:val="-3"/>
              </w:rPr>
              <w:t xml:space="preserve"> saldo indikátoru důvěry v</w:t>
            </w:r>
            <w:r>
              <w:rPr>
                <w:b/>
                <w:spacing w:val="-3"/>
              </w:rPr>
              <w:t> </w:t>
            </w:r>
            <w:r w:rsidRPr="002A4B98">
              <w:rPr>
                <w:b/>
                <w:spacing w:val="-3"/>
              </w:rPr>
              <w:t>průmyslu</w:t>
            </w:r>
            <w:r>
              <w:rPr>
                <w:b/>
                <w:spacing w:val="-3"/>
              </w:rPr>
              <w:t>*</w:t>
            </w:r>
            <w:r w:rsidRPr="002A4B98">
              <w:rPr>
                <w:b/>
                <w:spacing w:val="-3"/>
              </w:rPr>
              <w:t xml:space="preserve"> </w:t>
            </w:r>
            <w:r w:rsidRPr="002A4B98">
              <w:rPr>
                <w:spacing w:val="-3"/>
              </w:rPr>
              <w:t>(v bodech)</w:t>
            </w:r>
            <w:r>
              <w:rPr>
                <w:spacing w:val="-3"/>
              </w:rPr>
              <w:t xml:space="preserve"> </w:t>
            </w:r>
            <w:r w:rsidRPr="00176851">
              <w:rPr>
                <w:b/>
                <w:spacing w:val="-3"/>
              </w:rPr>
              <w:t>a využití výrobních kapacit v průmyslu*</w:t>
            </w:r>
            <w:r>
              <w:rPr>
                <w:spacing w:val="-3"/>
              </w:rPr>
              <w:t xml:space="preserve"> (v %)</w:t>
            </w:r>
          </w:p>
        </w:tc>
      </w:tr>
      <w:tr w:rsidR="00006B67" w:rsidRPr="00970E6F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970E6F" w:rsidRDefault="00006B67" w:rsidP="00723435">
            <w:pPr>
              <w:spacing w:after="0" w:line="240" w:lineRule="auto"/>
              <w:rPr>
                <w:spacing w:val="-2"/>
                <w:szCs w:val="20"/>
              </w:rPr>
            </w:pPr>
            <w:r w:rsidRPr="009A2231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72801" cy="3553200"/>
                  <wp:effectExtent l="19050" t="0" r="8749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06B67" w:rsidRPr="00DE6706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DE6706" w:rsidRDefault="00006B67" w:rsidP="00723435">
            <w:pPr>
              <w:spacing w:after="22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*Údaje jsou sezónně očištěny.                                        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Saldo důvěry průmyslových podniků ve druhé polovině roku 2018 sláblo, stále však zůstalo mírně pozitivní.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 xml:space="preserve">Podniky stále nejvíce limitovala napjatá situace na trhu práce. Na počátku roku 2019 ale tento vliv mírně oslabil. 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Přestože meziroční růst produkce i tržeb se v průmyslu loni ve srovnání s tempem dosaženým v roce 2017 snížil zhruba o polovinu, krátkodobé </w:t>
            </w:r>
            <w:r w:rsidR="006B6CC5">
              <w:rPr>
                <w:color w:val="0D0D0D" w:themeColor="text1" w:themeTint="F2"/>
                <w:spacing w:val="-4"/>
              </w:rPr>
              <w:t>vyhlídky</w:t>
            </w:r>
            <w:r>
              <w:rPr>
                <w:color w:val="0D0D0D" w:themeColor="text1" w:themeTint="F2"/>
                <w:spacing w:val="-4"/>
              </w:rPr>
              <w:t xml:space="preserve"> celého odvětví zůstávají mírně pozitivní. Hodnota nových zakázek byla ve 4. čtvrtletí vyšší o 4,5 % </w:t>
            </w:r>
            <w:r w:rsidR="00822F08">
              <w:rPr>
                <w:color w:val="0D0D0D" w:themeColor="text1" w:themeTint="F2"/>
                <w:spacing w:val="-4"/>
              </w:rPr>
              <w:br/>
            </w:r>
            <w:r>
              <w:rPr>
                <w:color w:val="0D0D0D" w:themeColor="text1" w:themeTint="F2"/>
                <w:spacing w:val="-4"/>
              </w:rPr>
              <w:t xml:space="preserve">(za celý rok o 3,7 %). Byť poptávka v automobilovém průmyslu i přidruženém odvětví výroby elektrických zařízení fakticky stagnovala, v drtivé většině ostatních sledovaných odvětvích zakázky rostly (zejm. vlivem silnější zahraniční poptávky). Šlo hlavně o výrobu kolejových vozidel, počítačů, elektronických i optických </w:t>
            </w:r>
            <w:r w:rsidRPr="00036509">
              <w:rPr>
                <w:color w:val="0D0D0D" w:themeColor="text1" w:themeTint="F2"/>
                <w:spacing w:val="-4"/>
              </w:rPr>
              <w:t>přístrojů a zařízení</w:t>
            </w:r>
            <w:r>
              <w:rPr>
                <w:color w:val="0D0D0D" w:themeColor="text1" w:themeTint="F2"/>
                <w:spacing w:val="-4"/>
              </w:rPr>
              <w:t xml:space="preserve">, farmaceutický průmysl a kovovýrobu. Sezónně očištěné saldo </w:t>
            </w:r>
            <w:r>
              <w:rPr>
                <w:rFonts w:cs="Arial"/>
                <w:color w:val="0D0D0D" w:themeColor="text1" w:themeTint="F2"/>
                <w:spacing w:val="-4"/>
              </w:rPr>
              <w:t>indikátoru důvěry v průmyslu zůstalo v kladném pásmu – po stagnaci v první polovině roku 2018 v jeho zbývající části mírně kleslo (na prosincových +0,3, pětileté minimum). Stálo za tím slabší hodnocení celkové poptávky i krátkodobých očekávání výrobní činnosti. Hlavní bariérou růstu průmyslu zůstává již od poloviny roku 2017 nedostatek zaměstnanců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což se promítlo ve vyšších investicích v oblasti strojního vybavení i rostoucího využití produkčních kapacit průmyslu.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Nedostatečná poptávka omezovala na počátku roku 2019 třetinu podniků (podobně jako o rok dříve). Od poloviny loňského roku pociťují podniky intenzivněji i nedostatek materiálu (nejvíce v chemickém a automobilovém průmyslu). </w:t>
            </w:r>
          </w:p>
        </w:tc>
      </w:tr>
      <w:tr w:rsidR="00006B67" w:rsidRPr="00D8315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lastRenderedPageBreak/>
              <w:t>Výkon stavebnictví loni rostl nejvyšším tempem po roce 2003. Dařilo se jak pozemnímu, tak i inženýrskému stavitelství.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2A4B98" w:rsidRDefault="00006B67" w:rsidP="00723435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D83158" w:rsidRDefault="00006B67" w:rsidP="00300C31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Výkon stavebnictví loni pod vlivem sílících veřejných i soukromých investic akceleroval. Odvětví pomohly i velmi příznivé teplotní podmínky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>
              <w:rPr>
                <w:color w:val="0D0D0D" w:themeColor="text1" w:themeTint="F2"/>
                <w:spacing w:val="-4"/>
              </w:rPr>
              <w:t>. S</w:t>
            </w:r>
            <w:r>
              <w:rPr>
                <w:spacing w:val="-3"/>
              </w:rPr>
              <w:t>tavební produkce</w:t>
            </w:r>
            <w:r>
              <w:rPr>
                <w:rStyle w:val="Znakapoznpodarou"/>
                <w:spacing w:val="-4"/>
              </w:rPr>
              <w:footnoteReference w:id="13"/>
            </w:r>
            <w:r>
              <w:rPr>
                <w:spacing w:val="-3"/>
              </w:rPr>
              <w:t xml:space="preserve"> rostla již druhým rokem v řadě, loňských +9,1 %</w:t>
            </w:r>
            <w:r>
              <w:rPr>
                <w:rStyle w:val="Znakapoznpodarou"/>
                <w:spacing w:val="-3"/>
              </w:rPr>
              <w:footnoteReference w:id="14"/>
            </w:r>
            <w:r>
              <w:rPr>
                <w:spacing w:val="-3"/>
              </w:rPr>
              <w:t xml:space="preserve"> znamenalo </w:t>
            </w:r>
            <w:r w:rsidR="00300C31">
              <w:rPr>
                <w:spacing w:val="-3"/>
              </w:rPr>
              <w:t xml:space="preserve">nejsilnější </w:t>
            </w:r>
            <w:r>
              <w:rPr>
                <w:spacing w:val="-3"/>
              </w:rPr>
              <w:t>meziroční tempo za posledních patnáct let. Zasloužil se o to vývoj v 1. až 3. čtvrtletí roku, v jeho poslední čtvrtině došlo ke zvolnění (na 4,3 %). V </w:t>
            </w:r>
            <w:proofErr w:type="spellStart"/>
            <w:r>
              <w:rPr>
                <w:spacing w:val="-3"/>
              </w:rPr>
              <w:t>mezikvartálním</w:t>
            </w:r>
            <w:proofErr w:type="spellEnd"/>
            <w:r>
              <w:rPr>
                <w:spacing w:val="-3"/>
              </w:rPr>
              <w:t xml:space="preserve"> vyjádření dokonce k poklesu o 1,8 %</w:t>
            </w:r>
            <w:r>
              <w:rPr>
                <w:rStyle w:val="Znakapoznpodarou"/>
                <w:spacing w:val="-3"/>
              </w:rPr>
              <w:footnoteReference w:id="15"/>
            </w:r>
            <w:r>
              <w:rPr>
                <w:spacing w:val="-3"/>
              </w:rPr>
              <w:t>. Zatímco v roce 2017 navyšovalo výkon celého odvětví jen pozemní stavitelství, loni s ním, pokud jde o tempo, dokázalo držet krok i inženýrské stavitelství.</w:t>
            </w:r>
          </w:p>
        </w:tc>
      </w:tr>
      <w:tr w:rsidR="00006B67" w:rsidRPr="001800C4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EA2E2E" w:rsidRDefault="00006B67" w:rsidP="00723435">
            <w:pPr>
              <w:spacing w:after="0"/>
              <w:rPr>
                <w:b/>
                <w:spacing w:val="-2"/>
              </w:rPr>
            </w:pPr>
            <w:r w:rsidRPr="00EA2E2E">
              <w:rPr>
                <w:b/>
                <w:spacing w:val="-2"/>
              </w:rPr>
              <w:t xml:space="preserve">Graf </w:t>
            </w:r>
            <w:proofErr w:type="gramStart"/>
            <w:r w:rsidRPr="00EA2E2E">
              <w:rPr>
                <w:b/>
                <w:spacing w:val="-2"/>
              </w:rPr>
              <w:t>č. 7  Příspěvky</w:t>
            </w:r>
            <w:proofErr w:type="gramEnd"/>
            <w:r w:rsidRPr="00EA2E2E">
              <w:rPr>
                <w:b/>
                <w:spacing w:val="-2"/>
              </w:rPr>
              <w:t xml:space="preserve"> dílčích odvětví k me</w:t>
            </w:r>
            <w:r w:rsidR="007A170B">
              <w:rPr>
                <w:b/>
                <w:spacing w:val="-2"/>
              </w:rPr>
              <w:t>ziroční změně stavební produkce*</w:t>
            </w:r>
          </w:p>
          <w:p w:rsidR="00006B67" w:rsidRPr="001800C4" w:rsidRDefault="00006B67" w:rsidP="00723435">
            <w:pPr>
              <w:pStyle w:val="Textpoznpodarou"/>
              <w:spacing w:line="276" w:lineRule="auto"/>
              <w:rPr>
                <w:bCs/>
              </w:rPr>
            </w:pPr>
            <w:r w:rsidRPr="00EA2E2E">
              <w:rPr>
                <w:spacing w:val="-2"/>
              </w:rPr>
              <w:t xml:space="preserve">(v p. </w:t>
            </w:r>
            <w:proofErr w:type="spellStart"/>
            <w:r w:rsidRPr="00EA2E2E">
              <w:rPr>
                <w:spacing w:val="-2"/>
              </w:rPr>
              <w:t>b</w:t>
            </w:r>
            <w:proofErr w:type="spellEnd"/>
            <w:r w:rsidRPr="00EA2E2E">
              <w:rPr>
                <w:spacing w:val="-2"/>
              </w:rPr>
              <w:t xml:space="preserve">.), </w:t>
            </w:r>
            <w:r w:rsidRPr="00EA2E2E">
              <w:rPr>
                <w:b/>
                <w:spacing w:val="-2"/>
              </w:rPr>
              <w:t xml:space="preserve">nové zakázky </w:t>
            </w:r>
            <w:r w:rsidRPr="00EA2E2E">
              <w:rPr>
                <w:bCs/>
                <w:spacing w:val="-2"/>
              </w:rPr>
              <w:t>(</w:t>
            </w:r>
            <w:r w:rsidRPr="00EA2E2E">
              <w:rPr>
                <w:spacing w:val="-2"/>
              </w:rPr>
              <w:t>meziročně</w:t>
            </w:r>
            <w:r w:rsidRPr="00EA2E2E">
              <w:rPr>
                <w:bCs/>
                <w:spacing w:val="-2"/>
              </w:rPr>
              <w:t xml:space="preserve"> v %) </w:t>
            </w:r>
            <w:r w:rsidRPr="00EA2E2E">
              <w:rPr>
                <w:b/>
                <w:spacing w:val="-2"/>
              </w:rPr>
              <w:t>a saldo indikátoru důvěry ve stavebnictví*</w:t>
            </w:r>
            <w:r w:rsidR="007A170B">
              <w:rPr>
                <w:b/>
                <w:spacing w:val="-2"/>
              </w:rPr>
              <w:t>*</w:t>
            </w:r>
            <w:r w:rsidRPr="00EA2E2E">
              <w:rPr>
                <w:spacing w:val="-2"/>
              </w:rPr>
              <w:t xml:space="preserve"> </w:t>
            </w:r>
          </w:p>
        </w:tc>
      </w:tr>
      <w:tr w:rsidR="00006B67" w:rsidRPr="00B4411A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B4411A" w:rsidRDefault="00006B67" w:rsidP="00723435">
            <w:pPr>
              <w:spacing w:after="0"/>
              <w:rPr>
                <w:spacing w:val="-4"/>
              </w:rPr>
            </w:pPr>
            <w:r w:rsidRPr="00027452">
              <w:rPr>
                <w:noProof/>
                <w:spacing w:val="-4"/>
              </w:rPr>
              <w:drawing>
                <wp:inline distT="0" distB="0" distL="0" distR="0">
                  <wp:extent cx="4735970" cy="4126675"/>
                  <wp:effectExtent l="0" t="0" r="0" b="0"/>
                  <wp:docPr id="3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06B67" w:rsidRPr="004621FE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7A170B" w:rsidRDefault="00006B67" w:rsidP="007A170B">
            <w:pPr>
              <w:spacing w:after="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*Údaje jsou očištěny</w:t>
            </w:r>
            <w:r w:rsidR="007A170B">
              <w:rPr>
                <w:rFonts w:cs="Arial"/>
                <w:sz w:val="14"/>
                <w:szCs w:val="14"/>
              </w:rPr>
              <w:t xml:space="preserve"> o kalendářní vlivy.</w:t>
            </w:r>
          </w:p>
          <w:p w:rsidR="00006B67" w:rsidRPr="004621FE" w:rsidRDefault="007A170B" w:rsidP="007A170B">
            <w:pPr>
              <w:spacing w:after="180"/>
              <w:jc w:val="left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sz w:val="14"/>
                <w:szCs w:val="14"/>
              </w:rPr>
              <w:t xml:space="preserve">**Údaje jsou sezónně očištěny. </w:t>
            </w:r>
            <w:r w:rsidR="00006B6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         </w:t>
            </w:r>
            <w:r w:rsidR="00006B67" w:rsidRPr="00535F78">
              <w:rPr>
                <w:rFonts w:cs="Arial"/>
                <w:sz w:val="14"/>
                <w:szCs w:val="14"/>
              </w:rPr>
              <w:t xml:space="preserve">Zdroj: </w:t>
            </w:r>
            <w:r w:rsidR="00006B67"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5813A9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t>Počet zahájených bytů rostl již pátým rokem v</w:t>
            </w:r>
            <w:r>
              <w:rPr>
                <w:color w:val="0D0D0D" w:themeColor="text1" w:themeTint="F2"/>
                <w:spacing w:val="-4"/>
              </w:rPr>
              <w:t> řadě až na devítileté maximum.</w:t>
            </w: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9110F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813A9" w:rsidRDefault="00006B67" w:rsidP="00DA544C">
            <w:pPr>
              <w:spacing w:after="200"/>
              <w:rPr>
                <w:color w:val="0D0D0D" w:themeColor="text1" w:themeTint="F2"/>
                <w:spacing w:val="-3"/>
                <w:szCs w:val="20"/>
              </w:rPr>
            </w:pPr>
            <w:r>
              <w:rPr>
                <w:color w:val="0D0D0D" w:themeColor="text1" w:themeTint="F2"/>
                <w:spacing w:val="-3"/>
                <w:szCs w:val="20"/>
              </w:rPr>
              <w:t xml:space="preserve">Zatímco inženýrskému stavitelství výrazně pomohl pokrok v čerpání prostředků z evropských fondů (patrný ve srovnání s rokem 2017, ale i v průběhu samotného loňského roku), váhově dominantní pozemní stavitelství těžilo z rostoucí poptávky </w:t>
            </w:r>
            <w:r w:rsidR="009065CB">
              <w:rPr>
                <w:color w:val="0D0D0D" w:themeColor="text1" w:themeTint="F2"/>
                <w:spacing w:val="-3"/>
                <w:szCs w:val="20"/>
              </w:rPr>
              <w:br/>
            </w:r>
            <w:r>
              <w:rPr>
                <w:color w:val="0D0D0D" w:themeColor="text1" w:themeTint="F2"/>
                <w:spacing w:val="-3"/>
                <w:szCs w:val="20"/>
              </w:rPr>
              <w:t>po komerčních i rezidenčních nemovitostech. Přestože počet zahájených bytů dosáhl loni devítiletého maxima (3</w:t>
            </w:r>
            <w:r w:rsidR="00FC1266">
              <w:rPr>
                <w:color w:val="0D0D0D" w:themeColor="text1" w:themeTint="F2"/>
                <w:spacing w:val="-3"/>
                <w:szCs w:val="20"/>
              </w:rPr>
              <w:t>3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,1 tis.) a rostl již pátým rokem v řadě (v úhrnu o bezmála </w:t>
            </w:r>
            <w:r w:rsidR="00656C5D">
              <w:rPr>
                <w:color w:val="0D0D0D" w:themeColor="text1" w:themeTint="F2"/>
                <w:spacing w:val="-3"/>
                <w:szCs w:val="20"/>
              </w:rPr>
              <w:br/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50 %), ve srovnání s průměrem za konjunkturním obdobím (2006 až 2008) stále o téměř čtvrtinu zaostával. K loňskému růstu nejvíce přispěl vyšší počet zahájených bytů </w:t>
            </w:r>
            <w:r>
              <w:rPr>
                <w:color w:val="0D0D0D" w:themeColor="text1" w:themeTint="F2"/>
                <w:spacing w:val="-3"/>
                <w:szCs w:val="20"/>
              </w:rPr>
              <w:lastRenderedPageBreak/>
              <w:t xml:space="preserve">v nebytových budovách, v rodinných domech a také ve </w:t>
            </w:r>
            <w:r w:rsidRPr="00383DAB">
              <w:rPr>
                <w:color w:val="0D0D0D" w:themeColor="text1" w:themeTint="F2"/>
                <w:spacing w:val="-3"/>
                <w:szCs w:val="20"/>
              </w:rPr>
              <w:t>stavebně upravených nebytových prostorách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 (jichž bylo nejvíce po roce 2005). Naopak u bytů v bytových domech objem zahajované výstavby meziročně stagnoval a proti roku 2007 nedosahoval ani poloviny. Z pohledu krajů loni </w:t>
            </w:r>
            <w:r w:rsidR="00DA544C">
              <w:rPr>
                <w:color w:val="0D0D0D" w:themeColor="text1" w:themeTint="F2"/>
                <w:spacing w:val="-3"/>
                <w:szCs w:val="20"/>
              </w:rPr>
              <w:t xml:space="preserve">nejvíce přispěla </w:t>
            </w:r>
            <w:r>
              <w:rPr>
                <w:color w:val="0D0D0D" w:themeColor="text1" w:themeTint="F2"/>
                <w:spacing w:val="-3"/>
                <w:szCs w:val="20"/>
              </w:rPr>
              <w:t>k růstu v ČR výstavba</w:t>
            </w:r>
            <w:r w:rsidR="00DA544C">
              <w:rPr>
                <w:color w:val="0D0D0D" w:themeColor="text1" w:themeTint="F2"/>
                <w:spacing w:val="-3"/>
                <w:szCs w:val="20"/>
              </w:rPr>
              <w:t xml:space="preserve"> v 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Praze, i tak zde počet zahájených (i dokončených) bytů již pátým rokem v řadě citelně zaostával za celkovým přírůstkem obyvatelstva. Jen pozvolný rozjezd bytové výstavby spolu s efektivitou hospodaření se stávajícím bytovým fondem </w:t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 xml:space="preserve">v metropoli 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se </w:t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>odráží v prudkém růstu realizovaných cen nových bytů i nájmů</w:t>
            </w:r>
            <w:r w:rsidRPr="005813A9">
              <w:rPr>
                <w:rStyle w:val="Znakapoznpodarou"/>
                <w:color w:val="0D0D0D" w:themeColor="text1" w:themeTint="F2"/>
                <w:spacing w:val="-3"/>
                <w:szCs w:val="20"/>
              </w:rPr>
              <w:footnoteReference w:id="16"/>
            </w:r>
            <w:r w:rsidRPr="005813A9">
              <w:rPr>
                <w:color w:val="0D0D0D" w:themeColor="text1" w:themeTint="F2"/>
                <w:spacing w:val="-3"/>
                <w:szCs w:val="20"/>
              </w:rPr>
              <w:t>.</w:t>
            </w:r>
          </w:p>
        </w:tc>
      </w:tr>
      <w:tr w:rsidR="00006B67" w:rsidRPr="005813A9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lastRenderedPageBreak/>
              <w:t xml:space="preserve">Hodnota nových tuzemských stavebních zakázek rostla již druhým rokem </w:t>
            </w:r>
            <w:r w:rsidR="00CB5A48">
              <w:rPr>
                <w:color w:val="0D0D0D" w:themeColor="text1" w:themeTint="F2"/>
                <w:spacing w:val="-4"/>
              </w:rPr>
              <w:t xml:space="preserve">v </w:t>
            </w:r>
            <w:r w:rsidRPr="00D57B48">
              <w:rPr>
                <w:color w:val="0D0D0D" w:themeColor="text1" w:themeTint="F2"/>
                <w:spacing w:val="-4"/>
              </w:rPr>
              <w:t>řadě. Na sklonku roku ale tempo ochabovalo.</w:t>
            </w: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:rsidR="00006B67" w:rsidRPr="00D57B48" w:rsidRDefault="00006B67" w:rsidP="00723435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D57B48">
              <w:rPr>
                <w:color w:val="0D0D0D" w:themeColor="text1" w:themeTint="F2"/>
                <w:spacing w:val="-4"/>
              </w:rPr>
              <w:t>Nálada podnikatelů ve stavebnictví se významně zlepšila, sta</w:t>
            </w:r>
            <w:r>
              <w:rPr>
                <w:color w:val="0D0D0D" w:themeColor="text1" w:themeTint="F2"/>
                <w:spacing w:val="-4"/>
              </w:rPr>
              <w:t xml:space="preserve">vební podniky ale výrazně sužoval </w:t>
            </w:r>
            <w:r w:rsidRPr="00D57B48">
              <w:rPr>
                <w:color w:val="0D0D0D" w:themeColor="text1" w:themeTint="F2"/>
                <w:spacing w:val="-4"/>
              </w:rPr>
              <w:t>nedostatek volné pracovní síly.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Pr="009110F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813A9" w:rsidRDefault="00006B67" w:rsidP="00723435">
            <w:pPr>
              <w:spacing w:after="200"/>
              <w:rPr>
                <w:color w:val="0D0D0D" w:themeColor="text1" w:themeTint="F2"/>
                <w:spacing w:val="-3"/>
                <w:szCs w:val="20"/>
              </w:rPr>
            </w:pPr>
            <w:r>
              <w:rPr>
                <w:color w:val="0D0D0D" w:themeColor="text1" w:themeTint="F2"/>
                <w:spacing w:val="-3"/>
                <w:szCs w:val="20"/>
              </w:rPr>
              <w:t xml:space="preserve">Stavebnictví mělo v Česku i na sklonku roku 2018 stále dobré vyhlídky. Meziroční růst hodnoty nových tuzemských zakázek </w:t>
            </w:r>
            <w:r w:rsidRPr="00AF37C3">
              <w:rPr>
                <w:color w:val="0D0D0D" w:themeColor="text1" w:themeTint="F2"/>
                <w:spacing w:val="-4"/>
                <w:szCs w:val="20"/>
              </w:rPr>
              <w:t xml:space="preserve">(u </w:t>
            </w:r>
            <w:r w:rsidRPr="00AF37C3">
              <w:rPr>
                <w:szCs w:val="20"/>
              </w:rPr>
              <w:t>podniků s</w:t>
            </w:r>
            <w:r>
              <w:rPr>
                <w:szCs w:val="20"/>
              </w:rPr>
              <w:t xml:space="preserve"> </w:t>
            </w:r>
            <w:r w:rsidRPr="00AF37C3">
              <w:rPr>
                <w:szCs w:val="20"/>
              </w:rPr>
              <w:t xml:space="preserve">50 a více zaměstnanci) </w:t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pokračoval již druhým rokem v řadě. Silný byl v první polovině loňského roku, a to jak v pozemním (28,1 %), tak i inženýrském stavitelství (34,6 %). Ve zbylé části roku tempo ochabovalo, i tak ale mírný růst v celém odvětví přetrvával i v posledním kvartále (+1,9 %). Pozitivní bylo i to, že se více prosazovaly i větší projekty – průměrná velikost nové zakázky rostla druhým rokem v řadě (v roce 2018 činila 3,7 mil. korun). Celková zásoba práce ve formě všech dosud nerealizovaných zakázek čítala na konci roku 153 mld. korun (meziročně +15 %). Růst zásoby práce byl tažen primárně veřejnými tuzemskými zakázkami. Naopak objem sjednaných prací v zahraničí, jenž v posledních letech působil spíše </w:t>
            </w:r>
            <w:proofErr w:type="spellStart"/>
            <w:r>
              <w:rPr>
                <w:color w:val="0D0D0D" w:themeColor="text1" w:themeTint="F2"/>
                <w:spacing w:val="-3"/>
                <w:szCs w:val="20"/>
              </w:rPr>
              <w:t>proticyklicky</w:t>
            </w:r>
            <w:proofErr w:type="spellEnd"/>
            <w:r>
              <w:rPr>
                <w:color w:val="0D0D0D" w:themeColor="text1" w:themeTint="F2"/>
                <w:spacing w:val="-3"/>
                <w:szCs w:val="20"/>
              </w:rPr>
              <w:t>, se redukoval čtvrtým rokem v řadě</w:t>
            </w:r>
            <w:r>
              <w:rPr>
                <w:rStyle w:val="Znakapoznpodarou"/>
                <w:color w:val="0D0D0D" w:themeColor="text1" w:themeTint="F2"/>
                <w:spacing w:val="-3"/>
                <w:szCs w:val="20"/>
              </w:rPr>
              <w:footnoteReference w:id="17"/>
            </w:r>
            <w:r>
              <w:rPr>
                <w:color w:val="0D0D0D" w:themeColor="text1" w:themeTint="F2"/>
                <w:spacing w:val="-3"/>
                <w:szCs w:val="20"/>
              </w:rPr>
              <w:t xml:space="preserve">.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Indikátor důvěry manažerů stavebních podniků rostl již dva a půl roku a v listopadu 2018 opustil záporné pásmo (poprvé od září 2008). Podíl stavebních podniků považujících nedostatek pracovníků za růstovou bariéru se během roku 2018 skoro zdvojnásobil (na prosincových 41 %), v poslední třetině roku šlo již o hlavní bariéru v celém odvětví. Oproti tomu faktor nedostatečné poptávky dále ustupoval do pozadí (až na 24 % – mírně pod úrovní dosažené v konjunktuře minulé dekády). </w:t>
            </w:r>
          </w:p>
        </w:tc>
      </w:tr>
      <w:tr w:rsidR="00006B67" w:rsidRPr="00A16220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A16220" w:rsidRDefault="00006B67" w:rsidP="00723435">
            <w:pPr>
              <w:pStyle w:val="Textpoznpodarou"/>
              <w:spacing w:line="276" w:lineRule="auto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8  </w:t>
            </w:r>
            <w:r>
              <w:rPr>
                <w:b/>
                <w:spacing w:val="-2"/>
              </w:rPr>
              <w:t>Tržby</w:t>
            </w:r>
            <w:proofErr w:type="gramEnd"/>
            <w:r>
              <w:rPr>
                <w:b/>
                <w:spacing w:val="-2"/>
              </w:rPr>
              <w:t xml:space="preserve"> ve vybraných sekcích služeb </w:t>
            </w:r>
            <w:r w:rsidRPr="00E62A33">
              <w:rPr>
                <w:bCs/>
                <w:spacing w:val="-2"/>
              </w:rPr>
              <w:t xml:space="preserve">(reálně, </w:t>
            </w:r>
            <w:r>
              <w:rPr>
                <w:bCs/>
                <w:spacing w:val="-2"/>
              </w:rPr>
              <w:t xml:space="preserve">sezónně </w:t>
            </w:r>
            <w:r w:rsidRPr="00E62A33">
              <w:rPr>
                <w:rFonts w:cs="Arial"/>
                <w:spacing w:val="-2"/>
              </w:rPr>
              <w:t xml:space="preserve">očištěno, </w:t>
            </w:r>
            <w:r>
              <w:rPr>
                <w:spacing w:val="-2"/>
              </w:rPr>
              <w:t>úroveň roku 2015 = 100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a </w:t>
            </w:r>
            <w:r w:rsidRPr="002A4B98">
              <w:rPr>
                <w:b/>
                <w:spacing w:val="-3"/>
              </w:rPr>
              <w:t>saldo indikátoru důvěry v</w:t>
            </w:r>
            <w:r>
              <w:rPr>
                <w:b/>
                <w:spacing w:val="-3"/>
              </w:rPr>
              <w:t>e vybraných službách*</w:t>
            </w:r>
            <w:r w:rsidRPr="002A4B98">
              <w:rPr>
                <w:b/>
                <w:spacing w:val="-3"/>
              </w:rPr>
              <w:t xml:space="preserve"> </w:t>
            </w:r>
            <w:r w:rsidRPr="002A4B98">
              <w:rPr>
                <w:spacing w:val="-3"/>
              </w:rPr>
              <w:t>(v bodech)</w:t>
            </w:r>
          </w:p>
        </w:tc>
      </w:tr>
      <w:tr w:rsidR="00006B67" w:rsidRPr="00535F7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35F78" w:rsidRDefault="00006B67" w:rsidP="00723435">
            <w:pPr>
              <w:spacing w:after="0"/>
              <w:rPr>
                <w:rFonts w:cs="Arial"/>
                <w:sz w:val="14"/>
                <w:szCs w:val="14"/>
              </w:rPr>
            </w:pPr>
            <w:r w:rsidRPr="00F036B2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57776" cy="3445459"/>
                  <wp:effectExtent l="19050" t="0" r="4724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06B67" w:rsidRPr="00535F78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535F78" w:rsidRDefault="00006B67" w:rsidP="00723435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*Údaje jsou sezónně očištěny, zahrnuje i finanční sektor.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06B67" w:rsidRPr="004D7411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lastRenderedPageBreak/>
              <w:t>Růst tržeb ve vybraných službách loni zvolnil, i tak dosáhl téměř 3 %.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4D7411" w:rsidRDefault="00006B67" w:rsidP="00723435">
            <w:pPr>
              <w:spacing w:after="140"/>
              <w:rPr>
                <w:color w:val="0D0D0D" w:themeColor="text1" w:themeTint="F2"/>
                <w:spacing w:val="-4"/>
              </w:rPr>
            </w:pPr>
            <w:r w:rsidRPr="00FB502E">
              <w:rPr>
                <w:spacing w:val="-4"/>
              </w:rPr>
              <w:t xml:space="preserve">Tržby </w:t>
            </w:r>
            <w:r w:rsidRPr="00FB502E">
              <w:rPr>
                <w:color w:val="0D0D0D" w:themeColor="text1" w:themeTint="F2"/>
                <w:spacing w:val="-4"/>
              </w:rPr>
              <w:t>ve vybraných službách</w:t>
            </w:r>
            <w:r w:rsidRPr="00FB502E">
              <w:rPr>
                <w:color w:val="0D0D0D" w:themeColor="text1" w:themeTint="F2"/>
                <w:spacing w:val="-4"/>
                <w:vertAlign w:val="superscript"/>
              </w:rPr>
              <w:footnoteReference w:id="18"/>
            </w:r>
            <w:r>
              <w:rPr>
                <w:color w:val="0D0D0D" w:themeColor="text1" w:themeTint="F2"/>
                <w:spacing w:val="-4"/>
              </w:rPr>
              <w:t xml:space="preserve"> loni vzrostly meziročně o 2,8 %. Ačkoli ve srovnání s rokem 2017 růstové tempo o více než třetinu zvolnilo, šlo stále o třetí nejlepší výsledek po roce 2007. Loňské zvolnění bylo z velké části ovlivněno slabším 4. čtvrtletím, </w:t>
            </w:r>
            <w:r w:rsidR="003D12B9">
              <w:rPr>
                <w:color w:val="0D0D0D" w:themeColor="text1" w:themeTint="F2"/>
                <w:spacing w:val="-4"/>
              </w:rPr>
              <w:br/>
            </w:r>
            <w:r>
              <w:rPr>
                <w:color w:val="0D0D0D" w:themeColor="text1" w:themeTint="F2"/>
                <w:spacing w:val="-4"/>
              </w:rPr>
              <w:t xml:space="preserve">kdy výkon služeb rostl jen </w:t>
            </w:r>
            <w:r w:rsidR="00DA544C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4"/>
              </w:rPr>
              <w:t xml:space="preserve">0,6 % (v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mezikvartálním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vyjádření dokonce o 0,7 % poklesl). Byť posílení tržeb zaznamenaly loni všechny odvětvové sekce (vyjma činností v oblasti nemovitostí, kde o 1,6 % klesly), na růstu služeb se z drtivé většiny podílela jen dvě hlavní odvětví – doprava a skladování a také informační a komunikační činnosti. </w:t>
            </w:r>
          </w:p>
        </w:tc>
      </w:tr>
      <w:tr w:rsidR="00006B67" w:rsidRPr="0021677E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Marginlie"/>
            </w:pPr>
            <w:r>
              <w:t>Rozvoj průmyslu, obchodu i vyšší mobilita obyvatel vyústily ve svižný růst tržeb v dopravě a skladování. Dlouhodobě silná poptávka přetrvávala v oblasti ICT.</w:t>
            </w: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</w:p>
          <w:p w:rsidR="00006B67" w:rsidRDefault="00006B67" w:rsidP="00723435">
            <w:pPr>
              <w:pStyle w:val="Marginlie"/>
            </w:pPr>
            <w:r>
              <w:t xml:space="preserve">Silné oživení stavebnictví se zatím v tržbách </w:t>
            </w:r>
            <w:r>
              <w:rPr>
                <w:color w:val="0D0D0D" w:themeColor="text1" w:themeTint="F2"/>
              </w:rPr>
              <w:t>architektonických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</w:rPr>
              <w:t>inženýrských</w:t>
            </w:r>
            <w:r w:rsidRPr="00AD4650">
              <w:rPr>
                <w:color w:val="0D0D0D" w:themeColor="text1" w:themeTint="F2"/>
              </w:rPr>
              <w:t xml:space="preserve"> činnost</w:t>
            </w:r>
            <w:r>
              <w:rPr>
                <w:color w:val="0D0D0D" w:themeColor="text1" w:themeTint="F2"/>
              </w:rPr>
              <w:t>í příliš neprojevilo.</w:t>
            </w:r>
          </w:p>
          <w:p w:rsidR="00006B67" w:rsidRDefault="00006B67" w:rsidP="00723435">
            <w:pPr>
              <w:pStyle w:val="Marginlie"/>
            </w:pP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21677E" w:rsidRDefault="00006B67" w:rsidP="00DA544C">
            <w:pPr>
              <w:spacing w:after="140"/>
              <w:rPr>
                <w:color w:val="0D0D0D" w:themeColor="text1" w:themeTint="F2"/>
                <w:spacing w:val="-2"/>
              </w:rPr>
            </w:pPr>
            <w:r>
              <w:rPr>
                <w:color w:val="0D0D0D" w:themeColor="text1" w:themeTint="F2"/>
                <w:spacing w:val="-4"/>
              </w:rPr>
              <w:t>V dopravě a skladování posílily tržby meziročně o 4,6 %, jejich tempo se zvyšovalo třetím rokem v řadě. Odvětví bylo loni (obdobně jako v letech 2016 i 2017) taženo hlavně svižným růstem v oddíle skladování a vedlejších činností v dopravě (+6,</w:t>
            </w:r>
            <w:r w:rsidR="005048E2">
              <w:rPr>
                <w:color w:val="0D0D0D" w:themeColor="text1" w:themeTint="F2"/>
                <w:spacing w:val="-4"/>
              </w:rPr>
              <w:t>3</w:t>
            </w:r>
            <w:r>
              <w:rPr>
                <w:color w:val="0D0D0D" w:themeColor="text1" w:themeTint="F2"/>
                <w:spacing w:val="-4"/>
              </w:rPr>
              <w:t xml:space="preserve"> %). Dařilo se i všem ostatním druhům dopravy, vyjma poštovních a kurýrních činností (-</w:t>
            </w:r>
            <w:r w:rsidR="005048E2">
              <w:rPr>
                <w:color w:val="0D0D0D" w:themeColor="text1" w:themeTint="F2"/>
                <w:spacing w:val="-4"/>
              </w:rPr>
              <w:t>2</w:t>
            </w:r>
            <w:r>
              <w:rPr>
                <w:color w:val="0D0D0D" w:themeColor="text1" w:themeTint="F2"/>
                <w:spacing w:val="-4"/>
              </w:rPr>
              <w:t>,</w:t>
            </w:r>
            <w:r w:rsidR="005048E2">
              <w:rPr>
                <w:color w:val="0D0D0D" w:themeColor="text1" w:themeTint="F2"/>
                <w:spacing w:val="-4"/>
              </w:rPr>
              <w:t>1</w:t>
            </w:r>
            <w:r>
              <w:rPr>
                <w:color w:val="0D0D0D" w:themeColor="text1" w:themeTint="F2"/>
                <w:spacing w:val="-4"/>
              </w:rPr>
              <w:t xml:space="preserve"> %). Pozemní doprava i skladování profitovaly z rozvoje průmyslu i vnitřního a zahraničního o</w:t>
            </w:r>
            <w:r w:rsidR="00DA544C">
              <w:rPr>
                <w:color w:val="0D0D0D" w:themeColor="text1" w:themeTint="F2"/>
                <w:spacing w:val="-4"/>
              </w:rPr>
              <w:t>b</w:t>
            </w:r>
            <w:r>
              <w:rPr>
                <w:color w:val="0D0D0D" w:themeColor="text1" w:themeTint="F2"/>
                <w:spacing w:val="-4"/>
              </w:rPr>
              <w:t xml:space="preserve">chodu. Růst tržeb (zejm. ve vnitrostátní dopravě) souvisel s vyšší mobilitou obyvatel poháněnou rekordní výší zaměstnanosti </w:t>
            </w:r>
            <w:r w:rsidR="00DA544C">
              <w:rPr>
                <w:color w:val="0D0D0D" w:themeColor="text1" w:themeTint="F2"/>
                <w:spacing w:val="-4"/>
              </w:rPr>
              <w:t xml:space="preserve">a </w:t>
            </w:r>
            <w:r>
              <w:rPr>
                <w:color w:val="0D0D0D" w:themeColor="text1" w:themeTint="F2"/>
                <w:spacing w:val="-4"/>
              </w:rPr>
              <w:t>v poslední třetině roku i rozšířením slev jízdného ve veřejné dopravě. Růst v dlouhodobě dynamickém odvětví informačních a komunikačních činností zrychlil (ze 4,</w:t>
            </w:r>
            <w:r w:rsidR="005048E2">
              <w:rPr>
                <w:color w:val="0D0D0D" w:themeColor="text1" w:themeTint="F2"/>
                <w:spacing w:val="-4"/>
              </w:rPr>
              <w:t>0</w:t>
            </w:r>
            <w:r>
              <w:rPr>
                <w:color w:val="0D0D0D" w:themeColor="text1" w:themeTint="F2"/>
                <w:spacing w:val="-4"/>
              </w:rPr>
              <w:t xml:space="preserve"> % v roce 2017 na loňských 5,</w:t>
            </w:r>
            <w:r w:rsidR="005048E2">
              <w:rPr>
                <w:color w:val="0D0D0D" w:themeColor="text1" w:themeTint="F2"/>
                <w:spacing w:val="-4"/>
              </w:rPr>
              <w:t>4</w:t>
            </w:r>
            <w:r>
              <w:rPr>
                <w:color w:val="0D0D0D" w:themeColor="text1" w:themeTint="F2"/>
                <w:spacing w:val="-4"/>
              </w:rPr>
              <w:t> %). Přestože jeho nejdynamičtějším oborem zůstaly v posledních čtyřech letech informační činnosti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9"/>
            </w:r>
            <w:r w:rsidR="00642489">
              <w:rPr>
                <w:color w:val="0D0D0D" w:themeColor="text1" w:themeTint="F2"/>
                <w:spacing w:val="-4"/>
              </w:rPr>
              <w:t>,</w:t>
            </w:r>
            <w:r>
              <w:rPr>
                <w:color w:val="0D0D0D" w:themeColor="text1" w:themeTint="F2"/>
                <w:spacing w:val="-4"/>
              </w:rPr>
              <w:t xml:space="preserve"> k růstu celého odvětví loni přispěly nejvíce</w:t>
            </w:r>
            <w:r>
              <w:t xml:space="preserve"> </w:t>
            </w:r>
            <w:r>
              <w:rPr>
                <w:color w:val="0D0D0D" w:themeColor="text1" w:themeTint="F2"/>
                <w:spacing w:val="-4"/>
              </w:rPr>
              <w:t>č</w:t>
            </w:r>
            <w:r w:rsidRPr="00607742">
              <w:rPr>
                <w:color w:val="0D0D0D" w:themeColor="text1" w:themeTint="F2"/>
                <w:spacing w:val="-4"/>
              </w:rPr>
              <w:t>innosti v oblasti informačních technologií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0"/>
            </w:r>
            <w:r>
              <w:rPr>
                <w:color w:val="0D0D0D" w:themeColor="text1" w:themeTint="F2"/>
                <w:spacing w:val="-4"/>
              </w:rPr>
              <w:t xml:space="preserve">. Se slabšími výsledky se dlouhodobě potýká jen váhově okrajový segment </w:t>
            </w:r>
            <w:r>
              <w:rPr>
                <w:color w:val="0D0D0D" w:themeColor="text1" w:themeTint="F2"/>
                <w:spacing w:val="-2"/>
              </w:rPr>
              <w:t>filmového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hudebního průmyslu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21"/>
            </w:r>
            <w:r>
              <w:rPr>
                <w:color w:val="0D0D0D" w:themeColor="text1" w:themeTint="F2"/>
                <w:spacing w:val="-2"/>
              </w:rPr>
              <w:t xml:space="preserve">. V odvětví ubytování, stravování a pohostinství tržby </w:t>
            </w:r>
            <w:r w:rsidR="00642489">
              <w:rPr>
                <w:color w:val="0D0D0D" w:themeColor="text1" w:themeTint="F2"/>
                <w:spacing w:val="-2"/>
              </w:rPr>
              <w:br/>
            </w:r>
            <w:r>
              <w:rPr>
                <w:color w:val="0D0D0D" w:themeColor="text1" w:themeTint="F2"/>
                <w:spacing w:val="-2"/>
              </w:rPr>
              <w:t>po bezmála dvojciferném růstu v roce 2017 loni posílily jen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="00DA544C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2"/>
              </w:rPr>
              <w:t>0,8 % (v segmentu ubytování dokonce mírně klesly). Souviselo to se zvolněním dynamiky příjezdového cestovního ruchu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22"/>
            </w:r>
            <w:r>
              <w:rPr>
                <w:color w:val="0D0D0D" w:themeColor="text1" w:themeTint="F2"/>
                <w:spacing w:val="-2"/>
              </w:rPr>
              <w:t>. Nelze vyloučit ani vliv skokového růstu cen stravovacích služeb v roce 2017, jenž mohl v následujícím období ovlivnit (zejména tuzemskou) poptávku. V odvětví p</w:t>
            </w:r>
            <w:r w:rsidRPr="005E4BC9">
              <w:rPr>
                <w:color w:val="0D0D0D" w:themeColor="text1" w:themeTint="F2"/>
                <w:spacing w:val="-2"/>
              </w:rPr>
              <w:t>rofesní</w:t>
            </w:r>
            <w:r>
              <w:rPr>
                <w:color w:val="0D0D0D" w:themeColor="text1" w:themeTint="F2"/>
                <w:spacing w:val="-2"/>
              </w:rPr>
              <w:t>ch, vědeckých a technických činnost</w:t>
            </w:r>
            <w:r w:rsidR="00DA544C">
              <w:rPr>
                <w:color w:val="0D0D0D" w:themeColor="text1" w:themeTint="F2"/>
                <w:spacing w:val="-2"/>
              </w:rPr>
              <w:t>í</w:t>
            </w:r>
            <w:r>
              <w:rPr>
                <w:color w:val="0D0D0D" w:themeColor="text1" w:themeTint="F2"/>
                <w:spacing w:val="-2"/>
              </w:rPr>
              <w:t xml:space="preserve"> rostly tržby loni jen o </w:t>
            </w:r>
            <w:r w:rsidR="005048E2">
              <w:rPr>
                <w:color w:val="0D0D0D" w:themeColor="text1" w:themeTint="F2"/>
                <w:spacing w:val="-2"/>
              </w:rPr>
              <w:t>0</w:t>
            </w:r>
            <w:r>
              <w:rPr>
                <w:color w:val="0D0D0D" w:themeColor="text1" w:themeTint="F2"/>
                <w:spacing w:val="-2"/>
              </w:rPr>
              <w:t>,</w:t>
            </w:r>
            <w:r w:rsidR="005048E2">
              <w:rPr>
                <w:color w:val="0D0D0D" w:themeColor="text1" w:themeTint="F2"/>
                <w:spacing w:val="-2"/>
              </w:rPr>
              <w:t>8</w:t>
            </w:r>
            <w:r>
              <w:rPr>
                <w:color w:val="0D0D0D" w:themeColor="text1" w:themeTint="F2"/>
                <w:spacing w:val="-2"/>
              </w:rPr>
              <w:t xml:space="preserve"> %, hlavně vlivem slabého růstu architektonických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inženýrských</w:t>
            </w:r>
            <w:r w:rsidRPr="00AD4650">
              <w:rPr>
                <w:color w:val="0D0D0D" w:themeColor="text1" w:themeTint="F2"/>
                <w:spacing w:val="-2"/>
              </w:rPr>
              <w:t xml:space="preserve"> činnost</w:t>
            </w:r>
            <w:r>
              <w:rPr>
                <w:color w:val="0D0D0D" w:themeColor="text1" w:themeTint="F2"/>
                <w:spacing w:val="-2"/>
              </w:rPr>
              <w:t>í (navzdory rozvoji stavebnictví) i poklesu tržeb za reklamu (již třetím rokem v řadě). Dařilo se naopak p</w:t>
            </w:r>
            <w:r w:rsidRPr="00AD4650">
              <w:rPr>
                <w:color w:val="0D0D0D" w:themeColor="text1" w:themeTint="F2"/>
                <w:spacing w:val="-2"/>
              </w:rPr>
              <w:t>oradenství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AD4650">
              <w:rPr>
                <w:color w:val="0D0D0D" w:themeColor="text1" w:themeTint="F2"/>
                <w:spacing w:val="-2"/>
              </w:rPr>
              <w:t>oblasti řízení</w:t>
            </w:r>
            <w:r>
              <w:rPr>
                <w:color w:val="0D0D0D" w:themeColor="text1" w:themeTint="F2"/>
                <w:spacing w:val="-2"/>
              </w:rPr>
              <w:t>, účetnickým a auditorským</w:t>
            </w:r>
            <w:r w:rsidRPr="00AD4650">
              <w:rPr>
                <w:color w:val="0D0D0D" w:themeColor="text1" w:themeTint="F2"/>
                <w:spacing w:val="-2"/>
              </w:rPr>
              <w:t xml:space="preserve"> činnost</w:t>
            </w:r>
            <w:r>
              <w:rPr>
                <w:color w:val="0D0D0D" w:themeColor="text1" w:themeTint="F2"/>
                <w:spacing w:val="-2"/>
              </w:rPr>
              <w:t>em, daňovému poradenství či průzkumu trhu a veřejného mínění. Růst tržeb odvětví administrativních a podpůrných činností (+2,</w:t>
            </w:r>
            <w:r w:rsidR="005048E2">
              <w:rPr>
                <w:color w:val="0D0D0D" w:themeColor="text1" w:themeTint="F2"/>
                <w:spacing w:val="-2"/>
              </w:rPr>
              <w:t>3</w:t>
            </w:r>
            <w:r>
              <w:rPr>
                <w:color w:val="0D0D0D" w:themeColor="text1" w:themeTint="F2"/>
                <w:spacing w:val="-2"/>
              </w:rPr>
              <w:t xml:space="preserve"> %) byl tažen dlouhodobě silnou poptávkou v oblasti pronájmu (zejm. dopravních prostředků, ale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 xml:space="preserve">strojů) </w:t>
            </w:r>
            <w:r w:rsidRPr="00AD4650">
              <w:rPr>
                <w:color w:val="0D0D0D" w:themeColor="text1" w:themeTint="F2"/>
                <w:spacing w:val="-2"/>
              </w:rPr>
              <w:t>a operativního leasingu</w:t>
            </w:r>
            <w:r w:rsidR="00642489">
              <w:rPr>
                <w:color w:val="0D0D0D" w:themeColor="text1" w:themeTint="F2"/>
                <w:spacing w:val="-2"/>
              </w:rPr>
              <w:t>.</w:t>
            </w:r>
            <w:r>
              <w:rPr>
                <w:color w:val="0D0D0D" w:themeColor="text1" w:themeTint="F2"/>
                <w:spacing w:val="-2"/>
              </w:rPr>
              <w:t xml:space="preserve"> </w:t>
            </w:r>
            <w:r w:rsidR="00642489">
              <w:rPr>
                <w:color w:val="0D0D0D" w:themeColor="text1" w:themeTint="F2"/>
                <w:spacing w:val="-2"/>
              </w:rPr>
              <w:t>R</w:t>
            </w:r>
            <w:r>
              <w:rPr>
                <w:color w:val="0D0D0D" w:themeColor="text1" w:themeTint="F2"/>
                <w:spacing w:val="-2"/>
              </w:rPr>
              <w:t>oli hrála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>neklesající poptávka po agenturních pracovnících, především v sekundárním sektoru.</w:t>
            </w:r>
          </w:p>
        </w:tc>
      </w:tr>
      <w:tr w:rsidR="00006B67" w:rsidRPr="00371664" w:rsidTr="00723435">
        <w:trPr>
          <w:trHeight w:val="145"/>
        </w:trPr>
        <w:tc>
          <w:tcPr>
            <w:tcW w:w="1839" w:type="dxa"/>
            <w:shd w:val="clear" w:color="auto" w:fill="auto"/>
            <w:tcMar>
              <w:left w:w="0" w:type="dxa"/>
            </w:tcMar>
          </w:tcPr>
          <w:p w:rsidR="00006B67" w:rsidRDefault="005048E2" w:rsidP="00723435">
            <w:pPr>
              <w:pStyle w:val="Marginlie"/>
            </w:pPr>
            <w:r>
              <w:t>R</w:t>
            </w:r>
            <w:r w:rsidR="00006B67">
              <w:t xml:space="preserve">ůst maloobchodních tržeb pokračoval </w:t>
            </w:r>
            <w:r>
              <w:t>pá</w:t>
            </w:r>
            <w:r w:rsidR="00006B67">
              <w:t>tým rokem v řadě. Táhl je dynamický rozvoj u </w:t>
            </w:r>
            <w:proofErr w:type="spellStart"/>
            <w:r w:rsidR="00006B67">
              <w:t>nepotravinářského</w:t>
            </w:r>
            <w:proofErr w:type="spellEnd"/>
            <w:r w:rsidR="00006B67">
              <w:t xml:space="preserve"> zboží a také internetového prodeje.</w:t>
            </w:r>
          </w:p>
        </w:tc>
        <w:tc>
          <w:tcPr>
            <w:tcW w:w="233" w:type="dxa"/>
            <w:shd w:val="clear" w:color="auto" w:fill="auto"/>
            <w:tcMar>
              <w:left w:w="0" w:type="dxa"/>
            </w:tcMar>
          </w:tcPr>
          <w:p w:rsidR="00006B67" w:rsidRDefault="00006B67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67" w:type="dxa"/>
            <w:shd w:val="clear" w:color="auto" w:fill="auto"/>
            <w:tcMar>
              <w:left w:w="0" w:type="dxa"/>
            </w:tcMar>
          </w:tcPr>
          <w:p w:rsidR="00006B67" w:rsidRPr="00371664" w:rsidRDefault="00006B67" w:rsidP="006F40DF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Dynamický růst výdělků doprovázený pozitivním saldem důvěry spotřebitelů (jež dosáhlo historického vrcholu v polovině roku) se loni promítl 4,8% meziročním růstem </w:t>
            </w:r>
            <w:r w:rsidRPr="00E31CAF">
              <w:rPr>
                <w:spacing w:val="-4"/>
              </w:rPr>
              <w:t>maloobchodních tržeb</w:t>
            </w:r>
            <w:r>
              <w:rPr>
                <w:rStyle w:val="Znakapoznpodarou"/>
                <w:spacing w:val="-4"/>
              </w:rPr>
              <w:footnoteReference w:id="23"/>
            </w:r>
            <w:r>
              <w:rPr>
                <w:spacing w:val="-4"/>
              </w:rPr>
              <w:t xml:space="preserve">. Přestože jejich tempo ve srovnání s rokem 2017 (podobně jako v EU) mírně zvolnilo, růst tržeb přetrvával </w:t>
            </w:r>
            <w:r w:rsidR="005048E2">
              <w:rPr>
                <w:spacing w:val="-4"/>
              </w:rPr>
              <w:t>pá</w:t>
            </w:r>
            <w:r>
              <w:rPr>
                <w:spacing w:val="-4"/>
              </w:rPr>
              <w:t>tým rokem v řadě a zároveň patřil k nejvyšším i v rámci států Unie</w:t>
            </w:r>
            <w:r>
              <w:rPr>
                <w:rStyle w:val="Znakapoznpodarou"/>
                <w:spacing w:val="-4"/>
              </w:rPr>
              <w:footnoteReference w:id="24"/>
            </w:r>
            <w:r>
              <w:rPr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K meziročnímu posílení maloobchodu v ČR tradičně nejvíce </w:t>
            </w:r>
            <w:r w:rsidR="006F40DF">
              <w:rPr>
                <w:color w:val="0D0D0D" w:themeColor="text1" w:themeTint="F2"/>
                <w:spacing w:val="-4"/>
              </w:rPr>
              <w:t xml:space="preserve">přispěl </w:t>
            </w:r>
            <w:r>
              <w:rPr>
                <w:color w:val="0D0D0D" w:themeColor="text1" w:themeTint="F2"/>
                <w:spacing w:val="-4"/>
              </w:rPr>
              <w:t xml:space="preserve">prodej </w:t>
            </w:r>
            <w:proofErr w:type="spellStart"/>
            <w:r>
              <w:rPr>
                <w:color w:val="0D0D0D" w:themeColor="text1" w:themeTint="F2"/>
                <w:spacing w:val="-4"/>
              </w:rPr>
              <w:t>nepotravinářského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zboží (s růstem o 7,</w:t>
            </w:r>
            <w:r w:rsidR="005048E2">
              <w:rPr>
                <w:color w:val="0D0D0D" w:themeColor="text1" w:themeTint="F2"/>
                <w:spacing w:val="-4"/>
              </w:rPr>
              <w:t>4</w:t>
            </w:r>
            <w:r>
              <w:rPr>
                <w:color w:val="0D0D0D" w:themeColor="text1" w:themeTint="F2"/>
                <w:spacing w:val="-4"/>
              </w:rPr>
              <w:t xml:space="preserve"> %). Dařilo se hlavně prodeji počítačového a komunikačního</w:t>
            </w:r>
            <w:r w:rsidRPr="00FA70D3">
              <w:rPr>
                <w:color w:val="0D0D0D" w:themeColor="text1" w:themeTint="F2"/>
                <w:spacing w:val="-4"/>
              </w:rPr>
              <w:t xml:space="preserve"> zařízení</w:t>
            </w:r>
            <w:r>
              <w:rPr>
                <w:color w:val="0D0D0D" w:themeColor="text1" w:themeTint="F2"/>
                <w:spacing w:val="-4"/>
              </w:rPr>
              <w:t>, kde rostly tržby dvojciferným tempem již druhým rokem v řadě. Pokračoval rozmach internetového prodeje (+19,8 %). Tržby rostly loni ve všech hlavních skupinách specializovaných prodejen, vyjma těch s </w:t>
            </w:r>
            <w:r w:rsidR="00DA544C">
              <w:rPr>
                <w:color w:val="0D0D0D" w:themeColor="text1" w:themeTint="F2"/>
                <w:spacing w:val="-4"/>
              </w:rPr>
              <w:t>potravinami (</w:t>
            </w:r>
            <w:r w:rsidR="00DA544C">
              <w:rPr>
                <w:color w:val="0D0D0D" w:themeColor="text1" w:themeTint="F2"/>
                <w:spacing w:val="-4"/>
              </w:rPr>
              <w:noBreakHyphen/>
              <w:t>0,4</w:t>
            </w:r>
            <w:r>
              <w:rPr>
                <w:color w:val="0D0D0D" w:themeColor="text1" w:themeTint="F2"/>
                <w:spacing w:val="-4"/>
              </w:rPr>
              <w:t xml:space="preserve"> %). I přes rostoucí ceny po většinu roku zůstala poptávka po pohonných hmotách vysoká (růst tržeb o 4,</w:t>
            </w:r>
            <w:r w:rsidR="00595958">
              <w:rPr>
                <w:color w:val="0D0D0D" w:themeColor="text1" w:themeTint="F2"/>
                <w:spacing w:val="-4"/>
              </w:rPr>
              <w:t>0</w:t>
            </w:r>
            <w:r>
              <w:rPr>
                <w:color w:val="0D0D0D" w:themeColor="text1" w:themeTint="F2"/>
                <w:spacing w:val="-4"/>
              </w:rPr>
              <w:t xml:space="preserve"> %, v roce 2017 o 5,7 %). To ale neplatilo o obchodu s motorovými vozidly, kde tržby po pěti růstových letech loni poprvé </w:t>
            </w:r>
            <w:r w:rsidRPr="00BD5812">
              <w:rPr>
                <w:color w:val="0D0D0D" w:themeColor="text1" w:themeTint="F2"/>
                <w:spacing w:val="-4"/>
              </w:rPr>
              <w:t>klesly (o</w:t>
            </w:r>
            <w:r w:rsidR="00595958">
              <w:rPr>
                <w:color w:val="0D0D0D" w:themeColor="text1" w:themeTint="F2"/>
                <w:spacing w:val="-4"/>
              </w:rPr>
              <w:t xml:space="preserve"> 2,2</w:t>
            </w:r>
            <w:r w:rsidRPr="00BD5812">
              <w:rPr>
                <w:color w:val="0D0D0D" w:themeColor="text1" w:themeTint="F2"/>
                <w:spacing w:val="-4"/>
              </w:rPr>
              <w:t xml:space="preserve"> %).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251F3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8B" w:rsidRDefault="00D0418B" w:rsidP="00E71A58">
      <w:r>
        <w:separator/>
      </w:r>
    </w:p>
  </w:endnote>
  <w:endnote w:type="continuationSeparator" w:id="0">
    <w:p w:rsidR="00D0418B" w:rsidRDefault="00D041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2C21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E2C21" w:rsidRPr="00932443">
      <w:rPr>
        <w:szCs w:val="16"/>
      </w:rPr>
      <w:fldChar w:fldCharType="separate"/>
    </w:r>
    <w:r w:rsidR="00251F31">
      <w:rPr>
        <w:szCs w:val="16"/>
      </w:rPr>
      <w:t>14</w:t>
    </w:r>
    <w:r w:rsidR="00AE2C21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AE2C21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AE2C21" w:rsidRPr="00932443">
      <w:rPr>
        <w:rStyle w:val="ZpatChar"/>
        <w:szCs w:val="16"/>
      </w:rPr>
      <w:fldChar w:fldCharType="separate"/>
    </w:r>
    <w:r w:rsidR="00251F31">
      <w:rPr>
        <w:rStyle w:val="ZpatChar"/>
        <w:szCs w:val="16"/>
      </w:rPr>
      <w:t>15</w:t>
    </w:r>
    <w:r w:rsidR="00AE2C21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8B" w:rsidRDefault="00D0418B" w:rsidP="00E71A58">
      <w:r>
        <w:separator/>
      </w:r>
    </w:p>
  </w:footnote>
  <w:footnote w:type="continuationSeparator" w:id="0">
    <w:p w:rsidR="00D0418B" w:rsidRDefault="00D0418B" w:rsidP="00E71A58">
      <w:r>
        <w:continuationSeparator/>
      </w:r>
    </w:p>
  </w:footnote>
  <w:footnote w:id="1">
    <w:p w:rsidR="00B42D5F" w:rsidRPr="00FB58F4" w:rsidRDefault="00B42D5F" w:rsidP="00006B6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B42D5F" w:rsidRPr="00437BC7" w:rsidRDefault="00B42D5F" w:rsidP="00006B67">
      <w:pPr>
        <w:pStyle w:val="Textpoznpodarou"/>
        <w:rPr>
          <w:sz w:val="16"/>
          <w:szCs w:val="16"/>
        </w:rPr>
      </w:pPr>
      <w:r w:rsidRPr="00437BC7">
        <w:rPr>
          <w:rStyle w:val="Znakapoznpodarou"/>
          <w:sz w:val="16"/>
          <w:szCs w:val="16"/>
        </w:rPr>
        <w:footnoteRef/>
      </w:r>
      <w:r w:rsidRPr="00437BC7">
        <w:rPr>
          <w:sz w:val="16"/>
          <w:szCs w:val="16"/>
        </w:rPr>
        <w:t xml:space="preserve"> V roce 2018 činila cellová sklizeň obilovin 6,97 mil. tun. Oproti průměru let 2008 až 2017 byla nižší o 11 %.</w:t>
      </w:r>
    </w:p>
  </w:footnote>
  <w:footnote w:id="3">
    <w:p w:rsidR="00B42D5F" w:rsidRPr="00FB58F4" w:rsidRDefault="00B42D5F" w:rsidP="00006B67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Zahrnutá odvětví: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ěžba a 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pracovatelský průmysl,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nergetika. Všechna meziroční tempa produkce (na úrovni odvětvových sekcí i 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sou očištěna o kalendářní vlivy,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ezičtvrtletní</w:t>
      </w:r>
      <w:proofErr w:type="spellEnd"/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4">
    <w:p w:rsidR="00B42D5F" w:rsidRPr="00E27FAF" w:rsidRDefault="00B42D5F" w:rsidP="00006B67">
      <w:pPr>
        <w:pStyle w:val="Textpoznpodarou"/>
        <w:jc w:val="both"/>
        <w:rPr>
          <w:sz w:val="16"/>
          <w:szCs w:val="16"/>
        </w:rPr>
      </w:pPr>
      <w:r w:rsidRPr="00E27FAF">
        <w:rPr>
          <w:rStyle w:val="Znakapoznpodarou"/>
          <w:sz w:val="16"/>
          <w:szCs w:val="16"/>
        </w:rPr>
        <w:footnoteRef/>
      </w:r>
      <w:r w:rsidRPr="00E27FAF">
        <w:rPr>
          <w:sz w:val="16"/>
          <w:szCs w:val="16"/>
        </w:rPr>
        <w:t xml:space="preserve"> Přes</w:t>
      </w:r>
      <w:r>
        <w:rPr>
          <w:sz w:val="16"/>
          <w:szCs w:val="16"/>
        </w:rPr>
        <w:t>tože výkon odvětví zvolnil (na 1,4</w:t>
      </w:r>
      <w:r w:rsidRPr="00E27FAF">
        <w:rPr>
          <w:sz w:val="16"/>
          <w:szCs w:val="16"/>
        </w:rPr>
        <w:t xml:space="preserve"> %</w:t>
      </w:r>
      <w:r>
        <w:rPr>
          <w:sz w:val="16"/>
          <w:szCs w:val="16"/>
        </w:rPr>
        <w:t>,</w:t>
      </w:r>
      <w:r w:rsidRPr="00E27FAF">
        <w:rPr>
          <w:sz w:val="16"/>
          <w:szCs w:val="16"/>
        </w:rPr>
        <w:t xml:space="preserve"> z</w:t>
      </w:r>
      <w:r>
        <w:rPr>
          <w:sz w:val="16"/>
          <w:szCs w:val="16"/>
        </w:rPr>
        <w:t xml:space="preserve">e </w:t>
      </w:r>
      <w:r w:rsidRPr="00E27FAF">
        <w:rPr>
          <w:sz w:val="16"/>
          <w:szCs w:val="16"/>
        </w:rPr>
        <w:t>4,</w:t>
      </w:r>
      <w:r>
        <w:rPr>
          <w:sz w:val="16"/>
          <w:szCs w:val="16"/>
        </w:rPr>
        <w:t>8 %</w:t>
      </w:r>
      <w:r w:rsidRPr="00E27FAF">
        <w:rPr>
          <w:sz w:val="16"/>
          <w:szCs w:val="16"/>
        </w:rPr>
        <w:t xml:space="preserve"> v roce 2017), produkce rostla již třetím rokem v řadě</w:t>
      </w:r>
      <w:r w:rsidRPr="0091629F">
        <w:rPr>
          <w:sz w:val="16"/>
          <w:szCs w:val="16"/>
        </w:rPr>
        <w:t>.</w:t>
      </w:r>
      <w:r>
        <w:rPr>
          <w:sz w:val="16"/>
          <w:szCs w:val="16"/>
        </w:rPr>
        <w:t xml:space="preserve"> Dle údajů Energetického regulačního úřadu se na loňském meziročním růstu celkové hrubé výroby elektřiny v Česku (o 1,1 %) z drtivé většiny podílela vyšší produkce jaderných elektráren (+5,6 % na 29,92 </w:t>
      </w:r>
      <w:proofErr w:type="spellStart"/>
      <w:r>
        <w:rPr>
          <w:sz w:val="16"/>
          <w:szCs w:val="16"/>
        </w:rPr>
        <w:t>TWh</w:t>
      </w:r>
      <w:proofErr w:type="spellEnd"/>
      <w:r>
        <w:rPr>
          <w:sz w:val="16"/>
          <w:szCs w:val="16"/>
        </w:rPr>
        <w:t xml:space="preserve"> – hodnota blízka dosud rekordní výrobě z období 2012 až 2014). Suché a horké počasí pozitivně ovlivnilo celoroční produkci u </w:t>
      </w:r>
      <w:proofErr w:type="spellStart"/>
      <w:r>
        <w:rPr>
          <w:sz w:val="16"/>
          <w:szCs w:val="16"/>
        </w:rPr>
        <w:t>fotovoltaických</w:t>
      </w:r>
      <w:proofErr w:type="spellEnd"/>
      <w:r>
        <w:rPr>
          <w:sz w:val="16"/>
          <w:szCs w:val="16"/>
        </w:rPr>
        <w:t xml:space="preserve"> elektráren (+6,6 %), opačně působilo u vodních a přečerpávacích elektráren (-11,9 %, kde úroveň produkce sestoupila na desetileté minimum: 2,68 </w:t>
      </w:r>
      <w:proofErr w:type="spellStart"/>
      <w:r>
        <w:rPr>
          <w:sz w:val="16"/>
          <w:szCs w:val="16"/>
        </w:rPr>
        <w:t>TWh</w:t>
      </w:r>
      <w:proofErr w:type="spellEnd"/>
      <w:r>
        <w:rPr>
          <w:sz w:val="16"/>
          <w:szCs w:val="16"/>
        </w:rPr>
        <w:t xml:space="preserve">). </w:t>
      </w:r>
    </w:p>
  </w:footnote>
  <w:footnote w:id="5">
    <w:p w:rsidR="00B42D5F" w:rsidRPr="0000313D" w:rsidRDefault="00B42D5F" w:rsidP="00006B67">
      <w:pPr>
        <w:pStyle w:val="Textpoznpodarou"/>
        <w:jc w:val="both"/>
        <w:rPr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 Produkce v tomto odvětví </w:t>
      </w:r>
      <w:r>
        <w:rPr>
          <w:rFonts w:cs="Arial"/>
          <w:color w:val="0D0D0D" w:themeColor="text1" w:themeTint="F2"/>
          <w:sz w:val="16"/>
          <w:szCs w:val="16"/>
        </w:rPr>
        <w:t xml:space="preserve">vzrostla loni meziročně jen o 0,8 %, </w:t>
      </w:r>
      <w:r w:rsidRPr="00FB58F4">
        <w:rPr>
          <w:rFonts w:cs="Arial"/>
          <w:color w:val="0D0D0D" w:themeColor="text1" w:themeTint="F2"/>
          <w:sz w:val="16"/>
          <w:szCs w:val="16"/>
        </w:rPr>
        <w:t>v</w:t>
      </w:r>
      <w:r>
        <w:rPr>
          <w:rFonts w:cs="Arial"/>
          <w:color w:val="0D0D0D" w:themeColor="text1" w:themeTint="F2"/>
          <w:sz w:val="16"/>
          <w:szCs w:val="16"/>
        </w:rPr>
        <w:t> roce 2017 ale o 19,3 %. V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ysoké </w:t>
      </w:r>
      <w:r>
        <w:rPr>
          <w:rFonts w:cs="Arial"/>
          <w:color w:val="0D0D0D" w:themeColor="text1" w:themeTint="F2"/>
          <w:sz w:val="16"/>
          <w:szCs w:val="16"/>
        </w:rPr>
        <w:t>před</w:t>
      </w:r>
      <w:r w:rsidRPr="00FB58F4">
        <w:rPr>
          <w:rFonts w:cs="Arial"/>
          <w:color w:val="0D0D0D" w:themeColor="text1" w:themeTint="F2"/>
          <w:sz w:val="16"/>
          <w:szCs w:val="16"/>
        </w:rPr>
        <w:t>loňské růstové tempo souviselo s plným obnovením výrobních kapacit (po haváriích, jež omezily výkon celého odvětví v letech 2015 i 2016). Produkce v chemickém průmyslu překonala úroveň před haváriemi (2. čtvrtletí 2015) již na počátku roku 2017. Do nižšího l</w:t>
      </w:r>
      <w:r>
        <w:rPr>
          <w:rFonts w:cs="Arial"/>
          <w:color w:val="0D0D0D" w:themeColor="text1" w:themeTint="F2"/>
          <w:sz w:val="16"/>
          <w:szCs w:val="16"/>
        </w:rPr>
        <w:t xml:space="preserve">oňského růstu 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promluvily také odstávky výrobních </w:t>
      </w:r>
      <w:r>
        <w:rPr>
          <w:rFonts w:cs="Arial"/>
          <w:color w:val="0D0D0D" w:themeColor="text1" w:themeTint="F2"/>
          <w:sz w:val="16"/>
          <w:szCs w:val="16"/>
        </w:rPr>
        <w:t>zařízení na konci léta</w:t>
      </w:r>
      <w:r w:rsidRPr="00FB58F4">
        <w:rPr>
          <w:rFonts w:cs="Arial"/>
          <w:color w:val="0D0D0D" w:themeColor="text1" w:themeTint="F2"/>
          <w:sz w:val="16"/>
          <w:szCs w:val="16"/>
        </w:rPr>
        <w:t>. Ve 3.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čtvrtletí </w:t>
      </w:r>
      <w:r>
        <w:rPr>
          <w:rFonts w:cs="Arial"/>
          <w:color w:val="0D0D0D" w:themeColor="text1" w:themeTint="F2"/>
          <w:sz w:val="16"/>
          <w:szCs w:val="16"/>
        </w:rPr>
        <w:t xml:space="preserve">2018 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klesla </w:t>
      </w:r>
      <w:proofErr w:type="spellStart"/>
      <w:r w:rsidRPr="00FB58F4">
        <w:rPr>
          <w:rFonts w:cs="Arial"/>
          <w:color w:val="0D0D0D" w:themeColor="text1" w:themeTint="F2"/>
          <w:sz w:val="16"/>
          <w:szCs w:val="16"/>
        </w:rPr>
        <w:t>mezik</w:t>
      </w:r>
      <w:r>
        <w:rPr>
          <w:rFonts w:cs="Arial"/>
          <w:color w:val="0D0D0D" w:themeColor="text1" w:themeTint="F2"/>
          <w:sz w:val="16"/>
          <w:szCs w:val="16"/>
        </w:rPr>
        <w:t>vartálně</w:t>
      </w:r>
      <w:proofErr w:type="spellEnd"/>
      <w:r>
        <w:rPr>
          <w:rFonts w:cs="Arial"/>
          <w:color w:val="0D0D0D" w:themeColor="text1" w:themeTint="F2"/>
          <w:sz w:val="16"/>
          <w:szCs w:val="16"/>
        </w:rPr>
        <w:t xml:space="preserve"> produkce o 4,5</w:t>
      </w:r>
      <w:r w:rsidRPr="00FB58F4">
        <w:rPr>
          <w:rFonts w:cs="Arial"/>
          <w:color w:val="0D0D0D" w:themeColor="text1" w:themeTint="F2"/>
          <w:sz w:val="16"/>
          <w:szCs w:val="16"/>
        </w:rPr>
        <w:t xml:space="preserve"> %, nejvíce od konce roku 2015.</w:t>
      </w:r>
    </w:p>
  </w:footnote>
  <w:footnote w:id="6">
    <w:p w:rsidR="00B42D5F" w:rsidRPr="00FC55E2" w:rsidRDefault="00B42D5F" w:rsidP="00006B67">
      <w:pPr>
        <w:pStyle w:val="Textpoznpodarou"/>
        <w:jc w:val="both"/>
        <w:rPr>
          <w:sz w:val="16"/>
          <w:szCs w:val="16"/>
        </w:rPr>
      </w:pPr>
      <w:r w:rsidRPr="00FC55E2">
        <w:rPr>
          <w:rStyle w:val="Znakapoznpodarou"/>
          <w:sz w:val="16"/>
          <w:szCs w:val="16"/>
        </w:rPr>
        <w:footnoteRef/>
      </w:r>
      <w:r w:rsidRPr="00FC55E2">
        <w:rPr>
          <w:sz w:val="16"/>
          <w:szCs w:val="16"/>
        </w:rPr>
        <w:t xml:space="preserve"> Naopak v jiném váhově dosud okrajovém segmentu odvětví těžby a dobývání –</w:t>
      </w:r>
      <w:r>
        <w:rPr>
          <w:sz w:val="16"/>
          <w:szCs w:val="16"/>
        </w:rPr>
        <w:t xml:space="preserve"> </w:t>
      </w:r>
      <w:r w:rsidRPr="00FC55E2">
        <w:rPr>
          <w:sz w:val="16"/>
          <w:szCs w:val="16"/>
        </w:rPr>
        <w:t>těžbě stavebních materiálů (zejména kamene, písků, jílů)</w:t>
      </w:r>
      <w:r w:rsidR="008704E9">
        <w:rPr>
          <w:sz w:val="16"/>
          <w:szCs w:val="16"/>
        </w:rPr>
        <w:t xml:space="preserve"> – </w:t>
      </w:r>
      <w:r>
        <w:rPr>
          <w:sz w:val="16"/>
          <w:szCs w:val="16"/>
        </w:rPr>
        <w:t>produkce rostla loni svižně již druhým rokem v řadě (+9,0 resp. o 6,9 % v roce 2017).</w:t>
      </w:r>
    </w:p>
  </w:footnote>
  <w:footnote w:id="7">
    <w:p w:rsidR="00B42D5F" w:rsidRPr="00A608B0" w:rsidRDefault="00B42D5F" w:rsidP="00006B67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Dle údajů Sdružení automobilového průmyslu vzrostl </w:t>
      </w:r>
      <w:r>
        <w:rPr>
          <w:rFonts w:cs="Arial"/>
          <w:color w:val="0D0D0D" w:themeColor="text1" w:themeTint="F2"/>
          <w:sz w:val="16"/>
          <w:szCs w:val="16"/>
        </w:rPr>
        <w:t>v roce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2018 počet vyrobených osobních </w:t>
      </w:r>
      <w:r>
        <w:rPr>
          <w:rFonts w:cs="Arial"/>
          <w:color w:val="0D0D0D" w:themeColor="text1" w:themeTint="F2"/>
          <w:sz w:val="16"/>
          <w:szCs w:val="16"/>
        </w:rPr>
        <w:t>automobilů v Česku meziročně o 1,7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% (při dosaženém </w:t>
      </w:r>
      <w:r>
        <w:rPr>
          <w:rFonts w:cs="Arial"/>
          <w:color w:val="0D0D0D" w:themeColor="text1" w:themeTint="F2"/>
          <w:sz w:val="16"/>
          <w:szCs w:val="16"/>
        </w:rPr>
        <w:t>rekordním počtu 1,437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mil. vozů). </w:t>
      </w:r>
      <w:r>
        <w:rPr>
          <w:rFonts w:cs="Arial"/>
          <w:color w:val="0D0D0D" w:themeColor="text1" w:themeTint="F2"/>
          <w:sz w:val="16"/>
          <w:szCs w:val="16"/>
        </w:rPr>
        <w:t>Ještě vyšším tempem</w:t>
      </w:r>
      <w:r w:rsidR="008704E9">
        <w:rPr>
          <w:rFonts w:cs="Arial"/>
          <w:color w:val="0D0D0D" w:themeColor="text1" w:themeTint="F2"/>
          <w:sz w:val="16"/>
          <w:szCs w:val="16"/>
        </w:rPr>
        <w:t xml:space="preserve"> loni</w:t>
      </w:r>
      <w:r>
        <w:rPr>
          <w:rFonts w:cs="Arial"/>
          <w:color w:val="0D0D0D" w:themeColor="text1" w:themeTint="F2"/>
          <w:sz w:val="16"/>
          <w:szCs w:val="16"/>
        </w:rPr>
        <w:t xml:space="preserve"> rostla výroba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většiny ostatních druhů motorových vozidel.</w:t>
      </w:r>
    </w:p>
  </w:footnote>
  <w:footnote w:id="8">
    <w:p w:rsidR="00B42D5F" w:rsidRPr="00F75657" w:rsidRDefault="00B42D5F" w:rsidP="00006B67">
      <w:pPr>
        <w:pStyle w:val="Textpoznpodarou"/>
        <w:jc w:val="both"/>
        <w:rPr>
          <w:sz w:val="16"/>
          <w:szCs w:val="16"/>
        </w:rPr>
      </w:pPr>
      <w:r w:rsidRPr="00F75657">
        <w:rPr>
          <w:rStyle w:val="Znakapoznpodarou"/>
          <w:sz w:val="16"/>
          <w:szCs w:val="16"/>
        </w:rPr>
        <w:footnoteRef/>
      </w:r>
      <w:r w:rsidRPr="00F75657">
        <w:rPr>
          <w:sz w:val="16"/>
          <w:szCs w:val="16"/>
        </w:rPr>
        <w:t xml:space="preserve"> Ve srovnání s konjunkturním rokem 2007 však loňská produkce v tomto </w:t>
      </w:r>
      <w:r>
        <w:rPr>
          <w:sz w:val="16"/>
          <w:szCs w:val="16"/>
        </w:rPr>
        <w:t>odvětví stále zaostávala (o 9</w:t>
      </w:r>
      <w:r w:rsidRPr="00F75657">
        <w:rPr>
          <w:sz w:val="16"/>
          <w:szCs w:val="16"/>
        </w:rPr>
        <w:t xml:space="preserve"> %).</w:t>
      </w:r>
      <w:r>
        <w:rPr>
          <w:sz w:val="16"/>
          <w:szCs w:val="16"/>
        </w:rPr>
        <w:t xml:space="preserve"> Totéž ale platilo o bezmála polovině (zejména menších) zpracovatelských odvětví. Z významnějších odvětví stále zaostávaly výroba ostatních nekovových minerálních výrobků – tedy především stavebních hmot (o 10 %) – a potravinářský průmysl (o 2%). Celá sekce zpracovatelského průmyslu ale překonala tuto úroveň o 27 % a průmysl v úhrnu pak o 21 %.</w:t>
      </w:r>
    </w:p>
  </w:footnote>
  <w:footnote w:id="9">
    <w:p w:rsidR="00B42D5F" w:rsidRPr="00B95480" w:rsidRDefault="00B42D5F" w:rsidP="00006B67">
      <w:pPr>
        <w:pStyle w:val="Textpoznpodarou"/>
        <w:rPr>
          <w:sz w:val="16"/>
          <w:szCs w:val="16"/>
        </w:rPr>
      </w:pPr>
      <w:r w:rsidRPr="00B95480">
        <w:rPr>
          <w:rStyle w:val="Znakapoznpodarou"/>
          <w:sz w:val="16"/>
          <w:szCs w:val="16"/>
        </w:rPr>
        <w:footnoteRef/>
      </w:r>
      <w:r w:rsidRPr="00B95480">
        <w:rPr>
          <w:sz w:val="16"/>
          <w:szCs w:val="16"/>
        </w:rPr>
        <w:t xml:space="preserve"> V roce 2018 dosáhlo v národním pojetí </w:t>
      </w:r>
      <w:r>
        <w:rPr>
          <w:sz w:val="16"/>
          <w:szCs w:val="16"/>
        </w:rPr>
        <w:t>hodnoty -39,2 mld. korun, o pět let dříve „jen“ -</w:t>
      </w:r>
      <w:r w:rsidRPr="00B95480">
        <w:rPr>
          <w:sz w:val="16"/>
          <w:szCs w:val="16"/>
        </w:rPr>
        <w:t>31,4 mld.</w:t>
      </w:r>
    </w:p>
  </w:footnote>
  <w:footnote w:id="10">
    <w:p w:rsidR="00B42D5F" w:rsidRPr="00FD6BD1" w:rsidRDefault="00B42D5F" w:rsidP="00006B67">
      <w:pPr>
        <w:pStyle w:val="Textpoznpodarou"/>
        <w:rPr>
          <w:sz w:val="16"/>
          <w:szCs w:val="16"/>
        </w:rPr>
      </w:pPr>
      <w:r w:rsidRPr="00FD6BD1">
        <w:rPr>
          <w:rStyle w:val="Znakapoznpodarou"/>
          <w:sz w:val="16"/>
          <w:szCs w:val="16"/>
        </w:rPr>
        <w:footnoteRef/>
      </w:r>
      <w:r w:rsidRPr="00FD6BD1">
        <w:rPr>
          <w:sz w:val="16"/>
          <w:szCs w:val="16"/>
        </w:rPr>
        <w:t xml:space="preserve"> </w:t>
      </w:r>
      <w:r w:rsidRPr="00FD6BD1">
        <w:rPr>
          <w:color w:val="0D0D0D" w:themeColor="text1" w:themeTint="F2"/>
          <w:sz w:val="16"/>
          <w:szCs w:val="16"/>
        </w:rPr>
        <w:t>Toto odvětví zahrnuje např. výrobu sportovních potřeb, hraček, hudebních nástrojů či bižuterie.</w:t>
      </w:r>
    </w:p>
  </w:footnote>
  <w:footnote w:id="11">
    <w:p w:rsidR="00B42D5F" w:rsidRPr="00043043" w:rsidRDefault="00B42D5F" w:rsidP="00006B67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043043">
        <w:rPr>
          <w:rStyle w:val="Znakapoznpodarou"/>
          <w:color w:val="0D0D0D" w:themeColor="text1" w:themeTint="F2"/>
          <w:sz w:val="16"/>
          <w:szCs w:val="16"/>
        </w:rPr>
        <w:footnoteRef/>
      </w:r>
      <w:r w:rsidRPr="00043043">
        <w:rPr>
          <w:color w:val="0D0D0D" w:themeColor="text1" w:themeTint="F2"/>
          <w:sz w:val="16"/>
          <w:szCs w:val="16"/>
        </w:rPr>
        <w:t xml:space="preserve"> Na počátku roku 2019 podíl podniků označujících tuto bariéru ale mírně klesl na 39 % (ze 45 % ze 4. čtvrtletí 2018), což patrně souviselo s intenzi</w:t>
      </w:r>
      <w:r>
        <w:rPr>
          <w:color w:val="0D0D0D" w:themeColor="text1" w:themeTint="F2"/>
          <w:sz w:val="16"/>
          <w:szCs w:val="16"/>
        </w:rPr>
        <w:t>vnějším vnímáním vnějších rizik</w:t>
      </w:r>
      <w:r w:rsidRPr="00043043">
        <w:rPr>
          <w:color w:val="0D0D0D" w:themeColor="text1" w:themeTint="F2"/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 xml:space="preserve">v </w:t>
      </w:r>
      <w:r w:rsidRPr="00043043">
        <w:rPr>
          <w:color w:val="0D0D0D" w:themeColor="text1" w:themeTint="F2"/>
          <w:sz w:val="16"/>
          <w:szCs w:val="16"/>
        </w:rPr>
        <w:t xml:space="preserve">oblasti celkového ekonomického vývoje v roce 2019. Krátkodobá pozitivní očekávání růstu zaměstnanosti v průmyslových podnicích se během druhé poloviny loňského roku mírně snižovala a tento vývoj pokračoval i </w:t>
      </w:r>
      <w:r w:rsidR="00DA544C">
        <w:rPr>
          <w:color w:val="0D0D0D" w:themeColor="text1" w:themeTint="F2"/>
          <w:sz w:val="16"/>
          <w:szCs w:val="16"/>
        </w:rPr>
        <w:t>na</w:t>
      </w:r>
      <w:r w:rsidRPr="00043043">
        <w:rPr>
          <w:color w:val="0D0D0D" w:themeColor="text1" w:themeTint="F2"/>
          <w:sz w:val="16"/>
          <w:szCs w:val="16"/>
        </w:rPr>
        <w:t> počátku roku 2019.</w:t>
      </w:r>
    </w:p>
  </w:footnote>
  <w:footnote w:id="12">
    <w:p w:rsidR="00B42D5F" w:rsidRPr="00030563" w:rsidRDefault="00B42D5F" w:rsidP="00006B67">
      <w:pPr>
        <w:pStyle w:val="Textpoznpodarou"/>
        <w:jc w:val="both"/>
        <w:rPr>
          <w:sz w:val="16"/>
          <w:szCs w:val="16"/>
        </w:rPr>
      </w:pPr>
      <w:r w:rsidRPr="00030563">
        <w:rPr>
          <w:rStyle w:val="Znakapoznpodarou"/>
          <w:sz w:val="16"/>
          <w:szCs w:val="16"/>
        </w:rPr>
        <w:footnoteRef/>
      </w:r>
      <w:r w:rsidRPr="00030563">
        <w:rPr>
          <w:sz w:val="16"/>
          <w:szCs w:val="16"/>
        </w:rPr>
        <w:t xml:space="preserve"> Průměrná teplota ovzduší dosáhla v roce 2018 v ČR 9,6 °C (1,7 stupňů nad dlouhodobým normálem z období 1981-2010). Více než 1 stupeň nad svým normálem se přitom udržela ve všech měsících roku, vyjma února a března (kdy byla nižší o 2,6, resp. 2,1 °C).</w:t>
      </w:r>
    </w:p>
  </w:footnote>
  <w:footnote w:id="13">
    <w:p w:rsidR="00B42D5F" w:rsidRPr="00D85B50" w:rsidRDefault="00B42D5F" w:rsidP="00006B67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 stavební produkci jsou očištěny o kalendářní vlivy, </w:t>
      </w:r>
      <w:proofErr w:type="spellStart"/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mezičtvrtletní</w:t>
      </w:r>
      <w:proofErr w:type="spellEnd"/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14">
    <w:p w:rsidR="00B42D5F" w:rsidRPr="00A53DD4" w:rsidRDefault="00B42D5F" w:rsidP="00006B67">
      <w:pPr>
        <w:pStyle w:val="Textpoznpodarou"/>
        <w:jc w:val="both"/>
        <w:rPr>
          <w:spacing w:val="-2"/>
          <w:sz w:val="16"/>
          <w:szCs w:val="16"/>
        </w:rPr>
      </w:pPr>
      <w:r w:rsidRPr="00A53DD4">
        <w:rPr>
          <w:rStyle w:val="Znakapoznpodarou"/>
          <w:spacing w:val="-2"/>
          <w:sz w:val="16"/>
          <w:szCs w:val="16"/>
        </w:rPr>
        <w:footnoteRef/>
      </w:r>
      <w:r w:rsidRPr="00A53DD4">
        <w:rPr>
          <w:spacing w:val="-2"/>
          <w:sz w:val="16"/>
          <w:szCs w:val="16"/>
        </w:rPr>
        <w:t xml:space="preserve"> Růst stavebnictví byl loni nadprůměrný i v evropském k</w:t>
      </w:r>
      <w:r>
        <w:rPr>
          <w:spacing w:val="-2"/>
          <w:sz w:val="16"/>
          <w:szCs w:val="16"/>
        </w:rPr>
        <w:t>ontextu. V celé EU činil jen 2,1</w:t>
      </w:r>
      <w:r w:rsidRPr="00A53DD4">
        <w:rPr>
          <w:spacing w:val="-2"/>
          <w:sz w:val="16"/>
          <w:szCs w:val="16"/>
        </w:rPr>
        <w:t xml:space="preserve"> %. Č</w:t>
      </w:r>
      <w:r>
        <w:rPr>
          <w:spacing w:val="-2"/>
          <w:sz w:val="16"/>
          <w:szCs w:val="16"/>
        </w:rPr>
        <w:t>esku patřilo v pořadí zemí devát</w:t>
      </w:r>
      <w:r w:rsidRPr="00A53DD4">
        <w:rPr>
          <w:spacing w:val="-2"/>
          <w:sz w:val="16"/>
          <w:szCs w:val="16"/>
        </w:rPr>
        <w:t>é místo. Ze starších členů EU (15) vykázalo vyšší růst než ČR jen Irsko. Dařilo se primárně zemím ze střední a východní Evropy (např. Maďarsko +22 %, Polsko +20 %), kde silné dynamice stavebnic</w:t>
      </w:r>
      <w:r>
        <w:rPr>
          <w:spacing w:val="-2"/>
          <w:sz w:val="16"/>
          <w:szCs w:val="16"/>
        </w:rPr>
        <w:t>tví pomáhal</w:t>
      </w:r>
      <w:r w:rsidRPr="00A53DD4">
        <w:rPr>
          <w:spacing w:val="-2"/>
          <w:sz w:val="16"/>
          <w:szCs w:val="16"/>
        </w:rPr>
        <w:t xml:space="preserve"> nejen svižný ekonomický růst, ale i čerpání prostředků z rozpočtu EU.  </w:t>
      </w:r>
    </w:p>
  </w:footnote>
  <w:footnote w:id="15">
    <w:p w:rsidR="00B42D5F" w:rsidRPr="004D5E9A" w:rsidRDefault="00B42D5F" w:rsidP="00006B67">
      <w:pPr>
        <w:pStyle w:val="Textpoznpodarou"/>
        <w:rPr>
          <w:sz w:val="16"/>
          <w:szCs w:val="16"/>
        </w:rPr>
      </w:pPr>
      <w:r w:rsidRPr="004D5E9A">
        <w:rPr>
          <w:rStyle w:val="Znakapoznpodarou"/>
          <w:sz w:val="16"/>
          <w:szCs w:val="16"/>
        </w:rPr>
        <w:footnoteRef/>
      </w:r>
      <w:r w:rsidRPr="004D5E9A">
        <w:rPr>
          <w:sz w:val="16"/>
          <w:szCs w:val="16"/>
        </w:rPr>
        <w:t xml:space="preserve"> K mírnému </w:t>
      </w:r>
      <w:proofErr w:type="spellStart"/>
      <w:r w:rsidRPr="004D5E9A">
        <w:rPr>
          <w:sz w:val="16"/>
          <w:szCs w:val="16"/>
        </w:rPr>
        <w:t>mezičtvrtletnímu</w:t>
      </w:r>
      <w:proofErr w:type="spellEnd"/>
      <w:r w:rsidRPr="004D5E9A">
        <w:rPr>
          <w:sz w:val="16"/>
          <w:szCs w:val="16"/>
        </w:rPr>
        <w:t xml:space="preserve"> poklesu </w:t>
      </w:r>
      <w:r>
        <w:rPr>
          <w:sz w:val="16"/>
          <w:szCs w:val="16"/>
        </w:rPr>
        <w:t>došlo na sklonku roku 2018 také u investic (tvorby hrubého fixního kapitálu) v celé ekonomice.</w:t>
      </w:r>
    </w:p>
  </w:footnote>
  <w:footnote w:id="16">
    <w:p w:rsidR="00B42D5F" w:rsidRPr="00AF37C3" w:rsidRDefault="00B42D5F" w:rsidP="00006B67">
      <w:pPr>
        <w:pStyle w:val="Textpoznpodarou"/>
        <w:rPr>
          <w:sz w:val="16"/>
          <w:szCs w:val="16"/>
        </w:rPr>
      </w:pPr>
      <w:r w:rsidRPr="00AF37C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Ve 2. pololetí</w:t>
      </w:r>
      <w:r w:rsidRPr="00AF37C3">
        <w:rPr>
          <w:sz w:val="16"/>
          <w:szCs w:val="16"/>
        </w:rPr>
        <w:t xml:space="preserve"> 2018 činil meziroční růst nájemného z bytů </w:t>
      </w:r>
      <w:r>
        <w:rPr>
          <w:sz w:val="16"/>
          <w:szCs w:val="16"/>
        </w:rPr>
        <w:t>v Praze 6,2</w:t>
      </w:r>
      <w:r w:rsidRPr="00AF37C3">
        <w:rPr>
          <w:sz w:val="16"/>
          <w:szCs w:val="16"/>
        </w:rPr>
        <w:t xml:space="preserve"> %, téměř dvojnásobek tempa zaznamenaného v celé ČR.</w:t>
      </w:r>
    </w:p>
  </w:footnote>
  <w:footnote w:id="17">
    <w:p w:rsidR="00B42D5F" w:rsidRPr="00012953" w:rsidRDefault="00B42D5F" w:rsidP="00006B67">
      <w:pPr>
        <w:pStyle w:val="Textpoznpodarou"/>
        <w:rPr>
          <w:sz w:val="16"/>
          <w:szCs w:val="16"/>
        </w:rPr>
      </w:pPr>
      <w:r w:rsidRPr="0001295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Podíl</w:t>
      </w:r>
      <w:r w:rsidRPr="00012953">
        <w:rPr>
          <w:sz w:val="16"/>
          <w:szCs w:val="16"/>
        </w:rPr>
        <w:t xml:space="preserve"> zahraničních zakázek na celkové zásobě práce stavebních podniků (s 50 a více zaměstnanci) </w:t>
      </w:r>
      <w:r>
        <w:rPr>
          <w:sz w:val="16"/>
          <w:szCs w:val="16"/>
        </w:rPr>
        <w:t>se loni snížil pod 10% hranici. I</w:t>
      </w:r>
      <w:r w:rsidRPr="00AF37C3">
        <w:rPr>
          <w:sz w:val="16"/>
          <w:szCs w:val="16"/>
        </w:rPr>
        <w:t> </w:t>
      </w:r>
      <w:r>
        <w:rPr>
          <w:sz w:val="16"/>
          <w:szCs w:val="16"/>
        </w:rPr>
        <w:t>tak byl ale oproti úrovni z konjunktury minulé dekády (2006 až 2008)</w:t>
      </w:r>
      <w:r w:rsidRPr="001326C3">
        <w:rPr>
          <w:sz w:val="16"/>
          <w:szCs w:val="16"/>
        </w:rPr>
        <w:t xml:space="preserve"> </w:t>
      </w:r>
      <w:r>
        <w:rPr>
          <w:sz w:val="16"/>
          <w:szCs w:val="16"/>
        </w:rPr>
        <w:t>takřka dvojnásobný.</w:t>
      </w:r>
    </w:p>
  </w:footnote>
  <w:footnote w:id="18">
    <w:p w:rsidR="00B42D5F" w:rsidRPr="00DE38E6" w:rsidRDefault="00B42D5F" w:rsidP="00006B67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 kal</w:t>
      </w:r>
      <w:r>
        <w:rPr>
          <w:color w:val="0D0D0D" w:themeColor="text1" w:themeTint="F2"/>
          <w:sz w:val="16"/>
          <w:szCs w:val="16"/>
        </w:rPr>
        <w:t xml:space="preserve">endářní vlivy, </w:t>
      </w:r>
      <w:proofErr w:type="spellStart"/>
      <w:r>
        <w:rPr>
          <w:color w:val="0D0D0D" w:themeColor="text1" w:themeTint="F2"/>
          <w:sz w:val="16"/>
          <w:szCs w:val="16"/>
        </w:rPr>
        <w:t>mezičtvrtletní</w:t>
      </w:r>
      <w:proofErr w:type="spellEnd"/>
      <w:r>
        <w:rPr>
          <w:color w:val="0D0D0D" w:themeColor="text1" w:themeTint="F2"/>
          <w:sz w:val="16"/>
          <w:szCs w:val="16"/>
        </w:rPr>
        <w:t xml:space="preserve"> jsou očištěny o 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19">
    <w:p w:rsidR="00B42D5F" w:rsidRPr="00607742" w:rsidRDefault="00B42D5F" w:rsidP="00006B67">
      <w:pPr>
        <w:pStyle w:val="Textpoznpodarou"/>
        <w:rPr>
          <w:sz w:val="16"/>
          <w:szCs w:val="16"/>
        </w:rPr>
      </w:pPr>
      <w:r w:rsidRPr="00607742">
        <w:rPr>
          <w:rStyle w:val="Znakapoznpodarou"/>
          <w:sz w:val="16"/>
          <w:szCs w:val="16"/>
        </w:rPr>
        <w:footnoteRef/>
      </w:r>
      <w:r w:rsidRPr="00607742">
        <w:rPr>
          <w:sz w:val="16"/>
          <w:szCs w:val="16"/>
        </w:rPr>
        <w:t xml:space="preserve"> Zahrnují zejména zpracování dat a </w:t>
      </w:r>
      <w:proofErr w:type="spellStart"/>
      <w:r w:rsidRPr="00607742">
        <w:rPr>
          <w:sz w:val="16"/>
          <w:szCs w:val="16"/>
        </w:rPr>
        <w:t>hosting</w:t>
      </w:r>
      <w:proofErr w:type="spellEnd"/>
      <w:r>
        <w:rPr>
          <w:sz w:val="16"/>
          <w:szCs w:val="16"/>
        </w:rPr>
        <w:t>,</w:t>
      </w:r>
      <w:r w:rsidR="006F40DF">
        <w:rPr>
          <w:sz w:val="16"/>
          <w:szCs w:val="16"/>
        </w:rPr>
        <w:t xml:space="preserve"> činnost webových portálů</w:t>
      </w:r>
      <w:r w:rsidRPr="00607742">
        <w:rPr>
          <w:sz w:val="16"/>
          <w:szCs w:val="16"/>
        </w:rPr>
        <w:t xml:space="preserve"> </w:t>
      </w:r>
      <w:r>
        <w:rPr>
          <w:sz w:val="16"/>
          <w:szCs w:val="16"/>
        </w:rPr>
        <w:t>a dále také</w:t>
      </w:r>
      <w:r w:rsidRPr="00607742">
        <w:rPr>
          <w:sz w:val="16"/>
          <w:szCs w:val="16"/>
        </w:rPr>
        <w:t xml:space="preserve"> zpravodajské tiskové kanceláře a agentury.</w:t>
      </w:r>
    </w:p>
  </w:footnote>
  <w:footnote w:id="20">
    <w:p w:rsidR="00B42D5F" w:rsidRPr="00607742" w:rsidRDefault="00B42D5F" w:rsidP="00006B67">
      <w:pPr>
        <w:pStyle w:val="Textpoznpodarou"/>
        <w:rPr>
          <w:sz w:val="16"/>
          <w:szCs w:val="16"/>
        </w:rPr>
      </w:pPr>
      <w:r w:rsidRPr="00607742">
        <w:rPr>
          <w:rStyle w:val="Znakapoznpodarou"/>
          <w:sz w:val="16"/>
          <w:szCs w:val="16"/>
        </w:rPr>
        <w:footnoteRef/>
      </w:r>
      <w:r w:rsidRPr="00607742">
        <w:rPr>
          <w:sz w:val="16"/>
          <w:szCs w:val="16"/>
        </w:rPr>
        <w:t xml:space="preserve"> Zahrnují hlavně programování, správu počítačového vybavení </w:t>
      </w:r>
      <w:r>
        <w:rPr>
          <w:sz w:val="16"/>
          <w:szCs w:val="16"/>
        </w:rPr>
        <w:t xml:space="preserve">a také </w:t>
      </w:r>
      <w:r w:rsidRPr="00607742">
        <w:rPr>
          <w:sz w:val="16"/>
          <w:szCs w:val="16"/>
        </w:rPr>
        <w:t>poradenství v oblasti IT.</w:t>
      </w:r>
    </w:p>
  </w:footnote>
  <w:footnote w:id="21">
    <w:p w:rsidR="00B42D5F" w:rsidRPr="003D0F48" w:rsidRDefault="00B42D5F" w:rsidP="00006B67">
      <w:pPr>
        <w:pStyle w:val="Textpoznpodarou"/>
        <w:jc w:val="both"/>
        <w:rPr>
          <w:sz w:val="16"/>
          <w:szCs w:val="16"/>
        </w:rPr>
      </w:pPr>
      <w:r w:rsidRPr="003D0F48">
        <w:rPr>
          <w:rStyle w:val="Znakapoznpodarou"/>
          <w:sz w:val="16"/>
          <w:szCs w:val="16"/>
        </w:rPr>
        <w:footnoteRef/>
      </w:r>
      <w:r w:rsidRPr="003D0F48">
        <w:rPr>
          <w:sz w:val="16"/>
          <w:szCs w:val="16"/>
        </w:rPr>
        <w:t xml:space="preserve"> Nižší tržby ve fi</w:t>
      </w:r>
      <w:r>
        <w:rPr>
          <w:sz w:val="16"/>
          <w:szCs w:val="16"/>
        </w:rPr>
        <w:t xml:space="preserve">lmovém a hudebním průmyslu (0,3 %, v roce 2017 </w:t>
      </w:r>
      <w:r>
        <w:rPr>
          <w:rFonts w:cs="Arial"/>
          <w:color w:val="0D0D0D" w:themeColor="text1" w:themeTint="F2"/>
          <w:sz w:val="16"/>
          <w:szCs w:val="16"/>
        </w:rPr>
        <w:t>-</w:t>
      </w:r>
      <w:r>
        <w:rPr>
          <w:sz w:val="16"/>
          <w:szCs w:val="16"/>
        </w:rPr>
        <w:t>14,9 %) souvisely</w:t>
      </w:r>
      <w:r w:rsidR="006F40DF">
        <w:rPr>
          <w:sz w:val="16"/>
          <w:szCs w:val="16"/>
        </w:rPr>
        <w:t xml:space="preserve"> s větší nepravidelností</w:t>
      </w:r>
      <w:r w:rsidRPr="003D0F48">
        <w:rPr>
          <w:sz w:val="16"/>
          <w:szCs w:val="16"/>
        </w:rPr>
        <w:t xml:space="preserve"> v zakázkách a ve fakturacích. </w:t>
      </w:r>
      <w:r>
        <w:rPr>
          <w:sz w:val="16"/>
          <w:szCs w:val="16"/>
        </w:rPr>
        <w:t>Samotnému segmentu filmové distribuce se ale dařilo mnohem lépe. Dle údajů Unie filmových distributorů vzrostly v roce 2018 tržby ze vstupného v kinech v ČR meziročně o 13,2 %, počet návštěvníků o 7,3 % (na 16,3 mil., nejvyšší počet po roce 1993).</w:t>
      </w:r>
    </w:p>
  </w:footnote>
  <w:footnote w:id="22">
    <w:p w:rsidR="00B42D5F" w:rsidRPr="00DA5EBF" w:rsidRDefault="00B42D5F" w:rsidP="00006B67">
      <w:pPr>
        <w:pStyle w:val="Textpoznpodarou"/>
        <w:rPr>
          <w:spacing w:val="-2"/>
          <w:sz w:val="16"/>
          <w:szCs w:val="16"/>
        </w:rPr>
      </w:pPr>
      <w:r w:rsidRPr="00DA5EBF">
        <w:rPr>
          <w:rStyle w:val="Znakapoznpodarou"/>
          <w:spacing w:val="-2"/>
          <w:sz w:val="16"/>
          <w:szCs w:val="16"/>
        </w:rPr>
        <w:footnoteRef/>
      </w:r>
      <w:r w:rsidRPr="00DA5EBF">
        <w:rPr>
          <w:spacing w:val="-2"/>
          <w:sz w:val="16"/>
          <w:szCs w:val="16"/>
        </w:rPr>
        <w:t xml:space="preserve"> Počet přenocování zahraničních hostů v hromadných ubytovacích zařízení</w:t>
      </w:r>
      <w:r>
        <w:rPr>
          <w:spacing w:val="-2"/>
          <w:sz w:val="16"/>
          <w:szCs w:val="16"/>
        </w:rPr>
        <w:t>ch v ČR rostl loni meziročně o 1,9</w:t>
      </w:r>
      <w:r w:rsidRPr="00DA5EBF">
        <w:rPr>
          <w:spacing w:val="-2"/>
          <w:sz w:val="16"/>
          <w:szCs w:val="16"/>
        </w:rPr>
        <w:t xml:space="preserve"> % (v roce 2017 ale o 8,2 %).</w:t>
      </w:r>
    </w:p>
  </w:footnote>
  <w:footnote w:id="23">
    <w:p w:rsidR="00B42D5F" w:rsidRDefault="00B42D5F" w:rsidP="00006B67">
      <w:pPr>
        <w:pStyle w:val="Textpoznpodarou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Všechna</w:t>
      </w:r>
      <w:r w:rsidRPr="00A85D8E">
        <w:rPr>
          <w:sz w:val="16"/>
          <w:szCs w:val="16"/>
        </w:rPr>
        <w:t xml:space="preserve"> </w:t>
      </w:r>
      <w:r>
        <w:rPr>
          <w:sz w:val="16"/>
          <w:szCs w:val="16"/>
        </w:rPr>
        <w:t>meziroční tempa</w:t>
      </w:r>
      <w:r>
        <w:rPr>
          <w:color w:val="0D0D0D" w:themeColor="text1" w:themeTint="F2"/>
          <w:sz w:val="16"/>
          <w:szCs w:val="16"/>
        </w:rPr>
        <w:t xml:space="preserve"> tržeb</w:t>
      </w:r>
      <w:r w:rsidRPr="00A85D8E">
        <w:rPr>
          <w:color w:val="0D0D0D" w:themeColor="text1" w:themeTint="F2"/>
          <w:sz w:val="16"/>
          <w:szCs w:val="16"/>
        </w:rPr>
        <w:t xml:space="preserve"> za maloobchod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uvedena ve stálých cenách a očištěna</w:t>
      </w:r>
      <w:r w:rsidRPr="004A26AF">
        <w:rPr>
          <w:color w:val="0D0D0D" w:themeColor="text1" w:themeTint="F2"/>
          <w:sz w:val="16"/>
          <w:szCs w:val="16"/>
        </w:rPr>
        <w:t xml:space="preserve"> o kal</w:t>
      </w:r>
      <w:r>
        <w:rPr>
          <w:color w:val="0D0D0D" w:themeColor="text1" w:themeTint="F2"/>
          <w:sz w:val="16"/>
          <w:szCs w:val="16"/>
        </w:rPr>
        <w:t>endářní vlivy,</w:t>
      </w:r>
    </w:p>
  </w:footnote>
  <w:footnote w:id="24">
    <w:p w:rsidR="00B42D5F" w:rsidRPr="00473DD0" w:rsidRDefault="00B42D5F" w:rsidP="00006B67">
      <w:pPr>
        <w:pStyle w:val="Textpoznpodarou"/>
        <w:rPr>
          <w:spacing w:val="-2"/>
          <w:sz w:val="16"/>
          <w:szCs w:val="16"/>
        </w:rPr>
      </w:pPr>
      <w:r w:rsidRPr="00473DD0">
        <w:rPr>
          <w:rStyle w:val="Znakapoznpodarou"/>
          <w:spacing w:val="-2"/>
          <w:sz w:val="16"/>
          <w:szCs w:val="16"/>
        </w:rPr>
        <w:footnoteRef/>
      </w:r>
      <w:r w:rsidRPr="00473DD0">
        <w:rPr>
          <w:spacing w:val="-2"/>
          <w:sz w:val="16"/>
          <w:szCs w:val="16"/>
        </w:rPr>
        <w:t xml:space="preserve"> Růst v EU loni činil jen 2,1 %. </w:t>
      </w:r>
      <w:r w:rsidR="006F40DF">
        <w:rPr>
          <w:spacing w:val="-2"/>
          <w:sz w:val="16"/>
          <w:szCs w:val="16"/>
        </w:rPr>
        <w:t>Rych</w:t>
      </w:r>
      <w:r w:rsidRPr="00473DD0">
        <w:rPr>
          <w:spacing w:val="-2"/>
          <w:sz w:val="16"/>
          <w:szCs w:val="16"/>
        </w:rPr>
        <w:t xml:space="preserve">leji než v ČR </w:t>
      </w:r>
      <w:r w:rsidR="006F40DF">
        <w:rPr>
          <w:spacing w:val="-2"/>
          <w:sz w:val="16"/>
          <w:szCs w:val="16"/>
        </w:rPr>
        <w:t xml:space="preserve">rostl maloobchod </w:t>
      </w:r>
      <w:r w:rsidRPr="00473DD0">
        <w:rPr>
          <w:spacing w:val="-2"/>
          <w:sz w:val="16"/>
          <w:szCs w:val="16"/>
        </w:rPr>
        <w:t>v šesti státech (v Litvě, Maďarsku, Irsku a Polsku – mezi 6,4 až 6,6 %).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1F31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2C21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418B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Celorok-2018\Odv&#283;tv&#237;\Odv&#283;tv&#237;%20grafy-ROK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&#345;es%20volebn&#237;%20v&#237;kend\Odv&#283;tv&#237;%20grafy-ROK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3.2768470688525612E-2"/>
          <c:y val="1.6203558522131661E-2"/>
          <c:w val="0.93666788782242216"/>
          <c:h val="0.71950593410789765"/>
        </c:manualLayout>
      </c:layout>
      <c:barChart>
        <c:barDir val="col"/>
        <c:grouping val="stacked"/>
        <c:ser>
          <c:idx val="0"/>
          <c:order val="0"/>
          <c:tx>
            <c:strRef>
              <c:f>'GRAF příspěvky IPP'!$A$32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IPP'!$B$32:$AG$32</c:f>
              <c:numCache>
                <c:formatCode>0.0</c:formatCode>
                <c:ptCount val="32"/>
                <c:pt idx="0">
                  <c:v>5.1583390189821374</c:v>
                </c:pt>
                <c:pt idx="1">
                  <c:v>4.1940805843592255</c:v>
                </c:pt>
                <c:pt idx="2">
                  <c:v>3.6254585881455803</c:v>
                </c:pt>
                <c:pt idx="3">
                  <c:v>3.2258487674246217</c:v>
                </c:pt>
                <c:pt idx="4">
                  <c:v>1.9477463114435281</c:v>
                </c:pt>
                <c:pt idx="5">
                  <c:v>1.0058302469588418</c:v>
                </c:pt>
                <c:pt idx="6">
                  <c:v>-0.47327260667125248</c:v>
                </c:pt>
                <c:pt idx="7">
                  <c:v>-1.6589798300201712</c:v>
                </c:pt>
                <c:pt idx="8">
                  <c:v>-2.5458879361074449</c:v>
                </c:pt>
                <c:pt idx="9">
                  <c:v>-1.3259090973424654</c:v>
                </c:pt>
                <c:pt idx="10">
                  <c:v>0.76388270851172324</c:v>
                </c:pt>
                <c:pt idx="11">
                  <c:v>1.8584636345874879</c:v>
                </c:pt>
                <c:pt idx="12">
                  <c:v>3.3381841003075512</c:v>
                </c:pt>
                <c:pt idx="13">
                  <c:v>2.4352412796453371</c:v>
                </c:pt>
                <c:pt idx="14">
                  <c:v>1.8587530098340106</c:v>
                </c:pt>
                <c:pt idx="15">
                  <c:v>1.4829445473338632</c:v>
                </c:pt>
                <c:pt idx="16">
                  <c:v>1.5560406088862699</c:v>
                </c:pt>
                <c:pt idx="17">
                  <c:v>2.1747965848469608</c:v>
                </c:pt>
                <c:pt idx="18">
                  <c:v>2.225670583560051</c:v>
                </c:pt>
                <c:pt idx="19">
                  <c:v>2.9326959962159167</c:v>
                </c:pt>
                <c:pt idx="20">
                  <c:v>3.4317610615849299</c:v>
                </c:pt>
                <c:pt idx="21">
                  <c:v>2.7916779937104867</c:v>
                </c:pt>
                <c:pt idx="22">
                  <c:v>1.4159459574233138</c:v>
                </c:pt>
                <c:pt idx="23">
                  <c:v>1.0292819674961451</c:v>
                </c:pt>
                <c:pt idx="24">
                  <c:v>1.8337769181325838</c:v>
                </c:pt>
                <c:pt idx="25">
                  <c:v>2.0232440682518602</c:v>
                </c:pt>
                <c:pt idx="26">
                  <c:v>1.4618132853996721</c:v>
                </c:pt>
                <c:pt idx="27">
                  <c:v>1.6967505374178768</c:v>
                </c:pt>
                <c:pt idx="28">
                  <c:v>0.6660429926913024</c:v>
                </c:pt>
                <c:pt idx="29">
                  <c:v>0.346077288808884</c:v>
                </c:pt>
                <c:pt idx="30">
                  <c:v>0.1437276683183506</c:v>
                </c:pt>
                <c:pt idx="31">
                  <c:v>1.1294855117310159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A7-44D5-8D40-8A15859550FB}"/>
            </c:ext>
          </c:extLst>
        </c:ser>
        <c:ser>
          <c:idx val="1"/>
          <c:order val="1"/>
          <c:tx>
            <c:strRef>
              <c:f>'GRAF příspěvky IPP'!$A$33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IPP'!$B$33:$AG$33</c:f>
              <c:numCache>
                <c:formatCode>0.0</c:formatCode>
                <c:ptCount val="32"/>
                <c:pt idx="0">
                  <c:v>1.798369127586456</c:v>
                </c:pt>
                <c:pt idx="1">
                  <c:v>1.4558566523785181</c:v>
                </c:pt>
                <c:pt idx="2">
                  <c:v>0.48746198826577614</c:v>
                </c:pt>
                <c:pt idx="3">
                  <c:v>0.58308022139278459</c:v>
                </c:pt>
                <c:pt idx="4">
                  <c:v>0.8442656282525447</c:v>
                </c:pt>
                <c:pt idx="5">
                  <c:v>0.66654661442768215</c:v>
                </c:pt>
                <c:pt idx="6">
                  <c:v>1.0653762335640899</c:v>
                </c:pt>
                <c:pt idx="7">
                  <c:v>-0.46502811090535306</c:v>
                </c:pt>
                <c:pt idx="8">
                  <c:v>-0.28211107583639117</c:v>
                </c:pt>
                <c:pt idx="9">
                  <c:v>-0.34471853265078295</c:v>
                </c:pt>
                <c:pt idx="10">
                  <c:v>0.38728197932092912</c:v>
                </c:pt>
                <c:pt idx="11">
                  <c:v>0.67444684530708265</c:v>
                </c:pt>
                <c:pt idx="12">
                  <c:v>1.1900587156554803</c:v>
                </c:pt>
                <c:pt idx="13">
                  <c:v>1.317960607975553</c:v>
                </c:pt>
                <c:pt idx="14">
                  <c:v>0.15682402057671571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1.2401487730750369</c:v>
                </c:pt>
                <c:pt idx="18">
                  <c:v>1.4263615358978559</c:v>
                </c:pt>
                <c:pt idx="19">
                  <c:v>0.62907027961345363</c:v>
                </c:pt>
                <c:pt idx="20">
                  <c:v>0.73623049391962603</c:v>
                </c:pt>
                <c:pt idx="21">
                  <c:v>0.13255877827094117</c:v>
                </c:pt>
                <c:pt idx="22">
                  <c:v>0.2843931356974948</c:v>
                </c:pt>
                <c:pt idx="23">
                  <c:v>0.43251342156214811</c:v>
                </c:pt>
                <c:pt idx="24">
                  <c:v>0.8790130954715587</c:v>
                </c:pt>
                <c:pt idx="25">
                  <c:v>1.4636922494624454</c:v>
                </c:pt>
                <c:pt idx="26">
                  <c:v>0.86660777787351173</c:v>
                </c:pt>
                <c:pt idx="27">
                  <c:v>1.6549188645785124</c:v>
                </c:pt>
                <c:pt idx="28">
                  <c:v>0.88263591522283469</c:v>
                </c:pt>
                <c:pt idx="29">
                  <c:v>0.30216313943135575</c:v>
                </c:pt>
                <c:pt idx="30">
                  <c:v>0.41509127498569298</c:v>
                </c:pt>
                <c:pt idx="31">
                  <c:v>-0.10904636154472143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A7-44D5-8D40-8A15859550FB}"/>
            </c:ext>
          </c:extLst>
        </c:ser>
        <c:ser>
          <c:idx val="2"/>
          <c:order val="2"/>
          <c:tx>
            <c:strRef>
              <c:f>'GRAF příspěvky IPP'!$A$34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IPP'!$B$34:$AG$34</c:f>
              <c:numCache>
                <c:formatCode>0.0</c:formatCode>
                <c:ptCount val="32"/>
                <c:pt idx="0">
                  <c:v>1.2706011457621811</c:v>
                </c:pt>
                <c:pt idx="1">
                  <c:v>1.2888664807252919</c:v>
                </c:pt>
                <c:pt idx="2">
                  <c:v>0.32307846092657344</c:v>
                </c:pt>
                <c:pt idx="3">
                  <c:v>0.70071844497242752</c:v>
                </c:pt>
                <c:pt idx="4">
                  <c:v>0.51659781480962252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-0.13339713383761811</c:v>
                </c:pt>
                <c:pt idx="8">
                  <c:v>7.1737084628029524E-2</c:v>
                </c:pt>
                <c:pt idx="9">
                  <c:v>0.20406264489060291</c:v>
                </c:pt>
                <c:pt idx="10">
                  <c:v>-1.7001944235035489E-2</c:v>
                </c:pt>
                <c:pt idx="11">
                  <c:v>0.64362374734260031</c:v>
                </c:pt>
                <c:pt idx="12">
                  <c:v>0.21470457876175333</c:v>
                </c:pt>
                <c:pt idx="13">
                  <c:v>0.40293012989485194</c:v>
                </c:pt>
                <c:pt idx="14">
                  <c:v>0.21152856009329646</c:v>
                </c:pt>
                <c:pt idx="15">
                  <c:v>0.33012044192864126</c:v>
                </c:pt>
                <c:pt idx="16">
                  <c:v>0.2783269910276896</c:v>
                </c:pt>
                <c:pt idx="17">
                  <c:v>0.29159295435772531</c:v>
                </c:pt>
                <c:pt idx="18">
                  <c:v>0.37916922656306401</c:v>
                </c:pt>
                <c:pt idx="19">
                  <c:v>1.7819899907731352E-2</c:v>
                </c:pt>
                <c:pt idx="20">
                  <c:v>0.36450086052988651</c:v>
                </c:pt>
                <c:pt idx="21">
                  <c:v>-6.9051390149413333E-2</c:v>
                </c:pt>
                <c:pt idx="22">
                  <c:v>0.19850927828339154</c:v>
                </c:pt>
                <c:pt idx="23">
                  <c:v>0.32150601856840738</c:v>
                </c:pt>
                <c:pt idx="24">
                  <c:v>0.36417963216621208</c:v>
                </c:pt>
                <c:pt idx="25">
                  <c:v>1.0647927179276138</c:v>
                </c:pt>
                <c:pt idx="26">
                  <c:v>0.84846050084183222</c:v>
                </c:pt>
                <c:pt idx="27">
                  <c:v>0.80860359811504845</c:v>
                </c:pt>
                <c:pt idx="28">
                  <c:v>0.60464772961501378</c:v>
                </c:pt>
                <c:pt idx="29">
                  <c:v>0.33032635655466486</c:v>
                </c:pt>
                <c:pt idx="30">
                  <c:v>0.37001053761659758</c:v>
                </c:pt>
                <c:pt idx="31">
                  <c:v>8.8257532565657361E-3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A7-44D5-8D40-8A15859550FB}"/>
            </c:ext>
          </c:extLst>
        </c:ser>
        <c:ser>
          <c:idx val="3"/>
          <c:order val="3"/>
          <c:tx>
            <c:strRef>
              <c:f>'GRAF příspěvky IPP'!$A$35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IPP'!$B$35:$AG$35</c:f>
              <c:numCache>
                <c:formatCode>0.0</c:formatCode>
                <c:ptCount val="32"/>
                <c:pt idx="0">
                  <c:v>1.3529708847357282</c:v>
                </c:pt>
                <c:pt idx="1">
                  <c:v>0.61223141631615963</c:v>
                </c:pt>
                <c:pt idx="2">
                  <c:v>6.1889465402554356E-2</c:v>
                </c:pt>
                <c:pt idx="3">
                  <c:v>-5.0371368079756305E-2</c:v>
                </c:pt>
                <c:pt idx="4">
                  <c:v>-0.10808602428987622</c:v>
                </c:pt>
                <c:pt idx="5">
                  <c:v>-5.7044312227523424E-2</c:v>
                </c:pt>
                <c:pt idx="6">
                  <c:v>0.11227086111396455</c:v>
                </c:pt>
                <c:pt idx="7">
                  <c:v>-0.17759790176716292</c:v>
                </c:pt>
                <c:pt idx="8">
                  <c:v>-4.9295714575087704E-2</c:v>
                </c:pt>
                <c:pt idx="9">
                  <c:v>9.2868962187096907E-2</c:v>
                </c:pt>
                <c:pt idx="10">
                  <c:v>0.37420551106540967</c:v>
                </c:pt>
                <c:pt idx="11">
                  <c:v>0.57817330515122456</c:v>
                </c:pt>
                <c:pt idx="12">
                  <c:v>0.75653656295046556</c:v>
                </c:pt>
                <c:pt idx="13">
                  <c:v>0.62179163182191965</c:v>
                </c:pt>
                <c:pt idx="14">
                  <c:v>0.13796392398444496</c:v>
                </c:pt>
                <c:pt idx="15">
                  <c:v>0.35044871686260998</c:v>
                </c:pt>
                <c:pt idx="16">
                  <c:v>0.69752018574312757</c:v>
                </c:pt>
                <c:pt idx="17">
                  <c:v>0.78069864008168588</c:v>
                </c:pt>
                <c:pt idx="18">
                  <c:v>0.92145489387273449</c:v>
                </c:pt>
                <c:pt idx="19">
                  <c:v>0.62569777143328498</c:v>
                </c:pt>
                <c:pt idx="20">
                  <c:v>0.74976781674783877</c:v>
                </c:pt>
                <c:pt idx="21">
                  <c:v>0.40323787298061481</c:v>
                </c:pt>
                <c:pt idx="22">
                  <c:v>0.20786247012396891</c:v>
                </c:pt>
                <c:pt idx="23">
                  <c:v>0.25885378383640723</c:v>
                </c:pt>
                <c:pt idx="24">
                  <c:v>0.5193760395981406</c:v>
                </c:pt>
                <c:pt idx="25">
                  <c:v>0.90938443427805682</c:v>
                </c:pt>
                <c:pt idx="26">
                  <c:v>0.81941846333328994</c:v>
                </c:pt>
                <c:pt idx="27">
                  <c:v>0.96985539906458518</c:v>
                </c:pt>
                <c:pt idx="28">
                  <c:v>0.65791375047160661</c:v>
                </c:pt>
                <c:pt idx="29">
                  <c:v>0.39486272937744288</c:v>
                </c:pt>
                <c:pt idx="30">
                  <c:v>0.46898240305703692</c:v>
                </c:pt>
                <c:pt idx="31">
                  <c:v>0.20155570733844042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A7-44D5-8D40-8A15859550FB}"/>
            </c:ext>
          </c:extLst>
        </c:ser>
        <c:ser>
          <c:idx val="4"/>
          <c:order val="4"/>
          <c:tx>
            <c:strRef>
              <c:f>'GRAF příspěvky IPP'!$A$36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IPP'!$B$36:$AG$36</c:f>
              <c:numCache>
                <c:formatCode>0.0</c:formatCode>
                <c:ptCount val="32"/>
                <c:pt idx="0">
                  <c:v>0.46607738102630258</c:v>
                </c:pt>
                <c:pt idx="1">
                  <c:v>0.22897370733509373</c:v>
                </c:pt>
                <c:pt idx="2">
                  <c:v>-0.24362549730013724</c:v>
                </c:pt>
                <c:pt idx="3">
                  <c:v>-0.78232564519731651</c:v>
                </c:pt>
                <c:pt idx="4">
                  <c:v>-0.62912903530942321</c:v>
                </c:pt>
                <c:pt idx="5">
                  <c:v>-0.77404145043571737</c:v>
                </c:pt>
                <c:pt idx="6">
                  <c:v>-0.66225050698900734</c:v>
                </c:pt>
                <c:pt idx="7">
                  <c:v>-0.44167473994697032</c:v>
                </c:pt>
                <c:pt idx="8">
                  <c:v>0.17307138431247929</c:v>
                </c:pt>
                <c:pt idx="9">
                  <c:v>0.20710305378343791</c:v>
                </c:pt>
                <c:pt idx="10">
                  <c:v>0.28808704980807831</c:v>
                </c:pt>
                <c:pt idx="11">
                  <c:v>0.37118882448330998</c:v>
                </c:pt>
                <c:pt idx="12">
                  <c:v>0.25436485129927161</c:v>
                </c:pt>
                <c:pt idx="13">
                  <c:v>0.35992422249609862</c:v>
                </c:pt>
                <c:pt idx="14">
                  <c:v>0.25073709132947558</c:v>
                </c:pt>
                <c:pt idx="15">
                  <c:v>0.43084138344861528</c:v>
                </c:pt>
                <c:pt idx="16">
                  <c:v>0.1016909527808572</c:v>
                </c:pt>
                <c:pt idx="17">
                  <c:v>1.4154514873228306E-2</c:v>
                </c:pt>
                <c:pt idx="18">
                  <c:v>4.4552452116603934E-2</c:v>
                </c:pt>
                <c:pt idx="19">
                  <c:v>-7.4237264718247514E-2</c:v>
                </c:pt>
                <c:pt idx="20">
                  <c:v>-2.1481481669667602E-3</c:v>
                </c:pt>
                <c:pt idx="21">
                  <c:v>5.1480619698657547E-2</c:v>
                </c:pt>
                <c:pt idx="22">
                  <c:v>5.3821883781074345E-2</c:v>
                </c:pt>
                <c:pt idx="23">
                  <c:v>0.15961607959276869</c:v>
                </c:pt>
                <c:pt idx="24">
                  <c:v>0.12925577438246424</c:v>
                </c:pt>
                <c:pt idx="25">
                  <c:v>0.3752618499929869</c:v>
                </c:pt>
                <c:pt idx="26">
                  <c:v>0.2380055396976837</c:v>
                </c:pt>
                <c:pt idx="27">
                  <c:v>0.23859541569534248</c:v>
                </c:pt>
                <c:pt idx="28">
                  <c:v>0.47222552264673673</c:v>
                </c:pt>
                <c:pt idx="29">
                  <c:v>0.19431603051501081</c:v>
                </c:pt>
                <c:pt idx="30">
                  <c:v>0.6820005775594008</c:v>
                </c:pt>
                <c:pt idx="31">
                  <c:v>0.45490366712548047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A7-44D5-8D40-8A15859550FB}"/>
            </c:ext>
          </c:extLst>
        </c:ser>
        <c:ser>
          <c:idx val="5"/>
          <c:order val="5"/>
          <c:tx>
            <c:strRef>
              <c:f>'GRAF příspěvky IPP'!$A$37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IPP'!$B$37:$AG$37</c:f>
              <c:numCache>
                <c:formatCode>0.0</c:formatCode>
                <c:ptCount val="32"/>
                <c:pt idx="0">
                  <c:v>0.10124729624413728</c:v>
                </c:pt>
                <c:pt idx="1">
                  <c:v>-0.10987307777837722</c:v>
                </c:pt>
                <c:pt idx="2">
                  <c:v>-0.35448780665781454</c:v>
                </c:pt>
                <c:pt idx="3">
                  <c:v>-0.25365533251951949</c:v>
                </c:pt>
                <c:pt idx="4">
                  <c:v>8.2098114440466927E-2</c:v>
                </c:pt>
                <c:pt idx="5">
                  <c:v>-8.0110027441629553E-2</c:v>
                </c:pt>
                <c:pt idx="6">
                  <c:v>0.30586896879336462</c:v>
                </c:pt>
                <c:pt idx="7">
                  <c:v>6.8409485771207784E-2</c:v>
                </c:pt>
                <c:pt idx="8">
                  <c:v>-0.15361204125201</c:v>
                </c:pt>
                <c:pt idx="9">
                  <c:v>1.8223165599514635E-2</c:v>
                </c:pt>
                <c:pt idx="10">
                  <c:v>-0.21418759865827675</c:v>
                </c:pt>
                <c:pt idx="11">
                  <c:v>0.23085083648135049</c:v>
                </c:pt>
                <c:pt idx="12">
                  <c:v>0.41401687752487987</c:v>
                </c:pt>
                <c:pt idx="13">
                  <c:v>0.30065933491628777</c:v>
                </c:pt>
                <c:pt idx="14">
                  <c:v>0.38510686850210235</c:v>
                </c:pt>
                <c:pt idx="15">
                  <c:v>0.11900135459161669</c:v>
                </c:pt>
                <c:pt idx="16">
                  <c:v>7.8782994403984133E-2</c:v>
                </c:pt>
                <c:pt idx="17">
                  <c:v>0.23469012479248291</c:v>
                </c:pt>
                <c:pt idx="18">
                  <c:v>-0.17180717870315537</c:v>
                </c:pt>
                <c:pt idx="19">
                  <c:v>-0.33632275678133638</c:v>
                </c:pt>
                <c:pt idx="20">
                  <c:v>-0.42054564658408849</c:v>
                </c:pt>
                <c:pt idx="21">
                  <c:v>-0.41604329837232795</c:v>
                </c:pt>
                <c:pt idx="22">
                  <c:v>-0.11436029247510629</c:v>
                </c:pt>
                <c:pt idx="23">
                  <c:v>0.2421266841430553</c:v>
                </c:pt>
                <c:pt idx="24">
                  <c:v>0.54456420388154547</c:v>
                </c:pt>
                <c:pt idx="25">
                  <c:v>0.80978464113735649</c:v>
                </c:pt>
                <c:pt idx="26">
                  <c:v>0.64029129256524386</c:v>
                </c:pt>
                <c:pt idx="27">
                  <c:v>0.51006133838638013</c:v>
                </c:pt>
                <c:pt idx="28">
                  <c:v>0.38842364209740665</c:v>
                </c:pt>
                <c:pt idx="29">
                  <c:v>4.6275575122148797E-2</c:v>
                </c:pt>
                <c:pt idx="30">
                  <c:v>-8.8191500210581225E-2</c:v>
                </c:pt>
                <c:pt idx="31">
                  <c:v>7.9647483688729814E-3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A7-44D5-8D40-8A15859550FB}"/>
            </c:ext>
          </c:extLst>
        </c:ser>
        <c:ser>
          <c:idx val="6"/>
          <c:order val="6"/>
          <c:tx>
            <c:strRef>
              <c:f>'GRAF příspěvky IPP'!$A$38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IPP'!$B$38:$AG$38</c:f>
              <c:numCache>
                <c:formatCode>0.0</c:formatCode>
                <c:ptCount val="32"/>
                <c:pt idx="0">
                  <c:v>0.31552663311963497</c:v>
                </c:pt>
                <c:pt idx="1">
                  <c:v>8.0724819058621375E-2</c:v>
                </c:pt>
                <c:pt idx="2">
                  <c:v>-1.3196696952264408</c:v>
                </c:pt>
                <c:pt idx="3">
                  <c:v>0.11842987325758322</c:v>
                </c:pt>
                <c:pt idx="4">
                  <c:v>-1.2660773466306161</c:v>
                </c:pt>
                <c:pt idx="5">
                  <c:v>-0.47802730548721994</c:v>
                </c:pt>
                <c:pt idx="6">
                  <c:v>-0.34646761815324223</c:v>
                </c:pt>
                <c:pt idx="7">
                  <c:v>-1.3200846686145966</c:v>
                </c:pt>
                <c:pt idx="8">
                  <c:v>-2.5962486433354387E-2</c:v>
                </c:pt>
                <c:pt idx="9">
                  <c:v>-0.14296973602391649</c:v>
                </c:pt>
                <c:pt idx="10">
                  <c:v>0.16463257251793875</c:v>
                </c:pt>
                <c:pt idx="11">
                  <c:v>1.1277581264641281</c:v>
                </c:pt>
                <c:pt idx="12">
                  <c:v>1.3601037593510723</c:v>
                </c:pt>
                <c:pt idx="13">
                  <c:v>0.98430790289275905</c:v>
                </c:pt>
                <c:pt idx="14">
                  <c:v>0.25133426220692345</c:v>
                </c:pt>
                <c:pt idx="15">
                  <c:v>1.2962625167285573</c:v>
                </c:pt>
                <c:pt idx="16">
                  <c:v>1.0074721701935661</c:v>
                </c:pt>
                <c:pt idx="17">
                  <c:v>0.80495652892223335</c:v>
                </c:pt>
                <c:pt idx="18">
                  <c:v>1.5513791726730484</c:v>
                </c:pt>
                <c:pt idx="19">
                  <c:v>-0.36725300514759718</c:v>
                </c:pt>
                <c:pt idx="20">
                  <c:v>-0.13589925939302241</c:v>
                </c:pt>
                <c:pt idx="21">
                  <c:v>-0.77642186080498765</c:v>
                </c:pt>
                <c:pt idx="22">
                  <c:v>0.22786640880518524</c:v>
                </c:pt>
                <c:pt idx="23">
                  <c:v>0.45056967876598808</c:v>
                </c:pt>
                <c:pt idx="24">
                  <c:v>-9.1699578760707667E-2</c:v>
                </c:pt>
                <c:pt idx="25">
                  <c:v>2.0096638805791773</c:v>
                </c:pt>
                <c:pt idx="26">
                  <c:v>1.0746662700314769</c:v>
                </c:pt>
                <c:pt idx="27">
                  <c:v>0.97335153528473861</c:v>
                </c:pt>
                <c:pt idx="28">
                  <c:v>0.90119773325770569</c:v>
                </c:pt>
                <c:pt idx="29">
                  <c:v>0.75708395070212897</c:v>
                </c:pt>
                <c:pt idx="30">
                  <c:v>0.84309033048152404</c:v>
                </c:pt>
                <c:pt idx="31">
                  <c:v>0.33845627297481101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A7-44D5-8D40-8A15859550FB}"/>
            </c:ext>
          </c:extLst>
        </c:ser>
        <c:ser>
          <c:idx val="7"/>
          <c:order val="7"/>
          <c:tx>
            <c:strRef>
              <c:f>'GRAF příspěvky IPP'!$A$39</c:f>
              <c:strCache>
                <c:ptCount val="1"/>
                <c:pt idx="0">
                  <c:v>Těžba a energetika (B)</c:v>
                </c:pt>
              </c:strCache>
            </c:strRef>
          </c:tx>
          <c:spPr>
            <a:solidFill>
              <a:srgbClr val="808080"/>
            </a:solidFill>
          </c:spP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IPP'!$B$39:$AG$39</c:f>
              <c:numCache>
                <c:formatCode>0.0</c:formatCode>
                <c:ptCount val="32"/>
                <c:pt idx="0">
                  <c:v>-0.46313148745656374</c:v>
                </c:pt>
                <c:pt idx="1">
                  <c:v>0.44913941760544751</c:v>
                </c:pt>
                <c:pt idx="2">
                  <c:v>-0.28010550355605701</c:v>
                </c:pt>
                <c:pt idx="3">
                  <c:v>-0.14172496125080888</c:v>
                </c:pt>
                <c:pt idx="4">
                  <c:v>1.2584537283747338E-2</c:v>
                </c:pt>
                <c:pt idx="5">
                  <c:v>0.35372310632103926</c:v>
                </c:pt>
                <c:pt idx="6">
                  <c:v>-0.13454517732100951</c:v>
                </c:pt>
                <c:pt idx="7">
                  <c:v>-1.0716369042476055</c:v>
                </c:pt>
                <c:pt idx="8">
                  <c:v>-0.88656305110647049</c:v>
                </c:pt>
                <c:pt idx="9">
                  <c:v>-1.5086604604434219</c:v>
                </c:pt>
                <c:pt idx="10">
                  <c:v>-0.94690027833075763</c:v>
                </c:pt>
                <c:pt idx="11">
                  <c:v>0.51549468018282096</c:v>
                </c:pt>
                <c:pt idx="12">
                  <c:v>-0.62796944585044667</c:v>
                </c:pt>
                <c:pt idx="13">
                  <c:v>-0.32281510964283122</c:v>
                </c:pt>
                <c:pt idx="14">
                  <c:v>-0.45224773652695144</c:v>
                </c:pt>
                <c:pt idx="15">
                  <c:v>-0.70208894328074911</c:v>
                </c:pt>
                <c:pt idx="16">
                  <c:v>0.14745027907431846</c:v>
                </c:pt>
                <c:pt idx="17">
                  <c:v>-0.34103812094933272</c:v>
                </c:pt>
                <c:pt idx="18">
                  <c:v>-0.37678068598016395</c:v>
                </c:pt>
                <c:pt idx="19">
                  <c:v>-1.1274709205232321</c:v>
                </c:pt>
                <c:pt idx="20">
                  <c:v>-0.62366717863822763</c:v>
                </c:pt>
                <c:pt idx="21">
                  <c:v>8.2561284666029466E-2</c:v>
                </c:pt>
                <c:pt idx="22">
                  <c:v>-0.47403884163932031</c:v>
                </c:pt>
                <c:pt idx="23">
                  <c:v>0.50553236603507457</c:v>
                </c:pt>
                <c:pt idx="24">
                  <c:v>0.6215339151282</c:v>
                </c:pt>
                <c:pt idx="25">
                  <c:v>-0.15582384162950719</c:v>
                </c:pt>
                <c:pt idx="26">
                  <c:v>0.75073687025727165</c:v>
                </c:pt>
                <c:pt idx="27">
                  <c:v>0.74786331145755525</c:v>
                </c:pt>
                <c:pt idx="28">
                  <c:v>-0.57308728600258974</c:v>
                </c:pt>
                <c:pt idx="29">
                  <c:v>-7.1105070511618573E-2</c:v>
                </c:pt>
                <c:pt idx="30">
                  <c:v>0.76528870819200578</c:v>
                </c:pt>
                <c:pt idx="31">
                  <c:v>0.26785470074956363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4A7-44D5-8D40-8A15859550FB}"/>
            </c:ext>
          </c:extLst>
        </c:ser>
        <c:gapWidth val="32"/>
        <c:overlap val="100"/>
        <c:axId val="132657920"/>
        <c:axId val="132683264"/>
      </c:barChart>
      <c:lineChart>
        <c:grouping val="standard"/>
        <c:ser>
          <c:idx val="8"/>
          <c:order val="8"/>
          <c:tx>
            <c:strRef>
              <c:f>'GRAF příspěvky IPP'!$A$40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IPP'!$B$40:$AG$40</c:f>
              <c:numCache>
                <c:formatCode>#,##0.0</c:formatCode>
                <c:ptCount val="32"/>
                <c:pt idx="0">
                  <c:v>10.000000000000002</c:v>
                </c:pt>
                <c:pt idx="1">
                  <c:v>8.2000000000000011</c:v>
                </c:pt>
                <c:pt idx="2">
                  <c:v>2.3000000000000087</c:v>
                </c:pt>
                <c:pt idx="3">
                  <c:v>3.4000000000000132</c:v>
                </c:pt>
                <c:pt idx="4">
                  <c:v>1.4000000000000064</c:v>
                </c:pt>
                <c:pt idx="5">
                  <c:v>0.9000000000000018</c:v>
                </c:pt>
                <c:pt idx="6">
                  <c:v>0.10000000000000012</c:v>
                </c:pt>
                <c:pt idx="7">
                  <c:v>-5.1999898035682355</c:v>
                </c:pt>
                <c:pt idx="8">
                  <c:v>-3.6986238363702508</c:v>
                </c:pt>
                <c:pt idx="9">
                  <c:v>-2.7999999999999607</c:v>
                </c:pt>
                <c:pt idx="10">
                  <c:v>0.8000000000000006</c:v>
                </c:pt>
                <c:pt idx="11">
                  <c:v>5.9999999999999964</c:v>
                </c:pt>
                <c:pt idx="12">
                  <c:v>6.9000000000000163</c:v>
                </c:pt>
                <c:pt idx="13">
                  <c:v>6.0999999999999943</c:v>
                </c:pt>
                <c:pt idx="14">
                  <c:v>2.8000000000000003</c:v>
                </c:pt>
                <c:pt idx="15">
                  <c:v>4.0999999999999384</c:v>
                </c:pt>
                <c:pt idx="16">
                  <c:v>4.9000000000000012</c:v>
                </c:pt>
                <c:pt idx="17">
                  <c:v>5.2000000000000011</c:v>
                </c:pt>
                <c:pt idx="18">
                  <c:v>6.0000000000000444</c:v>
                </c:pt>
                <c:pt idx="19">
                  <c:v>2.2999999999999847</c:v>
                </c:pt>
                <c:pt idx="20">
                  <c:v>4.0999999999999694</c:v>
                </c:pt>
                <c:pt idx="21">
                  <c:v>2.2000000000000046</c:v>
                </c:pt>
                <c:pt idx="22">
                  <c:v>1.800000000000002</c:v>
                </c:pt>
                <c:pt idx="23">
                  <c:v>3.3999999999999777</c:v>
                </c:pt>
                <c:pt idx="24">
                  <c:v>4.7999999999999927</c:v>
                </c:pt>
                <c:pt idx="25">
                  <c:v>8.5</c:v>
                </c:pt>
                <c:pt idx="26">
                  <c:v>6.7000000000000028</c:v>
                </c:pt>
                <c:pt idx="27">
                  <c:v>7.6</c:v>
                </c:pt>
                <c:pt idx="28">
                  <c:v>3.9999999999999969</c:v>
                </c:pt>
                <c:pt idx="29">
                  <c:v>2.299999999999998</c:v>
                </c:pt>
                <c:pt idx="30">
                  <c:v>3.600000000000009</c:v>
                </c:pt>
                <c:pt idx="31">
                  <c:v>2.2999999999999972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4A7-44D5-8D40-8A15859550FB}"/>
            </c:ext>
          </c:extLst>
        </c:ser>
        <c:marker val="1"/>
        <c:axId val="132657920"/>
        <c:axId val="132683264"/>
      </c:lineChart>
      <c:catAx>
        <c:axId val="13265792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2683264"/>
        <c:crosses val="autoZero"/>
        <c:auto val="1"/>
        <c:lblAlgn val="ctr"/>
        <c:lblOffset val="0"/>
      </c:catAx>
      <c:valAx>
        <c:axId val="132683264"/>
        <c:scaling>
          <c:orientation val="minMax"/>
          <c:max val="11"/>
          <c:min val="-6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2657920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07372900550457E-2"/>
          <c:y val="0.82802404283095155"/>
          <c:w val="0.9393244995190978"/>
          <c:h val="0.16188919209533917"/>
        </c:manualLayout>
      </c:layout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643251153889452E-2"/>
          <c:w val="0.88814529285961863"/>
          <c:h val="0.7740903973882773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2'!$C$31:$AH$31</c:f>
              <c:numCache>
                <c:formatCode>#,##0.0__</c:formatCode>
                <c:ptCount val="32"/>
                <c:pt idx="0">
                  <c:v>12.043107093421796</c:v>
                </c:pt>
                <c:pt idx="1">
                  <c:v>5.3292904020963094</c:v>
                </c:pt>
                <c:pt idx="2">
                  <c:v>-1.5038236293274359</c:v>
                </c:pt>
                <c:pt idx="3">
                  <c:v>0.49985199872995439</c:v>
                </c:pt>
                <c:pt idx="4">
                  <c:v>7.8919882289544265</c:v>
                </c:pt>
                <c:pt idx="5">
                  <c:v>0.24363263911027391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-0.77743908810788365</c:v>
                </c:pt>
                <c:pt idx="10">
                  <c:v>12.110592029586046</c:v>
                </c:pt>
                <c:pt idx="11">
                  <c:v>12.611542535334834</c:v>
                </c:pt>
                <c:pt idx="12">
                  <c:v>18.45457625725863</c:v>
                </c:pt>
                <c:pt idx="13">
                  <c:v>13.812603337719379</c:v>
                </c:pt>
                <c:pt idx="14">
                  <c:v>11.164927309703883</c:v>
                </c:pt>
                <c:pt idx="15">
                  <c:v>7.3250322249586759</c:v>
                </c:pt>
                <c:pt idx="16">
                  <c:v>8.5397251010390089</c:v>
                </c:pt>
                <c:pt idx="17">
                  <c:v>6.4894834031568527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10.856046878525536</c:v>
                </c:pt>
                <c:pt idx="22">
                  <c:v>1.6431282237439291</c:v>
                </c:pt>
                <c:pt idx="23">
                  <c:v>6.7220844736941086</c:v>
                </c:pt>
                <c:pt idx="24">
                  <c:v>10.841479121555905</c:v>
                </c:pt>
                <c:pt idx="25">
                  <c:v>4.5315942367003705</c:v>
                </c:pt>
                <c:pt idx="26">
                  <c:v>6.9082617878946069</c:v>
                </c:pt>
                <c:pt idx="27">
                  <c:v>7.5112613571588724</c:v>
                </c:pt>
                <c:pt idx="28">
                  <c:v>1.7066785266926421</c:v>
                </c:pt>
                <c:pt idx="29">
                  <c:v>4.7530235184003402</c:v>
                </c:pt>
                <c:pt idx="30">
                  <c:v>3.8171408228082129</c:v>
                </c:pt>
                <c:pt idx="31">
                  <c:v>4.4902635158811961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3E-427F-A869-8E7C7B92DD93}"/>
            </c:ext>
          </c:extLst>
        </c:ser>
        <c:gapWidth val="34"/>
        <c:overlap val="28"/>
        <c:axId val="133945984"/>
        <c:axId val="134132480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2'!$C$32:$AH$32</c:f>
              <c:numCache>
                <c:formatCode>#,##0.0__</c:formatCode>
                <c:ptCount val="32"/>
                <c:pt idx="0">
                  <c:v>2.8145814762462464</c:v>
                </c:pt>
                <c:pt idx="1">
                  <c:v>-0.65160361804250533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-9.2467743432498679</c:v>
                </c:pt>
                <c:pt idx="6">
                  <c:v>-2.8571545096936277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14.183839645941402</c:v>
                </c:pt>
                <c:pt idx="13">
                  <c:v>7.7929541685001888</c:v>
                </c:pt>
                <c:pt idx="14">
                  <c:v>16.845115352064926</c:v>
                </c:pt>
                <c:pt idx="15">
                  <c:v>9.6787104542652713</c:v>
                </c:pt>
                <c:pt idx="16">
                  <c:v>4.3419613010107314</c:v>
                </c:pt>
                <c:pt idx="17">
                  <c:v>10.024449168168022</c:v>
                </c:pt>
                <c:pt idx="18">
                  <c:v>-4.7604240586837046</c:v>
                </c:pt>
                <c:pt idx="19">
                  <c:v>0.56107209694786753</c:v>
                </c:pt>
                <c:pt idx="20">
                  <c:v>0.20304376106223374</c:v>
                </c:pt>
                <c:pt idx="21">
                  <c:v>4.9376200007964304</c:v>
                </c:pt>
                <c:pt idx="22">
                  <c:v>-0.65834656713856565</c:v>
                </c:pt>
                <c:pt idx="23">
                  <c:v>2.8730898893806982</c:v>
                </c:pt>
                <c:pt idx="24">
                  <c:v>16.722989365311626</c:v>
                </c:pt>
                <c:pt idx="25">
                  <c:v>11.567742610098026</c:v>
                </c:pt>
                <c:pt idx="26">
                  <c:v>14.702871802754668</c:v>
                </c:pt>
                <c:pt idx="27">
                  <c:v>15.641374658030248</c:v>
                </c:pt>
                <c:pt idx="28">
                  <c:v>0.21056711209711051</c:v>
                </c:pt>
                <c:pt idx="29">
                  <c:v>4.1525483912914876</c:v>
                </c:pt>
                <c:pt idx="30">
                  <c:v>5.2559452571511756</c:v>
                </c:pt>
                <c:pt idx="31">
                  <c:v>6.060282151009261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3E-427F-A869-8E7C7B92DD93}"/>
            </c:ext>
          </c:extLst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2'!$C$33:$AH$33</c:f>
              <c:numCache>
                <c:formatCode>#,##0.0__</c:formatCode>
                <c:ptCount val="32"/>
                <c:pt idx="0">
                  <c:v>18.348366232181924</c:v>
                </c:pt>
                <c:pt idx="1">
                  <c:v>9.5205491734487566</c:v>
                </c:pt>
                <c:pt idx="2">
                  <c:v>5.6720014781022305</c:v>
                </c:pt>
                <c:pt idx="3">
                  <c:v>8.638303197539809</c:v>
                </c:pt>
                <c:pt idx="4">
                  <c:v>11.020383939537369</c:v>
                </c:pt>
                <c:pt idx="5">
                  <c:v>6.2765650038583534</c:v>
                </c:pt>
                <c:pt idx="6">
                  <c:v>5.9432769293397172</c:v>
                </c:pt>
                <c:pt idx="7">
                  <c:v>-1.2435728368122061</c:v>
                </c:pt>
                <c:pt idx="8">
                  <c:v>-6.5613801859878507</c:v>
                </c:pt>
                <c:pt idx="9">
                  <c:v>-0.87613985904689085</c:v>
                </c:pt>
                <c:pt idx="10">
                  <c:v>13.585000036266164</c:v>
                </c:pt>
                <c:pt idx="11">
                  <c:v>15.823871636824705</c:v>
                </c:pt>
                <c:pt idx="12">
                  <c:v>20.558652721652535</c:v>
                </c:pt>
                <c:pt idx="13">
                  <c:v>16.687921882537509</c:v>
                </c:pt>
                <c:pt idx="14">
                  <c:v>8.5531225813094967</c:v>
                </c:pt>
                <c:pt idx="15">
                  <c:v>6.3161284689543784</c:v>
                </c:pt>
                <c:pt idx="16">
                  <c:v>10.348522192193441</c:v>
                </c:pt>
                <c:pt idx="17">
                  <c:v>5.0066840085656965</c:v>
                </c:pt>
                <c:pt idx="18">
                  <c:v>8.2506299270615511</c:v>
                </c:pt>
                <c:pt idx="19">
                  <c:v>8.5340301032502452</c:v>
                </c:pt>
                <c:pt idx="20">
                  <c:v>1.8244492596639788</c:v>
                </c:pt>
                <c:pt idx="21">
                  <c:v>13.457258781079091</c:v>
                </c:pt>
                <c:pt idx="22">
                  <c:v>2.5901270212493452</c:v>
                </c:pt>
                <c:pt idx="23">
                  <c:v>8.3691406681191598</c:v>
                </c:pt>
                <c:pt idx="24">
                  <c:v>8.483271558879153</c:v>
                </c:pt>
                <c:pt idx="25">
                  <c:v>1.6713484154001037</c:v>
                </c:pt>
                <c:pt idx="26">
                  <c:v>3.8025338260982595</c:v>
                </c:pt>
                <c:pt idx="27">
                  <c:v>4.2086773810061517</c:v>
                </c:pt>
                <c:pt idx="28">
                  <c:v>2.3521108836753797</c:v>
                </c:pt>
                <c:pt idx="29">
                  <c:v>5.0208808042731166</c:v>
                </c:pt>
                <c:pt idx="30">
                  <c:v>3.1836546717764658</c:v>
                </c:pt>
                <c:pt idx="31">
                  <c:v>3.7825272586043575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3E-427F-A869-8E7C7B92DD93}"/>
            </c:ext>
          </c:extLst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2'!$C$34:$AH$34</c:f>
              <c:numCache>
                <c:formatCode>#,##0.0__</c:formatCode>
                <c:ptCount val="32"/>
                <c:pt idx="0">
                  <c:v>11.429400379513879</c:v>
                </c:pt>
                <c:pt idx="1">
                  <c:v>9.204828680552037</c:v>
                </c:pt>
                <c:pt idx="2">
                  <c:v>4.4139955552265207</c:v>
                </c:pt>
                <c:pt idx="3">
                  <c:v>5.3718735076924125</c:v>
                </c:pt>
                <c:pt idx="4">
                  <c:v>19.54636851917148</c:v>
                </c:pt>
                <c:pt idx="5">
                  <c:v>4.6887564118292016</c:v>
                </c:pt>
                <c:pt idx="6">
                  <c:v>1.3322326875189248</c:v>
                </c:pt>
                <c:pt idx="7">
                  <c:v>-2.0219087809167182</c:v>
                </c:pt>
                <c:pt idx="8">
                  <c:v>-15.423726227988524</c:v>
                </c:pt>
                <c:pt idx="9">
                  <c:v>-3.0233686336023182</c:v>
                </c:pt>
                <c:pt idx="10">
                  <c:v>24.654149056071926</c:v>
                </c:pt>
                <c:pt idx="11">
                  <c:v>18.47099648902331</c:v>
                </c:pt>
                <c:pt idx="12">
                  <c:v>33.791068906341536</c:v>
                </c:pt>
                <c:pt idx="13">
                  <c:v>22.392943648551288</c:v>
                </c:pt>
                <c:pt idx="14">
                  <c:v>16.969041222835045</c:v>
                </c:pt>
                <c:pt idx="15">
                  <c:v>12.211301534151087</c:v>
                </c:pt>
                <c:pt idx="16">
                  <c:v>15.316352438277956</c:v>
                </c:pt>
                <c:pt idx="17">
                  <c:v>5.5843434565174555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11.460497347422491</c:v>
                </c:pt>
                <c:pt idx="21">
                  <c:v>33.085131031292079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7.9804719471503214</c:v>
                </c:pt>
                <c:pt idx="25">
                  <c:v>-1.7592612473364855</c:v>
                </c:pt>
                <c:pt idx="26">
                  <c:v>3.8626497182263222</c:v>
                </c:pt>
                <c:pt idx="27">
                  <c:v>0.3737671056841238</c:v>
                </c:pt>
                <c:pt idx="28">
                  <c:v>0.48725402785541438</c:v>
                </c:pt>
                <c:pt idx="29">
                  <c:v>3.5821512582472659</c:v>
                </c:pt>
                <c:pt idx="30">
                  <c:v>0.58071772308518632</c:v>
                </c:pt>
                <c:pt idx="31">
                  <c:v>0.79345758972339986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3E-427F-A869-8E7C7B92DD93}"/>
            </c:ext>
          </c:extLst>
        </c:ser>
        <c:ser>
          <c:idx val="1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2'!$C$35:$AH$35</c:f>
              <c:numCache>
                <c:formatCode>0.0</c:formatCode>
                <c:ptCount val="32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-6.2333333333333618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3.6333333333333342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5.3333333333333552</c:v>
                </c:pt>
                <c:pt idx="24">
                  <c:v>3.3333333333333335</c:v>
                </c:pt>
                <c:pt idx="25">
                  <c:v>0.8333333333333337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  <c:pt idx="30">
                  <c:v>1.9666666666666681</c:v>
                </c:pt>
                <c:pt idx="31">
                  <c:v>1.8666666666666665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3E-427F-A869-8E7C7B92DD93}"/>
            </c:ext>
          </c:extLst>
        </c:ser>
        <c:marker val="1"/>
        <c:axId val="133945984"/>
        <c:axId val="134132480"/>
      </c:lineChart>
      <c:lineChart>
        <c:grouping val="standard"/>
        <c:ser>
          <c:idx val="4"/>
          <c:order val="5"/>
          <c:tx>
            <c:strRef>
              <c:f>'výkonnost odvětví 2'!$B$36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2'!$C$36:$AH$36</c:f>
              <c:numCache>
                <c:formatCode>0.0</c:formatCode>
                <c:ptCount val="32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A3E-427F-A869-8E7C7B92DD93}"/>
            </c:ext>
          </c:extLst>
        </c:ser>
        <c:marker val="1"/>
        <c:axId val="134254592"/>
        <c:axId val="134134016"/>
      </c:lineChart>
      <c:catAx>
        <c:axId val="13394598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132480"/>
        <c:crossesAt val="0"/>
        <c:lblAlgn val="ctr"/>
        <c:lblOffset val="0"/>
        <c:tickLblSkip val="1"/>
        <c:tickMarkSkip val="4"/>
      </c:catAx>
      <c:valAx>
        <c:axId val="134132480"/>
        <c:scaling>
          <c:orientation val="minMax"/>
          <c:max val="25"/>
          <c:min val="-1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3945984"/>
        <c:crosses val="autoZero"/>
        <c:crossBetween val="between"/>
        <c:majorUnit val="4"/>
      </c:valAx>
      <c:valAx>
        <c:axId val="134134016"/>
        <c:scaling>
          <c:orientation val="minMax"/>
          <c:max val="102.5"/>
          <c:min val="0"/>
        </c:scaling>
        <c:axPos val="r"/>
        <c:numFmt formatCode="0" sourceLinked="0"/>
        <c:tickLblPos val="nextTo"/>
        <c:crossAx val="134254592"/>
        <c:crosses val="max"/>
        <c:crossBetween val="between"/>
        <c:majorUnit val="10"/>
      </c:valAx>
      <c:catAx>
        <c:axId val="134254592"/>
        <c:scaling>
          <c:orientation val="minMax"/>
        </c:scaling>
        <c:delete val="1"/>
        <c:axPos val="b"/>
        <c:numFmt formatCode="General" sourceLinked="1"/>
        <c:tickLblPos val="none"/>
        <c:crossAx val="134134016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4890404821680654E-2"/>
          <c:y val="0.88253517955645244"/>
          <c:w val="0.92313671290543453"/>
          <c:h val="0.1068797140605651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5040945877997E-2"/>
          <c:y val="1.6563187842952881E-2"/>
          <c:w val="0.92847707700101312"/>
          <c:h val="0.77372519685375785"/>
        </c:manualLayout>
      </c:layout>
      <c:barChart>
        <c:barDir val="col"/>
        <c:grouping val="stacked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k růstu (v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3'!$Y$11:$Y$46</c:f>
              <c:numCache>
                <c:formatCode>0.0</c:formatCode>
                <c:ptCount val="36"/>
                <c:pt idx="0">
                  <c:v>-20.894220223340987</c:v>
                </c:pt>
                <c:pt idx="1">
                  <c:v>-6.7913208389337871</c:v>
                </c:pt>
                <c:pt idx="2">
                  <c:v>-0.41983169773094764</c:v>
                </c:pt>
                <c:pt idx="3">
                  <c:v>0.19768755279847866</c:v>
                </c:pt>
                <c:pt idx="4">
                  <c:v>6.2295194749584448</c:v>
                </c:pt>
                <c:pt idx="5">
                  <c:v>-1.1590857147399021</c:v>
                </c:pt>
                <c:pt idx="6">
                  <c:v>-4.261625078943843</c:v>
                </c:pt>
                <c:pt idx="7">
                  <c:v>1.4264942803296654</c:v>
                </c:pt>
                <c:pt idx="8">
                  <c:v>-5.3030775022800274</c:v>
                </c:pt>
                <c:pt idx="9">
                  <c:v>-1.6115118262130721</c:v>
                </c:pt>
                <c:pt idx="10">
                  <c:v>-3.5197455924561978</c:v>
                </c:pt>
                <c:pt idx="11">
                  <c:v>-6.7500744020923964</c:v>
                </c:pt>
                <c:pt idx="12">
                  <c:v>-7.4572775581293556</c:v>
                </c:pt>
                <c:pt idx="13">
                  <c:v>-7.6456647272268397</c:v>
                </c:pt>
                <c:pt idx="14">
                  <c:v>-1.051125363253204</c:v>
                </c:pt>
                <c:pt idx="15">
                  <c:v>-1.9552721633519086</c:v>
                </c:pt>
                <c:pt idx="16">
                  <c:v>12.566026750004124</c:v>
                </c:pt>
                <c:pt idx="17">
                  <c:v>3.6356644100366777</c:v>
                </c:pt>
                <c:pt idx="18">
                  <c:v>-0.4478536023418363</c:v>
                </c:pt>
                <c:pt idx="19">
                  <c:v>-0.37185938791412954</c:v>
                </c:pt>
                <c:pt idx="20">
                  <c:v>6.1299822350212345</c:v>
                </c:pt>
                <c:pt idx="21">
                  <c:v>5.1647687606964308</c:v>
                </c:pt>
                <c:pt idx="22">
                  <c:v>0.82167474736762192</c:v>
                </c:pt>
                <c:pt idx="23">
                  <c:v>-1.7932289720898538</c:v>
                </c:pt>
                <c:pt idx="24">
                  <c:v>-4.9897748967763196</c:v>
                </c:pt>
                <c:pt idx="25">
                  <c:v>-5.0711987639399334</c:v>
                </c:pt>
                <c:pt idx="26">
                  <c:v>0.7969823066840076</c:v>
                </c:pt>
                <c:pt idx="27">
                  <c:v>4.0256383093120212</c:v>
                </c:pt>
                <c:pt idx="28">
                  <c:v>2.3872362457986211</c:v>
                </c:pt>
                <c:pt idx="29">
                  <c:v>10.106309030294751</c:v>
                </c:pt>
                <c:pt idx="30">
                  <c:v>3.4920577402641526</c:v>
                </c:pt>
                <c:pt idx="31">
                  <c:v>2.6845493126669209</c:v>
                </c:pt>
                <c:pt idx="32">
                  <c:v>13.604388239027054</c:v>
                </c:pt>
                <c:pt idx="33">
                  <c:v>6.2919758484154231</c:v>
                </c:pt>
                <c:pt idx="34">
                  <c:v>7.6966739952447947</c:v>
                </c:pt>
                <c:pt idx="35">
                  <c:v>2.4790269434595777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4-4EF0-97D3-122127B0EEE8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k růstu (v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3'!$Z$11:$Z$46</c:f>
              <c:numCache>
                <c:formatCode>0.0</c:formatCode>
                <c:ptCount val="36"/>
                <c:pt idx="0">
                  <c:v>-2.2139360215081152</c:v>
                </c:pt>
                <c:pt idx="1">
                  <c:v>-2.4149218537167472</c:v>
                </c:pt>
                <c:pt idx="2">
                  <c:v>-2.1150860808041627</c:v>
                </c:pt>
                <c:pt idx="3">
                  <c:v>-2.6282922815868854</c:v>
                </c:pt>
                <c:pt idx="4">
                  <c:v>-0.77491850407351004</c:v>
                </c:pt>
                <c:pt idx="5">
                  <c:v>-4.0298867079281315</c:v>
                </c:pt>
                <c:pt idx="6">
                  <c:v>-4.8148605685989088</c:v>
                </c:pt>
                <c:pt idx="7">
                  <c:v>-1.9062311455296412</c:v>
                </c:pt>
                <c:pt idx="8">
                  <c:v>-4.5330023637292118</c:v>
                </c:pt>
                <c:pt idx="9">
                  <c:v>-3.3849374716898861</c:v>
                </c:pt>
                <c:pt idx="10">
                  <c:v>-2.1553374396675635</c:v>
                </c:pt>
                <c:pt idx="11">
                  <c:v>-2.7332573229484782</c:v>
                </c:pt>
                <c:pt idx="12">
                  <c:v>-3.1479459259511997</c:v>
                </c:pt>
                <c:pt idx="13">
                  <c:v>-4.0075441393459847</c:v>
                </c:pt>
                <c:pt idx="14">
                  <c:v>-3.8597581685174109</c:v>
                </c:pt>
                <c:pt idx="15">
                  <c:v>-0.67091932789287534</c:v>
                </c:pt>
                <c:pt idx="16">
                  <c:v>0.47824231697325331</c:v>
                </c:pt>
                <c:pt idx="17">
                  <c:v>1.93850278114745</c:v>
                </c:pt>
                <c:pt idx="18">
                  <c:v>2.9116283564476748</c:v>
                </c:pt>
                <c:pt idx="19">
                  <c:v>1.4841179463282113</c:v>
                </c:pt>
                <c:pt idx="20">
                  <c:v>3.0769551381007538</c:v>
                </c:pt>
                <c:pt idx="21">
                  <c:v>6.8084534905302814</c:v>
                </c:pt>
                <c:pt idx="22">
                  <c:v>6.9997965753668572</c:v>
                </c:pt>
                <c:pt idx="23">
                  <c:v>2.7257548622204482</c:v>
                </c:pt>
                <c:pt idx="24">
                  <c:v>-1.2815747051855608</c:v>
                </c:pt>
                <c:pt idx="25">
                  <c:v>-5.1186972266188455</c:v>
                </c:pt>
                <c:pt idx="26">
                  <c:v>-6.7399234653802607</c:v>
                </c:pt>
                <c:pt idx="27">
                  <c:v>-5.6635930283786955</c:v>
                </c:pt>
                <c:pt idx="28">
                  <c:v>-3.1778994178007332</c:v>
                </c:pt>
                <c:pt idx="29">
                  <c:v>-1.1664704036025346</c:v>
                </c:pt>
                <c:pt idx="30">
                  <c:v>-1.4533950464781578</c:v>
                </c:pt>
                <c:pt idx="31">
                  <c:v>0.24487248687691918</c:v>
                </c:pt>
                <c:pt idx="32">
                  <c:v>1.7435970588610838</c:v>
                </c:pt>
                <c:pt idx="33">
                  <c:v>1.2066764078239838</c:v>
                </c:pt>
                <c:pt idx="34">
                  <c:v>4.7139747895851603</c:v>
                </c:pt>
                <c:pt idx="35">
                  <c:v>1.9062661228664319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4-4EF0-97D3-122127B0EEE8}"/>
            </c:ext>
          </c:extLst>
        </c:ser>
        <c:gapWidth val="15"/>
        <c:overlap val="100"/>
        <c:axId val="137968640"/>
        <c:axId val="138173056"/>
      </c:barChart>
      <c:lineChart>
        <c:grouping val="standard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Index stavební produkce celkem (y/y, v %)*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tx1">
                  <a:lumMod val="85000"/>
                  <a:lumOff val="1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3'!$X$11:$X$46</c:f>
              <c:numCache>
                <c:formatCode>0.0</c:formatCode>
                <c:ptCount val="36"/>
                <c:pt idx="0">
                  <c:v>-23.116391164509125</c:v>
                </c:pt>
                <c:pt idx="1">
                  <c:v>-9.2092549000395589</c:v>
                </c:pt>
                <c:pt idx="2">
                  <c:v>-2.5235200520294727</c:v>
                </c:pt>
                <c:pt idx="3">
                  <c:v>-2.4599038992183795</c:v>
                </c:pt>
                <c:pt idx="4">
                  <c:v>5.4668881285219575</c:v>
                </c:pt>
                <c:pt idx="5">
                  <c:v>-5.1713614690661984</c:v>
                </c:pt>
                <c:pt idx="6">
                  <c:v>-9.0547518724218907</c:v>
                </c:pt>
                <c:pt idx="7">
                  <c:v>-0.50029953514706449</c:v>
                </c:pt>
                <c:pt idx="8">
                  <c:v>-9.8189505110702466</c:v>
                </c:pt>
                <c:pt idx="9">
                  <c:v>-4.9678793668112045</c:v>
                </c:pt>
                <c:pt idx="10">
                  <c:v>-5.6667427843248639</c:v>
                </c:pt>
                <c:pt idx="11">
                  <c:v>-9.4801113437504831</c:v>
                </c:pt>
                <c:pt idx="12">
                  <c:v>-10.589364759955075</c:v>
                </c:pt>
                <c:pt idx="13">
                  <c:v>-11.630739877005629</c:v>
                </c:pt>
                <c:pt idx="14">
                  <c:v>-4.9016730346175121</c:v>
                </c:pt>
                <c:pt idx="15">
                  <c:v>-2.6391004196124888</c:v>
                </c:pt>
                <c:pt idx="16">
                  <c:v>13.064876846748422</c:v>
                </c:pt>
                <c:pt idx="17">
                  <c:v>5.5582728283085459</c:v>
                </c:pt>
                <c:pt idx="18">
                  <c:v>2.4596047281739715</c:v>
                </c:pt>
                <c:pt idx="19">
                  <c:v>1.1021365460976966</c:v>
                </c:pt>
                <c:pt idx="20">
                  <c:v>9.2022735339710184</c:v>
                </c:pt>
                <c:pt idx="21">
                  <c:v>11.980072300933543</c:v>
                </c:pt>
                <c:pt idx="22">
                  <c:v>7.8249857405611714</c:v>
                </c:pt>
                <c:pt idx="23">
                  <c:v>0.94700906000770169</c:v>
                </c:pt>
                <c:pt idx="24">
                  <c:v>-6.2818148442800208</c:v>
                </c:pt>
                <c:pt idx="25">
                  <c:v>-10.187575110782362</c:v>
                </c:pt>
                <c:pt idx="26">
                  <c:v>-5.9203276146668031</c:v>
                </c:pt>
                <c:pt idx="27">
                  <c:v>-1.6468794592358051</c:v>
                </c:pt>
                <c:pt idx="28">
                  <c:v>-0.80182192114239115</c:v>
                </c:pt>
                <c:pt idx="29">
                  <c:v>8.9470419721325189</c:v>
                </c:pt>
                <c:pt idx="30">
                  <c:v>2.0441988115753538</c:v>
                </c:pt>
                <c:pt idx="31">
                  <c:v>2.9428463615976028</c:v>
                </c:pt>
                <c:pt idx="32">
                  <c:v>15.345947698323389</c:v>
                </c:pt>
                <c:pt idx="33">
                  <c:v>7.4990854415264607</c:v>
                </c:pt>
                <c:pt idx="34">
                  <c:v>12.405839010685407</c:v>
                </c:pt>
                <c:pt idx="35">
                  <c:v>4.3101164146136739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54-4EF0-97D3-122127B0EEE8}"/>
            </c:ext>
          </c:extLst>
        </c:ser>
        <c:marker val="1"/>
        <c:axId val="137968640"/>
        <c:axId val="138173056"/>
      </c:lineChart>
      <c:lineChart>
        <c:grouping val="standard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 (pravá osa)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3'!$AA$11:$AA$46</c:f>
              <c:numCache>
                <c:formatCode>0.0</c:formatCode>
                <c:ptCount val="36"/>
                <c:pt idx="0">
                  <c:v>0.82757088505651666</c:v>
                </c:pt>
                <c:pt idx="1">
                  <c:v>8.7687755178484537</c:v>
                </c:pt>
                <c:pt idx="2">
                  <c:v>30.894711890703729</c:v>
                </c:pt>
                <c:pt idx="3">
                  <c:v>-13.415413805192969</c:v>
                </c:pt>
                <c:pt idx="4">
                  <c:v>37.7954057180633</c:v>
                </c:pt>
                <c:pt idx="5">
                  <c:v>-23.56567256698105</c:v>
                </c:pt>
                <c:pt idx="6">
                  <c:v>-23.360716461156017</c:v>
                </c:pt>
                <c:pt idx="7">
                  <c:v>-9.1653963414634205</c:v>
                </c:pt>
                <c:pt idx="8">
                  <c:v>-46.322059646598056</c:v>
                </c:pt>
                <c:pt idx="9">
                  <c:v>-13.714800630772698</c:v>
                </c:pt>
                <c:pt idx="10">
                  <c:v>-7.6729748888363645</c:v>
                </c:pt>
                <c:pt idx="11">
                  <c:v>7.5624082232011753</c:v>
                </c:pt>
                <c:pt idx="12">
                  <c:v>-17.695687793252489</c:v>
                </c:pt>
                <c:pt idx="13">
                  <c:v>-1.584773641063137</c:v>
                </c:pt>
                <c:pt idx="14">
                  <c:v>-1.3308205951467045</c:v>
                </c:pt>
                <c:pt idx="15">
                  <c:v>16.153096050706978</c:v>
                </c:pt>
                <c:pt idx="16">
                  <c:v>67.509727626458741</c:v>
                </c:pt>
                <c:pt idx="17">
                  <c:v>18.978644382543969</c:v>
                </c:pt>
                <c:pt idx="18">
                  <c:v>34.050931384107542</c:v>
                </c:pt>
                <c:pt idx="19">
                  <c:v>-1</c:v>
                </c:pt>
                <c:pt idx="20">
                  <c:v>-3.1547956675580053</c:v>
                </c:pt>
                <c:pt idx="21">
                  <c:v>9.7504961091663755</c:v>
                </c:pt>
                <c:pt idx="22">
                  <c:v>-1.0976060227612561</c:v>
                </c:pt>
                <c:pt idx="23">
                  <c:v>-2.3987783410040464</c:v>
                </c:pt>
                <c:pt idx="24">
                  <c:v>-6.6406358945753805</c:v>
                </c:pt>
                <c:pt idx="25">
                  <c:v>-0.49977652269311085</c:v>
                </c:pt>
                <c:pt idx="26">
                  <c:v>-7.0322087253454839</c:v>
                </c:pt>
                <c:pt idx="27">
                  <c:v>10.122126124559955</c:v>
                </c:pt>
                <c:pt idx="28">
                  <c:v>16.17721745884754</c:v>
                </c:pt>
                <c:pt idx="29">
                  <c:v>9.5350878984013576</c:v>
                </c:pt>
                <c:pt idx="30">
                  <c:v>-1.2817324431350698</c:v>
                </c:pt>
                <c:pt idx="31">
                  <c:v>15.620806693503823</c:v>
                </c:pt>
                <c:pt idx="32">
                  <c:v>30.106973873688595</c:v>
                </c:pt>
                <c:pt idx="33">
                  <c:v>32.836878110611956</c:v>
                </c:pt>
                <c:pt idx="34">
                  <c:v>5.2768249907951406</c:v>
                </c:pt>
                <c:pt idx="35">
                  <c:v>1.8944565811032363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54-4EF0-97D3-122127B0EEE8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Saldo souhrnného indikátoru důvěry ve stavebnictví (pravá osa)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3'!$V$11:$W$46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3'!$AB$11:$AB$46</c:f>
              <c:numCache>
                <c:formatCode>0.0</c:formatCode>
                <c:ptCount val="36"/>
                <c:pt idx="0">
                  <c:v>-32.166666666666373</c:v>
                </c:pt>
                <c:pt idx="1">
                  <c:v>-32.5</c:v>
                </c:pt>
                <c:pt idx="2">
                  <c:v>-37</c:v>
                </c:pt>
                <c:pt idx="3">
                  <c:v>-42.5</c:v>
                </c:pt>
                <c:pt idx="4">
                  <c:v>-40</c:v>
                </c:pt>
                <c:pt idx="5">
                  <c:v>-40.333333333333336</c:v>
                </c:pt>
                <c:pt idx="6">
                  <c:v>-39.166666666666373</c:v>
                </c:pt>
                <c:pt idx="7">
                  <c:v>-39.333333333333336</c:v>
                </c:pt>
                <c:pt idx="8">
                  <c:v>-46</c:v>
                </c:pt>
                <c:pt idx="9">
                  <c:v>-45.333333333333336</c:v>
                </c:pt>
                <c:pt idx="10">
                  <c:v>-43.5</c:v>
                </c:pt>
                <c:pt idx="11">
                  <c:v>-44.666666666666373</c:v>
                </c:pt>
                <c:pt idx="12">
                  <c:v>-46</c:v>
                </c:pt>
                <c:pt idx="13">
                  <c:v>-53.333333333333336</c:v>
                </c:pt>
                <c:pt idx="14">
                  <c:v>-49.5</c:v>
                </c:pt>
                <c:pt idx="15">
                  <c:v>-50.833333333333336</c:v>
                </c:pt>
                <c:pt idx="16">
                  <c:v>-45.166666666666373</c:v>
                </c:pt>
                <c:pt idx="17">
                  <c:v>-38.333333333333336</c:v>
                </c:pt>
                <c:pt idx="18">
                  <c:v>-32</c:v>
                </c:pt>
                <c:pt idx="19">
                  <c:v>-25.166666666666668</c:v>
                </c:pt>
                <c:pt idx="20">
                  <c:v>-20.83333333333319</c:v>
                </c:pt>
                <c:pt idx="21">
                  <c:v>-16.33333333333319</c:v>
                </c:pt>
                <c:pt idx="22">
                  <c:v>-18.666666666666668</c:v>
                </c:pt>
                <c:pt idx="23">
                  <c:v>-15.66666666666671</c:v>
                </c:pt>
                <c:pt idx="24">
                  <c:v>-17.166666666666668</c:v>
                </c:pt>
                <c:pt idx="25">
                  <c:v>-24</c:v>
                </c:pt>
                <c:pt idx="26">
                  <c:v>-26.666666666666668</c:v>
                </c:pt>
                <c:pt idx="27">
                  <c:v>-25.83333333333319</c:v>
                </c:pt>
                <c:pt idx="28">
                  <c:v>-24.5</c:v>
                </c:pt>
                <c:pt idx="29">
                  <c:v>-22.666666666666668</c:v>
                </c:pt>
                <c:pt idx="30">
                  <c:v>-19.83333333333319</c:v>
                </c:pt>
                <c:pt idx="31">
                  <c:v>-15.16666666666671</c:v>
                </c:pt>
                <c:pt idx="32">
                  <c:v>-9.6666666666666767</c:v>
                </c:pt>
                <c:pt idx="33">
                  <c:v>-5.666666666666667</c:v>
                </c:pt>
                <c:pt idx="34">
                  <c:v>-3.1666666666666665</c:v>
                </c:pt>
                <c:pt idx="35">
                  <c:v>0.8333333333333337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54-4EF0-97D3-122127B0EEE8}"/>
            </c:ext>
          </c:extLst>
        </c:ser>
        <c:marker val="1"/>
        <c:axId val="138202112"/>
        <c:axId val="138199808"/>
      </c:lineChart>
      <c:catAx>
        <c:axId val="13796864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8173056"/>
        <c:crossesAt val="0"/>
        <c:lblAlgn val="ctr"/>
        <c:lblOffset val="0"/>
        <c:tickLblSkip val="1"/>
        <c:tickMarkSkip val="4"/>
      </c:catAx>
      <c:valAx>
        <c:axId val="138173056"/>
        <c:scaling>
          <c:orientation val="minMax"/>
          <c:max val="20"/>
          <c:min val="-3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7968640"/>
        <c:crosses val="autoZero"/>
        <c:crossBetween val="between"/>
        <c:majorUnit val="5"/>
      </c:valAx>
      <c:valAx>
        <c:axId val="138199808"/>
        <c:scaling>
          <c:orientation val="minMax"/>
          <c:max val="40"/>
          <c:min val="-60"/>
        </c:scaling>
        <c:axPos val="r"/>
        <c:numFmt formatCode="0" sourceLinked="0"/>
        <c:tickLblPos val="nextTo"/>
        <c:crossAx val="138202112"/>
        <c:crosses val="max"/>
        <c:crossBetween val="between"/>
        <c:majorUnit val="10"/>
      </c:valAx>
      <c:catAx>
        <c:axId val="138202112"/>
        <c:scaling>
          <c:orientation val="minMax"/>
        </c:scaling>
        <c:delete val="1"/>
        <c:axPos val="b"/>
        <c:numFmt formatCode="General" sourceLinked="1"/>
        <c:tickLblPos val="none"/>
        <c:crossAx val="138199808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067783555111026E-2"/>
          <c:y val="0.86645276228044033"/>
          <c:w val="0.89180162554522313"/>
          <c:h val="0.1275304056811689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1718077717576775E-2"/>
          <c:w val="0.91372590696101663"/>
          <c:h val="0.74411559955165352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4'!$B$51</c:f>
              <c:strCache>
                <c:ptCount val="1"/>
                <c:pt idx="0">
                  <c:v>Služby celkem</c:v>
                </c:pt>
              </c:strCache>
            </c:strRef>
          </c:tx>
          <c:spPr>
            <a:solidFill>
              <a:srgbClr val="BEBEBE"/>
            </a:solidFill>
          </c:spP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4'!$C$51:$AL$51</c:f>
              <c:numCache>
                <c:formatCode>0.0</c:formatCode>
                <c:ptCount val="36"/>
                <c:pt idx="0">
                  <c:v>97.609368529999685</c:v>
                </c:pt>
                <c:pt idx="1">
                  <c:v>98.727578433299627</c:v>
                </c:pt>
                <c:pt idx="2">
                  <c:v>99.831697563299983</c:v>
                </c:pt>
                <c:pt idx="3">
                  <c:v>98.147770933299554</c:v>
                </c:pt>
                <c:pt idx="4">
                  <c:v>97.524387169999656</c:v>
                </c:pt>
                <c:pt idx="5">
                  <c:v>97.808977759999507</c:v>
                </c:pt>
                <c:pt idx="6">
                  <c:v>95.661178983300005</c:v>
                </c:pt>
                <c:pt idx="7">
                  <c:v>96.444285576699983</c:v>
                </c:pt>
                <c:pt idx="8">
                  <c:v>97.180872209999507</c:v>
                </c:pt>
                <c:pt idx="9">
                  <c:v>96.603815529999949</c:v>
                </c:pt>
                <c:pt idx="10">
                  <c:v>96.808917023299685</c:v>
                </c:pt>
                <c:pt idx="11">
                  <c:v>95.468823243299994</c:v>
                </c:pt>
                <c:pt idx="12">
                  <c:v>96.759004336699519</c:v>
                </c:pt>
                <c:pt idx="13">
                  <c:v>95.813450313299555</c:v>
                </c:pt>
                <c:pt idx="14">
                  <c:v>95.395745099999758</c:v>
                </c:pt>
                <c:pt idx="15">
                  <c:v>97.116506240000007</c:v>
                </c:pt>
                <c:pt idx="16">
                  <c:v>95.911863713299994</c:v>
                </c:pt>
                <c:pt idx="17">
                  <c:v>97.35501068329998</c:v>
                </c:pt>
                <c:pt idx="18">
                  <c:v>97.449551993300361</c:v>
                </c:pt>
                <c:pt idx="19">
                  <c:v>98.010406649999993</c:v>
                </c:pt>
                <c:pt idx="20">
                  <c:v>98.887587676699496</c:v>
                </c:pt>
                <c:pt idx="21">
                  <c:v>100.17384461330001</c:v>
                </c:pt>
                <c:pt idx="22">
                  <c:v>100.44897340330029</c:v>
                </c:pt>
                <c:pt idx="23">
                  <c:v>100.48959431670001</c:v>
                </c:pt>
                <c:pt idx="24" formatCode="##0.0">
                  <c:v>99.596912619999998</c:v>
                </c:pt>
                <c:pt idx="25" formatCode="##0.0">
                  <c:v>99.431098620000284</c:v>
                </c:pt>
                <c:pt idx="26" formatCode="##0.0">
                  <c:v>101.87421341000002</c:v>
                </c:pt>
                <c:pt idx="27" formatCode="##0.0">
                  <c:v>102.63949452670001</c:v>
                </c:pt>
                <c:pt idx="28" formatCode="##0.0">
                  <c:v>104.27122674669998</c:v>
                </c:pt>
                <c:pt idx="29" formatCode="##0.0">
                  <c:v>105.20118394329999</c:v>
                </c:pt>
                <c:pt idx="30" formatCode="##0.0">
                  <c:v>105.57453820999972</c:v>
                </c:pt>
                <c:pt idx="31" formatCode="##0.0">
                  <c:v>106.32925905330002</c:v>
                </c:pt>
                <c:pt idx="32" formatCode="##0.0">
                  <c:v>107.8305467433</c:v>
                </c:pt>
                <c:pt idx="33" formatCode="##0.0">
                  <c:v>108.0310595167</c:v>
                </c:pt>
                <c:pt idx="34" formatCode="##0.0">
                  <c:v>108.7556027733</c:v>
                </c:pt>
                <c:pt idx="35" formatCode="##0.0">
                  <c:v>107.99905490670002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E9-4297-B3B3-B2592825598B}"/>
            </c:ext>
          </c:extLst>
        </c:ser>
        <c:gapWidth val="31"/>
        <c:axId val="138863360"/>
        <c:axId val="139465088"/>
      </c:barChart>
      <c:lineChart>
        <c:grouping val="standard"/>
        <c:ser>
          <c:idx val="1"/>
          <c:order val="1"/>
          <c:tx>
            <c:strRef>
              <c:f>'výkonnost odvětví 4'!$B$52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4'!$C$52:$AL$52</c:f>
              <c:numCache>
                <c:formatCode>0.0</c:formatCode>
                <c:ptCount val="36"/>
                <c:pt idx="0">
                  <c:v>88.677181313299357</c:v>
                </c:pt>
                <c:pt idx="1">
                  <c:v>91.514914713300314</c:v>
                </c:pt>
                <c:pt idx="2">
                  <c:v>92.32105364330036</c:v>
                </c:pt>
                <c:pt idx="3">
                  <c:v>91.317541690000027</c:v>
                </c:pt>
                <c:pt idx="4">
                  <c:v>92.199196003300003</c:v>
                </c:pt>
                <c:pt idx="5">
                  <c:v>92.210718586699656</c:v>
                </c:pt>
                <c:pt idx="6">
                  <c:v>91.413468510000001</c:v>
                </c:pt>
                <c:pt idx="7">
                  <c:v>92.902991023300004</c:v>
                </c:pt>
                <c:pt idx="8">
                  <c:v>92.788468656699507</c:v>
                </c:pt>
                <c:pt idx="9">
                  <c:v>93.980037889999949</c:v>
                </c:pt>
                <c:pt idx="10">
                  <c:v>94.611365449999994</c:v>
                </c:pt>
                <c:pt idx="11">
                  <c:v>91.233464889999993</c:v>
                </c:pt>
                <c:pt idx="12">
                  <c:v>95.677913790000005</c:v>
                </c:pt>
                <c:pt idx="13">
                  <c:v>96.7623394867</c:v>
                </c:pt>
                <c:pt idx="14">
                  <c:v>96.728895366699518</c:v>
                </c:pt>
                <c:pt idx="15">
                  <c:v>100.4145521067</c:v>
                </c:pt>
                <c:pt idx="16">
                  <c:v>98.878824203299715</c:v>
                </c:pt>
                <c:pt idx="17">
                  <c:v>99.329041236699325</c:v>
                </c:pt>
                <c:pt idx="18">
                  <c:v>100.20529218999998</c:v>
                </c:pt>
                <c:pt idx="19">
                  <c:v>100.2296388833</c:v>
                </c:pt>
                <c:pt idx="20">
                  <c:v>99.271054590000006</c:v>
                </c:pt>
                <c:pt idx="21">
                  <c:v>99.378200843299496</c:v>
                </c:pt>
                <c:pt idx="22">
                  <c:v>100.87247285999928</c:v>
                </c:pt>
                <c:pt idx="23">
                  <c:v>100.47827171329951</c:v>
                </c:pt>
                <c:pt idx="24" formatCode="##0.0">
                  <c:v>99.458882779999627</c:v>
                </c:pt>
                <c:pt idx="25" formatCode="##0.0">
                  <c:v>100.3771628933</c:v>
                </c:pt>
                <c:pt idx="26" formatCode="##0.0">
                  <c:v>101.4634469467</c:v>
                </c:pt>
                <c:pt idx="27" formatCode="##0.0">
                  <c:v>103.55813719669932</c:v>
                </c:pt>
                <c:pt idx="28" formatCode="##0.0">
                  <c:v>104.89195202329998</c:v>
                </c:pt>
                <c:pt idx="29" formatCode="##0.0">
                  <c:v>104.1256339867</c:v>
                </c:pt>
                <c:pt idx="30" formatCode="##0.0">
                  <c:v>105.3177948667</c:v>
                </c:pt>
                <c:pt idx="31" formatCode="##0.0">
                  <c:v>106.52038640329965</c:v>
                </c:pt>
                <c:pt idx="32" formatCode="##0.0">
                  <c:v>110.15296580330001</c:v>
                </c:pt>
                <c:pt idx="33" formatCode="##0.0">
                  <c:v>110.18938255999944</c:v>
                </c:pt>
                <c:pt idx="34" formatCode="##0.0">
                  <c:v>110.48697471</c:v>
                </c:pt>
                <c:pt idx="35" formatCode="##0.0">
                  <c:v>108.59983105000001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E9-4297-B3B3-B2592825598B}"/>
            </c:ext>
          </c:extLst>
        </c:ser>
        <c:ser>
          <c:idx val="2"/>
          <c:order val="2"/>
          <c:tx>
            <c:strRef>
              <c:f>'výkonnost odvětví 4'!$B$53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4'!$C$53:$AL$53</c:f>
              <c:numCache>
                <c:formatCode>0.0</c:formatCode>
                <c:ptCount val="36"/>
                <c:pt idx="0">
                  <c:v>96.926275053300003</c:v>
                </c:pt>
                <c:pt idx="1">
                  <c:v>95.458635560000005</c:v>
                </c:pt>
                <c:pt idx="2">
                  <c:v>96.452759486700003</c:v>
                </c:pt>
                <c:pt idx="3">
                  <c:v>94.3367612933</c:v>
                </c:pt>
                <c:pt idx="4">
                  <c:v>96.032953383299983</c:v>
                </c:pt>
                <c:pt idx="5">
                  <c:v>96.364741773299642</c:v>
                </c:pt>
                <c:pt idx="6">
                  <c:v>94.880471886699326</c:v>
                </c:pt>
                <c:pt idx="7">
                  <c:v>94.376022873299519</c:v>
                </c:pt>
                <c:pt idx="8">
                  <c:v>93.549436373299656</c:v>
                </c:pt>
                <c:pt idx="9">
                  <c:v>93.175718459999459</c:v>
                </c:pt>
                <c:pt idx="10">
                  <c:v>92.87496122669954</c:v>
                </c:pt>
                <c:pt idx="11">
                  <c:v>92.56481985329998</c:v>
                </c:pt>
                <c:pt idx="12">
                  <c:v>93.531310280000127</c:v>
                </c:pt>
                <c:pt idx="13">
                  <c:v>93.169892616699357</c:v>
                </c:pt>
                <c:pt idx="14">
                  <c:v>93.799393366700002</c:v>
                </c:pt>
                <c:pt idx="15">
                  <c:v>92.591428653299999</c:v>
                </c:pt>
                <c:pt idx="16">
                  <c:v>93.386335243299627</c:v>
                </c:pt>
                <c:pt idx="17">
                  <c:v>93.561050173300004</c:v>
                </c:pt>
                <c:pt idx="18">
                  <c:v>94.137600123300004</c:v>
                </c:pt>
                <c:pt idx="19">
                  <c:v>97.003660370000006</c:v>
                </c:pt>
                <c:pt idx="20">
                  <c:v>97.483054123299979</c:v>
                </c:pt>
                <c:pt idx="21">
                  <c:v>100.0607042733</c:v>
                </c:pt>
                <c:pt idx="22">
                  <c:v>100.73991414000002</c:v>
                </c:pt>
                <c:pt idx="23">
                  <c:v>101.71632746000029</c:v>
                </c:pt>
                <c:pt idx="24" formatCode="##0.0">
                  <c:v>102.84325577000028</c:v>
                </c:pt>
                <c:pt idx="25" formatCode="##0.0">
                  <c:v>103.65975306</c:v>
                </c:pt>
                <c:pt idx="26" formatCode="##0.0">
                  <c:v>107.89814233329948</c:v>
                </c:pt>
                <c:pt idx="27" formatCode="##0.0">
                  <c:v>110.40510438000022</c:v>
                </c:pt>
                <c:pt idx="28" formatCode="##0.0">
                  <c:v>113.82963784669941</c:v>
                </c:pt>
                <c:pt idx="29" formatCode="##0.0">
                  <c:v>116.64217695669944</c:v>
                </c:pt>
                <c:pt idx="30" formatCode="##0.0">
                  <c:v>116.46542872000002</c:v>
                </c:pt>
                <c:pt idx="31" formatCode="##0.0">
                  <c:v>117.48676738330002</c:v>
                </c:pt>
                <c:pt idx="32" formatCode="##0.0">
                  <c:v>117.10576984669945</c:v>
                </c:pt>
                <c:pt idx="33" formatCode="##0.0">
                  <c:v>117.00989138670001</c:v>
                </c:pt>
                <c:pt idx="34" formatCode="##0.0">
                  <c:v>117.41167564670035</c:v>
                </c:pt>
                <c:pt idx="35" formatCode="##0.0">
                  <c:v>117.46255490000028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E9-4297-B3B3-B2592825598B}"/>
            </c:ext>
          </c:extLst>
        </c:ser>
        <c:ser>
          <c:idx val="3"/>
          <c:order val="3"/>
          <c:tx>
            <c:strRef>
              <c:f>'výkonnost odvětví 4'!$B$54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4'!$C$54:$AL$54</c:f>
              <c:numCache>
                <c:formatCode>0.0</c:formatCode>
                <c:ptCount val="36"/>
                <c:pt idx="0">
                  <c:v>94.384348466699507</c:v>
                </c:pt>
                <c:pt idx="1">
                  <c:v>94.872903066699507</c:v>
                </c:pt>
                <c:pt idx="2">
                  <c:v>95.726573200000004</c:v>
                </c:pt>
                <c:pt idx="3">
                  <c:v>94.31441664000036</c:v>
                </c:pt>
                <c:pt idx="4">
                  <c:v>94.184159910000005</c:v>
                </c:pt>
                <c:pt idx="5">
                  <c:v>93.762291143300004</c:v>
                </c:pt>
                <c:pt idx="6">
                  <c:v>93.175373743299488</c:v>
                </c:pt>
                <c:pt idx="7">
                  <c:v>93.571281126699517</c:v>
                </c:pt>
                <c:pt idx="8">
                  <c:v>94.538750529999959</c:v>
                </c:pt>
                <c:pt idx="9">
                  <c:v>93.771314556699508</c:v>
                </c:pt>
                <c:pt idx="10">
                  <c:v>94.702239596699641</c:v>
                </c:pt>
                <c:pt idx="11">
                  <c:v>93.108962956699372</c:v>
                </c:pt>
                <c:pt idx="12">
                  <c:v>92.7406808267</c:v>
                </c:pt>
                <c:pt idx="13">
                  <c:v>94.070243966700005</c:v>
                </c:pt>
                <c:pt idx="14">
                  <c:v>92.961210916699983</c:v>
                </c:pt>
                <c:pt idx="15">
                  <c:v>93.253250726700003</c:v>
                </c:pt>
                <c:pt idx="16">
                  <c:v>92.68097553669925</c:v>
                </c:pt>
                <c:pt idx="17">
                  <c:v>94.825018029999583</c:v>
                </c:pt>
                <c:pt idx="18">
                  <c:v>95.110075199999656</c:v>
                </c:pt>
                <c:pt idx="19">
                  <c:v>96.096147136699372</c:v>
                </c:pt>
                <c:pt idx="20">
                  <c:v>98.836975196699328</c:v>
                </c:pt>
                <c:pt idx="21">
                  <c:v>99.133871039999534</c:v>
                </c:pt>
                <c:pt idx="22">
                  <c:v>99.5992115566997</c:v>
                </c:pt>
                <c:pt idx="23">
                  <c:v>102.42994220999998</c:v>
                </c:pt>
                <c:pt idx="24" formatCode="##0.0">
                  <c:v>100.80094099</c:v>
                </c:pt>
                <c:pt idx="25" formatCode="##0.0">
                  <c:v>99.6190548332997</c:v>
                </c:pt>
                <c:pt idx="26" formatCode="##0.0">
                  <c:v>101.48996259330002</c:v>
                </c:pt>
                <c:pt idx="27" formatCode="##0.0">
                  <c:v>103.09628406669998</c:v>
                </c:pt>
                <c:pt idx="28" formatCode="##0.0">
                  <c:v>103.6136665467</c:v>
                </c:pt>
                <c:pt idx="29" formatCode="##0.0">
                  <c:v>105.76029986670002</c:v>
                </c:pt>
                <c:pt idx="30" formatCode="##0.0">
                  <c:v>105.67810735329935</c:v>
                </c:pt>
                <c:pt idx="31" formatCode="##0.0">
                  <c:v>106.88578992999985</c:v>
                </c:pt>
                <c:pt idx="32" formatCode="##0.0">
                  <c:v>109.74222109000029</c:v>
                </c:pt>
                <c:pt idx="33" formatCode="##0.0">
                  <c:v>109.5870816133</c:v>
                </c:pt>
                <c:pt idx="34" formatCode="##0.0">
                  <c:v>112.9455608767</c:v>
                </c:pt>
                <c:pt idx="35" formatCode="##0.0">
                  <c:v>112.12525744669952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7E9-4297-B3B3-B2592825598B}"/>
            </c:ext>
          </c:extLst>
        </c:ser>
        <c:ser>
          <c:idx val="4"/>
          <c:order val="4"/>
          <c:tx>
            <c:strRef>
              <c:f>'výkonnost odvětví 4'!$B$55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4'!$C$55:$AL$55</c:f>
              <c:numCache>
                <c:formatCode>0.0</c:formatCode>
                <c:ptCount val="36"/>
                <c:pt idx="0">
                  <c:v>111.32379927669948</c:v>
                </c:pt>
                <c:pt idx="1">
                  <c:v>113.0575429533</c:v>
                </c:pt>
                <c:pt idx="2">
                  <c:v>110.93022838669998</c:v>
                </c:pt>
                <c:pt idx="3">
                  <c:v>109.93903466000035</c:v>
                </c:pt>
                <c:pt idx="4">
                  <c:v>109.78245018</c:v>
                </c:pt>
                <c:pt idx="5">
                  <c:v>108.15350727329962</c:v>
                </c:pt>
                <c:pt idx="6">
                  <c:v>106.95039860670001</c:v>
                </c:pt>
                <c:pt idx="7">
                  <c:v>105.5320158233</c:v>
                </c:pt>
                <c:pt idx="8">
                  <c:v>103.7645429067</c:v>
                </c:pt>
                <c:pt idx="9">
                  <c:v>102.96754826000029</c:v>
                </c:pt>
                <c:pt idx="10">
                  <c:v>101.1073144567</c:v>
                </c:pt>
                <c:pt idx="11">
                  <c:v>102.1358298433</c:v>
                </c:pt>
                <c:pt idx="12">
                  <c:v>101.82858099669944</c:v>
                </c:pt>
                <c:pt idx="13">
                  <c:v>99.760008943299979</c:v>
                </c:pt>
                <c:pt idx="14">
                  <c:v>100.22850104669951</c:v>
                </c:pt>
                <c:pt idx="15">
                  <c:v>99.094817919999983</c:v>
                </c:pt>
                <c:pt idx="16">
                  <c:v>98.874820080000006</c:v>
                </c:pt>
                <c:pt idx="17">
                  <c:v>99.987606170000007</c:v>
                </c:pt>
                <c:pt idx="18">
                  <c:v>99.879496389999858</c:v>
                </c:pt>
                <c:pt idx="19">
                  <c:v>99.159881119999326</c:v>
                </c:pt>
                <c:pt idx="20">
                  <c:v>99.197738453299507</c:v>
                </c:pt>
                <c:pt idx="21">
                  <c:v>99.822349263299685</c:v>
                </c:pt>
                <c:pt idx="22">
                  <c:v>100.32267680669928</c:v>
                </c:pt>
                <c:pt idx="23">
                  <c:v>100.65723547330002</c:v>
                </c:pt>
                <c:pt idx="24" formatCode="##0.0">
                  <c:v>100.51862561330032</c:v>
                </c:pt>
                <c:pt idx="25" formatCode="##0.0">
                  <c:v>100.3192356367</c:v>
                </c:pt>
                <c:pt idx="26" formatCode="##0.0">
                  <c:v>101.74836116</c:v>
                </c:pt>
                <c:pt idx="27" formatCode="##0.0">
                  <c:v>101.07938990669948</c:v>
                </c:pt>
                <c:pt idx="28" formatCode="##0.0">
                  <c:v>103.02063072</c:v>
                </c:pt>
                <c:pt idx="29" formatCode="##0.0">
                  <c:v>103.2673367533</c:v>
                </c:pt>
                <c:pt idx="30" formatCode="##0.0">
                  <c:v>102.48806681000001</c:v>
                </c:pt>
                <c:pt idx="31" formatCode="##0.0">
                  <c:v>102.80685249</c:v>
                </c:pt>
                <c:pt idx="32" formatCode="##0.0">
                  <c:v>102.00444830999972</c:v>
                </c:pt>
                <c:pt idx="33" formatCode="##0.0">
                  <c:v>101.75663118999998</c:v>
                </c:pt>
                <c:pt idx="34" formatCode="##0.0">
                  <c:v>100.98656982330029</c:v>
                </c:pt>
                <c:pt idx="35" formatCode="##0.0">
                  <c:v>100.19556573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7E9-4297-B3B3-B2592825598B}"/>
            </c:ext>
          </c:extLst>
        </c:ser>
        <c:ser>
          <c:idx val="5"/>
          <c:order val="5"/>
          <c:tx>
            <c:strRef>
              <c:f>'výkonnost odvětví 4'!$B$56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4'!$C$56:$AL$56</c:f>
              <c:numCache>
                <c:formatCode>0.0</c:formatCode>
                <c:ptCount val="36"/>
                <c:pt idx="0">
                  <c:v>118.14863346999999</c:v>
                </c:pt>
                <c:pt idx="1">
                  <c:v>118.29435723669964</c:v>
                </c:pt>
                <c:pt idx="2">
                  <c:v>118.30898799329962</c:v>
                </c:pt>
                <c:pt idx="3">
                  <c:v>113.9568507267</c:v>
                </c:pt>
                <c:pt idx="4">
                  <c:v>111.10653365669965</c:v>
                </c:pt>
                <c:pt idx="5">
                  <c:v>112.22643161000001</c:v>
                </c:pt>
                <c:pt idx="6">
                  <c:v>101.51024174330028</c:v>
                </c:pt>
                <c:pt idx="7">
                  <c:v>104.61548807669935</c:v>
                </c:pt>
                <c:pt idx="8">
                  <c:v>108.44130821</c:v>
                </c:pt>
                <c:pt idx="9">
                  <c:v>106.09409359330029</c:v>
                </c:pt>
                <c:pt idx="10">
                  <c:v>104.37589122999962</c:v>
                </c:pt>
                <c:pt idx="11">
                  <c:v>103.80891251669935</c:v>
                </c:pt>
                <c:pt idx="12">
                  <c:v>102.18948138330001</c:v>
                </c:pt>
                <c:pt idx="13">
                  <c:v>98.359594990000005</c:v>
                </c:pt>
                <c:pt idx="14">
                  <c:v>95.430096759999998</c:v>
                </c:pt>
                <c:pt idx="15">
                  <c:v>98.422146103299525</c:v>
                </c:pt>
                <c:pt idx="16">
                  <c:v>95.353874159999506</c:v>
                </c:pt>
                <c:pt idx="17">
                  <c:v>97.392315776699519</c:v>
                </c:pt>
                <c:pt idx="18">
                  <c:v>97.656247929999978</c:v>
                </c:pt>
                <c:pt idx="19">
                  <c:v>97.377308759999508</c:v>
                </c:pt>
                <c:pt idx="20">
                  <c:v>99.736654799999997</c:v>
                </c:pt>
                <c:pt idx="21">
                  <c:v>101.29295796330022</c:v>
                </c:pt>
                <c:pt idx="22">
                  <c:v>100.2633669067</c:v>
                </c:pt>
                <c:pt idx="23">
                  <c:v>98.70702033329998</c:v>
                </c:pt>
                <c:pt idx="24" formatCode="##0.0">
                  <c:v>97.575635489999982</c:v>
                </c:pt>
                <c:pt idx="25" formatCode="##0.0">
                  <c:v>96.204544993300345</c:v>
                </c:pt>
                <c:pt idx="26" formatCode="##0.0">
                  <c:v>98.789855129999978</c:v>
                </c:pt>
                <c:pt idx="27" formatCode="##0.0">
                  <c:v>98.388707689999919</c:v>
                </c:pt>
                <c:pt idx="28" formatCode="##0.0">
                  <c:v>99.417916833299998</c:v>
                </c:pt>
                <c:pt idx="29" formatCode="##0.0">
                  <c:v>100.0629603133</c:v>
                </c:pt>
                <c:pt idx="30" formatCode="##0.0">
                  <c:v>100.6424771832995</c:v>
                </c:pt>
                <c:pt idx="31" formatCode="##0.0">
                  <c:v>101.18362542000028</c:v>
                </c:pt>
                <c:pt idx="32" formatCode="##0.0">
                  <c:v>101.26713838329998</c:v>
                </c:pt>
                <c:pt idx="33" formatCode="##0.0">
                  <c:v>101.16586229999972</c:v>
                </c:pt>
                <c:pt idx="34" formatCode="##0.0">
                  <c:v>101.35147222000001</c:v>
                </c:pt>
                <c:pt idx="35" formatCode="##0.0">
                  <c:v>101.26124653330002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7E9-4297-B3B3-B2592825598B}"/>
            </c:ext>
          </c:extLst>
        </c:ser>
        <c:ser>
          <c:idx val="6"/>
          <c:order val="6"/>
          <c:tx>
            <c:strRef>
              <c:f>'výkonnost odvětví 4'!$B$57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E6E100"/>
              </a:solidFill>
            </a:ln>
          </c:spPr>
          <c:marker>
            <c:symbol val="none"/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4'!$C$57:$AL$57</c:f>
              <c:numCache>
                <c:formatCode>0.0</c:formatCode>
                <c:ptCount val="36"/>
                <c:pt idx="0">
                  <c:v>85.514355336699523</c:v>
                </c:pt>
                <c:pt idx="1">
                  <c:v>84.988540753300001</c:v>
                </c:pt>
                <c:pt idx="2">
                  <c:v>86.297821409999997</c:v>
                </c:pt>
                <c:pt idx="3">
                  <c:v>87.610818563300001</c:v>
                </c:pt>
                <c:pt idx="4">
                  <c:v>88.52385194</c:v>
                </c:pt>
                <c:pt idx="5">
                  <c:v>89.81933969329998</c:v>
                </c:pt>
                <c:pt idx="6">
                  <c:v>90.138377376699026</c:v>
                </c:pt>
                <c:pt idx="7">
                  <c:v>91.544595619999996</c:v>
                </c:pt>
                <c:pt idx="8">
                  <c:v>92.469594343300344</c:v>
                </c:pt>
                <c:pt idx="9">
                  <c:v>91.787595690000359</c:v>
                </c:pt>
                <c:pt idx="10">
                  <c:v>92.766859423300374</c:v>
                </c:pt>
                <c:pt idx="11">
                  <c:v>90.95721720330036</c:v>
                </c:pt>
                <c:pt idx="12">
                  <c:v>92.966546293299999</c:v>
                </c:pt>
                <c:pt idx="13">
                  <c:v>92.150237789999949</c:v>
                </c:pt>
                <c:pt idx="14">
                  <c:v>92.992247840000005</c:v>
                </c:pt>
                <c:pt idx="15">
                  <c:v>93.65769649329998</c:v>
                </c:pt>
                <c:pt idx="16">
                  <c:v>93.328295316699325</c:v>
                </c:pt>
                <c:pt idx="17">
                  <c:v>95.605061893299506</c:v>
                </c:pt>
                <c:pt idx="18">
                  <c:v>96.372225433300002</c:v>
                </c:pt>
                <c:pt idx="19">
                  <c:v>97.500607406699714</c:v>
                </c:pt>
                <c:pt idx="20">
                  <c:v>98.023334823299507</c:v>
                </c:pt>
                <c:pt idx="21">
                  <c:v>100.0150064533</c:v>
                </c:pt>
                <c:pt idx="22">
                  <c:v>100.51789901330002</c:v>
                </c:pt>
                <c:pt idx="23">
                  <c:v>101.44375970670002</c:v>
                </c:pt>
                <c:pt idx="24" formatCode="##0.0">
                  <c:v>101.16501263329965</c:v>
                </c:pt>
                <c:pt idx="25" formatCode="##0.0">
                  <c:v>101.90611103000002</c:v>
                </c:pt>
                <c:pt idx="26" formatCode="##0.0">
                  <c:v>104.2540262633004</c:v>
                </c:pt>
                <c:pt idx="27" formatCode="##0.0">
                  <c:v>106.88254410330001</c:v>
                </c:pt>
                <c:pt idx="28" formatCode="##0.0">
                  <c:v>109.36198511669944</c:v>
                </c:pt>
                <c:pt idx="29" formatCode="##0.0">
                  <c:v>110.50166766000048</c:v>
                </c:pt>
                <c:pt idx="30" formatCode="##0.0">
                  <c:v>110.50149761669958</c:v>
                </c:pt>
                <c:pt idx="31" formatCode="##0.0">
                  <c:v>111.81568528330028</c:v>
                </c:pt>
                <c:pt idx="32" formatCode="##0.0">
                  <c:v>112.13198107669947</c:v>
                </c:pt>
                <c:pt idx="33" formatCode="##0.0">
                  <c:v>112.99470590999999</c:v>
                </c:pt>
                <c:pt idx="34" formatCode="##0.0">
                  <c:v>113.65018947</c:v>
                </c:pt>
                <c:pt idx="35" formatCode="##0.0">
                  <c:v>112.64520623999998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E9-4297-B3B3-B2592825598B}"/>
            </c:ext>
          </c:extLst>
        </c:ser>
        <c:marker val="1"/>
        <c:axId val="138863360"/>
        <c:axId val="139465088"/>
      </c:lineChart>
      <c:lineChart>
        <c:grouping val="standard"/>
        <c:ser>
          <c:idx val="7"/>
          <c:order val="7"/>
          <c:tx>
            <c:strRef>
              <c:f>'výkonnost odvětví 4'!$B$58</c:f>
              <c:strCache>
                <c:ptCount val="1"/>
                <c:pt idx="0">
                  <c:v>Saldo indik.důvěry ve vybr. službách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4'!$C$49:$AL$50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'výkonnost odvětví 4'!$C$58:$AL$58</c:f>
              <c:numCache>
                <c:formatCode>0.0</c:formatCode>
                <c:ptCount val="36"/>
                <c:pt idx="0">
                  <c:v>19.333333333333204</c:v>
                </c:pt>
                <c:pt idx="1">
                  <c:v>22.544444444444441</c:v>
                </c:pt>
                <c:pt idx="2">
                  <c:v>27.13333333333323</c:v>
                </c:pt>
                <c:pt idx="3">
                  <c:v>26.233333333333185</c:v>
                </c:pt>
                <c:pt idx="4">
                  <c:v>26.766666666666666</c:v>
                </c:pt>
                <c:pt idx="5">
                  <c:v>28.566666666666666</c:v>
                </c:pt>
                <c:pt idx="6">
                  <c:v>26.766666666666666</c:v>
                </c:pt>
                <c:pt idx="7">
                  <c:v>23.2</c:v>
                </c:pt>
                <c:pt idx="8">
                  <c:v>26.333333333333204</c:v>
                </c:pt>
                <c:pt idx="9">
                  <c:v>25.666666666666668</c:v>
                </c:pt>
                <c:pt idx="10">
                  <c:v>23.866666666666664</c:v>
                </c:pt>
                <c:pt idx="11">
                  <c:v>23.3</c:v>
                </c:pt>
                <c:pt idx="12">
                  <c:v>23.666666666666668</c:v>
                </c:pt>
                <c:pt idx="13">
                  <c:v>22.233333333333185</c:v>
                </c:pt>
                <c:pt idx="14">
                  <c:v>22.366666666666664</c:v>
                </c:pt>
                <c:pt idx="15">
                  <c:v>26.333333333333204</c:v>
                </c:pt>
                <c:pt idx="16">
                  <c:v>26.900000000000002</c:v>
                </c:pt>
                <c:pt idx="17">
                  <c:v>26.666666666666668</c:v>
                </c:pt>
                <c:pt idx="18">
                  <c:v>29.233333333333185</c:v>
                </c:pt>
                <c:pt idx="19">
                  <c:v>31.666666666666668</c:v>
                </c:pt>
                <c:pt idx="20">
                  <c:v>29.466666666666669</c:v>
                </c:pt>
                <c:pt idx="21">
                  <c:v>29.13333333333323</c:v>
                </c:pt>
                <c:pt idx="22">
                  <c:v>30.63333333333323</c:v>
                </c:pt>
                <c:pt idx="23">
                  <c:v>32.466666666666328</c:v>
                </c:pt>
                <c:pt idx="24">
                  <c:v>33.566666666666372</c:v>
                </c:pt>
                <c:pt idx="25">
                  <c:v>32.43333333333333</c:v>
                </c:pt>
                <c:pt idx="26">
                  <c:v>33.666666666666394</c:v>
                </c:pt>
                <c:pt idx="27">
                  <c:v>36.700000000000003</c:v>
                </c:pt>
                <c:pt idx="28">
                  <c:v>35.300000000000004</c:v>
                </c:pt>
                <c:pt idx="29">
                  <c:v>37.366666666666312</c:v>
                </c:pt>
                <c:pt idx="30">
                  <c:v>37.533333333333331</c:v>
                </c:pt>
                <c:pt idx="31">
                  <c:v>35.9</c:v>
                </c:pt>
                <c:pt idx="32">
                  <c:v>37.20000000000001</c:v>
                </c:pt>
                <c:pt idx="33">
                  <c:v>37.566666666666372</c:v>
                </c:pt>
                <c:pt idx="34">
                  <c:v>38.1</c:v>
                </c:pt>
                <c:pt idx="3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7E9-4297-B3B3-B2592825598B}"/>
            </c:ext>
          </c:extLst>
        </c:ser>
        <c:marker val="1"/>
        <c:axId val="139528448"/>
        <c:axId val="139524736"/>
      </c:lineChart>
      <c:catAx>
        <c:axId val="13886336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465088"/>
        <c:crossesAt val="100"/>
        <c:lblAlgn val="ctr"/>
        <c:lblOffset val="0"/>
        <c:tickLblSkip val="1"/>
        <c:tickMarkSkip val="4"/>
      </c:catAx>
      <c:valAx>
        <c:axId val="139465088"/>
        <c:scaling>
          <c:orientation val="minMax"/>
          <c:max val="12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8863360"/>
        <c:crosses val="autoZero"/>
        <c:crossBetween val="between"/>
        <c:majorUnit val="5"/>
      </c:valAx>
      <c:valAx>
        <c:axId val="139524736"/>
        <c:scaling>
          <c:orientation val="minMax"/>
          <c:max val="40"/>
          <c:min val="0"/>
        </c:scaling>
        <c:axPos val="r"/>
        <c:numFmt formatCode="0" sourceLinked="0"/>
        <c:tickLblPos val="nextTo"/>
        <c:crossAx val="139528448"/>
        <c:crosses val="max"/>
        <c:crossBetween val="between"/>
      </c:valAx>
      <c:catAx>
        <c:axId val="139528448"/>
        <c:scaling>
          <c:orientation val="minMax"/>
        </c:scaling>
        <c:delete val="1"/>
        <c:axPos val="b"/>
        <c:numFmt formatCode="General" sourceLinked="1"/>
        <c:tickLblPos val="none"/>
        <c:crossAx val="139524736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"/>
          <c:y val="0.85863596113028773"/>
          <c:w val="0.99415332947088286"/>
          <c:h val="0.13393680940894773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0.47777</cdr:x>
      <cdr:y>0.02108</cdr:y>
    </cdr:from>
    <cdr:to>
      <cdr:x>0.5259</cdr:x>
      <cdr:y>0.05866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269023" y="88924"/>
          <a:ext cx="228579" cy="158555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0.53366</cdr:x>
      <cdr:y>0.05072</cdr:y>
    </cdr:from>
    <cdr:to>
      <cdr:x>0.58424</cdr:x>
      <cdr:y>0.07852</cdr:y>
    </cdr:to>
    <cdr:sp macro="" textlink="">
      <cdr:nvSpPr>
        <cdr:cNvPr id="3" name="TextovéPole 2"/>
        <cdr:cNvSpPr txBox="1"/>
      </cdr:nvSpPr>
      <cdr:spPr>
        <a:xfrm xmlns:a="http://schemas.openxmlformats.org/drawingml/2006/main" flipH="1">
          <a:off x="2534478" y="214002"/>
          <a:ext cx="240196" cy="117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616B-8A28-4D93-8E64-6DDABF007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01C1E-47B9-4203-BDC6-56AB20A9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6</Pages>
  <Words>2483</Words>
  <Characters>14653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17102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2019-04-12T08:50:00Z</dcterms:created>
  <dcterms:modified xsi:type="dcterms:W3CDTF">2019-04-12T09:04:00Z</dcterms:modified>
</cp:coreProperties>
</file>