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footer2.xml" ContentType="application/vnd.openxmlformats-officedocument.wordprocessingml.footer+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40" w:rsidRPr="009110F7" w:rsidRDefault="00347DD4" w:rsidP="00E67696">
      <w:pPr>
        <w:rPr>
          <w:lang w:eastAsia="ar-SA"/>
        </w:rPr>
        <w:sectPr w:rsidR="00A75E40" w:rsidRPr="009110F7" w:rsidSect="0085114D">
          <w:pgSz w:w="11906" w:h="16838" w:code="9"/>
          <w:pgMar w:top="1134" w:right="1134" w:bottom="1418" w:left="1134" w:header="709" w:footer="709" w:gutter="0"/>
          <w:pgNumType w:start="1"/>
          <w:cols w:space="708"/>
          <w:docGrid w:linePitch="360"/>
        </w:sectPr>
      </w:pPr>
      <w:r>
        <w:pict>
          <v:group id="Group 24" o:spid="_x0000_s1030" style="position:absolute;left:0;text-align:left;margin-left:45pt;margin-top:36.75pt;width:177.15pt;height:43.65pt;z-index:251657728;mso-position-horizontal-relative:page;mso-position-vertical-relative:page" coordorigin="567,851" coordsize="2714,6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">
            <o:lock v:ext="edit" aspectratio="t"/>
            <v:rect id="Rectangle 9" o:spid="_x0000_s1031" style="position:absolute;left:1215;top:901;width:676;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iyUwgAA&#10;ANoAAAAPAAAAZHJzL2Rvd25yZXYueG1sRI9Ba8JAFITvgv9heYXezKY9RImuIkqh0HpoFHJ9Zp/J&#10;YvZtyK5J+u+7hUKPw8x8w2x2k23FQL03jhW8JCkI4sppw7WCy/ltsQLhA7LG1jEp+CYPu+18tsFc&#10;u5G/aChCLSKEfY4KmhC6XEpfNWTRJ64jjt7N9RZDlH0tdY9jhNtWvqZpJi0ajgsNdnRoqLoXD6vA&#10;yM/RFqfy6NJHdzbl8rry4UOp56dpvwYRaAr/4b/2u1aQwe+VeAP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SLJTCAAAA2gAAAA8AAAAAAAAAAAAAAAAAlwIAAGRycy9kb3du&#10;cmV2LnhtbFBLBQYAAAAABAAEAPUAAACGAwAAAAA=&#10;" fillcolor="#0071bc" stroked="f">
              <o:lock v:ext="edit" aspectratio="t"/>
            </v:rect>
            <v:rect id="Rectangle 10" o:spid="_x0000_s1032" style="position:absolute;left:567;top:1131;width:1324;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XokPwQAA&#10;ANoAAAAPAAAAZHJzL2Rvd25yZXYueG1sRI9Bi8IwFITvgv8hPMGbpnpQqUZZVoSFXQ+2gtdn87YN&#10;27yUJtruvzeC4HGYmW+Yza63tbhT641jBbNpAoK4cNpwqeCcHyYrED4ga6wdk4J/8rDbDgcbTLXr&#10;+ET3LJQiQtinqKAKoUml9EVFFv3UNcTR+3WtxRBlW0rdYhfhtpbzJFlIi4bjQoUNfVZU/GU3q8DI&#10;n85mx8veJbcmN5fldeXDt1LjUf+xBhGoD+/wq/2lFSzheSXeALl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l6JD8EAAADaAAAADwAAAAAAAAAAAAAAAACXAgAAZHJzL2Rvd25y&#10;ZXYueG1sUEsFBgAAAAAEAAQA9QAAAIUDAAAAAA==&#10;" fillcolor="#0071bc" stroked="f">
              <o:lock v:ext="edit" aspectratio="t"/>
            </v:rect>
            <v:rect id="Rectangle 11" o:spid="_x0000_s1033" style="position:absolute;left:1288;top:1361;width:603;height:15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wR19vgAA&#10;ANoAAAAPAAAAZHJzL2Rvd25yZXYueG1sRE9Ni8IwEL0v+B/CCN7WVA+uVNMiiiC4HrYKXsdmbIPN&#10;pDTRdv+9OSzs8fG+1/lgG/GizhvHCmbTBARx6bThSsHlvP9cgvABWWPjmBT8koc8G32sMdWu5x96&#10;FaESMYR9igrqENpUSl/WZNFPXUscubvrLIYIu0rqDvsYbhs5T5KFtGg4NtTY0ram8lE8rQIjv3tb&#10;nK47lzzbs7l+3ZY+HJWajIfNCkSgIfyL/9wHrSBujVfiDZDZ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8Edfb4AAADaAAAADwAAAAAAAAAAAAAAAACXAgAAZHJzL2Rvd25yZXYu&#10;eG1sUEsFBgAAAAAEAAQA9QAAAIIDAAAAAA==&#10;" fillcolor="#0071bc" stroked="f">
              <o:lock v:ext="edit" aspectratio="t"/>
            </v:rect>
            <v:shape id="Freeform 12" o:spid="_x0000_s1034" style="position:absolute;left:1969;top:1311;width:600;height:207;visibility:visible;mso-wrap-style:square;v-text-anchor:top" coordsize="1200,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0F73wQAA&#10;ANoAAAAPAAAAZHJzL2Rvd25yZXYueG1sRI9Ba8JAFITvBf/D8oTe6kYPpUbXEIKlDZ6Men9kn9lg&#10;9m3Ibk38926h0OMwM98w22yynbjT4FvHCpaLBARx7XTLjYLz6fPtA4QPyBo7x6TgQR6y3exli6l2&#10;Ix/pXoVGRAj7FBWYEPpUSl8bsugXrieO3tUNFkOUQyP1gGOE206ukuRdWmw5LhjsqTBU36ofq2Cf&#10;k6H83BcVl93l63I7rNryoNTrfMo3IAJN4T/81/7WCtbweyXeALl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8dBe98EAAADaAAAADwAAAAAAAAAAAAAAAACXAgAAZHJzL2Rvd25y&#10;ZXYueG1sUEsFBgAAAAAEAAQA9QAAAIUD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5" style="position:absolute;left:1962;top:1081;width:1319;height:208;visibility:visible;mso-wrap-style:square;v-text-anchor:top" coordsize="2637,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75a+xAAA&#10;ANsAAAAPAAAAZHJzL2Rvd25yZXYueG1sRE9Na8JAEL0X+h+WKfQidVMFKdFNKJaCaAU1evA2ZKdJ&#10;aHY27G5N/PddQehtHu9zFvlgWnEh5xvLCl7HCQji0uqGKwXH4vPlDYQPyBpby6TgSh7y7PFhgam2&#10;Pe/pcgiViCHsU1RQh9ClUvqyJoN+bDviyH1bZzBE6CqpHfYx3LRykiQzabDh2FBjR8uayp/Dr1Gw&#10;LNqTm371m70bfazW520li+1Oqeen4X0OItAQ/sV390rH+RO4/RIPkN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u+WvsQAAADbAAAADwAAAAAAAAAAAAAAAACXAgAAZHJzL2Rv&#10;d25yZXYueG1sUEsFBgAAAAAEAAQA9QAAAIg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6" style="position:absolute;left:1962;top:851;width:679;height:208;visibility:visible;mso-wrap-style:square;v-text-anchor:top" coordsize="1358,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kwgAA&#10;ANsAAAAPAAAAZHJzL2Rvd25yZXYueG1sRE9Na8JAEL0X/A/LCF5EN1qQEl2lKlFvpSqex+yYhGZn&#10;4+5q0n/fLRR6m8f7nMWqM7V4kvOVZQWTcQKCOLe64kLB+ZSN3kD4gKyxtkwKvsnDatl7WWCqbcuf&#10;9DyGQsQQ9ikqKENoUil9XpJBP7YNceRu1hkMEbpCaodtDDe1nCbJTBqsODaU2NCmpPzr+DAKprPL&#10;dZ8divVHvbsPnb5ts2G7VWrQ797nIAJ14V/85z7oOP8Vfn+JB8jl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gf/6TCAAAA2wAAAA8AAAAAAAAAAAAAAAAAlwIAAGRycy9kb3du&#10;cmV2LnhtbFBLBQYAAAAABAAEAPUAAACGAw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w:r>
      <w:r>
        <w:pict>
          <v:shapetype id="_x0000_t202" coordsize="21600,21600" o:spt="202" path="m,l,21600r21600,l21600,xe">
            <v:stroke joinstyle="miter"/>
            <v:path gradientshapeok="t" o:connecttype="rect"/>
          </v:shapetype>
          <v:shape id="Textové pole 2" o:spid="_x0000_s1029" type="#_x0000_t202" style="position:absolute;left:0;text-align:left;margin-left:134.3pt;margin-top:643.55pt;width:403.95pt;height:72.85pt;z-index:251656704;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" filled="f" stroked="f">
            <v:textbox inset="0,0,0,0">
              <w:txbxContent>
                <w:p w:rsidR="00157CC9" w:rsidRDefault="00157CC9" w:rsidP="004924DC">
                  <w:r>
                    <w:t>Z</w:t>
                  </w:r>
                  <w:r w:rsidRPr="006C5577">
                    <w:t xml:space="preserve">pracoval: </w:t>
                  </w:r>
                  <w:r>
                    <w:t>o</w:t>
                  </w:r>
                  <w:r w:rsidRPr="006C5577">
                    <w:t>dbor</w:t>
                  </w:r>
                  <w:r>
                    <w:t xml:space="preserve"> Kancelář předsedy, oddělení svodných analýz</w:t>
                  </w:r>
                </w:p>
                <w:p w:rsidR="00157CC9" w:rsidRPr="006C5577" w:rsidRDefault="00157CC9" w:rsidP="004924DC">
                  <w:r w:rsidRPr="006C5577">
                    <w:t xml:space="preserve">Ředitel odboru: </w:t>
                  </w:r>
                  <w:r>
                    <w:t>Egor Sidorov, Ph.D.</w:t>
                  </w:r>
                </w:p>
                <w:p w:rsidR="00157CC9" w:rsidRPr="006C5577" w:rsidRDefault="00157CC9" w:rsidP="004924DC">
                  <w:r w:rsidRPr="006C5577">
                    <w:t xml:space="preserve">Kontaktní osoba: </w:t>
                  </w:r>
                  <w:r>
                    <w:t>Karolína Zábojníková</w:t>
                  </w:r>
                  <w:r w:rsidRPr="006C5577">
                    <w:t>,</w:t>
                  </w:r>
                  <w:r>
                    <w:t xml:space="preserve"> e-mail: karolina.sukupova@czso.cz</w:t>
                  </w:r>
                </w:p>
              </w:txbxContent>
            </v:textbox>
            <w10:wrap anchorx="page" anchory="page"/>
            <w10:anchorlock/>
          </v:shape>
        </w:pict>
      </w:r>
      <w:r>
        <w:pict>
          <v:shape id="_x0000_s1028" type="#_x0000_t202" style="position:absolute;left:0;text-align:left;margin-left:134.65pt;margin-top:368.55pt;width:403.9pt;height:132.8pt;z-index:25165568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" filled="f" stroked="f">
            <v:textbox style="mso-fit-shape-to-text:t" inset="0,0,0,0">
              <w:txbxContent>
                <w:p w:rsidR="00157CC9" w:rsidRPr="004924DC" w:rsidRDefault="00157CC9" w:rsidP="004924DC">
                  <w:pPr>
                    <w:pStyle w:val="TLIdentifikace-sted"/>
                  </w:pPr>
                  <w:r>
                    <w:t>souhrnná data o České republice</w:t>
                  </w:r>
                </w:p>
                <w:p w:rsidR="00157CC9" w:rsidRPr="004924DC" w:rsidRDefault="00157CC9" w:rsidP="004924DC">
                  <w:pPr>
                    <w:pStyle w:val="TLIdentifikace-sted"/>
                  </w:pPr>
                  <w:r>
                    <w:t>Praha, 21. 12. 2018</w:t>
                  </w:r>
                </w:p>
                <w:p w:rsidR="00157CC9" w:rsidRPr="004924DC" w:rsidRDefault="00157CC9" w:rsidP="004924DC">
                  <w:pPr>
                    <w:pStyle w:val="TLIdentifikace-sted"/>
                  </w:pPr>
                  <w:r w:rsidRPr="004924DC">
                    <w:t xml:space="preserve">Kód publikace: </w:t>
                  </w:r>
                  <w:r>
                    <w:t>320193-18</w:t>
                  </w:r>
                </w:p>
                <w:p w:rsidR="00157CC9" w:rsidRPr="004924DC" w:rsidRDefault="00157CC9" w:rsidP="004924DC">
                  <w:pPr>
                    <w:pStyle w:val="TLIdentifikace-sted"/>
                  </w:pPr>
                  <w:r w:rsidRPr="004924DC">
                    <w:t>Č.</w:t>
                  </w:r>
                  <w:r>
                    <w:t> </w:t>
                  </w:r>
                  <w:r w:rsidRPr="004924DC">
                    <w:t xml:space="preserve">j.: </w:t>
                  </w:r>
                  <w:r>
                    <w:t>CSU – 02744/2018-01</w:t>
                  </w:r>
                </w:p>
                <w:p w:rsidR="00157CC9" w:rsidRPr="004924DC" w:rsidRDefault="00157CC9" w:rsidP="004924DC">
                  <w:pPr>
                    <w:pStyle w:val="TLIdentifikace-sted"/>
                  </w:pPr>
                  <w:r w:rsidRPr="004924DC">
                    <w:t>Pořadové číslo v</w:t>
                  </w:r>
                  <w:r>
                    <w:t> </w:t>
                  </w:r>
                  <w:r w:rsidRPr="004924DC">
                    <w:t xml:space="preserve">roce: </w:t>
                  </w:r>
                  <w:r>
                    <w:t>3</w:t>
                  </w:r>
                </w:p>
              </w:txbxContent>
            </v:textbox>
            <w10:wrap anchorx="page" anchory="page"/>
            <w10:anchorlock/>
          </v:shape>
        </w:pict>
      </w:r>
      <w:r>
        <w:pict>
          <v:shape id="_x0000_s1027" type="#_x0000_t202" style="position:absolute;left:0;text-align:left;margin-left:134.65pt;margin-top:116.25pt;width:403.9pt;height:173.85pt;z-index:25165465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" filled="f" stroked="f">
            <v:textbox style="mso-fit-shape-to-text:t" inset="0,0,0,0">
              <w:txbxContent>
                <w:p w:rsidR="00157CC9" w:rsidRPr="000E6FBD" w:rsidRDefault="00157CC9" w:rsidP="000E6FBD">
                  <w:pPr>
                    <w:pStyle w:val="Nzev"/>
                  </w:pPr>
                  <w:r>
                    <w:t>Vývoj ekonomiky české republiky</w:t>
                  </w:r>
                </w:p>
                <w:p w:rsidR="00157CC9" w:rsidRPr="0012192F" w:rsidRDefault="00157CC9" w:rsidP="0012192F">
                  <w:pPr>
                    <w:pStyle w:val="Podtitul"/>
                  </w:pPr>
                </w:p>
                <w:p w:rsidR="00157CC9" w:rsidRPr="0012192F" w:rsidRDefault="00157CC9" w:rsidP="0012192F">
                  <w:pPr>
                    <w:pStyle w:val="Podtitul"/>
                  </w:pPr>
                  <w:r>
                    <w:t>1. až 3. čtvrtletí 2018</w:t>
                  </w:r>
                </w:p>
              </w:txbxContent>
            </v:textbox>
            <w10:wrap anchorx="page" anchory="page"/>
            <w10:anchorlock/>
          </v:shape>
        </w:pict>
      </w:r>
      <w:r>
        <w:pict>
          <v:shape id="_x0000_s1037" type="#_x0000_t202" style="position:absolute;left:0;text-align:left;margin-left:134.65pt;margin-top:759.8pt;width:403.95pt;height:14.15pt;z-index:251658752;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" filled="f" stroked="f">
            <v:textbox inset="0,0,0,0">
              <w:txbxContent>
                <w:p w:rsidR="00157CC9" w:rsidRPr="004924DC" w:rsidRDefault="00157CC9" w:rsidP="004924DC">
                  <w:r w:rsidRPr="004924DC">
                    <w:t xml:space="preserve">© Český statistický úřad, </w:t>
                  </w:r>
                  <w:r>
                    <w:t>Praha</w:t>
                  </w:r>
                  <w:r w:rsidRPr="004924DC">
                    <w:t xml:space="preserve">, </w:t>
                  </w:r>
                  <w:r>
                    <w:t>2018</w:t>
                  </w:r>
                </w:p>
                <w:p w:rsidR="00157CC9" w:rsidRPr="005251DD" w:rsidRDefault="00157CC9" w:rsidP="00665BA4"/>
                <w:p w:rsidR="00157CC9" w:rsidRPr="005251DD" w:rsidRDefault="00157CC9" w:rsidP="00FC684B"/>
                <w:p w:rsidR="00157CC9" w:rsidRDefault="00157CC9"/>
                <w:p w:rsidR="00157CC9" w:rsidRPr="00097407" w:rsidRDefault="00157CC9"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rsidR="00157CC9" w:rsidRPr="005251DD" w:rsidRDefault="00157CC9" w:rsidP="00665BA4"/>
                <w:p w:rsidR="00157CC9" w:rsidRPr="005251DD" w:rsidRDefault="00157CC9" w:rsidP="00FC684B"/>
              </w:txbxContent>
            </v:textbox>
            <w10:wrap anchorx="page" anchory="page"/>
            <w10:anchorlock/>
          </v:shape>
        </w:pict>
      </w:r>
      <w:r>
        <w:pict>
          <v:line id="Přímá spojnice 33" o:spid="_x0000_s1026" style="position:absolute;left:0;text-align:left;z-index:251653632;visibility:visible;mso-wrap-distance-top:-6e-5mm;mso-wrap-distance-bottom:-6e-5mm;mso-position-horizontal-relative:page;mso-position-vertical-relative:page;mso-width-relative:margin;mso-height-relative:margin" from="134.65pt,737.1pt" to="538.6pt,7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" o:allowincell="f" strokecolor="windowText" strokeweight="1pt">
            <o:lock v:ext="edit" shapetype="f"/>
            <w10:wrap anchorx="page" anchory="page"/>
            <w10:anchorlock/>
          </v:line>
        </w:pict>
      </w:r>
      <w:r w:rsidR="00F63FB7" w:rsidRPr="009110F7">
        <w:br w:type="page"/>
      </w:r>
      <w:r w:rsidR="00D57677" w:rsidRPr="009110F7">
        <w:lastRenderedPageBreak/>
        <w:br w:type="page"/>
      </w:r>
      <w:r>
        <w:pict>
          <v:shape id="_x0000_s1038" type="#_x0000_t202" style="position:absolute;left:0;text-align:left;margin-left:57pt;margin-top:113.4pt;width:481.85pt;height:604.2pt;z-index:25165977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" filled="f" stroked="f">
            <v:textbox style="mso-fit-shape-to-text:t" inset="0,0,0,0">
              <w:txbxContent>
                <w:p w:rsidR="00157CC9" w:rsidRPr="006F5416" w:rsidRDefault="00157CC9" w:rsidP="006F5416">
                  <w:pPr>
                    <w:pStyle w:val="TLKontaktyerven"/>
                  </w:pPr>
                  <w:r w:rsidRPr="006F5416">
                    <w:t>KONTAKTY V ÚSTŘEDÍ</w:t>
                  </w:r>
                </w:p>
                <w:p w:rsidR="00157CC9" w:rsidRPr="007D40DF" w:rsidRDefault="00157CC9"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rsidR="00157CC9" w:rsidRPr="00D235B7" w:rsidRDefault="00157CC9"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rsidR="00157CC9" w:rsidRPr="00D235B7" w:rsidRDefault="00157CC9"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rsidR="00157CC9" w:rsidRPr="00D235B7" w:rsidRDefault="00157CC9"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347, 274</w:t>
                  </w:r>
                  <w:r>
                    <w:rPr>
                      <w:b w:val="0"/>
                      <w:color w:val="auto"/>
                    </w:rPr>
                    <w:t> </w:t>
                  </w:r>
                  <w:r w:rsidRPr="00D235B7">
                    <w:rPr>
                      <w:b w:val="0"/>
                      <w:color w:val="auto"/>
                    </w:rPr>
                    <w:t>052 757 | e-mail: esds@czso.cz</w:t>
                  </w:r>
                </w:p>
                <w:p w:rsidR="00157CC9" w:rsidRPr="00D235B7" w:rsidRDefault="00157CC9"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rsidR="00157CC9" w:rsidRPr="004A61C5" w:rsidRDefault="00157CC9" w:rsidP="00825C4D">
                  <w:pPr>
                    <w:pStyle w:val="TLKontakty"/>
                    <w:spacing w:after="80" w:line="240" w:lineRule="auto"/>
                    <w:contextualSpacing w:val="0"/>
                    <w:rPr>
                      <w:color w:val="auto"/>
                    </w:rPr>
                  </w:pPr>
                </w:p>
                <w:p w:rsidR="00157CC9" w:rsidRPr="00D66223" w:rsidRDefault="00157CC9" w:rsidP="00D66223">
                  <w:pPr>
                    <w:pStyle w:val="TLKontaktyerven"/>
                  </w:pPr>
                  <w:r w:rsidRPr="00D66223">
                    <w:t>INFORMAČNÍ SLUŽBY V REGIONECH</w:t>
                  </w:r>
                </w:p>
                <w:p w:rsidR="00157CC9" w:rsidRPr="00992CF3" w:rsidRDefault="00157CC9"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rsidR="00157CC9" w:rsidRPr="00992CF3" w:rsidRDefault="00157CC9"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rsidR="00157CC9" w:rsidRPr="004A61C5" w:rsidRDefault="00157CC9" w:rsidP="00825C4D">
                  <w:pPr>
                    <w:pStyle w:val="TLKontakty"/>
                    <w:spacing w:after="80" w:line="240" w:lineRule="auto"/>
                    <w:rPr>
                      <w:color w:val="auto"/>
                    </w:rPr>
                  </w:pPr>
                </w:p>
                <w:p w:rsidR="00157CC9" w:rsidRPr="00992CF3" w:rsidRDefault="00157CC9"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rsidR="00157CC9" w:rsidRPr="00992CF3" w:rsidRDefault="00157CC9"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rsidR="00157CC9" w:rsidRPr="004A61C5" w:rsidRDefault="00157CC9" w:rsidP="00825C4D">
                  <w:pPr>
                    <w:pStyle w:val="TLKontakty"/>
                    <w:spacing w:after="80" w:line="240" w:lineRule="auto"/>
                    <w:rPr>
                      <w:color w:val="auto"/>
                    </w:rPr>
                  </w:pPr>
                </w:p>
                <w:p w:rsidR="00157CC9" w:rsidRPr="00992CF3" w:rsidRDefault="00157CC9"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rsidR="00157CC9" w:rsidRPr="00992CF3" w:rsidRDefault="00157CC9"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rsidR="00157CC9" w:rsidRPr="004A61C5" w:rsidRDefault="00157CC9" w:rsidP="00825C4D">
                  <w:pPr>
                    <w:pStyle w:val="TLKontakty"/>
                    <w:spacing w:after="80" w:line="240" w:lineRule="auto"/>
                    <w:rPr>
                      <w:color w:val="auto"/>
                    </w:rPr>
                  </w:pPr>
                </w:p>
                <w:p w:rsidR="00157CC9" w:rsidRPr="00BC731E" w:rsidRDefault="00157CC9"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rsidR="00157CC9" w:rsidRPr="004A61C5" w:rsidRDefault="00157CC9"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rsidR="00157CC9" w:rsidRPr="004A61C5" w:rsidRDefault="00157CC9" w:rsidP="00825C4D">
                  <w:pPr>
                    <w:pStyle w:val="TLKontakty"/>
                    <w:spacing w:after="80" w:line="240" w:lineRule="auto"/>
                    <w:rPr>
                      <w:color w:val="auto"/>
                    </w:rPr>
                  </w:pPr>
                </w:p>
                <w:p w:rsidR="00157CC9" w:rsidRPr="004A61C5" w:rsidRDefault="00157CC9"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rsidR="00157CC9" w:rsidRPr="004A61C5" w:rsidRDefault="00157CC9"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rsidR="00157CC9" w:rsidRPr="004A61C5" w:rsidRDefault="00157CC9" w:rsidP="00825C4D">
                  <w:pPr>
                    <w:pStyle w:val="TLKontakty"/>
                    <w:spacing w:after="80" w:line="240" w:lineRule="auto"/>
                    <w:rPr>
                      <w:color w:val="auto"/>
                    </w:rPr>
                  </w:pPr>
                </w:p>
                <w:p w:rsidR="00157CC9" w:rsidRPr="004A61C5" w:rsidRDefault="00157CC9"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rsidR="00157CC9" w:rsidRPr="004A61C5" w:rsidRDefault="00157CC9"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rsidR="00157CC9" w:rsidRPr="004A61C5" w:rsidRDefault="00157CC9" w:rsidP="00825C4D">
                  <w:pPr>
                    <w:pStyle w:val="TLKontakty"/>
                    <w:spacing w:after="80" w:line="240" w:lineRule="auto"/>
                    <w:rPr>
                      <w:color w:val="auto"/>
                    </w:rPr>
                  </w:pPr>
                </w:p>
                <w:p w:rsidR="00157CC9" w:rsidRPr="004A61C5" w:rsidRDefault="00157CC9"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rsidR="00157CC9" w:rsidRPr="004A61C5" w:rsidRDefault="00157CC9"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rsidR="00157CC9" w:rsidRPr="004A61C5" w:rsidRDefault="00157CC9" w:rsidP="00825C4D">
                  <w:pPr>
                    <w:pStyle w:val="TLKontakty"/>
                    <w:spacing w:after="80" w:line="240" w:lineRule="auto"/>
                    <w:rPr>
                      <w:b w:val="0"/>
                      <w:color w:val="auto"/>
                    </w:rPr>
                  </w:pPr>
                </w:p>
                <w:p w:rsidR="00157CC9" w:rsidRPr="004A61C5" w:rsidRDefault="00157CC9"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rsidR="00157CC9" w:rsidRPr="004A61C5" w:rsidRDefault="00157CC9"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rsidR="00157CC9" w:rsidRPr="004A61C5" w:rsidRDefault="00157CC9" w:rsidP="00825C4D">
                  <w:pPr>
                    <w:pStyle w:val="TLKontakty"/>
                    <w:spacing w:after="80" w:line="240" w:lineRule="auto"/>
                    <w:rPr>
                      <w:color w:val="auto"/>
                    </w:rPr>
                  </w:pPr>
                </w:p>
                <w:p w:rsidR="00157CC9" w:rsidRPr="004A61C5" w:rsidRDefault="00157CC9"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rsidR="00157CC9" w:rsidRPr="004A61C5" w:rsidRDefault="00157CC9"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rsidR="00157CC9" w:rsidRPr="004A61C5" w:rsidRDefault="00157CC9" w:rsidP="00825C4D">
                  <w:pPr>
                    <w:pStyle w:val="TLKontakty"/>
                    <w:spacing w:after="80" w:line="240" w:lineRule="auto"/>
                    <w:rPr>
                      <w:b w:val="0"/>
                      <w:color w:val="auto"/>
                    </w:rPr>
                  </w:pPr>
                </w:p>
                <w:p w:rsidR="00157CC9" w:rsidRPr="004A61C5" w:rsidRDefault="00157CC9"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rsidR="00157CC9" w:rsidRPr="004A61C5" w:rsidRDefault="00157CC9"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rsidR="00157CC9" w:rsidRDefault="00157CC9" w:rsidP="00825C4D">
                  <w:pPr>
                    <w:pStyle w:val="TLKontakty"/>
                    <w:spacing w:after="80" w:line="240" w:lineRule="auto"/>
                  </w:pPr>
                </w:p>
                <w:p w:rsidR="00157CC9" w:rsidRPr="00BC731E" w:rsidRDefault="00157CC9"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rsidR="00157CC9" w:rsidRPr="004A61C5" w:rsidRDefault="00157CC9"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rsidR="00157CC9" w:rsidRPr="004A61C5" w:rsidRDefault="00157CC9" w:rsidP="00825C4D">
                  <w:pPr>
                    <w:pStyle w:val="TLKontakty"/>
                    <w:spacing w:after="80" w:line="240" w:lineRule="auto"/>
                    <w:rPr>
                      <w:b w:val="0"/>
                      <w:color w:val="auto"/>
                    </w:rPr>
                  </w:pPr>
                </w:p>
                <w:p w:rsidR="00157CC9" w:rsidRPr="005E7C78" w:rsidRDefault="00157CC9"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rsidR="00157CC9" w:rsidRPr="005E7C78" w:rsidRDefault="00157CC9"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rsidR="00157CC9" w:rsidRPr="005E7C78" w:rsidRDefault="00157CC9" w:rsidP="00825C4D">
                  <w:pPr>
                    <w:pStyle w:val="TLKontakty"/>
                    <w:spacing w:after="80" w:line="240" w:lineRule="auto"/>
                    <w:rPr>
                      <w:b w:val="0"/>
                      <w:color w:val="auto"/>
                    </w:rPr>
                  </w:pPr>
                </w:p>
                <w:p w:rsidR="00157CC9" w:rsidRPr="005E7C78" w:rsidRDefault="00157CC9"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rsidR="00157CC9" w:rsidRDefault="00157CC9"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rsidR="00157CC9" w:rsidRPr="005E7C78" w:rsidRDefault="00157CC9" w:rsidP="00095135">
                  <w:pPr>
                    <w:pStyle w:val="TLKontakty"/>
                    <w:spacing w:after="80" w:line="240" w:lineRule="auto"/>
                    <w:rPr>
                      <w:b w:val="0"/>
                      <w:color w:val="auto"/>
                    </w:rPr>
                  </w:pPr>
                </w:p>
                <w:p w:rsidR="00157CC9" w:rsidRPr="005E7C78" w:rsidRDefault="00157CC9"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rsidR="00157CC9" w:rsidRPr="00095135" w:rsidRDefault="00157CC9"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w:r>
      <w:r>
        <w:pict>
          <v:shape id="_x0000_s1040" type="#_x0000_t202" style="position:absolute;left:0;text-align:left;margin-left:56.7pt;margin-top:747pt;width:481.9pt;height:28.35pt;z-index:251661824;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" filled="f" stroked="f">
            <v:textbox inset="0,0,0,0">
              <w:txbxContent>
                <w:p w:rsidR="00157CC9" w:rsidRPr="00321924" w:rsidRDefault="00157CC9" w:rsidP="00A16E1D">
                  <w:pPr>
                    <w:jc w:val="left"/>
                  </w:pPr>
                  <w:r w:rsidRPr="00321924">
                    <w:br/>
                    <w:t xml:space="preserve">© Český statistický úřad, </w:t>
                  </w:r>
                  <w:r>
                    <w:t>Praha, 2018</w:t>
                  </w:r>
                </w:p>
                <w:p w:rsidR="00157CC9" w:rsidRDefault="00157CC9"/>
                <w:p w:rsidR="00157CC9" w:rsidRPr="00841D9F" w:rsidRDefault="00157CC9" w:rsidP="000A3A2C">
                  <w:r w:rsidRPr="00841D9F">
                    <w:rPr>
                      <w:szCs w:val="26"/>
                    </w:rPr>
                    <w:t>ISBN XX-XXXX-XXX-X</w:t>
                  </w:r>
                  <w:r>
                    <w:rPr>
                      <w:szCs w:val="26"/>
                    </w:rPr>
                    <w:t> </w:t>
                  </w:r>
                  <w:r w:rsidRPr="00841D9F">
                    <w:rPr>
                      <w:szCs w:val="26"/>
                    </w:rPr>
                    <w:t xml:space="preserve"> </w:t>
                  </w:r>
                  <w:r w:rsidRPr="00841D9F">
                    <w:t>(pouze u</w:t>
                  </w:r>
                  <w:r>
                    <w:t> </w:t>
                  </w:r>
                  <w:r w:rsidRPr="00841D9F">
                    <w:t>nepravidelných a ročních publikací)</w:t>
                  </w:r>
                </w:p>
                <w:p w:rsidR="00157CC9" w:rsidRPr="00AF2852" w:rsidRDefault="00157CC9"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v:textbox>
            <w10:wrap anchorx="page" anchory="page"/>
            <w10:anchorlock/>
          </v:shape>
        </w:pict>
      </w:r>
      <w:r>
        <w:pict>
          <v:shape id="_x0000_s1039" type="#_x0000_t202" style="position:absolute;left:0;text-align:left;margin-left:56.95pt;margin-top:56.95pt;width:481.85pt;height:43.75pt;z-index:25166080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" filled="f" stroked="f">
            <v:textbox style="mso-fit-shape-to-text:t" inset="0,0,0,0">
              <w:txbxContent>
                <w:p w:rsidR="00157CC9" w:rsidRPr="009A1902" w:rsidRDefault="00157CC9"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v:textbox>
            <w10:wrap anchorx="page" anchory="page"/>
            <w10:anchorlock/>
          </v:shape>
        </w:pict>
      </w:r>
    </w:p>
    <w:sdt>
      <w:sdtPr>
        <w:rPr>
          <w:b w:val="0"/>
          <w:color w:val="auto"/>
          <w:sz w:val="20"/>
        </w:rPr>
        <w:id w:val="5357999"/>
        <w:docPartObj>
          <w:docPartGallery w:val="Table of Contents"/>
          <w:docPartUnique/>
        </w:docPartObj>
      </w:sdtPr>
      <w:sdtContent>
        <w:p w:rsidR="00867DAB" w:rsidRPr="009110F7" w:rsidRDefault="00867DAB" w:rsidP="00867DAB">
          <w:pPr>
            <w:pStyle w:val="Obsah"/>
          </w:pPr>
          <w:r w:rsidRPr="009110F7">
            <w:t>Obsah</w:t>
          </w:r>
        </w:p>
        <w:p w:rsidR="008D1CA8" w:rsidRDefault="00347DD4">
          <w:pPr>
            <w:pStyle w:val="Obsah1"/>
            <w:rPr>
              <w:rFonts w:asciiTheme="minorHAnsi" w:eastAsiaTheme="minorEastAsia" w:hAnsiTheme="minorHAnsi" w:cstheme="minorBidi"/>
              <w:noProof/>
              <w:sz w:val="22"/>
              <w:szCs w:val="22"/>
            </w:rPr>
          </w:pPr>
          <w:r w:rsidRPr="009110F7">
            <w:fldChar w:fldCharType="begin"/>
          </w:r>
          <w:r w:rsidR="00867DAB" w:rsidRPr="009110F7">
            <w:instrText xml:space="preserve"> TOC \o "1-3" \h \z \u </w:instrText>
          </w:r>
          <w:r w:rsidRPr="009110F7">
            <w:fldChar w:fldCharType="separate"/>
          </w:r>
          <w:hyperlink w:anchor="_Toc532558281" w:history="1">
            <w:r w:rsidR="008D1CA8" w:rsidRPr="003E2ADC">
              <w:rPr>
                <w:rStyle w:val="Hypertextovodkaz"/>
                <w:noProof/>
              </w:rPr>
              <w:t>1. Shrnutí</w:t>
            </w:r>
            <w:r w:rsidR="008D1CA8">
              <w:rPr>
                <w:noProof/>
                <w:webHidden/>
              </w:rPr>
              <w:tab/>
            </w:r>
            <w:r>
              <w:rPr>
                <w:noProof/>
                <w:webHidden/>
              </w:rPr>
              <w:fldChar w:fldCharType="begin"/>
            </w:r>
            <w:r w:rsidR="008D1CA8">
              <w:rPr>
                <w:noProof/>
                <w:webHidden/>
              </w:rPr>
              <w:instrText xml:space="preserve"> PAGEREF _Toc532558281 \h </w:instrText>
            </w:r>
            <w:r>
              <w:rPr>
                <w:noProof/>
                <w:webHidden/>
              </w:rPr>
            </w:r>
            <w:r>
              <w:rPr>
                <w:noProof/>
                <w:webHidden/>
              </w:rPr>
              <w:fldChar w:fldCharType="separate"/>
            </w:r>
            <w:r w:rsidR="0007512B">
              <w:rPr>
                <w:noProof/>
                <w:webHidden/>
              </w:rPr>
              <w:t>4</w:t>
            </w:r>
            <w:r>
              <w:rPr>
                <w:noProof/>
                <w:webHidden/>
              </w:rPr>
              <w:fldChar w:fldCharType="end"/>
            </w:r>
          </w:hyperlink>
        </w:p>
        <w:p w:rsidR="008D1CA8" w:rsidRDefault="00347DD4">
          <w:pPr>
            <w:pStyle w:val="Obsah1"/>
            <w:rPr>
              <w:rFonts w:asciiTheme="minorHAnsi" w:eastAsiaTheme="minorEastAsia" w:hAnsiTheme="minorHAnsi" w:cstheme="minorBidi"/>
              <w:noProof/>
              <w:sz w:val="22"/>
              <w:szCs w:val="22"/>
            </w:rPr>
          </w:pPr>
          <w:hyperlink w:anchor="_Toc532558282" w:history="1">
            <w:r w:rsidR="008D1CA8" w:rsidRPr="003E2ADC">
              <w:rPr>
                <w:rStyle w:val="Hypertextovodkaz"/>
                <w:noProof/>
              </w:rPr>
              <w:t>2. Souhrnná výkonnost</w:t>
            </w:r>
            <w:r w:rsidR="008D1CA8">
              <w:rPr>
                <w:noProof/>
                <w:webHidden/>
              </w:rPr>
              <w:tab/>
            </w:r>
            <w:r>
              <w:rPr>
                <w:noProof/>
                <w:webHidden/>
              </w:rPr>
              <w:fldChar w:fldCharType="begin"/>
            </w:r>
            <w:r w:rsidR="008D1CA8">
              <w:rPr>
                <w:noProof/>
                <w:webHidden/>
              </w:rPr>
              <w:instrText xml:space="preserve"> PAGEREF _Toc532558282 \h </w:instrText>
            </w:r>
            <w:r>
              <w:rPr>
                <w:noProof/>
                <w:webHidden/>
              </w:rPr>
            </w:r>
            <w:r>
              <w:rPr>
                <w:noProof/>
                <w:webHidden/>
              </w:rPr>
              <w:fldChar w:fldCharType="separate"/>
            </w:r>
            <w:r w:rsidR="0007512B">
              <w:rPr>
                <w:noProof/>
                <w:webHidden/>
              </w:rPr>
              <w:t>5</w:t>
            </w:r>
            <w:r>
              <w:rPr>
                <w:noProof/>
                <w:webHidden/>
              </w:rPr>
              <w:fldChar w:fldCharType="end"/>
            </w:r>
          </w:hyperlink>
        </w:p>
        <w:p w:rsidR="008D1CA8" w:rsidRDefault="00347DD4">
          <w:pPr>
            <w:pStyle w:val="Obsah1"/>
            <w:rPr>
              <w:rFonts w:asciiTheme="minorHAnsi" w:eastAsiaTheme="minorEastAsia" w:hAnsiTheme="minorHAnsi" w:cstheme="minorBidi"/>
              <w:noProof/>
              <w:sz w:val="22"/>
              <w:szCs w:val="22"/>
            </w:rPr>
          </w:pPr>
          <w:hyperlink w:anchor="_Toc532558283" w:history="1">
            <w:r w:rsidR="008D1CA8" w:rsidRPr="003E2ADC">
              <w:rPr>
                <w:rStyle w:val="Hypertextovodkaz"/>
                <w:noProof/>
              </w:rPr>
              <w:t>3. Výkonnost odvětví</w:t>
            </w:r>
            <w:r w:rsidR="008D1CA8">
              <w:rPr>
                <w:noProof/>
                <w:webHidden/>
              </w:rPr>
              <w:tab/>
            </w:r>
            <w:r>
              <w:rPr>
                <w:noProof/>
                <w:webHidden/>
              </w:rPr>
              <w:fldChar w:fldCharType="begin"/>
            </w:r>
            <w:r w:rsidR="008D1CA8">
              <w:rPr>
                <w:noProof/>
                <w:webHidden/>
              </w:rPr>
              <w:instrText xml:space="preserve"> PAGEREF _Toc532558283 \h </w:instrText>
            </w:r>
            <w:r>
              <w:rPr>
                <w:noProof/>
                <w:webHidden/>
              </w:rPr>
            </w:r>
            <w:r>
              <w:rPr>
                <w:noProof/>
                <w:webHidden/>
              </w:rPr>
              <w:fldChar w:fldCharType="separate"/>
            </w:r>
            <w:r w:rsidR="0007512B">
              <w:rPr>
                <w:noProof/>
                <w:webHidden/>
              </w:rPr>
              <w:t>9</w:t>
            </w:r>
            <w:r>
              <w:rPr>
                <w:noProof/>
                <w:webHidden/>
              </w:rPr>
              <w:fldChar w:fldCharType="end"/>
            </w:r>
          </w:hyperlink>
        </w:p>
        <w:p w:rsidR="008D1CA8" w:rsidRDefault="00347DD4">
          <w:pPr>
            <w:pStyle w:val="Obsah1"/>
            <w:rPr>
              <w:rFonts w:asciiTheme="minorHAnsi" w:eastAsiaTheme="minorEastAsia" w:hAnsiTheme="minorHAnsi" w:cstheme="minorBidi"/>
              <w:noProof/>
              <w:sz w:val="22"/>
              <w:szCs w:val="22"/>
            </w:rPr>
          </w:pPr>
          <w:hyperlink w:anchor="_Toc532558284" w:history="1">
            <w:r w:rsidR="008D1CA8" w:rsidRPr="003E2ADC">
              <w:rPr>
                <w:rStyle w:val="Hypertextovodkaz"/>
                <w:noProof/>
              </w:rPr>
              <w:t>4. Vnější vztahy</w:t>
            </w:r>
            <w:r w:rsidR="008D1CA8">
              <w:rPr>
                <w:noProof/>
                <w:webHidden/>
              </w:rPr>
              <w:tab/>
            </w:r>
            <w:r>
              <w:rPr>
                <w:noProof/>
                <w:webHidden/>
              </w:rPr>
              <w:fldChar w:fldCharType="begin"/>
            </w:r>
            <w:r w:rsidR="008D1CA8">
              <w:rPr>
                <w:noProof/>
                <w:webHidden/>
              </w:rPr>
              <w:instrText xml:space="preserve"> PAGEREF _Toc532558284 \h </w:instrText>
            </w:r>
            <w:r>
              <w:rPr>
                <w:noProof/>
                <w:webHidden/>
              </w:rPr>
            </w:r>
            <w:r>
              <w:rPr>
                <w:noProof/>
                <w:webHidden/>
              </w:rPr>
              <w:fldChar w:fldCharType="separate"/>
            </w:r>
            <w:r w:rsidR="0007512B">
              <w:rPr>
                <w:noProof/>
                <w:webHidden/>
              </w:rPr>
              <w:t>15</w:t>
            </w:r>
            <w:r>
              <w:rPr>
                <w:noProof/>
                <w:webHidden/>
              </w:rPr>
              <w:fldChar w:fldCharType="end"/>
            </w:r>
          </w:hyperlink>
        </w:p>
        <w:p w:rsidR="008D1CA8" w:rsidRDefault="00347DD4">
          <w:pPr>
            <w:pStyle w:val="Obsah1"/>
            <w:rPr>
              <w:rFonts w:asciiTheme="minorHAnsi" w:eastAsiaTheme="minorEastAsia" w:hAnsiTheme="minorHAnsi" w:cstheme="minorBidi"/>
              <w:noProof/>
              <w:sz w:val="22"/>
              <w:szCs w:val="22"/>
            </w:rPr>
          </w:pPr>
          <w:hyperlink w:anchor="_Toc532558285" w:history="1">
            <w:r w:rsidR="008D1CA8" w:rsidRPr="003E2ADC">
              <w:rPr>
                <w:rStyle w:val="Hypertextovodkaz"/>
                <w:noProof/>
              </w:rPr>
              <w:t>5. Ceny</w:t>
            </w:r>
            <w:r w:rsidR="008D1CA8">
              <w:rPr>
                <w:noProof/>
                <w:webHidden/>
              </w:rPr>
              <w:tab/>
            </w:r>
            <w:r>
              <w:rPr>
                <w:noProof/>
                <w:webHidden/>
              </w:rPr>
              <w:fldChar w:fldCharType="begin"/>
            </w:r>
            <w:r w:rsidR="008D1CA8">
              <w:rPr>
                <w:noProof/>
                <w:webHidden/>
              </w:rPr>
              <w:instrText xml:space="preserve"> PAGEREF _Toc532558285 \h </w:instrText>
            </w:r>
            <w:r>
              <w:rPr>
                <w:noProof/>
                <w:webHidden/>
              </w:rPr>
            </w:r>
            <w:r>
              <w:rPr>
                <w:noProof/>
                <w:webHidden/>
              </w:rPr>
              <w:fldChar w:fldCharType="separate"/>
            </w:r>
            <w:r w:rsidR="0007512B">
              <w:rPr>
                <w:noProof/>
                <w:webHidden/>
              </w:rPr>
              <w:t>17</w:t>
            </w:r>
            <w:r>
              <w:rPr>
                <w:noProof/>
                <w:webHidden/>
              </w:rPr>
              <w:fldChar w:fldCharType="end"/>
            </w:r>
          </w:hyperlink>
        </w:p>
        <w:p w:rsidR="008D1CA8" w:rsidRDefault="00347DD4">
          <w:pPr>
            <w:pStyle w:val="Obsah1"/>
            <w:rPr>
              <w:rFonts w:asciiTheme="minorHAnsi" w:eastAsiaTheme="minorEastAsia" w:hAnsiTheme="minorHAnsi" w:cstheme="minorBidi"/>
              <w:noProof/>
              <w:sz w:val="22"/>
              <w:szCs w:val="22"/>
            </w:rPr>
          </w:pPr>
          <w:hyperlink w:anchor="_Toc532558286" w:history="1">
            <w:r w:rsidR="008D1CA8" w:rsidRPr="003E2ADC">
              <w:rPr>
                <w:rStyle w:val="Hypertextovodkaz"/>
                <w:noProof/>
              </w:rPr>
              <w:t>6. Trh práce</w:t>
            </w:r>
            <w:r w:rsidR="008D1CA8">
              <w:rPr>
                <w:noProof/>
                <w:webHidden/>
              </w:rPr>
              <w:tab/>
            </w:r>
            <w:r>
              <w:rPr>
                <w:noProof/>
                <w:webHidden/>
              </w:rPr>
              <w:fldChar w:fldCharType="begin"/>
            </w:r>
            <w:r w:rsidR="008D1CA8">
              <w:rPr>
                <w:noProof/>
                <w:webHidden/>
              </w:rPr>
              <w:instrText xml:space="preserve"> PAGEREF _Toc532558286 \h </w:instrText>
            </w:r>
            <w:r>
              <w:rPr>
                <w:noProof/>
                <w:webHidden/>
              </w:rPr>
            </w:r>
            <w:r>
              <w:rPr>
                <w:noProof/>
                <w:webHidden/>
              </w:rPr>
              <w:fldChar w:fldCharType="separate"/>
            </w:r>
            <w:r w:rsidR="0007512B">
              <w:rPr>
                <w:noProof/>
                <w:webHidden/>
              </w:rPr>
              <w:t>21</w:t>
            </w:r>
            <w:r>
              <w:rPr>
                <w:noProof/>
                <w:webHidden/>
              </w:rPr>
              <w:fldChar w:fldCharType="end"/>
            </w:r>
          </w:hyperlink>
        </w:p>
        <w:p w:rsidR="008D1CA8" w:rsidRDefault="00347DD4">
          <w:pPr>
            <w:pStyle w:val="Obsah1"/>
            <w:rPr>
              <w:rFonts w:asciiTheme="minorHAnsi" w:eastAsiaTheme="minorEastAsia" w:hAnsiTheme="minorHAnsi" w:cstheme="minorBidi"/>
              <w:noProof/>
              <w:sz w:val="22"/>
              <w:szCs w:val="22"/>
            </w:rPr>
          </w:pPr>
          <w:hyperlink w:anchor="_Toc532558287" w:history="1">
            <w:r w:rsidR="008D1CA8" w:rsidRPr="003E2ADC">
              <w:rPr>
                <w:rStyle w:val="Hypertextovodkaz"/>
                <w:noProof/>
              </w:rPr>
              <w:t>7. Měnové podmínky</w:t>
            </w:r>
            <w:r w:rsidR="008D1CA8">
              <w:rPr>
                <w:noProof/>
                <w:webHidden/>
              </w:rPr>
              <w:tab/>
            </w:r>
            <w:r>
              <w:rPr>
                <w:noProof/>
                <w:webHidden/>
              </w:rPr>
              <w:fldChar w:fldCharType="begin"/>
            </w:r>
            <w:r w:rsidR="008D1CA8">
              <w:rPr>
                <w:noProof/>
                <w:webHidden/>
              </w:rPr>
              <w:instrText xml:space="preserve"> PAGEREF _Toc532558287 \h </w:instrText>
            </w:r>
            <w:r>
              <w:rPr>
                <w:noProof/>
                <w:webHidden/>
              </w:rPr>
            </w:r>
            <w:r>
              <w:rPr>
                <w:noProof/>
                <w:webHidden/>
              </w:rPr>
              <w:fldChar w:fldCharType="separate"/>
            </w:r>
            <w:r w:rsidR="0007512B">
              <w:rPr>
                <w:noProof/>
                <w:webHidden/>
              </w:rPr>
              <w:t>25</w:t>
            </w:r>
            <w:r>
              <w:rPr>
                <w:noProof/>
                <w:webHidden/>
              </w:rPr>
              <w:fldChar w:fldCharType="end"/>
            </w:r>
          </w:hyperlink>
        </w:p>
        <w:p w:rsidR="008D1CA8" w:rsidRDefault="00347DD4">
          <w:pPr>
            <w:pStyle w:val="Obsah1"/>
            <w:rPr>
              <w:rFonts w:asciiTheme="minorHAnsi" w:eastAsiaTheme="minorEastAsia" w:hAnsiTheme="minorHAnsi" w:cstheme="minorBidi"/>
              <w:noProof/>
              <w:sz w:val="22"/>
              <w:szCs w:val="22"/>
            </w:rPr>
          </w:pPr>
          <w:hyperlink w:anchor="_Toc532558288" w:history="1">
            <w:r w:rsidR="008D1CA8" w:rsidRPr="003E2ADC">
              <w:rPr>
                <w:rStyle w:val="Hypertextovodkaz"/>
                <w:noProof/>
              </w:rPr>
              <w:t>8. Státní rozpočet</w:t>
            </w:r>
            <w:r w:rsidR="008D1CA8">
              <w:rPr>
                <w:noProof/>
                <w:webHidden/>
              </w:rPr>
              <w:tab/>
            </w:r>
            <w:r>
              <w:rPr>
                <w:noProof/>
                <w:webHidden/>
              </w:rPr>
              <w:fldChar w:fldCharType="begin"/>
            </w:r>
            <w:r w:rsidR="008D1CA8">
              <w:rPr>
                <w:noProof/>
                <w:webHidden/>
              </w:rPr>
              <w:instrText xml:space="preserve"> PAGEREF _Toc532558288 \h </w:instrText>
            </w:r>
            <w:r>
              <w:rPr>
                <w:noProof/>
                <w:webHidden/>
              </w:rPr>
            </w:r>
            <w:r>
              <w:rPr>
                <w:noProof/>
                <w:webHidden/>
              </w:rPr>
              <w:fldChar w:fldCharType="separate"/>
            </w:r>
            <w:r w:rsidR="0007512B">
              <w:rPr>
                <w:noProof/>
                <w:webHidden/>
              </w:rPr>
              <w:t>27</w:t>
            </w:r>
            <w:r>
              <w:rPr>
                <w:noProof/>
                <w:webHidden/>
              </w:rPr>
              <w:fldChar w:fldCharType="end"/>
            </w:r>
          </w:hyperlink>
        </w:p>
        <w:p w:rsidR="00867DAB" w:rsidRPr="009110F7" w:rsidRDefault="00347DD4">
          <w:r w:rsidRPr="009110F7">
            <w:fldChar w:fldCharType="end"/>
          </w:r>
        </w:p>
      </w:sdtContent>
    </w:sdt>
    <w:p w:rsidR="00003F5C" w:rsidRPr="009110F7" w:rsidRDefault="00003F5C" w:rsidP="00003F5C">
      <w:pPr>
        <w:pStyle w:val="Textpoznpodarou"/>
        <w:jc w:val="both"/>
        <w:rPr>
          <w:rFonts w:cs="Arial"/>
          <w:color w:val="000000"/>
        </w:rPr>
      </w:pPr>
    </w:p>
    <w:p w:rsidR="00003F5C" w:rsidRPr="009110F7" w:rsidRDefault="00003F5C" w:rsidP="00003F5C">
      <w:pPr>
        <w:pStyle w:val="Textpoznpodarou"/>
        <w:jc w:val="both"/>
        <w:rPr>
          <w:rFonts w:cs="Arial"/>
          <w:color w:val="000000"/>
        </w:rPr>
      </w:pPr>
    </w:p>
    <w:p w:rsidR="00003F5C" w:rsidRPr="009110F7" w:rsidRDefault="00003F5C" w:rsidP="00003F5C">
      <w:pPr>
        <w:pStyle w:val="Textpoznpodarou"/>
        <w:jc w:val="both"/>
        <w:rPr>
          <w:rFonts w:cs="Arial"/>
          <w:color w:val="000000"/>
        </w:rPr>
      </w:pPr>
    </w:p>
    <w:p w:rsidR="00003F5C" w:rsidRPr="009110F7" w:rsidRDefault="00003F5C" w:rsidP="00003F5C">
      <w:pPr>
        <w:pStyle w:val="Textpoznpodarou"/>
        <w:jc w:val="both"/>
        <w:rPr>
          <w:rFonts w:cs="Arial"/>
          <w:color w:val="000000"/>
        </w:rPr>
      </w:pPr>
    </w:p>
    <w:p w:rsidR="00003F5C" w:rsidRPr="009110F7" w:rsidRDefault="00003F5C" w:rsidP="00003F5C">
      <w:pPr>
        <w:pStyle w:val="Textpoznpodarou"/>
        <w:jc w:val="both"/>
        <w:rPr>
          <w:rFonts w:cs="Arial"/>
          <w:color w:val="000000"/>
        </w:rPr>
      </w:pPr>
    </w:p>
    <w:p w:rsidR="00003F5C" w:rsidRPr="009110F7" w:rsidRDefault="00003F5C" w:rsidP="00003F5C">
      <w:pPr>
        <w:pStyle w:val="Textpoznpodarou"/>
        <w:jc w:val="both"/>
        <w:rPr>
          <w:rFonts w:cs="Arial"/>
          <w:color w:val="000000"/>
        </w:rPr>
      </w:pPr>
    </w:p>
    <w:p w:rsidR="00003F5C" w:rsidRPr="009110F7" w:rsidRDefault="00003F5C" w:rsidP="00003F5C">
      <w:pPr>
        <w:pStyle w:val="Textpoznpodarou"/>
        <w:jc w:val="both"/>
        <w:rPr>
          <w:rFonts w:cs="Arial"/>
          <w:color w:val="000000"/>
        </w:rPr>
      </w:pPr>
      <w:r w:rsidRPr="009110F7">
        <w:rPr>
          <w:rFonts w:cs="Arial"/>
          <w:color w:val="000000"/>
        </w:rPr>
        <w:t>Zdroje dat v celé analýze: ČSÚ, MF</w:t>
      </w:r>
      <w:r w:rsidR="00A45489" w:rsidRPr="009110F7">
        <w:rPr>
          <w:rFonts w:cs="Arial"/>
          <w:color w:val="000000"/>
        </w:rPr>
        <w:t> </w:t>
      </w:r>
      <w:r w:rsidRPr="009110F7">
        <w:rPr>
          <w:rFonts w:cs="Arial"/>
          <w:color w:val="000000"/>
        </w:rPr>
        <w:t xml:space="preserve">ČR, ČNB, MPSV, ČSSZ, </w:t>
      </w:r>
      <w:proofErr w:type="spellStart"/>
      <w:r w:rsidRPr="009110F7">
        <w:rPr>
          <w:rFonts w:cs="Arial"/>
          <w:color w:val="000000"/>
        </w:rPr>
        <w:t>Eurostat</w:t>
      </w:r>
      <w:proofErr w:type="spellEnd"/>
      <w:r w:rsidRPr="009110F7">
        <w:rPr>
          <w:rFonts w:cs="Arial"/>
          <w:color w:val="000000"/>
        </w:rPr>
        <w:t>, propočty ČSÚ.</w:t>
      </w:r>
    </w:p>
    <w:p w:rsidR="00003F5C" w:rsidRPr="009110F7" w:rsidRDefault="00003F5C" w:rsidP="00003F5C">
      <w:pPr>
        <w:pStyle w:val="Textpoznpodarou"/>
        <w:jc w:val="both"/>
        <w:rPr>
          <w:rFonts w:cs="Arial"/>
          <w:color w:val="000000"/>
        </w:rPr>
      </w:pPr>
      <w:r w:rsidRPr="009110F7">
        <w:rPr>
          <w:rFonts w:cs="Arial"/>
          <w:color w:val="000000"/>
        </w:rPr>
        <w:t xml:space="preserve">Poslední informace uváděné v této publikaci pocházejí </w:t>
      </w:r>
      <w:r w:rsidR="00716F48" w:rsidRPr="009110F7">
        <w:rPr>
          <w:rFonts w:cs="Arial"/>
          <w:color w:val="000000"/>
        </w:rPr>
        <w:t>z</w:t>
      </w:r>
      <w:r w:rsidR="00A45489" w:rsidRPr="009110F7">
        <w:rPr>
          <w:rFonts w:cs="Arial"/>
          <w:color w:val="000000"/>
        </w:rPr>
        <w:t>e</w:t>
      </w:r>
      <w:r w:rsidR="00716F48" w:rsidRPr="009110F7">
        <w:rPr>
          <w:rFonts w:cs="Arial"/>
          <w:color w:val="000000"/>
        </w:rPr>
        <w:t> </w:t>
      </w:r>
      <w:r w:rsidRPr="009110F7">
        <w:rPr>
          <w:rFonts w:cs="Arial"/>
          <w:color w:val="000000"/>
        </w:rPr>
        <w:t>1</w:t>
      </w:r>
      <w:r w:rsidR="00716F48" w:rsidRPr="009110F7">
        <w:rPr>
          <w:rFonts w:cs="Arial"/>
          <w:color w:val="000000"/>
        </w:rPr>
        <w:t>4. </w:t>
      </w:r>
      <w:r w:rsidR="00E54698">
        <w:rPr>
          <w:rFonts w:cs="Arial"/>
          <w:color w:val="000000"/>
        </w:rPr>
        <w:t>prosince</w:t>
      </w:r>
      <w:r w:rsidRPr="009110F7">
        <w:rPr>
          <w:rFonts w:cs="Arial"/>
          <w:color w:val="000000"/>
        </w:rPr>
        <w:t xml:space="preserve"> 2018.</w:t>
      </w:r>
    </w:p>
    <w:p w:rsidR="00EE4B1B" w:rsidRPr="000350C8" w:rsidRDefault="00087F2B" w:rsidP="001554C2">
      <w:pPr>
        <w:pStyle w:val="Nadpis11"/>
      </w:pPr>
      <w:r w:rsidRPr="009110F7">
        <w:br w:type="page"/>
      </w:r>
      <w:bookmarkStart w:id="0" w:name="_Toc444112494"/>
      <w:bookmarkStart w:id="1" w:name="_Toc511215208"/>
      <w:r w:rsidR="001554C2" w:rsidRPr="009110F7">
        <w:lastRenderedPageBreak/>
        <w:t xml:space="preserve"> </w:t>
      </w:r>
      <w:bookmarkStart w:id="2" w:name="_Toc532558281"/>
      <w:r w:rsidR="001554C2" w:rsidRPr="000350C8">
        <w:t>1. Shrnutí</w:t>
      </w:r>
      <w:bookmarkEnd w:id="0"/>
      <w:bookmarkEnd w:id="1"/>
      <w:bookmarkEnd w:id="2"/>
    </w:p>
    <w:p w:rsidR="004B7125" w:rsidRPr="000350C8" w:rsidRDefault="00385086" w:rsidP="006B0514">
      <w:pPr>
        <w:pStyle w:val="Normalodrka"/>
        <w:spacing w:after="100"/>
        <w:rPr>
          <w:spacing w:val="2"/>
        </w:rPr>
      </w:pPr>
      <w:r w:rsidRPr="000350C8">
        <w:t xml:space="preserve">Meziroční růst hrubého domácího produktu (HDP) </w:t>
      </w:r>
      <w:r w:rsidR="0026120E" w:rsidRPr="000350C8">
        <w:t xml:space="preserve">ve 3. čtvrtletí 2018 </w:t>
      </w:r>
      <w:r w:rsidRPr="000350C8">
        <w:t>setrval na hodnotě 2,4 %</w:t>
      </w:r>
      <w:r w:rsidR="00670489" w:rsidRPr="000350C8">
        <w:rPr>
          <w:rStyle w:val="Znakapoznpodarou"/>
          <w:spacing w:val="-4"/>
          <w:szCs w:val="20"/>
        </w:rPr>
        <w:footnoteReference w:id="1"/>
      </w:r>
      <w:r w:rsidRPr="000350C8">
        <w:t>. Podobně jako v </w:t>
      </w:r>
      <w:r w:rsidR="0026120E" w:rsidRPr="000350C8">
        <w:t>předchozím</w:t>
      </w:r>
      <w:r w:rsidRPr="000350C8">
        <w:t xml:space="preserve"> </w:t>
      </w:r>
      <w:r w:rsidR="0026120E" w:rsidRPr="000350C8">
        <w:t xml:space="preserve">kvartálu </w:t>
      </w:r>
      <w:r w:rsidRPr="000350C8">
        <w:t xml:space="preserve">dynamiku táhla silná domácí poptávka. Výrazně rostly výdaje na spotřebu domácností i </w:t>
      </w:r>
      <w:r w:rsidR="00FE6E69">
        <w:t>sektoru vládních</w:t>
      </w:r>
      <w:r w:rsidRPr="000350C8">
        <w:t xml:space="preserve"> </w:t>
      </w:r>
      <w:r w:rsidR="00FE6E69">
        <w:t>institucí</w:t>
      </w:r>
      <w:r w:rsidRPr="000350C8">
        <w:t xml:space="preserve">. </w:t>
      </w:r>
      <w:r w:rsidR="0026120E" w:rsidRPr="000350C8">
        <w:t xml:space="preserve">Silný impulz domácí poptávce dávala i investiční aktivita. Na </w:t>
      </w:r>
      <w:r w:rsidR="00415A57">
        <w:t>druhé straně</w:t>
      </w:r>
      <w:r w:rsidR="0026120E" w:rsidRPr="000350C8">
        <w:t xml:space="preserve"> část tohoto nárůstu stimulovala i dovoz, což následně snižovalo přebytek bilance zahraničního obchodu. Oproti předchozímu čtvrtletí</w:t>
      </w:r>
      <w:r w:rsidR="00670489" w:rsidRPr="000350C8">
        <w:t xml:space="preserve"> se HDP zvýšil o 0,6 %. V Evropské unii pokračovalo zpomalování dynamiky, když meziroční nárůst HDP činil 1,9 %.</w:t>
      </w:r>
      <w:r w:rsidR="000350C8" w:rsidRPr="000350C8">
        <w:t xml:space="preserve"> Hrubá přidaná hodnota se meziročně zvýšila o</w:t>
      </w:r>
      <w:r w:rsidR="000350C8">
        <w:t xml:space="preserve"> 2,4 %. Její dynamiku ovlivnil zejména </w:t>
      </w:r>
      <w:r w:rsidR="00FE6E69">
        <w:t>zpomalení růstu</w:t>
      </w:r>
      <w:r w:rsidR="000350C8">
        <w:t xml:space="preserve"> ve zpracovatelském průmyslu. Odvětví služeb setrvala v poměrně silném růstu. Naopak zrychlil růst produkce ve stavebnictví.</w:t>
      </w:r>
    </w:p>
    <w:p w:rsidR="00352B43" w:rsidRPr="000350C8" w:rsidRDefault="00DB5E9A" w:rsidP="006B0514">
      <w:pPr>
        <w:pStyle w:val="Normalodrka"/>
        <w:spacing w:after="100"/>
      </w:pPr>
      <w:r w:rsidRPr="000350C8">
        <w:t>Meziroční dynamika z</w:t>
      </w:r>
      <w:r w:rsidR="00BE24DD" w:rsidRPr="000350C8">
        <w:t>ahraniční</w:t>
      </w:r>
      <w:r w:rsidRPr="000350C8">
        <w:t>ho</w:t>
      </w:r>
      <w:r w:rsidR="00BE24DD" w:rsidRPr="000350C8">
        <w:t xml:space="preserve"> obchod</w:t>
      </w:r>
      <w:r w:rsidRPr="000350C8">
        <w:t>u</w:t>
      </w:r>
      <w:r w:rsidR="00BE24DD" w:rsidRPr="000350C8">
        <w:t xml:space="preserve"> se zbožím</w:t>
      </w:r>
      <w:r w:rsidRPr="000350C8">
        <w:t xml:space="preserve"> </w:t>
      </w:r>
      <w:r w:rsidR="009A64F5" w:rsidRPr="000350C8">
        <w:t xml:space="preserve">byla </w:t>
      </w:r>
      <w:r w:rsidRPr="000350C8">
        <w:t>ve 3. čtvrtletí silnější než v 1. pololetí. Hodnota vývozu vzrostla o 5,7 % (46,</w:t>
      </w:r>
      <w:r w:rsidR="008006B3" w:rsidRPr="000350C8">
        <w:t>6</w:t>
      </w:r>
      <w:r w:rsidRPr="000350C8">
        <w:t xml:space="preserve"> mld. korun).</w:t>
      </w:r>
      <w:r w:rsidR="002F351A" w:rsidRPr="000350C8">
        <w:t xml:space="preserve"> Pokles vývozu motorových vozidel, který lze sledovat od počátku roku</w:t>
      </w:r>
      <w:r w:rsidR="009A64F5">
        <w:t>,</w:t>
      </w:r>
      <w:r w:rsidR="002F351A" w:rsidRPr="000350C8">
        <w:t xml:space="preserve"> pokračoval. Naopak stále sílil vývoz počítačů, elektrických a optických přístrojů. Od počátku roku </w:t>
      </w:r>
      <w:r w:rsidR="00445A8E" w:rsidRPr="000350C8">
        <w:t xml:space="preserve">však </w:t>
      </w:r>
      <w:r w:rsidR="002F351A" w:rsidRPr="000350C8">
        <w:t xml:space="preserve">oslabuje dynamika vývozu do Německa. </w:t>
      </w:r>
      <w:r w:rsidR="00352B43" w:rsidRPr="000350C8">
        <w:t>Hodnota dovozu rostla od počátku roku rychleji než vývoz</w:t>
      </w:r>
      <w:r w:rsidR="00445A8E" w:rsidRPr="000350C8">
        <w:t>.</w:t>
      </w:r>
      <w:r w:rsidR="00352B43" w:rsidRPr="000350C8">
        <w:t xml:space="preserve"> To vedlo i k meziročnímu oslabení přebytku bilance zahraničního obchodu o 36,3 mld. </w:t>
      </w:r>
      <w:r w:rsidR="009A64F5">
        <w:t xml:space="preserve">korun </w:t>
      </w:r>
      <w:r w:rsidR="00352B43" w:rsidRPr="000350C8">
        <w:t>od začátku roku.</w:t>
      </w:r>
    </w:p>
    <w:p w:rsidR="00670489" w:rsidRDefault="001200CF" w:rsidP="006B0514">
      <w:pPr>
        <w:pStyle w:val="Normalodrka"/>
        <w:spacing w:after="100"/>
      </w:pPr>
      <w:r w:rsidRPr="000350C8">
        <w:t>Spotřebitelské ceny ve 3. čtvrtletí meziročně vzrostly o</w:t>
      </w:r>
      <w:r w:rsidR="00706AA0" w:rsidRPr="000350C8">
        <w:t xml:space="preserve"> 2,4 %</w:t>
      </w:r>
      <w:r w:rsidR="00445861" w:rsidRPr="000350C8">
        <w:t xml:space="preserve"> a </w:t>
      </w:r>
      <w:r w:rsidR="00B7680F">
        <w:t xml:space="preserve">jejich růst </w:t>
      </w:r>
      <w:r w:rsidR="00445861" w:rsidRPr="000350C8">
        <w:t>oproti počátku roku zrychlil</w:t>
      </w:r>
      <w:r w:rsidR="00706AA0" w:rsidRPr="000350C8">
        <w:t xml:space="preserve">. Rostly zejména ceny bydlení a energií, které jsou hlavním faktorem ovlivňujícím ceny spotřebitelů v letošním roce. Posílil i vliv cen dopravy, které reagovaly na meziroční zvýšení cen ropy. </w:t>
      </w:r>
      <w:r w:rsidR="007E78B6" w:rsidRPr="000350C8">
        <w:t>Sezónní vl</w:t>
      </w:r>
      <w:r w:rsidR="00CC6FE5">
        <w:t>ivy posílily i růst cen rekreací</w:t>
      </w:r>
      <w:r w:rsidR="007E78B6" w:rsidRPr="000350C8">
        <w:t xml:space="preserve"> a kultury. Naopak ceny potravin stagnovaly a jejich příspěvek k růstu celkového indexu</w:t>
      </w:r>
      <w:r w:rsidR="007E78B6">
        <w:t xml:space="preserve"> se výrazně zredukoval.</w:t>
      </w:r>
      <w:r w:rsidR="00445861">
        <w:t xml:space="preserve"> Spotřebitelské ceny v EU rovněž zrychlily meziroční růst. </w:t>
      </w:r>
      <w:r w:rsidR="00B7680F">
        <w:t>U </w:t>
      </w:r>
      <w:r w:rsidR="00445861">
        <w:t xml:space="preserve">cen výrobců se ještě výrazněji projevovalo zdražení ropy. Růst cen průmyslových výrobců </w:t>
      </w:r>
      <w:r w:rsidR="006C0C5D">
        <w:t xml:space="preserve">tak </w:t>
      </w:r>
      <w:r w:rsidR="00445861">
        <w:t>ve 3</w:t>
      </w:r>
      <w:r w:rsidR="00B7680F">
        <w:t>. </w:t>
      </w:r>
      <w:r w:rsidR="00445861">
        <w:t>čtvrtletí zrychlil na 3,3 %</w:t>
      </w:r>
      <w:r w:rsidR="006C0C5D">
        <w:t xml:space="preserve">. </w:t>
      </w:r>
      <w:r w:rsidR="006C0C5D" w:rsidRPr="00FB7DBB">
        <w:t>Poprvé od 2. čtvrtletí 2017 rostly ceny vývozu a dovozu.</w:t>
      </w:r>
    </w:p>
    <w:p w:rsidR="00FB7DBB" w:rsidRPr="00FB7DBB" w:rsidRDefault="00FB7DBB" w:rsidP="006B0514">
      <w:pPr>
        <w:pStyle w:val="Normalodrka"/>
        <w:spacing w:after="100"/>
      </w:pPr>
      <w:r w:rsidRPr="000350C8">
        <w:rPr>
          <w:spacing w:val="-2"/>
        </w:rPr>
        <w:t>Zatímco v 1. i 2. čtvrtletí počet pracovníků</w:t>
      </w:r>
      <w:r w:rsidRPr="00D175A7">
        <w:rPr>
          <w:rStyle w:val="Znakapoznpodarou"/>
          <w:color w:val="0D0D0D" w:themeColor="text1" w:themeTint="F2"/>
          <w:spacing w:val="-2"/>
        </w:rPr>
        <w:footnoteReference w:id="2"/>
      </w:r>
      <w:r w:rsidRPr="000350C8">
        <w:rPr>
          <w:spacing w:val="-2"/>
        </w:rPr>
        <w:t xml:space="preserve"> v ekonomice mezičtvrtletně rostl o 0,6 %, ve 3. čtvrtletí již stagnoval. V letním období se rovněž zastavil pokles obecné míry nezaměstnanosti. Silná poptávka </w:t>
      </w:r>
      <w:r w:rsidR="00B7680F">
        <w:rPr>
          <w:spacing w:val="-2"/>
        </w:rPr>
        <w:t xml:space="preserve">po </w:t>
      </w:r>
      <w:r w:rsidRPr="000350C8">
        <w:rPr>
          <w:spacing w:val="-2"/>
        </w:rPr>
        <w:t xml:space="preserve">pracovní síle </w:t>
      </w:r>
      <w:r w:rsidR="007D2E18" w:rsidRPr="000350C8">
        <w:rPr>
          <w:spacing w:val="-2"/>
        </w:rPr>
        <w:t xml:space="preserve">ale </w:t>
      </w:r>
      <w:r w:rsidRPr="000350C8">
        <w:rPr>
          <w:spacing w:val="-2"/>
        </w:rPr>
        <w:t xml:space="preserve">nepolevovala </w:t>
      </w:r>
      <w:r w:rsidR="00B7680F" w:rsidRPr="000350C8">
        <w:rPr>
          <w:spacing w:val="-2"/>
        </w:rPr>
        <w:t>a</w:t>
      </w:r>
      <w:r w:rsidR="00B7680F">
        <w:rPr>
          <w:spacing w:val="-2"/>
        </w:rPr>
        <w:t> </w:t>
      </w:r>
      <w:r w:rsidRPr="000350C8">
        <w:rPr>
          <w:spacing w:val="-2"/>
        </w:rPr>
        <w:t xml:space="preserve">dostupné zdroje pracovní síly ji nedokázaly uspokojit, což pociťovaly jako bariéru růstu podniky napříč odvětvími ekonomiky. </w:t>
      </w:r>
      <w:r w:rsidRPr="000350C8">
        <w:rPr>
          <w:rFonts w:cs="Arial"/>
          <w:color w:val="0D0D0D" w:themeColor="text1" w:themeTint="F2"/>
          <w:spacing w:val="-4"/>
        </w:rPr>
        <w:t>Počet volných pracovních pozic v nabídce úřadů práce</w:t>
      </w:r>
      <w:r w:rsidR="007D2E18" w:rsidRPr="000350C8">
        <w:rPr>
          <w:rFonts w:cs="Arial"/>
          <w:color w:val="0D0D0D" w:themeColor="text1" w:themeTint="F2"/>
          <w:spacing w:val="-4"/>
        </w:rPr>
        <w:t xml:space="preserve"> rostl navzdory sezónním vlivům </w:t>
      </w:r>
      <w:r w:rsidRPr="000350C8">
        <w:rPr>
          <w:rFonts w:cs="Arial"/>
          <w:color w:val="0D0D0D" w:themeColor="text1" w:themeTint="F2"/>
          <w:spacing w:val="-4"/>
        </w:rPr>
        <w:t xml:space="preserve">nepřetržitě již 22 měsíců. Na konci září 2018 vyšplhal na rekordních 316 tis. míst. Na jedno volné místo </w:t>
      </w:r>
      <w:r w:rsidR="007D2E18" w:rsidRPr="000350C8">
        <w:rPr>
          <w:rFonts w:cs="Arial"/>
          <w:color w:val="0D0D0D" w:themeColor="text1" w:themeTint="F2"/>
          <w:spacing w:val="-4"/>
        </w:rPr>
        <w:t xml:space="preserve">připadalo </w:t>
      </w:r>
      <w:r w:rsidRPr="000350C8">
        <w:rPr>
          <w:rFonts w:cs="Arial"/>
          <w:color w:val="0D0D0D" w:themeColor="text1" w:themeTint="F2"/>
          <w:spacing w:val="-4"/>
        </w:rPr>
        <w:t>0,7 uchazeče</w:t>
      </w:r>
      <w:r w:rsidR="00B7680F">
        <w:rPr>
          <w:rFonts w:cs="Arial"/>
          <w:color w:val="0D0D0D" w:themeColor="text1" w:themeTint="F2"/>
          <w:spacing w:val="-4"/>
        </w:rPr>
        <w:t>.</w:t>
      </w:r>
      <w:r w:rsidR="00B7680F" w:rsidRPr="000350C8">
        <w:rPr>
          <w:rFonts w:cs="Arial"/>
          <w:color w:val="0D0D0D" w:themeColor="text1" w:themeTint="F2"/>
          <w:spacing w:val="-4"/>
        </w:rPr>
        <w:t xml:space="preserve"> </w:t>
      </w:r>
      <w:r w:rsidRPr="000350C8">
        <w:rPr>
          <w:rFonts w:cs="Arial"/>
          <w:color w:val="0D0D0D" w:themeColor="text1" w:themeTint="F2"/>
          <w:spacing w:val="-4"/>
        </w:rPr>
        <w:t xml:space="preserve">Mezi kraji byl mírný převis uchazečů registrován pouze na Ústecku (1,8) </w:t>
      </w:r>
      <w:r w:rsidR="00B7680F" w:rsidRPr="000350C8">
        <w:rPr>
          <w:rFonts w:cs="Arial"/>
          <w:color w:val="0D0D0D" w:themeColor="text1" w:themeTint="F2"/>
          <w:spacing w:val="-4"/>
        </w:rPr>
        <w:t>a</w:t>
      </w:r>
      <w:r w:rsidR="00B7680F">
        <w:rPr>
          <w:rFonts w:cs="Arial"/>
          <w:color w:val="0D0D0D" w:themeColor="text1" w:themeTint="F2"/>
          <w:spacing w:val="-4"/>
        </w:rPr>
        <w:t> </w:t>
      </w:r>
      <w:proofErr w:type="spellStart"/>
      <w:r w:rsidRPr="000350C8">
        <w:rPr>
          <w:rFonts w:cs="Arial"/>
          <w:color w:val="0D0D0D" w:themeColor="text1" w:themeTint="F2"/>
          <w:spacing w:val="-4"/>
        </w:rPr>
        <w:t>Moravskoslezsku</w:t>
      </w:r>
      <w:proofErr w:type="spellEnd"/>
      <w:r w:rsidRPr="000350C8">
        <w:rPr>
          <w:rFonts w:cs="Arial"/>
          <w:color w:val="0D0D0D" w:themeColor="text1" w:themeTint="F2"/>
          <w:spacing w:val="-4"/>
        </w:rPr>
        <w:t xml:space="preserve"> (2,2).</w:t>
      </w:r>
      <w:r w:rsidRPr="000350C8">
        <w:rPr>
          <w:spacing w:val="-2"/>
        </w:rPr>
        <w:t xml:space="preserve"> </w:t>
      </w:r>
      <w:r w:rsidRPr="000350C8">
        <w:rPr>
          <w:rFonts w:cs="Arial"/>
          <w:color w:val="0D0D0D" w:themeColor="text1" w:themeTint="F2"/>
          <w:spacing w:val="-4"/>
        </w:rPr>
        <w:t xml:space="preserve">Průměrná mzda rostla </w:t>
      </w:r>
      <w:r w:rsidR="00EA2841">
        <w:rPr>
          <w:rFonts w:cs="Arial"/>
          <w:color w:val="0D0D0D" w:themeColor="text1" w:themeTint="F2"/>
          <w:spacing w:val="-4"/>
        </w:rPr>
        <w:t>za tři čtvrtletí meziročně o 8,6</w:t>
      </w:r>
      <w:r w:rsidRPr="000350C8">
        <w:rPr>
          <w:rFonts w:cs="Arial"/>
          <w:color w:val="0D0D0D" w:themeColor="text1" w:themeTint="F2"/>
          <w:spacing w:val="-4"/>
        </w:rPr>
        <w:t xml:space="preserve"> %, její těžiště spočívalo v odvětvích s dominancí veřejného sektoru. Mzdová diferenciace mezi odvětvími či regiony se dále mírně snižovala.</w:t>
      </w:r>
      <w:r w:rsidRPr="000350C8">
        <w:rPr>
          <w:color w:val="0D0D0D" w:themeColor="text1" w:themeTint="F2"/>
          <w:spacing w:val="-4"/>
        </w:rPr>
        <w:t xml:space="preserve"> Růst kupní síly mezd se oproti loňsku téměř zdvojnásobil (na rekordních 6,3 %).</w:t>
      </w:r>
      <w:r w:rsidR="000350C8">
        <w:rPr>
          <w:color w:val="0D0D0D" w:themeColor="text1" w:themeTint="F2"/>
          <w:spacing w:val="-4"/>
        </w:rPr>
        <w:t xml:space="preserve"> </w:t>
      </w:r>
    </w:p>
    <w:p w:rsidR="00D922A1" w:rsidRDefault="007B5725" w:rsidP="007E78B6">
      <w:pPr>
        <w:pStyle w:val="Normalodrka"/>
        <w:spacing w:after="100"/>
      </w:pPr>
      <w:r>
        <w:t xml:space="preserve">Změny měnových podmínek pokračovaly v zaběhnutém kurzu. ČNB nadále zvyšovala základní </w:t>
      </w:r>
      <w:proofErr w:type="spellStart"/>
      <w:r>
        <w:t>měnověpolitické</w:t>
      </w:r>
      <w:proofErr w:type="spellEnd"/>
      <w:r>
        <w:t xml:space="preserve"> sazby</w:t>
      </w:r>
      <w:r w:rsidR="008458BD">
        <w:t>, což vedlo ke změnám na mezibankovním trhu, klientské sazby na běžných účtech však zůstaly na technické nule. Mírně se zvýšily úrokové sazby na termínovaných vkladech, což po několika letech propadů oživilo zájem o ně.</w:t>
      </w:r>
      <w:r w:rsidR="00BB02A3">
        <w:t xml:space="preserve"> Pokračoval postupný růst úrokových sazeb na úvěrech domácnostem i podnikům.</w:t>
      </w:r>
    </w:p>
    <w:p w:rsidR="0060513F" w:rsidRPr="0060513F" w:rsidRDefault="00034E68" w:rsidP="0060513F">
      <w:pPr>
        <w:pStyle w:val="Normalodrka"/>
        <w:rPr>
          <w:rFonts w:cs="Arial"/>
          <w:color w:val="0D0D0D" w:themeColor="text1" w:themeTint="F2"/>
          <w:spacing w:val="-2"/>
        </w:rPr>
      </w:pPr>
      <w:r w:rsidRPr="0060513F">
        <w:rPr>
          <w:rFonts w:cs="Arial"/>
          <w:spacing w:val="-4"/>
          <w:szCs w:val="20"/>
        </w:rPr>
        <w:t>S</w:t>
      </w:r>
      <w:r w:rsidR="0060513F">
        <w:rPr>
          <w:rFonts w:cs="Arial"/>
          <w:spacing w:val="-4"/>
          <w:szCs w:val="20"/>
        </w:rPr>
        <w:t>aldo hospodaření s</w:t>
      </w:r>
      <w:r w:rsidRPr="0060513F">
        <w:rPr>
          <w:rFonts w:cs="Arial"/>
          <w:spacing w:val="-4"/>
          <w:szCs w:val="20"/>
        </w:rPr>
        <w:t>tátní</w:t>
      </w:r>
      <w:r w:rsidR="0060513F">
        <w:rPr>
          <w:rFonts w:cs="Arial"/>
          <w:spacing w:val="-4"/>
          <w:szCs w:val="20"/>
        </w:rPr>
        <w:t>ho rozpoč</w:t>
      </w:r>
      <w:r w:rsidRPr="0060513F">
        <w:rPr>
          <w:rFonts w:cs="Arial"/>
          <w:spacing w:val="-4"/>
          <w:szCs w:val="20"/>
        </w:rPr>
        <w:t>t</w:t>
      </w:r>
      <w:r w:rsidR="0060513F">
        <w:rPr>
          <w:rFonts w:cs="Arial"/>
          <w:spacing w:val="-4"/>
          <w:szCs w:val="20"/>
        </w:rPr>
        <w:t>u</w:t>
      </w:r>
      <w:r w:rsidRPr="0060513F">
        <w:rPr>
          <w:rFonts w:cs="Arial"/>
          <w:spacing w:val="-4"/>
          <w:szCs w:val="20"/>
        </w:rPr>
        <w:t xml:space="preserve"> </w:t>
      </w:r>
      <w:r w:rsidR="00A925B1" w:rsidRPr="0060513F">
        <w:rPr>
          <w:rFonts w:cs="Arial"/>
          <w:spacing w:val="-4"/>
          <w:szCs w:val="20"/>
        </w:rPr>
        <w:t>(SR)</w:t>
      </w:r>
      <w:r w:rsidR="0060513F">
        <w:rPr>
          <w:rFonts w:cs="Arial"/>
          <w:spacing w:val="-4"/>
          <w:szCs w:val="20"/>
        </w:rPr>
        <w:t xml:space="preserve"> </w:t>
      </w:r>
      <w:r w:rsidR="003746F0">
        <w:rPr>
          <w:rFonts w:cs="Arial"/>
          <w:spacing w:val="-4"/>
          <w:szCs w:val="20"/>
        </w:rPr>
        <w:t>dosáhlo</w:t>
      </w:r>
      <w:r w:rsidR="003746F0" w:rsidRPr="0060513F">
        <w:rPr>
          <w:rFonts w:cs="Arial"/>
          <w:spacing w:val="-4"/>
          <w:szCs w:val="20"/>
        </w:rPr>
        <w:t xml:space="preserve"> </w:t>
      </w:r>
      <w:r w:rsidR="00A925B1" w:rsidRPr="0060513F">
        <w:rPr>
          <w:rFonts w:cs="Arial"/>
          <w:spacing w:val="-4"/>
          <w:szCs w:val="20"/>
        </w:rPr>
        <w:t xml:space="preserve">v 1. až 3. čtvrtletí </w:t>
      </w:r>
      <w:r w:rsidR="0060513F">
        <w:rPr>
          <w:rFonts w:cs="Arial"/>
          <w:spacing w:val="-4"/>
          <w:szCs w:val="20"/>
        </w:rPr>
        <w:t>v pokladním plnění výše</w:t>
      </w:r>
      <w:r w:rsidR="00A925B1" w:rsidRPr="0060513F">
        <w:rPr>
          <w:rFonts w:cs="Arial"/>
          <w:spacing w:val="-4"/>
          <w:szCs w:val="20"/>
        </w:rPr>
        <w:t xml:space="preserve"> </w:t>
      </w:r>
      <w:r w:rsidR="0060513F">
        <w:rPr>
          <w:rFonts w:cs="Arial"/>
          <w:spacing w:val="-4"/>
          <w:szCs w:val="20"/>
        </w:rPr>
        <w:t>+</w:t>
      </w:r>
      <w:r w:rsidR="00A925B1" w:rsidRPr="0060513F">
        <w:rPr>
          <w:spacing w:val="-2"/>
        </w:rPr>
        <w:t>16,8 mld. korun</w:t>
      </w:r>
      <w:r w:rsidR="0060513F">
        <w:rPr>
          <w:spacing w:val="-2"/>
        </w:rPr>
        <w:t xml:space="preserve">. Rozpočtového přebytku bylo </w:t>
      </w:r>
      <w:r w:rsidR="00157CC9">
        <w:rPr>
          <w:spacing w:val="-2"/>
        </w:rPr>
        <w:t xml:space="preserve">v tomto období roku </w:t>
      </w:r>
      <w:r w:rsidR="0060513F">
        <w:rPr>
          <w:spacing w:val="-2"/>
        </w:rPr>
        <w:t xml:space="preserve">dosaženo již třetím rokem v řadě. Celostátní výběr daňových příjmů (vč. pojistného) </w:t>
      </w:r>
      <w:r w:rsidR="0060513F" w:rsidRPr="00457490">
        <w:rPr>
          <w:spacing w:val="-2"/>
        </w:rPr>
        <w:t xml:space="preserve">docílil </w:t>
      </w:r>
      <w:r w:rsidR="0060513F" w:rsidRPr="00457490">
        <w:rPr>
          <w:spacing w:val="-4"/>
        </w:rPr>
        <w:t>nejsilnějšího tempa v současném konjunkturním období (+</w:t>
      </w:r>
      <w:r w:rsidR="0060513F" w:rsidRPr="00457490">
        <w:rPr>
          <w:spacing w:val="-2"/>
        </w:rPr>
        <w:t xml:space="preserve">8,4 %). Svižně však rostly </w:t>
      </w:r>
      <w:r w:rsidR="003746F0" w:rsidRPr="00457490">
        <w:rPr>
          <w:spacing w:val="-2"/>
        </w:rPr>
        <w:t>i</w:t>
      </w:r>
      <w:r w:rsidR="003746F0">
        <w:rPr>
          <w:spacing w:val="-2"/>
        </w:rPr>
        <w:t> </w:t>
      </w:r>
      <w:r w:rsidR="0060513F" w:rsidRPr="00457490">
        <w:rPr>
          <w:spacing w:val="-2"/>
        </w:rPr>
        <w:t>celkové výdaje SR (</w:t>
      </w:r>
      <w:r w:rsidR="0060513F" w:rsidRPr="00457490">
        <w:rPr>
          <w:rFonts w:cs="Arial"/>
          <w:color w:val="0D0D0D" w:themeColor="text1" w:themeTint="F2"/>
          <w:spacing w:val="-2"/>
        </w:rPr>
        <w:t>+</w:t>
      </w:r>
      <w:r w:rsidR="0060513F" w:rsidRPr="00457490">
        <w:rPr>
          <w:spacing w:val="-2"/>
        </w:rPr>
        <w:t>9,2 %) podpořené na rozdíl od předešlých dvou let silnějšími investicemi. Č</w:t>
      </w:r>
      <w:r w:rsidR="0060513F" w:rsidRPr="00457490">
        <w:rPr>
          <w:spacing w:val="-4"/>
        </w:rPr>
        <w:t xml:space="preserve">erpání prostředků z rozpočtu EU zrychlilo, zvýšily se ale </w:t>
      </w:r>
      <w:r w:rsidR="00C15DBD">
        <w:rPr>
          <w:spacing w:val="-4"/>
        </w:rPr>
        <w:t xml:space="preserve">i </w:t>
      </w:r>
      <w:r w:rsidR="00457490" w:rsidRPr="00457490">
        <w:rPr>
          <w:spacing w:val="-4"/>
        </w:rPr>
        <w:t>výdaje na výhradně národní projekty, jež byly v první polovině roku značně utlumené.</w:t>
      </w:r>
      <w:r w:rsidR="00457490">
        <w:rPr>
          <w:spacing w:val="-4"/>
        </w:rPr>
        <w:t xml:space="preserve"> I tak tvořily letos celkové investice</w:t>
      </w:r>
      <w:r w:rsidR="00457490">
        <w:rPr>
          <w:rFonts w:cs="Arial"/>
          <w:color w:val="000000" w:themeColor="text1"/>
          <w:spacing w:val="-4"/>
        </w:rPr>
        <w:t xml:space="preserve"> jen 6,0 % všech</w:t>
      </w:r>
      <w:r w:rsidR="00457490" w:rsidRPr="006D18B3">
        <w:rPr>
          <w:rFonts w:cs="Arial"/>
          <w:color w:val="000000" w:themeColor="text1"/>
          <w:spacing w:val="-4"/>
        </w:rPr>
        <w:t xml:space="preserve"> </w:t>
      </w:r>
      <w:r w:rsidR="003746F0">
        <w:rPr>
          <w:rFonts w:cs="Arial"/>
          <w:color w:val="000000" w:themeColor="text1"/>
          <w:spacing w:val="-4"/>
        </w:rPr>
        <w:t>výdajů</w:t>
      </w:r>
      <w:r w:rsidR="003746F0" w:rsidRPr="006D18B3">
        <w:rPr>
          <w:rFonts w:cs="Arial"/>
          <w:color w:val="000000" w:themeColor="text1"/>
          <w:spacing w:val="-4"/>
        </w:rPr>
        <w:t xml:space="preserve"> </w:t>
      </w:r>
      <w:r w:rsidR="00457490" w:rsidRPr="006D18B3">
        <w:rPr>
          <w:rFonts w:cs="Arial"/>
          <w:color w:val="000000" w:themeColor="text1"/>
          <w:spacing w:val="-4"/>
        </w:rPr>
        <w:t xml:space="preserve">SR </w:t>
      </w:r>
      <w:r w:rsidR="00457490">
        <w:rPr>
          <w:rFonts w:cs="Arial"/>
          <w:color w:val="000000" w:themeColor="text1"/>
          <w:spacing w:val="-4"/>
        </w:rPr>
        <w:t xml:space="preserve">– třetí nejnižší hodnotu za posledních třináct let. </w:t>
      </w:r>
      <w:r w:rsidR="00457490">
        <w:rPr>
          <w:rFonts w:cs="Arial"/>
          <w:color w:val="0D0D0D" w:themeColor="text1" w:themeTint="F2"/>
          <w:spacing w:val="-2"/>
        </w:rPr>
        <w:t>Saldo důchodového účtu</w:t>
      </w:r>
      <w:r w:rsidR="00457490">
        <w:t xml:space="preserve"> skončilo poprvé </w:t>
      </w:r>
      <w:r w:rsidR="00457490">
        <w:rPr>
          <w:rFonts w:cs="Arial"/>
          <w:color w:val="0D0D0D" w:themeColor="text1" w:themeTint="F2"/>
          <w:spacing w:val="-2"/>
        </w:rPr>
        <w:t>za posledních deset let přebytkem (v rekordní výši 14,6 mld. korun).</w:t>
      </w:r>
    </w:p>
    <w:p w:rsidR="00C62828" w:rsidRPr="009110F7" w:rsidRDefault="00C62828" w:rsidP="00C62828">
      <w:pPr>
        <w:pStyle w:val="Nadpis11"/>
      </w:pPr>
      <w:bookmarkStart w:id="3" w:name="_Toc532558282"/>
      <w:r w:rsidRPr="009110F7">
        <w:lastRenderedPageBreak/>
        <w:t>2. Souhrnná výkonnost</w:t>
      </w:r>
      <w:bookmarkEnd w:id="3"/>
    </w:p>
    <w:tbl>
      <w:tblPr>
        <w:tblW w:w="9639" w:type="dxa"/>
        <w:tblInd w:w="-15" w:type="dxa"/>
        <w:tblCellMar>
          <w:left w:w="0" w:type="dxa"/>
          <w:right w:w="0" w:type="dxa"/>
        </w:tblCellMar>
        <w:tblLook w:val="00A0"/>
      </w:tblPr>
      <w:tblGrid>
        <w:gridCol w:w="1888"/>
        <w:gridCol w:w="250"/>
        <w:gridCol w:w="7501"/>
      </w:tblGrid>
      <w:tr w:rsidR="009A24F1" w:rsidRPr="009110F7" w:rsidTr="009A24F1">
        <w:trPr>
          <w:trHeight w:val="145"/>
        </w:trPr>
        <w:tc>
          <w:tcPr>
            <w:tcW w:w="1888" w:type="dxa"/>
            <w:shd w:val="clear" w:color="auto" w:fill="auto"/>
            <w:tcMar>
              <w:left w:w="0" w:type="dxa"/>
            </w:tcMar>
          </w:tcPr>
          <w:p w:rsidR="009A24F1" w:rsidRDefault="009A24F1" w:rsidP="009A24F1">
            <w:pPr>
              <w:pStyle w:val="Marginlie"/>
            </w:pPr>
            <w:r>
              <w:t>Domácí poptávka byla nadále klíčová pro pokračující hospodářský růst.</w:t>
            </w:r>
          </w:p>
        </w:tc>
        <w:tc>
          <w:tcPr>
            <w:tcW w:w="250" w:type="dxa"/>
            <w:shd w:val="clear" w:color="auto" w:fill="auto"/>
            <w:tcMar>
              <w:left w:w="0" w:type="dxa"/>
            </w:tcMar>
          </w:tcPr>
          <w:p w:rsidR="009A24F1" w:rsidRDefault="009A24F1" w:rsidP="009A24F1">
            <w:pPr>
              <w:pStyle w:val="Textpoznpodarou"/>
              <w:jc w:val="both"/>
              <w:rPr>
                <w:spacing w:val="-4"/>
              </w:rPr>
            </w:pPr>
          </w:p>
        </w:tc>
        <w:tc>
          <w:tcPr>
            <w:tcW w:w="7501" w:type="dxa"/>
            <w:shd w:val="clear" w:color="auto" w:fill="auto"/>
            <w:tcMar>
              <w:left w:w="0" w:type="dxa"/>
            </w:tcMar>
          </w:tcPr>
          <w:p w:rsidR="009A24F1" w:rsidRPr="00B83E07" w:rsidRDefault="009A24F1" w:rsidP="009A24F1">
            <w:pPr>
              <w:spacing w:after="220"/>
              <w:rPr>
                <w:spacing w:val="-2"/>
              </w:rPr>
            </w:pPr>
            <w:r w:rsidRPr="00422B23">
              <w:rPr>
                <w:spacing w:val="-2"/>
              </w:rPr>
              <w:t xml:space="preserve">Ve 3. čtvrtletí 2018 </w:t>
            </w:r>
            <w:r>
              <w:rPr>
                <w:spacing w:val="-2"/>
              </w:rPr>
              <w:t>př</w:t>
            </w:r>
            <w:r w:rsidRPr="00422B23">
              <w:rPr>
                <w:spacing w:val="-2"/>
              </w:rPr>
              <w:t>etrvalo oslabení meziročního růstu hrubého domácího produktu (HDP)</w:t>
            </w:r>
            <w:r>
              <w:rPr>
                <w:spacing w:val="-2"/>
              </w:rPr>
              <w:t xml:space="preserve"> české ekonomiky</w:t>
            </w:r>
            <w:r w:rsidRPr="00422B23">
              <w:rPr>
                <w:spacing w:val="-2"/>
              </w:rPr>
              <w:t>. Ten vzrostl oproti stejnému období minulého roku o</w:t>
            </w:r>
            <w:r>
              <w:rPr>
                <w:spacing w:val="-2"/>
              </w:rPr>
              <w:t> </w:t>
            </w:r>
            <w:r w:rsidRPr="00422B23">
              <w:rPr>
                <w:spacing w:val="-2"/>
              </w:rPr>
              <w:t>2,4</w:t>
            </w:r>
            <w:r>
              <w:rPr>
                <w:spacing w:val="-2"/>
              </w:rPr>
              <w:t> </w:t>
            </w:r>
            <w:r w:rsidRPr="00422B23">
              <w:rPr>
                <w:spacing w:val="-2"/>
              </w:rPr>
              <w:t>%</w:t>
            </w:r>
            <w:r w:rsidRPr="00B83E07">
              <w:rPr>
                <w:rStyle w:val="Znakapoznpodarou"/>
                <w:rFonts w:cs="Arial"/>
                <w:spacing w:val="-2"/>
              </w:rPr>
              <w:footnoteReference w:id="3"/>
            </w:r>
            <w:r w:rsidRPr="00422B23">
              <w:rPr>
                <w:spacing w:val="-2"/>
              </w:rPr>
              <w:t xml:space="preserve">, tedy stejně jako v předchozím kvartálu. Dominantně k růstu přispívala domácí poptávka. Růst nadále z většiny podporovaly výdaje na konečnou spotřebu. Výrazně se zvyšovala i investiční aktivita. Oslabil však příspěvek bilance zahraničního obchodu, zčásti i kvůli tomu, že domácí poptávku pokrýval ve zvýšené míře dovoz. Mezičtvrtletní přírůstek HDP ve 3. kvartálu dosáhl 0,6 %. V blízkosti této úrovně se </w:t>
            </w:r>
            <w:proofErr w:type="spellStart"/>
            <w:r w:rsidRPr="00422B23">
              <w:rPr>
                <w:spacing w:val="-2"/>
              </w:rPr>
              <w:t>mezi</w:t>
            </w:r>
            <w:r>
              <w:rPr>
                <w:spacing w:val="-2"/>
              </w:rPr>
              <w:t>kvartální</w:t>
            </w:r>
            <w:proofErr w:type="spellEnd"/>
            <w:r w:rsidRPr="00422B23">
              <w:rPr>
                <w:spacing w:val="-2"/>
              </w:rPr>
              <w:t xml:space="preserve"> růst udržuje již pět čtvrtletí. Pozorované zpomalení meziročního růstu tak </w:t>
            </w:r>
            <w:r>
              <w:rPr>
                <w:spacing w:val="-2"/>
              </w:rPr>
              <w:t>lze</w:t>
            </w:r>
            <w:r w:rsidRPr="00422B23">
              <w:rPr>
                <w:spacing w:val="-2"/>
              </w:rPr>
              <w:t xml:space="preserve"> vysvětlit zejména vysokou srovnávací základnou minulého roku. Hrubá přidaná hodnota (HPH) se meziročně zvýšila o 2,4 %. Výrazně k tomu přispíval příznivý vývoj ve stavebnictví i domácí poptávkou stimulovaných službách. Mezičtvrtletně se HPH zvýšila o 0,6 %.</w:t>
            </w:r>
          </w:p>
        </w:tc>
      </w:tr>
      <w:tr w:rsidR="009A24F1" w:rsidRPr="009110F7" w:rsidTr="009A24F1">
        <w:trPr>
          <w:trHeight w:val="170"/>
        </w:trPr>
        <w:tc>
          <w:tcPr>
            <w:tcW w:w="1888" w:type="dxa"/>
            <w:vMerge w:val="restart"/>
            <w:shd w:val="clear" w:color="auto" w:fill="auto"/>
            <w:tcMar>
              <w:left w:w="0" w:type="dxa"/>
            </w:tcMar>
          </w:tcPr>
          <w:p w:rsidR="009A24F1" w:rsidRDefault="009A24F1" w:rsidP="009A24F1">
            <w:pPr>
              <w:pStyle w:val="Marginlie"/>
            </w:pPr>
          </w:p>
        </w:tc>
        <w:tc>
          <w:tcPr>
            <w:tcW w:w="250" w:type="dxa"/>
            <w:vMerge w:val="restart"/>
            <w:shd w:val="clear" w:color="auto" w:fill="auto"/>
            <w:tcMar>
              <w:left w:w="0" w:type="dxa"/>
            </w:tcMar>
          </w:tcPr>
          <w:p w:rsidR="009A24F1" w:rsidRDefault="009A24F1" w:rsidP="009A24F1">
            <w:pPr>
              <w:pStyle w:val="Textpoznpodarou"/>
              <w:jc w:val="both"/>
              <w:rPr>
                <w:spacing w:val="-4"/>
              </w:rPr>
            </w:pPr>
          </w:p>
        </w:tc>
        <w:tc>
          <w:tcPr>
            <w:tcW w:w="7501" w:type="dxa"/>
            <w:shd w:val="clear" w:color="auto" w:fill="auto"/>
            <w:tcMar>
              <w:left w:w="0" w:type="dxa"/>
            </w:tcMar>
          </w:tcPr>
          <w:p w:rsidR="009A24F1" w:rsidRPr="0041745D" w:rsidRDefault="009A24F1" w:rsidP="009A24F1">
            <w:pPr>
              <w:spacing w:after="0"/>
              <w:rPr>
                <w:b/>
              </w:rPr>
            </w:pPr>
            <w:r w:rsidRPr="0041745D">
              <w:rPr>
                <w:rFonts w:cs="Arial"/>
                <w:b/>
                <w:bCs/>
                <w:color w:val="000000"/>
                <w:sz w:val="18"/>
                <w:szCs w:val="18"/>
              </w:rPr>
              <w:t xml:space="preserve">Graf č. </w:t>
            </w:r>
            <w:r w:rsidRPr="00663018">
              <w:rPr>
                <w:rFonts w:cs="Arial"/>
                <w:b/>
                <w:bCs/>
                <w:color w:val="000000"/>
                <w:sz w:val="18"/>
                <w:szCs w:val="18"/>
              </w:rPr>
              <w:t xml:space="preserve">1  </w:t>
            </w:r>
            <w:r w:rsidRPr="00663018">
              <w:rPr>
                <w:rFonts w:cs="Arial"/>
                <w:b/>
                <w:sz w:val="18"/>
                <w:szCs w:val="18"/>
                <w:lang w:eastAsia="en-US"/>
              </w:rPr>
              <w:t>HDP (objemové indexy, očištěno o sezónní a kalendářní vlivy, v</w:t>
            </w:r>
            <w:r>
              <w:rPr>
                <w:rFonts w:cs="Arial"/>
                <w:b/>
                <w:sz w:val="18"/>
                <w:szCs w:val="18"/>
                <w:lang w:eastAsia="en-US"/>
              </w:rPr>
              <w:t> %</w:t>
            </w:r>
            <w:r w:rsidRPr="00663018">
              <w:rPr>
                <w:rFonts w:cs="Arial"/>
                <w:b/>
                <w:sz w:val="18"/>
                <w:szCs w:val="18"/>
                <w:lang w:eastAsia="en-US"/>
              </w:rPr>
              <w:t>)</w:t>
            </w:r>
          </w:p>
        </w:tc>
      </w:tr>
      <w:tr w:rsidR="009A24F1" w:rsidRPr="009110F7" w:rsidTr="009A24F1">
        <w:trPr>
          <w:trHeight w:val="170"/>
        </w:trPr>
        <w:tc>
          <w:tcPr>
            <w:tcW w:w="1888" w:type="dxa"/>
            <w:vMerge/>
            <w:shd w:val="clear" w:color="auto" w:fill="auto"/>
            <w:tcMar>
              <w:left w:w="0" w:type="dxa"/>
            </w:tcMar>
          </w:tcPr>
          <w:p w:rsidR="009A24F1" w:rsidRPr="009110F7" w:rsidRDefault="009A24F1" w:rsidP="00965797">
            <w:pPr>
              <w:pStyle w:val="Marginlie"/>
            </w:pPr>
          </w:p>
        </w:tc>
        <w:tc>
          <w:tcPr>
            <w:tcW w:w="250" w:type="dxa"/>
            <w:vMerge/>
            <w:shd w:val="clear" w:color="auto" w:fill="auto"/>
            <w:tcMar>
              <w:left w:w="0" w:type="dxa"/>
            </w:tcMar>
          </w:tcPr>
          <w:p w:rsidR="009A24F1" w:rsidRPr="009110F7" w:rsidRDefault="009A24F1" w:rsidP="00965797">
            <w:pPr>
              <w:pStyle w:val="Textpoznpodarou"/>
              <w:jc w:val="both"/>
              <w:rPr>
                <w:spacing w:val="-4"/>
              </w:rPr>
            </w:pPr>
          </w:p>
        </w:tc>
        <w:tc>
          <w:tcPr>
            <w:tcW w:w="7501" w:type="dxa"/>
            <w:shd w:val="clear" w:color="auto" w:fill="auto"/>
            <w:tcMar>
              <w:left w:w="0" w:type="dxa"/>
            </w:tcMar>
          </w:tcPr>
          <w:p w:rsidR="009A24F1" w:rsidRPr="009110F7" w:rsidRDefault="009A24F1" w:rsidP="00965797">
            <w:pPr>
              <w:spacing w:after="0"/>
            </w:pPr>
            <w:r w:rsidRPr="008B3A11">
              <w:rPr>
                <w:noProof/>
              </w:rPr>
              <w:drawing>
                <wp:inline distT="0" distB="0" distL="0" distR="0">
                  <wp:extent cx="4737600" cy="3553200"/>
                  <wp:effectExtent l="19050" t="0" r="0" b="0"/>
                  <wp:docPr id="20"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9A24F1" w:rsidRPr="009110F7" w:rsidTr="009A24F1">
        <w:trPr>
          <w:trHeight w:val="170"/>
        </w:trPr>
        <w:tc>
          <w:tcPr>
            <w:tcW w:w="1888" w:type="dxa"/>
            <w:vMerge/>
            <w:shd w:val="clear" w:color="auto" w:fill="auto"/>
            <w:tcMar>
              <w:left w:w="0" w:type="dxa"/>
            </w:tcMar>
          </w:tcPr>
          <w:p w:rsidR="009A24F1" w:rsidRPr="009110F7" w:rsidRDefault="009A24F1" w:rsidP="00965797">
            <w:pPr>
              <w:pStyle w:val="Marginlie"/>
            </w:pPr>
          </w:p>
        </w:tc>
        <w:tc>
          <w:tcPr>
            <w:tcW w:w="250" w:type="dxa"/>
            <w:vMerge/>
            <w:shd w:val="clear" w:color="auto" w:fill="auto"/>
            <w:tcMar>
              <w:left w:w="0" w:type="dxa"/>
            </w:tcMar>
          </w:tcPr>
          <w:p w:rsidR="009A24F1" w:rsidRPr="009110F7" w:rsidRDefault="009A24F1" w:rsidP="00965797">
            <w:pPr>
              <w:pStyle w:val="Textpoznpodarou"/>
              <w:jc w:val="both"/>
              <w:rPr>
                <w:spacing w:val="-4"/>
              </w:rPr>
            </w:pPr>
          </w:p>
        </w:tc>
        <w:tc>
          <w:tcPr>
            <w:tcW w:w="7501" w:type="dxa"/>
            <w:shd w:val="clear" w:color="auto" w:fill="auto"/>
            <w:tcMar>
              <w:left w:w="0" w:type="dxa"/>
            </w:tcMar>
          </w:tcPr>
          <w:p w:rsidR="009A24F1" w:rsidRPr="009110F7" w:rsidRDefault="009A24F1" w:rsidP="00B83E07">
            <w:pPr>
              <w:spacing w:after="220"/>
              <w:rPr>
                <w:sz w:val="14"/>
                <w:szCs w:val="14"/>
              </w:rPr>
            </w:pPr>
            <w:r>
              <w:rPr>
                <w:sz w:val="14"/>
                <w:szCs w:val="14"/>
              </w:rPr>
              <w:t xml:space="preserve">Zdroj: ČSÚ, </w:t>
            </w:r>
            <w:proofErr w:type="spellStart"/>
            <w:r>
              <w:rPr>
                <w:sz w:val="14"/>
                <w:szCs w:val="14"/>
              </w:rPr>
              <w:t>Eurostat</w:t>
            </w:r>
            <w:proofErr w:type="spellEnd"/>
          </w:p>
        </w:tc>
      </w:tr>
      <w:tr w:rsidR="009A24F1" w:rsidRPr="009110F7" w:rsidTr="009A24F1">
        <w:trPr>
          <w:trHeight w:val="145"/>
        </w:trPr>
        <w:tc>
          <w:tcPr>
            <w:tcW w:w="1888" w:type="dxa"/>
            <w:shd w:val="clear" w:color="auto" w:fill="auto"/>
            <w:tcMar>
              <w:left w:w="0" w:type="dxa"/>
            </w:tcMar>
          </w:tcPr>
          <w:p w:rsidR="009A24F1" w:rsidRDefault="009A24F1" w:rsidP="009A24F1">
            <w:pPr>
              <w:pStyle w:val="Marginlie"/>
            </w:pPr>
            <w:r>
              <w:t xml:space="preserve">Ke zpomalení růstu došlo i v EU. </w:t>
            </w:r>
          </w:p>
        </w:tc>
        <w:tc>
          <w:tcPr>
            <w:tcW w:w="250" w:type="dxa"/>
            <w:shd w:val="clear" w:color="auto" w:fill="auto"/>
            <w:tcMar>
              <w:left w:w="0" w:type="dxa"/>
            </w:tcMar>
          </w:tcPr>
          <w:p w:rsidR="009A24F1" w:rsidRDefault="009A24F1" w:rsidP="009A24F1">
            <w:pPr>
              <w:pStyle w:val="Textpoznpodarou"/>
              <w:jc w:val="both"/>
              <w:rPr>
                <w:spacing w:val="-4"/>
              </w:rPr>
            </w:pPr>
          </w:p>
        </w:tc>
        <w:tc>
          <w:tcPr>
            <w:tcW w:w="7501" w:type="dxa"/>
            <w:shd w:val="clear" w:color="auto" w:fill="auto"/>
            <w:tcMar>
              <w:left w:w="0" w:type="dxa"/>
            </w:tcMar>
          </w:tcPr>
          <w:p w:rsidR="009A24F1" w:rsidRDefault="009A24F1" w:rsidP="009A24F1">
            <w:pPr>
              <w:spacing w:after="0"/>
            </w:pPr>
            <w:r>
              <w:t>Meziroční tempo růstu HDP v Evropské unii od počátku roku zpomaluje, což má vliv i na výkon české ekonomiky, která je významně závislá na zahraničním obchodu. Hrubý domácí produkt v EU ve 3. čtvrtletí meziročně vzrostl o 1,9 %</w:t>
            </w:r>
            <w:r w:rsidRPr="009110F7">
              <w:rPr>
                <w:rStyle w:val="Znakapoznpodarou"/>
                <w:spacing w:val="-2"/>
              </w:rPr>
              <w:footnoteReference w:id="4"/>
            </w:r>
            <w:r>
              <w:t>. Mezičtvrtletní přírůstek rovněž zmírnil (na 0,3 %). Na rozdíl od předchozích čtvrtletí HDP několika zemí mezičtvrtletně poklesl, což naznačuje, že vrchol růstu již byl překonán. Celkové tempo výrazně ovlivnilo zpomalení meziročního růstu v Německu (1,2 %), kde rovněž došlo k mezičtvrtletnímu poklesu o 0,2 %. Nejrychleji</w:t>
            </w:r>
            <w:r>
              <w:rPr>
                <w:rStyle w:val="Znakapoznpodarou"/>
              </w:rPr>
              <w:footnoteReference w:id="5"/>
            </w:r>
            <w:r>
              <w:t xml:space="preserve"> rostl HDP na Maltě (7,9 %), v Polsku (5,7 %) a v Lotyšsku (5,3 %). Nejnižší a zpomalující meziroční dynamiku měl HDP v Itálii (0,7 %), dále v již zmíněném Německu a ve Francii (1,4 %).</w:t>
            </w:r>
          </w:p>
        </w:tc>
      </w:tr>
      <w:tr w:rsidR="009A24F1" w:rsidRPr="009110F7" w:rsidTr="009A24F1">
        <w:trPr>
          <w:trHeight w:val="170"/>
        </w:trPr>
        <w:tc>
          <w:tcPr>
            <w:tcW w:w="1888" w:type="dxa"/>
            <w:vMerge w:val="restart"/>
            <w:shd w:val="clear" w:color="auto" w:fill="auto"/>
            <w:tcMar>
              <w:left w:w="0" w:type="dxa"/>
            </w:tcMar>
          </w:tcPr>
          <w:p w:rsidR="009A24F1" w:rsidRDefault="009A24F1" w:rsidP="009A24F1">
            <w:pPr>
              <w:pStyle w:val="Marginlie"/>
            </w:pPr>
          </w:p>
        </w:tc>
        <w:tc>
          <w:tcPr>
            <w:tcW w:w="250" w:type="dxa"/>
            <w:vMerge w:val="restart"/>
            <w:shd w:val="clear" w:color="auto" w:fill="auto"/>
            <w:tcMar>
              <w:left w:w="0" w:type="dxa"/>
            </w:tcMar>
          </w:tcPr>
          <w:p w:rsidR="009A24F1" w:rsidRDefault="009A24F1" w:rsidP="009A24F1">
            <w:pPr>
              <w:pStyle w:val="Textpoznpodarou"/>
              <w:jc w:val="both"/>
              <w:rPr>
                <w:spacing w:val="-4"/>
              </w:rPr>
            </w:pPr>
          </w:p>
        </w:tc>
        <w:tc>
          <w:tcPr>
            <w:tcW w:w="7501" w:type="dxa"/>
            <w:shd w:val="clear" w:color="auto" w:fill="auto"/>
            <w:tcMar>
              <w:left w:w="0" w:type="dxa"/>
            </w:tcMar>
          </w:tcPr>
          <w:p w:rsidR="009A24F1" w:rsidRPr="0041745D" w:rsidRDefault="009A24F1" w:rsidP="009A24F1">
            <w:pPr>
              <w:spacing w:after="0"/>
              <w:rPr>
                <w:b/>
                <w:sz w:val="18"/>
                <w:szCs w:val="18"/>
              </w:rPr>
            </w:pPr>
            <w:r w:rsidRPr="0041745D">
              <w:rPr>
                <w:b/>
                <w:spacing w:val="-4"/>
                <w:sz w:val="18"/>
                <w:szCs w:val="18"/>
                <w:lang w:eastAsia="en-US"/>
              </w:rPr>
              <w:t xml:space="preserve">Graf č. 2  </w:t>
            </w:r>
            <w:r w:rsidRPr="00663018">
              <w:rPr>
                <w:rFonts w:cs="Arial"/>
                <w:b/>
                <w:sz w:val="18"/>
                <w:szCs w:val="18"/>
                <w:lang w:eastAsia="en-US"/>
              </w:rPr>
              <w:t>HDP (objemové indexy, očištěno o sezónní a kalendářní vlivy, meziročně v %, pravá osa) a indikátory důvěry (2005</w:t>
            </w:r>
            <w:r>
              <w:rPr>
                <w:rFonts w:cs="Arial"/>
                <w:b/>
                <w:sz w:val="18"/>
                <w:szCs w:val="18"/>
                <w:lang w:eastAsia="en-US"/>
              </w:rPr>
              <w:t xml:space="preserve"> </w:t>
            </w:r>
            <w:r w:rsidRPr="00663018">
              <w:rPr>
                <w:rFonts w:cs="Arial"/>
                <w:b/>
                <w:sz w:val="18"/>
                <w:szCs w:val="18"/>
                <w:lang w:eastAsia="en-US"/>
              </w:rPr>
              <w:t>=</w:t>
            </w:r>
            <w:r>
              <w:rPr>
                <w:rFonts w:cs="Arial"/>
                <w:b/>
                <w:sz w:val="18"/>
                <w:szCs w:val="18"/>
                <w:lang w:eastAsia="en-US"/>
              </w:rPr>
              <w:t xml:space="preserve"> </w:t>
            </w:r>
            <w:r w:rsidRPr="00663018">
              <w:rPr>
                <w:rFonts w:cs="Arial"/>
                <w:b/>
                <w:sz w:val="18"/>
                <w:szCs w:val="18"/>
                <w:lang w:eastAsia="en-US"/>
              </w:rPr>
              <w:t>100, levá osa)</w:t>
            </w:r>
          </w:p>
        </w:tc>
      </w:tr>
      <w:tr w:rsidR="009A24F1" w:rsidRPr="009110F7" w:rsidTr="009A24F1">
        <w:trPr>
          <w:trHeight w:val="170"/>
        </w:trPr>
        <w:tc>
          <w:tcPr>
            <w:tcW w:w="1888" w:type="dxa"/>
            <w:vMerge/>
            <w:shd w:val="clear" w:color="auto" w:fill="auto"/>
            <w:tcMar>
              <w:left w:w="0" w:type="dxa"/>
            </w:tcMar>
          </w:tcPr>
          <w:p w:rsidR="009A24F1" w:rsidRPr="009110F7" w:rsidRDefault="009A24F1" w:rsidP="00965797">
            <w:pPr>
              <w:pStyle w:val="Marginlie"/>
            </w:pPr>
          </w:p>
        </w:tc>
        <w:tc>
          <w:tcPr>
            <w:tcW w:w="250" w:type="dxa"/>
            <w:vMerge/>
            <w:shd w:val="clear" w:color="auto" w:fill="auto"/>
            <w:tcMar>
              <w:left w:w="0" w:type="dxa"/>
            </w:tcMar>
          </w:tcPr>
          <w:p w:rsidR="009A24F1" w:rsidRPr="009110F7" w:rsidRDefault="009A24F1" w:rsidP="00965797">
            <w:pPr>
              <w:pStyle w:val="Textpoznpodarou"/>
              <w:jc w:val="both"/>
              <w:rPr>
                <w:spacing w:val="-4"/>
              </w:rPr>
            </w:pPr>
          </w:p>
        </w:tc>
        <w:tc>
          <w:tcPr>
            <w:tcW w:w="7501" w:type="dxa"/>
            <w:shd w:val="clear" w:color="auto" w:fill="auto"/>
            <w:tcMar>
              <w:left w:w="0" w:type="dxa"/>
            </w:tcMar>
          </w:tcPr>
          <w:p w:rsidR="009A24F1" w:rsidRPr="009110F7" w:rsidRDefault="009A24F1" w:rsidP="00965797">
            <w:pPr>
              <w:spacing w:after="0"/>
            </w:pPr>
            <w:r w:rsidRPr="00797ED7">
              <w:rPr>
                <w:noProof/>
              </w:rPr>
              <w:drawing>
                <wp:inline distT="0" distB="0" distL="0" distR="0">
                  <wp:extent cx="4737600" cy="3553200"/>
                  <wp:effectExtent l="0" t="0" r="0" b="0"/>
                  <wp:docPr id="2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9A24F1" w:rsidRPr="009110F7" w:rsidTr="009A24F1">
        <w:trPr>
          <w:trHeight w:val="170"/>
        </w:trPr>
        <w:tc>
          <w:tcPr>
            <w:tcW w:w="1888" w:type="dxa"/>
            <w:vMerge/>
            <w:shd w:val="clear" w:color="auto" w:fill="auto"/>
            <w:tcMar>
              <w:left w:w="0" w:type="dxa"/>
            </w:tcMar>
          </w:tcPr>
          <w:p w:rsidR="009A24F1" w:rsidRPr="009110F7" w:rsidRDefault="009A24F1" w:rsidP="00965797">
            <w:pPr>
              <w:pStyle w:val="Marginlie"/>
            </w:pPr>
          </w:p>
        </w:tc>
        <w:tc>
          <w:tcPr>
            <w:tcW w:w="250" w:type="dxa"/>
            <w:vMerge/>
            <w:shd w:val="clear" w:color="auto" w:fill="auto"/>
            <w:tcMar>
              <w:left w:w="0" w:type="dxa"/>
            </w:tcMar>
          </w:tcPr>
          <w:p w:rsidR="009A24F1" w:rsidRPr="009110F7" w:rsidRDefault="009A24F1" w:rsidP="00965797">
            <w:pPr>
              <w:pStyle w:val="Textpoznpodarou"/>
              <w:jc w:val="both"/>
              <w:rPr>
                <w:spacing w:val="-4"/>
              </w:rPr>
            </w:pPr>
          </w:p>
        </w:tc>
        <w:tc>
          <w:tcPr>
            <w:tcW w:w="7501" w:type="dxa"/>
            <w:shd w:val="clear" w:color="auto" w:fill="auto"/>
            <w:tcMar>
              <w:left w:w="0" w:type="dxa"/>
            </w:tcMar>
          </w:tcPr>
          <w:p w:rsidR="009A24F1" w:rsidRPr="009110F7" w:rsidRDefault="009A24F1" w:rsidP="00965797">
            <w:pPr>
              <w:rPr>
                <w:sz w:val="14"/>
                <w:szCs w:val="14"/>
              </w:rPr>
            </w:pPr>
            <w:r>
              <w:rPr>
                <w:sz w:val="14"/>
                <w:szCs w:val="14"/>
              </w:rPr>
              <w:t>Zdroj: ČSÚ</w:t>
            </w:r>
          </w:p>
        </w:tc>
      </w:tr>
      <w:tr w:rsidR="009A24F1" w:rsidRPr="009110F7" w:rsidTr="009A24F1">
        <w:trPr>
          <w:trHeight w:val="145"/>
        </w:trPr>
        <w:tc>
          <w:tcPr>
            <w:tcW w:w="1888" w:type="dxa"/>
            <w:shd w:val="clear" w:color="auto" w:fill="auto"/>
            <w:tcMar>
              <w:left w:w="0" w:type="dxa"/>
            </w:tcMar>
          </w:tcPr>
          <w:p w:rsidR="009A24F1" w:rsidRDefault="009A24F1" w:rsidP="009A24F1">
            <w:pPr>
              <w:pStyle w:val="Marginlie"/>
            </w:pPr>
            <w:r>
              <w:t>Domácnosti nadále zvyšovaly své výdaje na spotřebu. Jejich dynamiku však překonala spotřeba vládního sektoru.</w:t>
            </w:r>
          </w:p>
        </w:tc>
        <w:tc>
          <w:tcPr>
            <w:tcW w:w="250" w:type="dxa"/>
            <w:shd w:val="clear" w:color="auto" w:fill="auto"/>
            <w:tcMar>
              <w:left w:w="0" w:type="dxa"/>
            </w:tcMar>
          </w:tcPr>
          <w:p w:rsidR="009A24F1" w:rsidRDefault="009A24F1" w:rsidP="009A24F1">
            <w:pPr>
              <w:pStyle w:val="Textpoznpodarou"/>
              <w:jc w:val="both"/>
              <w:rPr>
                <w:spacing w:val="-4"/>
              </w:rPr>
            </w:pPr>
          </w:p>
        </w:tc>
        <w:tc>
          <w:tcPr>
            <w:tcW w:w="7501" w:type="dxa"/>
            <w:shd w:val="clear" w:color="auto" w:fill="auto"/>
            <w:tcMar>
              <w:left w:w="0" w:type="dxa"/>
            </w:tcMar>
          </w:tcPr>
          <w:p w:rsidR="009A24F1" w:rsidRDefault="009A24F1" w:rsidP="009A24F1">
            <w:r w:rsidRPr="00422B23">
              <w:t>Výdaje na konečnou spotřebu ve 3. čtvrtletí meziročně vzrostly o 3,8 %. Domácnosti si udržely poměrně silné tempo růstu výdajů (3,1 %) a k celkovému růstu HDP přispěly 1,0 p. b.</w:t>
            </w:r>
            <w:r w:rsidRPr="009110F7">
              <w:rPr>
                <w:rStyle w:val="Znakapoznpodarou"/>
              </w:rPr>
              <w:footnoteReference w:id="6"/>
            </w:r>
            <w:r w:rsidRPr="00422B23">
              <w:t xml:space="preserve"> Meziroční dynamiku výrazně ovlivnily i výdaje vládního sektoru, které se zvýšily o 5,3 % (nejvíce od 1. čtvrtletí 2003). Příspěvek k růstu dosáhl rovněž 1,0 p. b. Zejména díky skokovému nárůstu vládních spotřebních výdajů (2,3</w:t>
            </w:r>
            <w:r>
              <w:t> </w:t>
            </w:r>
            <w:r w:rsidRPr="00422B23">
              <w:t xml:space="preserve">%) se celková spotřeba mezičtvrtletně navýšila o 1,2 %. I domácnosti výdaje mezikvartálně posílily (0,8 %). </w:t>
            </w:r>
            <w:r>
              <w:t xml:space="preserve">Dynamika </w:t>
            </w:r>
            <w:r w:rsidRPr="00422B23">
              <w:t>spotřeby domácností měl</w:t>
            </w:r>
            <w:r>
              <w:t>a</w:t>
            </w:r>
            <w:r w:rsidRPr="00422B23">
              <w:t xml:space="preserve"> ve velké míře formu statků dlouho</w:t>
            </w:r>
            <w:r>
              <w:t>do</w:t>
            </w:r>
            <w:r w:rsidRPr="00422B23">
              <w:t>b</w:t>
            </w:r>
            <w:r>
              <w:t>é</w:t>
            </w:r>
            <w:r w:rsidRPr="00422B23">
              <w:t xml:space="preserve"> spotřeby (meziroční nárůst o 6,2 %</w:t>
            </w:r>
            <w:r w:rsidRPr="009110F7">
              <w:rPr>
                <w:rStyle w:val="Znakapoznpodarou"/>
              </w:rPr>
              <w:footnoteReference w:id="7"/>
            </w:r>
            <w:r w:rsidRPr="00422B23">
              <w:t>). Přes zpomalení se udržel poměrně siln</w:t>
            </w:r>
            <w:r>
              <w:t>ý růst</w:t>
            </w:r>
            <w:r w:rsidRPr="00422B23">
              <w:t xml:space="preserve"> u spotřeby zboží střednědobé trvanlivosti. Spotřeba netrvanlivých statků vzrostla o 2,2 % a mírně oslabila i dynamika spotřeby služeb (2,8 %).</w:t>
            </w:r>
          </w:p>
        </w:tc>
      </w:tr>
      <w:tr w:rsidR="009A24F1" w:rsidRPr="009110F7" w:rsidTr="009A24F1">
        <w:trPr>
          <w:trHeight w:val="145"/>
        </w:trPr>
        <w:tc>
          <w:tcPr>
            <w:tcW w:w="1888" w:type="dxa"/>
            <w:shd w:val="clear" w:color="auto" w:fill="auto"/>
            <w:tcMar>
              <w:left w:w="0" w:type="dxa"/>
            </w:tcMar>
          </w:tcPr>
          <w:p w:rsidR="009A24F1" w:rsidRDefault="009A24F1" w:rsidP="009A24F1">
            <w:pPr>
              <w:pStyle w:val="Marginlie"/>
            </w:pPr>
            <w:r>
              <w:t xml:space="preserve">Mírné zpomalení meziročního růstu výdajů na mzdy a platy se </w:t>
            </w:r>
            <w:r w:rsidR="00DF4369">
              <w:t xml:space="preserve">dalo </w:t>
            </w:r>
            <w:r>
              <w:t>přičíst i nižšímu nárůstu celkové zaměstnanosti.</w:t>
            </w:r>
          </w:p>
        </w:tc>
        <w:tc>
          <w:tcPr>
            <w:tcW w:w="250" w:type="dxa"/>
            <w:shd w:val="clear" w:color="auto" w:fill="auto"/>
            <w:tcMar>
              <w:left w:w="0" w:type="dxa"/>
            </w:tcMar>
          </w:tcPr>
          <w:p w:rsidR="009A24F1" w:rsidRDefault="009A24F1" w:rsidP="009A24F1">
            <w:pPr>
              <w:pStyle w:val="Textpoznpodarou"/>
              <w:jc w:val="both"/>
              <w:rPr>
                <w:spacing w:val="-4"/>
              </w:rPr>
            </w:pPr>
          </w:p>
        </w:tc>
        <w:tc>
          <w:tcPr>
            <w:tcW w:w="7501" w:type="dxa"/>
            <w:shd w:val="clear" w:color="auto" w:fill="auto"/>
            <w:tcMar>
              <w:left w:w="0" w:type="dxa"/>
            </w:tcMar>
          </w:tcPr>
          <w:p w:rsidR="009A24F1" w:rsidRPr="00B83E07" w:rsidRDefault="009A24F1" w:rsidP="009A24F1">
            <w:pPr>
              <w:rPr>
                <w:spacing w:val="-2"/>
              </w:rPr>
            </w:pPr>
            <w:r>
              <w:rPr>
                <w:spacing w:val="-2"/>
              </w:rPr>
              <w:t>Výrazný růst spotřeby domácností byl podpořen pokračujícím zvyšováním jejich výdělků. Celkový objem vyplacených mezd a platů ve 3. čtvrtletí vzrostl o 9,3 %, což je mírně nižší tempo než v 1. pololetí, kdy dynamika překročila 10 %. Výrazněji však zpomalil meziroční růst celkové zaměstnanosti (v osobách), když dosáhl 1,2 %</w:t>
            </w:r>
            <w:r w:rsidRPr="00B83E07">
              <w:rPr>
                <w:rStyle w:val="Znakapoznpodarou"/>
                <w:spacing w:val="-2"/>
              </w:rPr>
              <w:footnoteReference w:id="8"/>
            </w:r>
            <w:r>
              <w:rPr>
                <w:spacing w:val="-2"/>
              </w:rPr>
              <w:t>. Přitom celkový počet odpracovaných hodin ve 3. kvartálu rostl silněji než dříve (2,3 %). Vzhledem k výraznějšímu růstu cenové hladiny byl reálný nárůst kupní síly rovněž nižší než v 1. pololetí (6,3 %</w:t>
            </w:r>
            <w:r w:rsidRPr="00B83E07">
              <w:rPr>
                <w:rStyle w:val="Znakapoznpodarou"/>
                <w:spacing w:val="-2"/>
              </w:rPr>
              <w:footnoteReference w:id="9"/>
            </w:r>
            <w:r>
              <w:rPr>
                <w:spacing w:val="-2"/>
              </w:rPr>
              <w:t xml:space="preserve">). Ve zpracovatelském průmyslu, kde je zaměstnáno nejvíce osob, došlo k mírnému zpomalení růstu vyplacených mezd (z 9,0 % na 7,7 %). Vliv mělo i snížení tempa růstu zaměstnanosti na 1,5 % (jedním z důvodů je přitom nedostatek pracovní síly). Podobně zpomalilo meziroční tempo ve skupině obchod, doprava, ubytování a pohostinství. Ve 3. čtvrtletí zde objem vyplacených mezd meziročně vzrostl o 8,4 % (celková zaměstnanost o 1,5 %). Uvedené obory patří k těm </w:t>
            </w:r>
            <w:r>
              <w:rPr>
                <w:spacing w:val="-2"/>
              </w:rPr>
              <w:lastRenderedPageBreak/>
              <w:t xml:space="preserve">s nejnižší úrovní mezd a v poslední době se zde mimo jiné projevilo navýšení minimální mzdy. Mezi odvětvími služeb </w:t>
            </w:r>
            <w:r w:rsidR="00DF4369">
              <w:rPr>
                <w:spacing w:val="-2"/>
              </w:rPr>
              <w:t xml:space="preserve">vévodila </w:t>
            </w:r>
            <w:r>
              <w:rPr>
                <w:spacing w:val="-2"/>
              </w:rPr>
              <w:t>mzdovému růstu odvětví s dominancí veřejného sektoru</w:t>
            </w:r>
            <w:r>
              <w:rPr>
                <w:rStyle w:val="Znakapoznpodarou"/>
                <w:spacing w:val="-2"/>
              </w:rPr>
              <w:footnoteReference w:id="10"/>
            </w:r>
            <w:r>
              <w:rPr>
                <w:spacing w:val="-2"/>
              </w:rPr>
              <w:t>, kde růst objemu vyplacených prostředků o 12,9 % podpořilo i zvýšení zaměstnanosti o 2,2 %. Silně rostl objem vyplacených mzdových prostředků v odvětví informační a komunikační činnosti (10,8 %, doprovázeno nárůstem zaměstnanosti o 4,7 %). Situace na trhu nemovitostí se projevila i výrazným nárůstem objemu vyplacených mezd (13,9 % při současném poklesu zaměstnanosti o 1,1 %). Pozitivní vývoj ve stavebnictví vedl i ke zrychlení růstu mezd (vyplacené prostředky se zvýšily o 7,2 %, zaměstnanost klesla o 0,8 %).</w:t>
            </w:r>
          </w:p>
        </w:tc>
      </w:tr>
      <w:tr w:rsidR="009A24F1" w:rsidRPr="009110F7" w:rsidTr="009A24F1">
        <w:trPr>
          <w:trHeight w:val="170"/>
        </w:trPr>
        <w:tc>
          <w:tcPr>
            <w:tcW w:w="1888" w:type="dxa"/>
            <w:vMerge w:val="restart"/>
            <w:shd w:val="clear" w:color="auto" w:fill="auto"/>
            <w:tcMar>
              <w:left w:w="0" w:type="dxa"/>
            </w:tcMar>
          </w:tcPr>
          <w:p w:rsidR="009A24F1" w:rsidRDefault="009A24F1" w:rsidP="009A24F1">
            <w:pPr>
              <w:pStyle w:val="Marginlie"/>
            </w:pPr>
          </w:p>
        </w:tc>
        <w:tc>
          <w:tcPr>
            <w:tcW w:w="250" w:type="dxa"/>
            <w:vMerge w:val="restart"/>
            <w:shd w:val="clear" w:color="auto" w:fill="auto"/>
            <w:tcMar>
              <w:left w:w="0" w:type="dxa"/>
            </w:tcMar>
          </w:tcPr>
          <w:p w:rsidR="009A24F1" w:rsidRDefault="009A24F1" w:rsidP="009A24F1">
            <w:pPr>
              <w:pStyle w:val="Textpoznpodarou"/>
              <w:jc w:val="both"/>
              <w:rPr>
                <w:spacing w:val="-4"/>
              </w:rPr>
            </w:pPr>
          </w:p>
        </w:tc>
        <w:tc>
          <w:tcPr>
            <w:tcW w:w="7501" w:type="dxa"/>
            <w:shd w:val="clear" w:color="auto" w:fill="auto"/>
            <w:tcMar>
              <w:left w:w="0" w:type="dxa"/>
            </w:tcMar>
          </w:tcPr>
          <w:p w:rsidR="009A24F1" w:rsidRPr="0041745D" w:rsidRDefault="009A24F1" w:rsidP="009A24F1">
            <w:pPr>
              <w:spacing w:after="0"/>
              <w:rPr>
                <w:b/>
                <w:sz w:val="18"/>
                <w:szCs w:val="18"/>
              </w:rPr>
            </w:pPr>
            <w:r w:rsidRPr="0041745D">
              <w:rPr>
                <w:b/>
                <w:sz w:val="18"/>
                <w:szCs w:val="18"/>
              </w:rPr>
              <w:t xml:space="preserve">Graf č. 3  </w:t>
            </w:r>
            <w:r w:rsidRPr="00663018">
              <w:rPr>
                <w:rFonts w:cs="Arial"/>
                <w:b/>
                <w:sz w:val="18"/>
                <w:szCs w:val="18"/>
                <w:lang w:eastAsia="en-US"/>
              </w:rPr>
              <w:t>Příspěvky výdajových složek k reálné změně HDP* (objemové indexy, meziroční růst, příspěvky v p. b., HDP v</w:t>
            </w:r>
            <w:r>
              <w:rPr>
                <w:rFonts w:cs="Arial"/>
                <w:b/>
                <w:sz w:val="18"/>
                <w:szCs w:val="18"/>
                <w:lang w:eastAsia="en-US"/>
              </w:rPr>
              <w:t> %</w:t>
            </w:r>
            <w:r w:rsidRPr="00663018">
              <w:rPr>
                <w:rFonts w:cs="Arial"/>
                <w:b/>
                <w:sz w:val="18"/>
                <w:szCs w:val="18"/>
                <w:lang w:eastAsia="en-US"/>
              </w:rPr>
              <w:t>)</w:t>
            </w:r>
          </w:p>
        </w:tc>
      </w:tr>
      <w:tr w:rsidR="009A24F1" w:rsidRPr="009110F7" w:rsidTr="009A24F1">
        <w:trPr>
          <w:trHeight w:val="170"/>
        </w:trPr>
        <w:tc>
          <w:tcPr>
            <w:tcW w:w="1888" w:type="dxa"/>
            <w:vMerge/>
            <w:shd w:val="clear" w:color="auto" w:fill="auto"/>
            <w:tcMar>
              <w:left w:w="0" w:type="dxa"/>
            </w:tcMar>
          </w:tcPr>
          <w:p w:rsidR="009A24F1" w:rsidRPr="009110F7" w:rsidRDefault="009A24F1" w:rsidP="00965797">
            <w:pPr>
              <w:pStyle w:val="Marginlie"/>
            </w:pPr>
          </w:p>
        </w:tc>
        <w:tc>
          <w:tcPr>
            <w:tcW w:w="250" w:type="dxa"/>
            <w:vMerge/>
            <w:shd w:val="clear" w:color="auto" w:fill="auto"/>
            <w:tcMar>
              <w:left w:w="0" w:type="dxa"/>
            </w:tcMar>
          </w:tcPr>
          <w:p w:rsidR="009A24F1" w:rsidRPr="009110F7" w:rsidRDefault="009A24F1" w:rsidP="00965797">
            <w:pPr>
              <w:pStyle w:val="Textpoznpodarou"/>
              <w:jc w:val="both"/>
              <w:rPr>
                <w:spacing w:val="-4"/>
              </w:rPr>
            </w:pPr>
          </w:p>
        </w:tc>
        <w:tc>
          <w:tcPr>
            <w:tcW w:w="7501" w:type="dxa"/>
            <w:shd w:val="clear" w:color="auto" w:fill="auto"/>
            <w:tcMar>
              <w:left w:w="0" w:type="dxa"/>
            </w:tcMar>
          </w:tcPr>
          <w:p w:rsidR="009A24F1" w:rsidRPr="009110F7" w:rsidRDefault="009A24F1" w:rsidP="00965797">
            <w:pPr>
              <w:spacing w:after="0"/>
            </w:pPr>
            <w:r w:rsidRPr="004A1066">
              <w:rPr>
                <w:noProof/>
              </w:rPr>
              <w:drawing>
                <wp:inline distT="0" distB="0" distL="0" distR="0">
                  <wp:extent cx="4738255" cy="3764478"/>
                  <wp:effectExtent l="0" t="0" r="0" b="0"/>
                  <wp:docPr id="2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9A24F1" w:rsidRPr="009110F7" w:rsidTr="009A24F1">
        <w:trPr>
          <w:trHeight w:val="170"/>
        </w:trPr>
        <w:tc>
          <w:tcPr>
            <w:tcW w:w="1888" w:type="dxa"/>
            <w:vMerge/>
            <w:shd w:val="clear" w:color="auto" w:fill="auto"/>
            <w:tcMar>
              <w:left w:w="0" w:type="dxa"/>
            </w:tcMar>
          </w:tcPr>
          <w:p w:rsidR="009A24F1" w:rsidRPr="009110F7" w:rsidRDefault="009A24F1" w:rsidP="00965797">
            <w:pPr>
              <w:pStyle w:val="Marginlie"/>
            </w:pPr>
          </w:p>
        </w:tc>
        <w:tc>
          <w:tcPr>
            <w:tcW w:w="250" w:type="dxa"/>
            <w:vMerge/>
            <w:shd w:val="clear" w:color="auto" w:fill="auto"/>
            <w:tcMar>
              <w:left w:w="0" w:type="dxa"/>
            </w:tcMar>
          </w:tcPr>
          <w:p w:rsidR="009A24F1" w:rsidRPr="009110F7" w:rsidRDefault="009A24F1" w:rsidP="00965797">
            <w:pPr>
              <w:pStyle w:val="Textpoznpodarou"/>
              <w:jc w:val="both"/>
              <w:rPr>
                <w:spacing w:val="-4"/>
              </w:rPr>
            </w:pPr>
          </w:p>
        </w:tc>
        <w:tc>
          <w:tcPr>
            <w:tcW w:w="7501" w:type="dxa"/>
            <w:shd w:val="clear" w:color="auto" w:fill="auto"/>
            <w:tcMar>
              <w:left w:w="0" w:type="dxa"/>
            </w:tcMar>
          </w:tcPr>
          <w:p w:rsidR="009A24F1" w:rsidRDefault="009A24F1" w:rsidP="009A24F1">
            <w:pPr>
              <w:spacing w:after="0"/>
              <w:rPr>
                <w:sz w:val="14"/>
                <w:szCs w:val="14"/>
              </w:rPr>
            </w:pPr>
            <w:r>
              <w:rPr>
                <w:sz w:val="14"/>
                <w:szCs w:val="14"/>
              </w:rPr>
              <w:t>Zdroj: ČSÚ</w:t>
            </w:r>
          </w:p>
          <w:p w:rsidR="009A24F1" w:rsidRPr="009110F7" w:rsidRDefault="009A24F1" w:rsidP="00965797">
            <w:pPr>
              <w:rPr>
                <w:sz w:val="14"/>
                <w:szCs w:val="14"/>
              </w:rPr>
            </w:pPr>
            <w:r>
              <w:rPr>
                <w:sz w:val="14"/>
                <w:szCs w:val="14"/>
              </w:rPr>
              <w:t>*po vyloučení dovozu pro konečné užití</w:t>
            </w:r>
          </w:p>
        </w:tc>
      </w:tr>
      <w:tr w:rsidR="009A24F1" w:rsidRPr="009110F7" w:rsidTr="009A24F1">
        <w:trPr>
          <w:trHeight w:val="145"/>
        </w:trPr>
        <w:tc>
          <w:tcPr>
            <w:tcW w:w="1888" w:type="dxa"/>
            <w:shd w:val="clear" w:color="auto" w:fill="auto"/>
            <w:tcMar>
              <w:left w:w="0" w:type="dxa"/>
            </w:tcMar>
          </w:tcPr>
          <w:p w:rsidR="009A24F1" w:rsidRDefault="009A24F1" w:rsidP="009A24F1">
            <w:pPr>
              <w:pStyle w:val="Marginlie"/>
            </w:pPr>
            <w:r>
              <w:t>Investiční aktivita výrazně přispívala k růstu HDP.</w:t>
            </w:r>
          </w:p>
        </w:tc>
        <w:tc>
          <w:tcPr>
            <w:tcW w:w="250" w:type="dxa"/>
            <w:shd w:val="clear" w:color="auto" w:fill="auto"/>
            <w:tcMar>
              <w:left w:w="0" w:type="dxa"/>
            </w:tcMar>
          </w:tcPr>
          <w:p w:rsidR="009A24F1" w:rsidRDefault="009A24F1" w:rsidP="009A24F1">
            <w:pPr>
              <w:pStyle w:val="Textpoznpodarou"/>
              <w:jc w:val="both"/>
              <w:rPr>
                <w:spacing w:val="-4"/>
              </w:rPr>
            </w:pPr>
          </w:p>
        </w:tc>
        <w:tc>
          <w:tcPr>
            <w:tcW w:w="7501" w:type="dxa"/>
            <w:shd w:val="clear" w:color="auto" w:fill="auto"/>
            <w:tcMar>
              <w:left w:w="0" w:type="dxa"/>
            </w:tcMar>
          </w:tcPr>
          <w:p w:rsidR="009A24F1" w:rsidRDefault="009A24F1" w:rsidP="00CE6833">
            <w:r w:rsidRPr="00422B23">
              <w:t>Tvorba hrubého kapitálu meziročně vzrostla o 3,3 %. Výdaje na tvorbu hrubého fixního kapitálu, kter</w:t>
            </w:r>
            <w:r w:rsidR="00CE6833">
              <w:t>é</w:t>
            </w:r>
            <w:r w:rsidRPr="00422B23">
              <w:t xml:space="preserve"> reprezentuj</w:t>
            </w:r>
            <w:r w:rsidR="00CE6833">
              <w:t>í</w:t>
            </w:r>
            <w:r w:rsidRPr="00422B23">
              <w:t xml:space="preserve"> investiční aktivitu v</w:t>
            </w:r>
            <w:r>
              <w:t> </w:t>
            </w:r>
            <w:r w:rsidRPr="00422B23">
              <w:t>ekonomice</w:t>
            </w:r>
            <w:r>
              <w:t>,</w:t>
            </w:r>
            <w:r w:rsidRPr="00422B23">
              <w:t xml:space="preserve"> přitom </w:t>
            </w:r>
            <w:r w:rsidR="003C68CC">
              <w:t>rostly</w:t>
            </w:r>
            <w:r w:rsidR="003C68CC" w:rsidRPr="00422B23">
              <w:t xml:space="preserve"> </w:t>
            </w:r>
            <w:r w:rsidRPr="00422B23">
              <w:t>o</w:t>
            </w:r>
            <w:r>
              <w:t> </w:t>
            </w:r>
            <w:r w:rsidRPr="00422B23">
              <w:t>9,3</w:t>
            </w:r>
            <w:r w:rsidR="00CE6833">
              <w:t> </w:t>
            </w:r>
            <w:r w:rsidRPr="00422B23">
              <w:t>%. Ve směru meziročního poklesu však působila změna zásob, na které se velmi výrazně podepisovala vysoká srovnávací základna minulého roku</w:t>
            </w:r>
            <w:r>
              <w:rPr>
                <w:rStyle w:val="Znakapoznpodarou"/>
              </w:rPr>
              <w:footnoteReference w:id="11"/>
            </w:r>
            <w:r w:rsidRPr="00422B23">
              <w:t xml:space="preserve"> (podobně jako ve 2. čtvrtletí). Z vývoje investiční aktivity podle věcného členění</w:t>
            </w:r>
            <w:r w:rsidRPr="009110F7">
              <w:rPr>
                <w:rStyle w:val="Znakapoznpodarou"/>
              </w:rPr>
              <w:footnoteReference w:id="12"/>
            </w:r>
            <w:r w:rsidRPr="00422B23">
              <w:t xml:space="preserve"> nepřímo vyplývá posílení vládních investičních výdajů (které potvrzuje vývoj výdajů státního rozpočtu). Zrychlila meziroční dynamika investic do ostatních budov a staveb (na 14,4 %). Silný růst si udržely investice do dopravních prostředků a zařízení (11,6 %). Výrazně narostly investice do produktů duševního vlastnictví (9,4 %). Na 6,7 % oslabil přírůstek kapitálových výdajů na ICT a ostatní stroje a zařízení. Po vysokých tempech první poloviny roku oslabil i růst výdajů na obydlí (na 6,4 %).</w:t>
            </w:r>
          </w:p>
        </w:tc>
      </w:tr>
      <w:tr w:rsidR="009A24F1" w:rsidRPr="009110F7" w:rsidTr="009A24F1">
        <w:trPr>
          <w:trHeight w:val="145"/>
        </w:trPr>
        <w:tc>
          <w:tcPr>
            <w:tcW w:w="1888" w:type="dxa"/>
            <w:shd w:val="clear" w:color="auto" w:fill="auto"/>
            <w:tcMar>
              <w:left w:w="0" w:type="dxa"/>
            </w:tcMar>
          </w:tcPr>
          <w:p w:rsidR="009A24F1" w:rsidRDefault="009A24F1" w:rsidP="009A24F1">
            <w:pPr>
              <w:pStyle w:val="Marginlie"/>
            </w:pPr>
            <w:r>
              <w:lastRenderedPageBreak/>
              <w:t xml:space="preserve">Růst domácí poptávky uspokojoval dovoz. Přebytek bilance zahraničního obchodu tak meziročně klesal. </w:t>
            </w:r>
          </w:p>
        </w:tc>
        <w:tc>
          <w:tcPr>
            <w:tcW w:w="250" w:type="dxa"/>
            <w:shd w:val="clear" w:color="auto" w:fill="auto"/>
            <w:tcMar>
              <w:left w:w="0" w:type="dxa"/>
            </w:tcMar>
          </w:tcPr>
          <w:p w:rsidR="009A24F1" w:rsidRDefault="009A24F1" w:rsidP="009A24F1">
            <w:pPr>
              <w:pStyle w:val="Textpoznpodarou"/>
              <w:jc w:val="both"/>
              <w:rPr>
                <w:spacing w:val="-4"/>
              </w:rPr>
            </w:pPr>
          </w:p>
        </w:tc>
        <w:tc>
          <w:tcPr>
            <w:tcW w:w="7501" w:type="dxa"/>
            <w:shd w:val="clear" w:color="auto" w:fill="auto"/>
            <w:tcMar>
              <w:left w:w="0" w:type="dxa"/>
            </w:tcMar>
          </w:tcPr>
          <w:p w:rsidR="009A24F1" w:rsidRDefault="009A24F1" w:rsidP="009A24F1">
            <w:r w:rsidRPr="00422B23">
              <w:t xml:space="preserve">Pohled na příspěvky k růstu HDP po </w:t>
            </w:r>
            <w:r w:rsidR="006E53AD">
              <w:t xml:space="preserve">vyloučení </w:t>
            </w:r>
            <w:r w:rsidRPr="00422B23">
              <w:t>a před vyloučením dovozu pro konečné užití odhaluje, že současný nárůst spotřeby domácností i investiční aktivity je z velké části živen dovozem. Odečtení dovozu pro konečné užití tak zredukovalo příspěvek spotřeby domácností z 1,5 p. b. na 1,0 p. b. U výdajů na tvorbu hrubého fixního kapitálu je redukce ještě výraznější (z 2,3 p. b. na 1,7 p. b.).</w:t>
            </w:r>
            <w:r>
              <w:t xml:space="preserve"> Bilance zahraničního obchodu tak ve 3. čtvrtletí dosáhla 70,7 mld. korun</w:t>
            </w:r>
            <w:r w:rsidRPr="009110F7">
              <w:rPr>
                <w:rStyle w:val="Znakapoznpodarou"/>
              </w:rPr>
              <w:footnoteReference w:id="13"/>
            </w:r>
            <w:r>
              <w:t xml:space="preserve"> a meziročně se snížila o 22,5 mld., zejména kvůli rychle rostoucímu dovozu. Přebytek bilance obchodu se zbožím klesl výrazněji (o 13,5 mld. korun) než přebytek u služeb (9,</w:t>
            </w:r>
            <w:r w:rsidR="006E53AD">
              <w:t>0 </w:t>
            </w:r>
            <w:r>
              <w:t>mld.).</w:t>
            </w:r>
          </w:p>
        </w:tc>
      </w:tr>
      <w:tr w:rsidR="009A24F1" w:rsidRPr="009110F7" w:rsidTr="009A24F1">
        <w:trPr>
          <w:trHeight w:val="145"/>
        </w:trPr>
        <w:tc>
          <w:tcPr>
            <w:tcW w:w="1888" w:type="dxa"/>
            <w:shd w:val="clear" w:color="auto" w:fill="auto"/>
            <w:tcMar>
              <w:left w:w="0" w:type="dxa"/>
            </w:tcMar>
          </w:tcPr>
          <w:p w:rsidR="009A24F1" w:rsidRDefault="009A24F1" w:rsidP="009A24F1">
            <w:pPr>
              <w:pStyle w:val="Marginlie"/>
            </w:pPr>
            <w:r>
              <w:t>Ve 3. čtvrtletí došlo k výrazné redukci příspěvku zpracovatelského průmyslu k růstu HPH.</w:t>
            </w:r>
          </w:p>
        </w:tc>
        <w:tc>
          <w:tcPr>
            <w:tcW w:w="250" w:type="dxa"/>
            <w:shd w:val="clear" w:color="auto" w:fill="auto"/>
            <w:tcMar>
              <w:left w:w="0" w:type="dxa"/>
            </w:tcMar>
          </w:tcPr>
          <w:p w:rsidR="009A24F1" w:rsidRDefault="009A24F1" w:rsidP="009A24F1">
            <w:pPr>
              <w:pStyle w:val="Textpoznpodarou"/>
              <w:jc w:val="both"/>
              <w:rPr>
                <w:spacing w:val="-4"/>
              </w:rPr>
            </w:pPr>
          </w:p>
        </w:tc>
        <w:tc>
          <w:tcPr>
            <w:tcW w:w="7501" w:type="dxa"/>
            <w:shd w:val="clear" w:color="auto" w:fill="auto"/>
            <w:tcMar>
              <w:left w:w="0" w:type="dxa"/>
            </w:tcMar>
          </w:tcPr>
          <w:p w:rsidR="009A24F1" w:rsidRDefault="009A24F1" w:rsidP="009A24F1">
            <w:r>
              <w:t xml:space="preserve">Meziroční růst hrubé přidané hodnoty byl z více než poloviny podpořen odvětvími služeb (1,6 p. b.). Skupina obchod, doprava, ubytování a pohostinství k tomu přidala 0,6 p. b. Na </w:t>
            </w:r>
            <w:r w:rsidR="006E53AD">
              <w:t>druhé straně</w:t>
            </w:r>
            <w:r>
              <w:t xml:space="preserve"> zde došlo ke zpomalení meziroční dynamiky na 3,3 % a </w:t>
            </w:r>
            <w:r w:rsidR="006E53AD">
              <w:t>k </w:t>
            </w:r>
            <w:proofErr w:type="spellStart"/>
            <w:r>
              <w:t>mezičtvrtletní</w:t>
            </w:r>
            <w:proofErr w:type="spellEnd"/>
            <w:r>
              <w:t xml:space="preserve"> stagnaci. Shodně 0,3 p. b. pak přispěly informační a komunikační činnosti (růst HPH o 5,7 %) a odvětví s dominancí veřejného sektoru (+2,0 %). Vzhledem ke zpomalení růstu ve zpracovatelském průmyslu na 1,0 % se jeho příspěvek snížil na 0,3 p. b., což je nejméně za poslední pětileté období hospodářského růstu. Na meziroční dynamice zpracovatelského průmyslu se projevovala vysoká srovnávací základna loňského roku, výrazně však zpomalil </w:t>
            </w:r>
            <w:r w:rsidR="006E53AD">
              <w:t>i </w:t>
            </w:r>
            <w:proofErr w:type="spellStart"/>
            <w:r>
              <w:t>mezičtvrtletní</w:t>
            </w:r>
            <w:proofErr w:type="spellEnd"/>
            <w:r>
              <w:t xml:space="preserve"> růst (0,3 % ve 3. čtvrtletí). Naopak dařilo se stavebnictví, jehož HPH ve 3. čtvrtletí vzrostla o 6,3 % a k celkovému růstu </w:t>
            </w:r>
            <w:r w:rsidR="00B55A97">
              <w:t xml:space="preserve">toto </w:t>
            </w:r>
            <w:r>
              <w:t>odvětví přidalo 0,3 p. b. Kladně k růstu HPH přispěla i ostatní průmyslová odvětví (0,2 p. b.), která v posledních letech spíš</w:t>
            </w:r>
            <w:r w:rsidR="00B55A97">
              <w:t>e</w:t>
            </w:r>
            <w:r>
              <w:t xml:space="preserve"> stagnovala.</w:t>
            </w:r>
          </w:p>
        </w:tc>
      </w:tr>
      <w:tr w:rsidR="009A24F1" w:rsidRPr="009110F7" w:rsidTr="009A24F1">
        <w:trPr>
          <w:trHeight w:val="170"/>
        </w:trPr>
        <w:tc>
          <w:tcPr>
            <w:tcW w:w="1888" w:type="dxa"/>
            <w:vMerge w:val="restart"/>
            <w:shd w:val="clear" w:color="auto" w:fill="auto"/>
            <w:tcMar>
              <w:left w:w="0" w:type="dxa"/>
            </w:tcMar>
          </w:tcPr>
          <w:p w:rsidR="009A24F1" w:rsidRDefault="009A24F1" w:rsidP="009A24F1">
            <w:pPr>
              <w:pStyle w:val="Marginlie"/>
            </w:pPr>
          </w:p>
        </w:tc>
        <w:tc>
          <w:tcPr>
            <w:tcW w:w="250" w:type="dxa"/>
            <w:vMerge w:val="restart"/>
            <w:shd w:val="clear" w:color="auto" w:fill="auto"/>
            <w:tcMar>
              <w:left w:w="0" w:type="dxa"/>
            </w:tcMar>
          </w:tcPr>
          <w:p w:rsidR="009A24F1" w:rsidRDefault="009A24F1" w:rsidP="009A24F1">
            <w:pPr>
              <w:pStyle w:val="Textpoznpodarou"/>
              <w:jc w:val="both"/>
              <w:rPr>
                <w:spacing w:val="-4"/>
              </w:rPr>
            </w:pPr>
          </w:p>
        </w:tc>
        <w:tc>
          <w:tcPr>
            <w:tcW w:w="7501" w:type="dxa"/>
            <w:shd w:val="clear" w:color="auto" w:fill="auto"/>
            <w:tcMar>
              <w:left w:w="0" w:type="dxa"/>
            </w:tcMar>
          </w:tcPr>
          <w:p w:rsidR="009A24F1" w:rsidRDefault="009A24F1" w:rsidP="009A24F1">
            <w:pPr>
              <w:spacing w:after="0"/>
            </w:pPr>
            <w:r w:rsidRPr="00A85DE1">
              <w:rPr>
                <w:b/>
                <w:sz w:val="18"/>
                <w:szCs w:val="18"/>
              </w:rPr>
              <w:t xml:space="preserve">Graf č. 4  </w:t>
            </w:r>
            <w:r w:rsidRPr="00663018">
              <w:rPr>
                <w:rFonts w:cs="Arial"/>
                <w:b/>
                <w:sz w:val="18"/>
                <w:szCs w:val="18"/>
                <w:lang w:eastAsia="en-US"/>
              </w:rPr>
              <w:t>Příspěvky odvětví k reálné změně HPH (objemové indexy, meziroční příspěvky v p. b., HPH v</w:t>
            </w:r>
            <w:r>
              <w:rPr>
                <w:rFonts w:cs="Arial"/>
                <w:b/>
                <w:sz w:val="18"/>
                <w:szCs w:val="18"/>
                <w:lang w:eastAsia="en-US"/>
              </w:rPr>
              <w:t> %</w:t>
            </w:r>
            <w:r w:rsidRPr="00663018">
              <w:rPr>
                <w:rFonts w:cs="Arial"/>
                <w:b/>
                <w:sz w:val="18"/>
                <w:szCs w:val="18"/>
                <w:lang w:eastAsia="en-US"/>
              </w:rPr>
              <w:t>)</w:t>
            </w:r>
          </w:p>
        </w:tc>
      </w:tr>
      <w:tr w:rsidR="009A24F1" w:rsidRPr="009110F7" w:rsidTr="009A24F1">
        <w:trPr>
          <w:trHeight w:val="170"/>
        </w:trPr>
        <w:tc>
          <w:tcPr>
            <w:tcW w:w="1888" w:type="dxa"/>
            <w:vMerge/>
            <w:shd w:val="clear" w:color="auto" w:fill="auto"/>
            <w:tcMar>
              <w:left w:w="0" w:type="dxa"/>
            </w:tcMar>
          </w:tcPr>
          <w:p w:rsidR="009A24F1" w:rsidRPr="009110F7" w:rsidRDefault="009A24F1" w:rsidP="00965797">
            <w:pPr>
              <w:pStyle w:val="Marginlie"/>
            </w:pPr>
          </w:p>
        </w:tc>
        <w:tc>
          <w:tcPr>
            <w:tcW w:w="250" w:type="dxa"/>
            <w:vMerge/>
            <w:shd w:val="clear" w:color="auto" w:fill="auto"/>
            <w:tcMar>
              <w:left w:w="0" w:type="dxa"/>
            </w:tcMar>
          </w:tcPr>
          <w:p w:rsidR="009A24F1" w:rsidRPr="009110F7" w:rsidRDefault="009A24F1" w:rsidP="00965797">
            <w:pPr>
              <w:pStyle w:val="Textpoznpodarou"/>
              <w:jc w:val="both"/>
              <w:rPr>
                <w:spacing w:val="-4"/>
              </w:rPr>
            </w:pPr>
          </w:p>
        </w:tc>
        <w:tc>
          <w:tcPr>
            <w:tcW w:w="7501" w:type="dxa"/>
            <w:shd w:val="clear" w:color="auto" w:fill="auto"/>
            <w:tcMar>
              <w:left w:w="0" w:type="dxa"/>
            </w:tcMar>
          </w:tcPr>
          <w:p w:rsidR="009A24F1" w:rsidRPr="009110F7" w:rsidRDefault="009A24F1" w:rsidP="00965797">
            <w:pPr>
              <w:spacing w:after="0"/>
            </w:pPr>
            <w:r w:rsidRPr="00797ED7">
              <w:rPr>
                <w:noProof/>
              </w:rPr>
              <w:drawing>
                <wp:inline distT="0" distB="0" distL="0" distR="0">
                  <wp:extent cx="4737600" cy="3553200"/>
                  <wp:effectExtent l="0" t="0" r="0" b="0"/>
                  <wp:docPr id="23"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9A24F1" w:rsidRPr="009110F7" w:rsidTr="009A24F1">
        <w:trPr>
          <w:trHeight w:val="170"/>
        </w:trPr>
        <w:tc>
          <w:tcPr>
            <w:tcW w:w="1888" w:type="dxa"/>
            <w:vMerge/>
            <w:shd w:val="clear" w:color="auto" w:fill="auto"/>
            <w:tcMar>
              <w:left w:w="0" w:type="dxa"/>
            </w:tcMar>
          </w:tcPr>
          <w:p w:rsidR="009A24F1" w:rsidRPr="009110F7" w:rsidRDefault="009A24F1" w:rsidP="00965797">
            <w:pPr>
              <w:pStyle w:val="Marginlie"/>
            </w:pPr>
          </w:p>
        </w:tc>
        <w:tc>
          <w:tcPr>
            <w:tcW w:w="250" w:type="dxa"/>
            <w:vMerge/>
            <w:shd w:val="clear" w:color="auto" w:fill="auto"/>
            <w:tcMar>
              <w:left w:w="0" w:type="dxa"/>
            </w:tcMar>
          </w:tcPr>
          <w:p w:rsidR="009A24F1" w:rsidRPr="009110F7" w:rsidRDefault="009A24F1" w:rsidP="00965797">
            <w:pPr>
              <w:pStyle w:val="Textpoznpodarou"/>
              <w:jc w:val="both"/>
              <w:rPr>
                <w:spacing w:val="-4"/>
              </w:rPr>
            </w:pPr>
          </w:p>
        </w:tc>
        <w:tc>
          <w:tcPr>
            <w:tcW w:w="7501" w:type="dxa"/>
            <w:shd w:val="clear" w:color="auto" w:fill="auto"/>
            <w:tcMar>
              <w:left w:w="0" w:type="dxa"/>
            </w:tcMar>
          </w:tcPr>
          <w:p w:rsidR="009A24F1" w:rsidRPr="009110F7" w:rsidRDefault="009A24F1" w:rsidP="00E54698">
            <w:pPr>
              <w:rPr>
                <w:sz w:val="14"/>
                <w:szCs w:val="14"/>
              </w:rPr>
            </w:pPr>
            <w:r w:rsidRPr="00A85DE1">
              <w:rPr>
                <w:sz w:val="14"/>
                <w:szCs w:val="14"/>
              </w:rPr>
              <w:t>Zdroj: ČSÚ</w:t>
            </w:r>
          </w:p>
        </w:tc>
      </w:tr>
    </w:tbl>
    <w:p w:rsidR="009A24F1" w:rsidRDefault="009A24F1">
      <w:pPr>
        <w:spacing w:after="0" w:line="240" w:lineRule="auto"/>
        <w:jc w:val="left"/>
        <w:rPr>
          <w:rFonts w:eastAsia="MS Gothic"/>
          <w:b/>
          <w:bCs/>
          <w:color w:val="71818C"/>
          <w:sz w:val="32"/>
          <w:szCs w:val="28"/>
        </w:rPr>
      </w:pPr>
      <w:r>
        <w:br w:type="page"/>
      </w:r>
    </w:p>
    <w:p w:rsidR="00935BD4" w:rsidRPr="009110F7" w:rsidRDefault="00935BD4" w:rsidP="001554C2">
      <w:pPr>
        <w:pStyle w:val="Nadpis11"/>
      </w:pPr>
      <w:bookmarkStart w:id="4" w:name="_Toc532558283"/>
      <w:r w:rsidRPr="009110F7">
        <w:lastRenderedPageBreak/>
        <w:t>3</w:t>
      </w:r>
      <w:r w:rsidR="001554C2" w:rsidRPr="009110F7">
        <w:t xml:space="preserve">. </w:t>
      </w:r>
      <w:bookmarkStart w:id="5" w:name="_Toc454185150"/>
      <w:bookmarkStart w:id="6" w:name="_Toc493683635"/>
      <w:r w:rsidRPr="009110F7">
        <w:t>Výkonnost odvětví</w:t>
      </w:r>
      <w:bookmarkEnd w:id="4"/>
      <w:bookmarkEnd w:id="5"/>
      <w:bookmarkEnd w:id="6"/>
    </w:p>
    <w:tbl>
      <w:tblPr>
        <w:tblW w:w="9639" w:type="dxa"/>
        <w:tblInd w:w="-15" w:type="dxa"/>
        <w:tblCellMar>
          <w:left w:w="0" w:type="dxa"/>
          <w:right w:w="0" w:type="dxa"/>
        </w:tblCellMar>
        <w:tblLook w:val="00A0"/>
      </w:tblPr>
      <w:tblGrid>
        <w:gridCol w:w="1839"/>
        <w:gridCol w:w="233"/>
        <w:gridCol w:w="7567"/>
      </w:tblGrid>
      <w:tr w:rsidR="0083630F" w:rsidRPr="00B4411A" w:rsidTr="00D726A9">
        <w:trPr>
          <w:trHeight w:val="145"/>
        </w:trPr>
        <w:tc>
          <w:tcPr>
            <w:tcW w:w="1839" w:type="dxa"/>
            <w:shd w:val="clear" w:color="auto" w:fill="auto"/>
            <w:tcMar>
              <w:left w:w="0" w:type="dxa"/>
            </w:tcMar>
          </w:tcPr>
          <w:p w:rsidR="0083630F" w:rsidRDefault="0083630F" w:rsidP="0083630F">
            <w:pPr>
              <w:pStyle w:val="Marginlie"/>
            </w:pPr>
            <w:r>
              <w:t>Za zpomalením růstu HPH během roku 2018 stálo oslabení zahraniční poptávky, jež se promítlo do výkonu tuzemského průmyslu.</w:t>
            </w: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B4411A" w:rsidRDefault="0083630F" w:rsidP="0083630F">
            <w:pPr>
              <w:spacing w:after="200"/>
              <w:rPr>
                <w:spacing w:val="-4"/>
              </w:rPr>
            </w:pPr>
            <w:r>
              <w:t>Výkon všech odvětví ekonomiky vyjádřený pomocí hrubé přidané hodnoty (HPH)</w:t>
            </w:r>
            <w:r>
              <w:rPr>
                <w:rStyle w:val="Znakapoznpodarou"/>
                <w:spacing w:val="-4"/>
              </w:rPr>
              <w:footnoteReference w:id="14"/>
            </w:r>
            <w:r>
              <w:t xml:space="preserve"> i</w:t>
            </w:r>
            <w:r>
              <w:rPr>
                <w:spacing w:val="-4"/>
              </w:rPr>
              <w:t> </w:t>
            </w:r>
            <w:r>
              <w:t xml:space="preserve">přes náznaky zpomalování nadále rostl. Ve 3. čtvrtletí 2018 byl oproti úrovni předchozích </w:t>
            </w:r>
            <w:r w:rsidR="002418D5">
              <w:t xml:space="preserve">tří </w:t>
            </w:r>
            <w:r>
              <w:t>měsíců o 0,6 % vyšší. Šlo o příznivější výsledek než ve 2. čtvrtletí, kdy růstové tempo dosáhlo bezmála dvouletého minima (0,4 %). Za letošním vývojem stálo zpomalení růstu zahraniční poptávky</w:t>
            </w:r>
            <w:r>
              <w:rPr>
                <w:rStyle w:val="Znakapoznpodarou"/>
              </w:rPr>
              <w:footnoteReference w:id="15"/>
            </w:r>
            <w:r>
              <w:t xml:space="preserve">, které se odrazilo primárně na výkonu tuzemského průmyslu. </w:t>
            </w:r>
            <w:proofErr w:type="spellStart"/>
            <w:r>
              <w:rPr>
                <w:spacing w:val="-4"/>
              </w:rPr>
              <w:t>Mezikvartální</w:t>
            </w:r>
            <w:proofErr w:type="spellEnd"/>
            <w:r>
              <w:rPr>
                <w:spacing w:val="-4"/>
              </w:rPr>
              <w:t xml:space="preserve"> růst ale přetrvával v tuzemské ekonomice již dvacet dva čtvrtletí v řadě, v úhrnu se za toto období HPH navýšila o 19,6 %.</w:t>
            </w:r>
          </w:p>
        </w:tc>
      </w:tr>
      <w:tr w:rsidR="0083630F" w:rsidRPr="00B4411A" w:rsidTr="00D726A9">
        <w:trPr>
          <w:trHeight w:val="145"/>
        </w:trPr>
        <w:tc>
          <w:tcPr>
            <w:tcW w:w="1839" w:type="dxa"/>
            <w:shd w:val="clear" w:color="auto" w:fill="auto"/>
            <w:tcMar>
              <w:left w:w="0" w:type="dxa"/>
            </w:tcMar>
          </w:tcPr>
          <w:p w:rsidR="0083630F" w:rsidRPr="0085454F" w:rsidRDefault="0083630F" w:rsidP="0083630F">
            <w:pPr>
              <w:pStyle w:val="Marginlie"/>
              <w:rPr>
                <w:spacing w:val="-3"/>
              </w:rPr>
            </w:pPr>
            <w:r>
              <w:rPr>
                <w:spacing w:val="-3"/>
              </w:rPr>
              <w:t xml:space="preserve">HPH rostla </w:t>
            </w:r>
            <w:r w:rsidRPr="0085454F">
              <w:rPr>
                <w:spacing w:val="-3"/>
              </w:rPr>
              <w:t>ne</w:t>
            </w:r>
            <w:r>
              <w:rPr>
                <w:spacing w:val="-3"/>
              </w:rPr>
              <w:t>jvyšším tempem v informačních a</w:t>
            </w:r>
            <w:r w:rsidRPr="0085454F">
              <w:rPr>
                <w:spacing w:val="-3"/>
              </w:rPr>
              <w:t> komunikačních činnostech, ve finančním sektoru a nově též ve stavebnictví.</w:t>
            </w: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r>
              <w:t>Na nižších výkonech zemědělství se podepsala slabší úroda hlavních plodin.</w:t>
            </w: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B4411A" w:rsidRDefault="0083630F" w:rsidP="0083630F">
            <w:pPr>
              <w:spacing w:after="200"/>
              <w:rPr>
                <w:spacing w:val="-4"/>
              </w:rPr>
            </w:pPr>
            <w:r>
              <w:rPr>
                <w:spacing w:val="-4"/>
              </w:rPr>
              <w:t>V úhrnu za tři letošní čtvrtletí HPH meziročně posílila o 3,0 %, v samotném 3. čtvrtletí o 2,4 %. Zatímco v 1. čtvrtletí přispívaly k jejímu růstu zpracovatelský průmysl i služby jako celek zhruba podobným dílem, v následující části roku již výrazně dominovaly služby, neboť vliv zpracovatelského průmyslu byl nejslabší o</w:t>
            </w:r>
            <w:r w:rsidRPr="00FB75ED">
              <w:rPr>
                <w:spacing w:val="-4"/>
                <w:szCs w:val="20"/>
              </w:rPr>
              <w:t xml:space="preserve">d konce roku 2013. </w:t>
            </w:r>
            <w:r w:rsidRPr="00FB75ED">
              <w:rPr>
                <w:color w:val="0D0D0D" w:themeColor="text1" w:themeTint="F2"/>
                <w:szCs w:val="20"/>
              </w:rPr>
              <w:t>Ve 3.</w:t>
            </w:r>
            <w:r>
              <w:rPr>
                <w:spacing w:val="-4"/>
              </w:rPr>
              <w:t> </w:t>
            </w:r>
            <w:r w:rsidRPr="00FB75ED">
              <w:rPr>
                <w:color w:val="0D0D0D" w:themeColor="text1" w:themeTint="F2"/>
                <w:szCs w:val="20"/>
              </w:rPr>
              <w:t>čtvrtletí 2018 činil meziroční růst HPH ve zpracovatelském průmyslu jen 1,0 %. Projevilo se jak oslabení zahraniční poptávky, tak i vliv velmi vysoké loňské základny (kdy růst HPH o 13,1 % byl nejlepším výsledkem po 4</w:t>
            </w:r>
            <w:r w:rsidR="00CE6833">
              <w:rPr>
                <w:color w:val="0D0D0D" w:themeColor="text1" w:themeTint="F2"/>
                <w:szCs w:val="20"/>
              </w:rPr>
              <w:t>.</w:t>
            </w:r>
            <w:r w:rsidRPr="00FB75ED">
              <w:rPr>
                <w:color w:val="0D0D0D" w:themeColor="text1" w:themeTint="F2"/>
                <w:szCs w:val="20"/>
              </w:rPr>
              <w:t xml:space="preserve"> čtvrtletí 2006). Pokles zaznamenal váhově dominantní obor výroby dopravních prostředků (tvořící bezmála čtvrtinu HPH zpracovatelského průmyslu). Dařilo se naopak zejména výrobě počítačů, elektronických a optických přístrojů, dále produkci elektrických zařízení či výrobě kovů a kovodělných výrobků. </w:t>
            </w:r>
            <w:r w:rsidRPr="00FB75ED">
              <w:rPr>
                <w:spacing w:val="-4"/>
                <w:szCs w:val="20"/>
              </w:rPr>
              <w:t>Na</w:t>
            </w:r>
            <w:r>
              <w:rPr>
                <w:spacing w:val="-4"/>
              </w:rPr>
              <w:t xml:space="preserve"> růstu služeb v 1. až 3. čtvrtletí (o 2,9 %) se téměř z poloviny podílelo uskupení o</w:t>
            </w:r>
            <w:r w:rsidRPr="0059285E">
              <w:rPr>
                <w:spacing w:val="-4"/>
              </w:rPr>
              <w:t>bchod, doprava, ubytování a pohostinství</w:t>
            </w:r>
            <w:r>
              <w:rPr>
                <w:spacing w:val="-4"/>
              </w:rPr>
              <w:t xml:space="preserve">. Nejsilnější tempo si ale podržely dynamické obory – </w:t>
            </w:r>
            <w:r>
              <w:rPr>
                <w:rFonts w:cs="Arial"/>
                <w:spacing w:val="-4"/>
              </w:rPr>
              <w:t xml:space="preserve">informační </w:t>
            </w:r>
            <w:r w:rsidR="004A26A5">
              <w:rPr>
                <w:rFonts w:cs="Arial"/>
                <w:spacing w:val="-4"/>
              </w:rPr>
              <w:t>a </w:t>
            </w:r>
            <w:r>
              <w:rPr>
                <w:rFonts w:cs="Arial"/>
                <w:spacing w:val="-4"/>
              </w:rPr>
              <w:t xml:space="preserve">komunikační činnosti (+6,6 %) </w:t>
            </w:r>
            <w:r w:rsidR="004A26A5">
              <w:rPr>
                <w:rFonts w:cs="Arial"/>
                <w:spacing w:val="-4"/>
              </w:rPr>
              <w:t>i </w:t>
            </w:r>
            <w:r>
              <w:rPr>
                <w:rFonts w:cs="Arial"/>
                <w:spacing w:val="-4"/>
              </w:rPr>
              <w:t>peněžnictví a pojišťovnictví (+5,2 %). Naopak v činnostech v oblasti nemovitostí i ve významném segmentu služeb s dominantní rolí veřejného sektoru přetrvával (podobně jako vloni) nevýrazný růst</w:t>
            </w:r>
            <w:r>
              <w:rPr>
                <w:rStyle w:val="Znakapoznpodarou"/>
                <w:spacing w:val="-4"/>
              </w:rPr>
              <w:footnoteReference w:id="16"/>
            </w:r>
            <w:r>
              <w:rPr>
                <w:rFonts w:cs="Arial"/>
                <w:spacing w:val="-4"/>
              </w:rPr>
              <w:t>. Zásadní obrat zaznamenalo stavebnictví. Jestliže za celý loňský rok zde HPH o</w:t>
            </w:r>
            <w:r>
              <w:rPr>
                <w:spacing w:val="-4"/>
              </w:rPr>
              <w:t> </w:t>
            </w:r>
            <w:r>
              <w:rPr>
                <w:rFonts w:cs="Arial"/>
                <w:spacing w:val="-4"/>
              </w:rPr>
              <w:t>2,5 % poklesla, v 1. až 3. čtvrtletí 2018 se její růst blížil 6 % (obdobné tempo bylo naposledy zaznamenáno před jedenácti lety). V zemědělství, lesnictví a rybářství se loňský pokles HPH letos mírně prohloubil (na 3,3 %), což patrně souviselo se slabšími sklizněmi. Vytrvalé sucho, které kulminovalo v letním období, citelně poznamenalo hektarové výnosy drtivé většiny obilnin</w:t>
            </w:r>
            <w:r>
              <w:rPr>
                <w:rStyle w:val="Znakapoznpodarou"/>
                <w:spacing w:val="-4"/>
              </w:rPr>
              <w:footnoteReference w:id="17"/>
            </w:r>
            <w:r>
              <w:rPr>
                <w:rFonts w:cs="Arial"/>
                <w:spacing w:val="-4"/>
              </w:rPr>
              <w:t xml:space="preserve"> (vyjma ovsa, žita a jarní pšenice), okopanin, pícnin, luskovin, chmele či zeleniny. Naopak teplé počasí velmi svědčilo ovocnářství, dařilo se také</w:t>
            </w:r>
            <w:r>
              <w:rPr>
                <w:spacing w:val="-4"/>
              </w:rPr>
              <w:t xml:space="preserve"> </w:t>
            </w:r>
            <w:r>
              <w:rPr>
                <w:rFonts w:cs="Arial"/>
                <w:spacing w:val="-4"/>
              </w:rPr>
              <w:t>řepce.</w:t>
            </w:r>
          </w:p>
        </w:tc>
      </w:tr>
      <w:tr w:rsidR="0083630F" w:rsidRPr="00B4411A" w:rsidTr="00D726A9">
        <w:trPr>
          <w:trHeight w:val="145"/>
        </w:trPr>
        <w:tc>
          <w:tcPr>
            <w:tcW w:w="1839" w:type="dxa"/>
            <w:shd w:val="clear" w:color="auto" w:fill="auto"/>
            <w:tcMar>
              <w:left w:w="0" w:type="dxa"/>
            </w:tcMar>
          </w:tcPr>
          <w:p w:rsidR="0083630F" w:rsidRDefault="0083630F" w:rsidP="0083630F">
            <w:pPr>
              <w:pStyle w:val="Marginlie"/>
            </w:pPr>
            <w:r>
              <w:t>Tempo růstu průmyslové produkce se proti loňskému roku snížilo na polovinu. Výrazně k tomu přispěly automobilový a chemický průmysl.</w:t>
            </w: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B4411A" w:rsidRDefault="0083630F" w:rsidP="0083630F">
            <w:pPr>
              <w:spacing w:after="200"/>
              <w:rPr>
                <w:spacing w:val="-4"/>
              </w:rPr>
            </w:pPr>
            <w:r>
              <w:rPr>
                <w:spacing w:val="-4"/>
              </w:rPr>
              <w:t>Zvolňování tempa růstu průmyslu potvrzují i podnikové</w:t>
            </w:r>
            <w:r w:rsidRPr="002533E1">
              <w:rPr>
                <w:spacing w:val="-4"/>
              </w:rPr>
              <w:t xml:space="preserve"> statistik</w:t>
            </w:r>
            <w:r>
              <w:rPr>
                <w:spacing w:val="-4"/>
              </w:rPr>
              <w:t>y. I</w:t>
            </w:r>
            <w:r>
              <w:rPr>
                <w:color w:val="000000" w:themeColor="text1"/>
                <w:spacing w:val="-4"/>
              </w:rPr>
              <w:t>ndex průmyslové</w:t>
            </w:r>
            <w:r w:rsidRPr="008D59A9">
              <w:rPr>
                <w:color w:val="000000" w:themeColor="text1"/>
                <w:spacing w:val="-4"/>
              </w:rPr>
              <w:t xml:space="preserve"> produkce</w:t>
            </w:r>
            <w:r w:rsidRPr="008D59A9">
              <w:rPr>
                <w:color w:val="000000" w:themeColor="text1"/>
                <w:spacing w:val="-4"/>
                <w:vertAlign w:val="superscript"/>
              </w:rPr>
              <w:footnoteReference w:id="18"/>
            </w:r>
            <w:r>
              <w:rPr>
                <w:color w:val="000000" w:themeColor="text1"/>
                <w:spacing w:val="-4"/>
              </w:rPr>
              <w:t xml:space="preserve"> vzrostl v 1. až 3. čtvrtletí meziročně o 3,3 %</w:t>
            </w:r>
            <w:r>
              <w:rPr>
                <w:rStyle w:val="Znakapoznpodarou"/>
                <w:color w:val="000000" w:themeColor="text1"/>
                <w:spacing w:val="-4"/>
              </w:rPr>
              <w:footnoteReference w:id="19"/>
            </w:r>
            <w:r>
              <w:rPr>
                <w:color w:val="000000" w:themeColor="text1"/>
                <w:spacing w:val="-4"/>
              </w:rPr>
              <w:t>, tedy polovičním tempem než ve stejném období loňského roku. Na tomto vývoji se podílelo hlavně výrazné zpomalení ve výrobě motorových vozidel (i některých příbuzných oborech) a v chemickém průmyslu. Jestliže v chemickém průmyslu</w:t>
            </w:r>
            <w:r>
              <w:rPr>
                <w:rStyle w:val="Znakapoznpodarou"/>
                <w:color w:val="000000" w:themeColor="text1"/>
                <w:spacing w:val="-4"/>
              </w:rPr>
              <w:footnoteReference w:id="20"/>
            </w:r>
            <w:r>
              <w:rPr>
                <w:color w:val="000000" w:themeColor="text1"/>
                <w:spacing w:val="-4"/>
              </w:rPr>
              <w:t xml:space="preserve"> dlouhodobé kolísání produkce odráželo vliv </w:t>
            </w:r>
            <w:r>
              <w:rPr>
                <w:color w:val="000000" w:themeColor="text1"/>
                <w:spacing w:val="-4"/>
              </w:rPr>
              <w:lastRenderedPageBreak/>
              <w:t>odstávek výrobních zařízení (plánovaných i neplánovaných), v automobilovém průmyslu souviselo primárně s oslabením dynamiky zahraniční poptávky. I přes toto citelné zpomalení si průmysl jako celek letos udržel solidní růst, a to i díky své výrazné oborové diverzifikaci</w:t>
            </w:r>
            <w:r>
              <w:rPr>
                <w:rStyle w:val="Znakapoznpodarou"/>
                <w:color w:val="000000" w:themeColor="text1"/>
                <w:spacing w:val="-4"/>
              </w:rPr>
              <w:footnoteReference w:id="21"/>
            </w:r>
            <w:r>
              <w:rPr>
                <w:color w:val="000000" w:themeColor="text1"/>
                <w:spacing w:val="-4"/>
              </w:rPr>
              <w:t>.</w:t>
            </w:r>
          </w:p>
        </w:tc>
      </w:tr>
      <w:tr w:rsidR="0083630F" w:rsidRPr="00F704D2" w:rsidTr="00D726A9">
        <w:trPr>
          <w:trHeight w:val="170"/>
        </w:trPr>
        <w:tc>
          <w:tcPr>
            <w:tcW w:w="1839" w:type="dxa"/>
            <w:vMerge w:val="restart"/>
            <w:shd w:val="clear" w:color="auto" w:fill="auto"/>
            <w:tcMar>
              <w:left w:w="0" w:type="dxa"/>
            </w:tcMar>
          </w:tcPr>
          <w:p w:rsidR="0083630F" w:rsidRDefault="0083630F" w:rsidP="0083630F">
            <w:pPr>
              <w:pStyle w:val="Marginlie"/>
            </w:pPr>
          </w:p>
        </w:tc>
        <w:tc>
          <w:tcPr>
            <w:tcW w:w="233" w:type="dxa"/>
            <w:vMerge w:val="restart"/>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D922A1" w:rsidRDefault="0083630F" w:rsidP="0083630F">
            <w:pPr>
              <w:spacing w:after="0"/>
              <w:rPr>
                <w:b/>
              </w:rPr>
            </w:pPr>
            <w:r w:rsidRPr="00C06323">
              <w:rPr>
                <w:rFonts w:cs="Arial"/>
                <w:b/>
                <w:bCs/>
                <w:color w:val="000000"/>
                <w:szCs w:val="20"/>
              </w:rPr>
              <w:t xml:space="preserve">Graf č. </w:t>
            </w:r>
            <w:r>
              <w:rPr>
                <w:rFonts w:cs="Arial"/>
                <w:b/>
                <w:bCs/>
                <w:color w:val="000000"/>
                <w:szCs w:val="20"/>
              </w:rPr>
              <w:t>5</w:t>
            </w:r>
            <w:r w:rsidRPr="00631BC9">
              <w:rPr>
                <w:rFonts w:cs="Arial"/>
                <w:b/>
                <w:bCs/>
                <w:color w:val="000000"/>
                <w:sz w:val="18"/>
                <w:szCs w:val="18"/>
              </w:rPr>
              <w:t xml:space="preserve"> </w:t>
            </w:r>
            <w:r>
              <w:rPr>
                <w:rFonts w:cs="Arial"/>
                <w:b/>
                <w:bCs/>
                <w:color w:val="000000"/>
                <w:sz w:val="18"/>
                <w:szCs w:val="18"/>
              </w:rPr>
              <w:t xml:space="preserve"> </w:t>
            </w:r>
            <w:r>
              <w:rPr>
                <w:b/>
              </w:rPr>
              <w:t>Příspěvky dílčích odvětví k meziroční změně průmyslové produkce</w:t>
            </w:r>
          </w:p>
          <w:p w:rsidR="0083630F" w:rsidRPr="00F704D2" w:rsidRDefault="0083630F" w:rsidP="0083630F">
            <w:pPr>
              <w:spacing w:after="0"/>
              <w:jc w:val="left"/>
              <w:rPr>
                <w:rFonts w:cs="Arial"/>
                <w:bCs/>
              </w:rPr>
            </w:pPr>
            <w:r>
              <w:t>(v procentních bodech, očištěno o kalendářní vlivy</w:t>
            </w:r>
            <w:r w:rsidRPr="001D04BA">
              <w:t>)</w:t>
            </w:r>
          </w:p>
        </w:tc>
      </w:tr>
      <w:tr w:rsidR="0083630F" w:rsidTr="00D726A9">
        <w:trPr>
          <w:trHeight w:val="170"/>
        </w:trPr>
        <w:tc>
          <w:tcPr>
            <w:tcW w:w="1839" w:type="dxa"/>
            <w:vMerge/>
            <w:shd w:val="clear" w:color="auto" w:fill="auto"/>
            <w:tcMar>
              <w:left w:w="0" w:type="dxa"/>
            </w:tcMar>
          </w:tcPr>
          <w:p w:rsidR="0083630F" w:rsidRDefault="0083630F" w:rsidP="0083630F">
            <w:pPr>
              <w:pStyle w:val="Marginlie"/>
            </w:pPr>
          </w:p>
        </w:tc>
        <w:tc>
          <w:tcPr>
            <w:tcW w:w="233" w:type="dxa"/>
            <w:vMerge/>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Default="0083630F" w:rsidP="0083630F">
            <w:pPr>
              <w:spacing w:after="0"/>
            </w:pPr>
            <w:r w:rsidRPr="00F7605E">
              <w:rPr>
                <w:noProof/>
              </w:rPr>
              <w:drawing>
                <wp:inline distT="0" distB="0" distL="0" distR="0">
                  <wp:extent cx="4793993" cy="3562460"/>
                  <wp:effectExtent l="0" t="0" r="0"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83630F" w:rsidRPr="007B3A78" w:rsidTr="00D726A9">
        <w:trPr>
          <w:trHeight w:val="170"/>
        </w:trPr>
        <w:tc>
          <w:tcPr>
            <w:tcW w:w="1839" w:type="dxa"/>
            <w:vMerge/>
            <w:shd w:val="clear" w:color="auto" w:fill="auto"/>
            <w:tcMar>
              <w:left w:w="0" w:type="dxa"/>
            </w:tcMar>
          </w:tcPr>
          <w:p w:rsidR="0083630F" w:rsidRDefault="0083630F" w:rsidP="0083630F">
            <w:pPr>
              <w:pStyle w:val="Marginlie"/>
            </w:pPr>
          </w:p>
        </w:tc>
        <w:tc>
          <w:tcPr>
            <w:tcW w:w="233" w:type="dxa"/>
            <w:vMerge/>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7B3A78" w:rsidRDefault="0083630F" w:rsidP="0083630F">
            <w:pPr>
              <w:spacing w:after="200" w:line="240" w:lineRule="auto"/>
              <w:jc w:val="left"/>
              <w:rPr>
                <w:rFonts w:cs="Arial"/>
                <w:sz w:val="14"/>
                <w:szCs w:val="14"/>
              </w:rPr>
            </w:pPr>
            <w:r w:rsidRPr="00535F78">
              <w:rPr>
                <w:rFonts w:cs="Arial"/>
                <w:sz w:val="14"/>
                <w:szCs w:val="14"/>
              </w:rPr>
              <w:t xml:space="preserve">Zdroj: </w:t>
            </w:r>
            <w:r>
              <w:rPr>
                <w:rFonts w:cs="Arial"/>
                <w:sz w:val="14"/>
                <w:szCs w:val="14"/>
              </w:rPr>
              <w:t>ČSÚ</w:t>
            </w:r>
          </w:p>
        </w:tc>
      </w:tr>
      <w:tr w:rsidR="0083630F" w:rsidRPr="00263965" w:rsidTr="00D726A9">
        <w:trPr>
          <w:trHeight w:val="145"/>
        </w:trPr>
        <w:tc>
          <w:tcPr>
            <w:tcW w:w="1839" w:type="dxa"/>
            <w:shd w:val="clear" w:color="auto" w:fill="auto"/>
            <w:tcMar>
              <w:left w:w="0" w:type="dxa"/>
            </w:tcMar>
          </w:tcPr>
          <w:p w:rsidR="0083630F" w:rsidRDefault="0083630F" w:rsidP="0083630F">
            <w:pPr>
              <w:pStyle w:val="Marginlie"/>
            </w:pPr>
            <w:r>
              <w:t>Meziroční růst produkce výrobců motorových vozidel se ve 3. čtvrtletí po více než pěti letech zastavil.</w:t>
            </w: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263965" w:rsidRDefault="0083630F" w:rsidP="0083630F">
            <w:pPr>
              <w:spacing w:after="220"/>
              <w:rPr>
                <w:spacing w:val="-4"/>
              </w:rPr>
            </w:pPr>
            <w:r w:rsidRPr="00263965">
              <w:rPr>
                <w:spacing w:val="-4"/>
              </w:rPr>
              <w:t xml:space="preserve">Produkce v odvětví výroby motorových vozidel vzrostla za tři čtvrtletí </w:t>
            </w:r>
            <w:r>
              <w:rPr>
                <w:spacing w:val="-4"/>
              </w:rPr>
              <w:t xml:space="preserve">meziročně </w:t>
            </w:r>
            <w:r w:rsidR="00157CC9">
              <w:rPr>
                <w:spacing w:val="-4"/>
              </w:rPr>
              <w:t>o 1,5</w:t>
            </w:r>
            <w:r w:rsidRPr="00263965">
              <w:rPr>
                <w:spacing w:val="-4"/>
              </w:rPr>
              <w:t xml:space="preserve"> % (o rok dříve o</w:t>
            </w:r>
            <w:r w:rsidRPr="00263965">
              <w:rPr>
                <w:color w:val="000000" w:themeColor="text1"/>
                <w:spacing w:val="-4"/>
              </w:rPr>
              <w:t> </w:t>
            </w:r>
            <w:r w:rsidRPr="00263965">
              <w:rPr>
                <w:spacing w:val="-4"/>
              </w:rPr>
              <w:t>9,9</w:t>
            </w:r>
            <w:r w:rsidRPr="00263965">
              <w:rPr>
                <w:color w:val="000000" w:themeColor="text1"/>
                <w:spacing w:val="-4"/>
              </w:rPr>
              <w:t> </w:t>
            </w:r>
            <w:r w:rsidRPr="00263965">
              <w:rPr>
                <w:spacing w:val="-4"/>
              </w:rPr>
              <w:t>%), v samotném 3. čtvrtletí vy</w:t>
            </w:r>
            <w:r>
              <w:rPr>
                <w:spacing w:val="-4"/>
              </w:rPr>
              <w:t>kázala dokonce mírný pokles (0,1</w:t>
            </w:r>
            <w:r w:rsidRPr="00263965">
              <w:rPr>
                <w:spacing w:val="-4"/>
              </w:rPr>
              <w:t xml:space="preserve"> %, první od ukončení recese ve 2. čtvrtletí 2013). Slabší výsledek na sklonku letního období mohl souviset s naplněním skladovacích kapacit v souvislosti se zavedením </w:t>
            </w:r>
            <w:r w:rsidR="001F2F90">
              <w:rPr>
                <w:spacing w:val="-4"/>
              </w:rPr>
              <w:t>nových</w:t>
            </w:r>
            <w:r w:rsidR="001F2F90" w:rsidRPr="00263965">
              <w:rPr>
                <w:spacing w:val="-4"/>
              </w:rPr>
              <w:t xml:space="preserve"> </w:t>
            </w:r>
            <w:r w:rsidRPr="00263965">
              <w:rPr>
                <w:spacing w:val="-4"/>
              </w:rPr>
              <w:t>přísnějších emisních norem</w:t>
            </w:r>
            <w:r w:rsidRPr="00263965">
              <w:rPr>
                <w:rStyle w:val="Znakapoznpodarou"/>
                <w:spacing w:val="-4"/>
              </w:rPr>
              <w:footnoteReference w:id="22"/>
            </w:r>
            <w:r w:rsidRPr="00263965">
              <w:rPr>
                <w:spacing w:val="-4"/>
              </w:rPr>
              <w:t>. V dlouhodobějším pohledu pak výkon odvětví (ale i celého průmyslu) limitovala i napjatá situace na pracovním trhu projevující se obtížemi při náboru nových pracovníků. Jen velmi mírný letošní růst automobilového průmyslu dokládají i údaje o fyzické produkci</w:t>
            </w:r>
            <w:r w:rsidRPr="00263965">
              <w:rPr>
                <w:rStyle w:val="Znakapoznpodarou"/>
                <w:spacing w:val="-4"/>
              </w:rPr>
              <w:footnoteReference w:id="23"/>
            </w:r>
            <w:r w:rsidRPr="00263965">
              <w:rPr>
                <w:spacing w:val="-4"/>
              </w:rPr>
              <w:t xml:space="preserve">. Tento vývoj se promítl i do letošní produkce gumárenství </w:t>
            </w:r>
            <w:r>
              <w:rPr>
                <w:spacing w:val="-4"/>
              </w:rPr>
              <w:t>a</w:t>
            </w:r>
            <w:r w:rsidRPr="00263965">
              <w:rPr>
                <w:spacing w:val="-4"/>
              </w:rPr>
              <w:t xml:space="preserve"> </w:t>
            </w:r>
            <w:proofErr w:type="spellStart"/>
            <w:r w:rsidRPr="00263965">
              <w:rPr>
                <w:spacing w:val="-4"/>
              </w:rPr>
              <w:t>pla</w:t>
            </w:r>
            <w:r w:rsidR="00157CC9">
              <w:rPr>
                <w:spacing w:val="-4"/>
              </w:rPr>
              <w:t>stikářství</w:t>
            </w:r>
            <w:proofErr w:type="spellEnd"/>
            <w:r w:rsidR="00157CC9">
              <w:rPr>
                <w:spacing w:val="-4"/>
              </w:rPr>
              <w:t xml:space="preserve"> (+0,8</w:t>
            </w:r>
            <w:r>
              <w:rPr>
                <w:spacing w:val="-4"/>
              </w:rPr>
              <w:t xml:space="preserve"> %, ve stejném období loňského roku</w:t>
            </w:r>
            <w:r w:rsidRPr="00263965">
              <w:rPr>
                <w:spacing w:val="-4"/>
              </w:rPr>
              <w:t xml:space="preserve"> </w:t>
            </w:r>
            <w:r>
              <w:rPr>
                <w:spacing w:val="-4"/>
              </w:rPr>
              <w:t>+</w:t>
            </w:r>
            <w:r w:rsidR="00157CC9">
              <w:rPr>
                <w:spacing w:val="-4"/>
              </w:rPr>
              <w:t>7,6</w:t>
            </w:r>
            <w:r w:rsidRPr="00263965">
              <w:rPr>
                <w:spacing w:val="-4"/>
              </w:rPr>
              <w:t xml:space="preserve"> %). Naopak v jiném subdodavatelském odvětví automobilového průmyslu – výrobě elektrických zařízení – zůstalo letos loňské tempo </w:t>
            </w:r>
            <w:r>
              <w:rPr>
                <w:spacing w:val="-4"/>
              </w:rPr>
              <w:t xml:space="preserve">prakticky </w:t>
            </w:r>
            <w:r w:rsidRPr="00263965">
              <w:rPr>
                <w:spacing w:val="-4"/>
              </w:rPr>
              <w:t xml:space="preserve">zachováno (+7,1 %). </w:t>
            </w:r>
          </w:p>
        </w:tc>
      </w:tr>
      <w:tr w:rsidR="0083630F" w:rsidRPr="00263965" w:rsidTr="00D726A9">
        <w:trPr>
          <w:trHeight w:val="145"/>
        </w:trPr>
        <w:tc>
          <w:tcPr>
            <w:tcW w:w="1839" w:type="dxa"/>
            <w:shd w:val="clear" w:color="auto" w:fill="auto"/>
            <w:tcMar>
              <w:left w:w="0" w:type="dxa"/>
            </w:tcMar>
          </w:tcPr>
          <w:p w:rsidR="0083630F" w:rsidRDefault="0083630F" w:rsidP="0083630F">
            <w:pPr>
              <w:pStyle w:val="Marginlie"/>
            </w:pPr>
            <w:r>
              <w:t xml:space="preserve">Silný růst produkce přetrvával již druhým rokem ve výrobě počítačů, elektronických a optických přístrojů. K růstu průmyslu letos přispěla nejvíce </w:t>
            </w:r>
            <w:r>
              <w:lastRenderedPageBreak/>
              <w:t>kovovýroba.</w:t>
            </w:r>
          </w:p>
        </w:tc>
        <w:tc>
          <w:tcPr>
            <w:tcW w:w="233" w:type="dxa"/>
            <w:shd w:val="clear" w:color="auto" w:fill="auto"/>
            <w:tcMar>
              <w:left w:w="0" w:type="dxa"/>
            </w:tcMar>
          </w:tcPr>
          <w:p w:rsidR="0083630F" w:rsidRPr="002A4B98" w:rsidRDefault="0083630F" w:rsidP="0083630F">
            <w:pPr>
              <w:pStyle w:val="Textpoznpodarou"/>
              <w:jc w:val="both"/>
              <w:rPr>
                <w:spacing w:val="-3"/>
              </w:rPr>
            </w:pPr>
          </w:p>
        </w:tc>
        <w:tc>
          <w:tcPr>
            <w:tcW w:w="7567" w:type="dxa"/>
            <w:shd w:val="clear" w:color="auto" w:fill="auto"/>
            <w:tcMar>
              <w:left w:w="0" w:type="dxa"/>
            </w:tcMar>
          </w:tcPr>
          <w:p w:rsidR="0083630F" w:rsidRPr="00263965" w:rsidRDefault="0083630F" w:rsidP="0083630F">
            <w:pPr>
              <w:pStyle w:val="Textpoznpodarou"/>
              <w:spacing w:after="220" w:line="276" w:lineRule="auto"/>
              <w:jc w:val="both"/>
              <w:rPr>
                <w:b/>
                <w:spacing w:val="-4"/>
              </w:rPr>
            </w:pPr>
            <w:r w:rsidRPr="00263965">
              <w:rPr>
                <w:rFonts w:cs="Arial"/>
                <w:color w:val="0D0D0D" w:themeColor="text1" w:themeTint="F2"/>
                <w:spacing w:val="-4"/>
              </w:rPr>
              <w:t xml:space="preserve">Nejdynamičtějším průmyslovým oborem byla v 1. až 3. čtvrtletí výrazně exportně orientovaná výroba </w:t>
            </w:r>
            <w:r w:rsidRPr="00263965">
              <w:rPr>
                <w:spacing w:val="-4"/>
              </w:rPr>
              <w:t>počítačů a elektronických a optických přístrojů (s růstem produkce o</w:t>
            </w:r>
            <w:r w:rsidRPr="00263965">
              <w:rPr>
                <w:color w:val="000000" w:themeColor="text1"/>
                <w:spacing w:val="-4"/>
              </w:rPr>
              <w:t> </w:t>
            </w:r>
            <w:r w:rsidR="00157CC9">
              <w:rPr>
                <w:spacing w:val="-4"/>
              </w:rPr>
              <w:t>14</w:t>
            </w:r>
            <w:r w:rsidRPr="00263965">
              <w:rPr>
                <w:spacing w:val="-4"/>
              </w:rPr>
              <w:t xml:space="preserve"> %, za dva roky pak</w:t>
            </w:r>
            <w:r>
              <w:rPr>
                <w:spacing w:val="-4"/>
              </w:rPr>
              <w:t xml:space="preserve"> o</w:t>
            </w:r>
            <w:r w:rsidRPr="00263965">
              <w:rPr>
                <w:spacing w:val="-4"/>
              </w:rPr>
              <w:t xml:space="preserve"> 28 %). K meziročnímu růstu průmyslové produkce ale nejvíce přispělo váhově významné odvětví kovovýroby (příspěvek 0,5 p. </w:t>
            </w:r>
            <w:proofErr w:type="spellStart"/>
            <w:r w:rsidRPr="00263965">
              <w:rPr>
                <w:spacing w:val="-4"/>
              </w:rPr>
              <w:t>b</w:t>
            </w:r>
            <w:proofErr w:type="spellEnd"/>
            <w:r w:rsidRPr="00263965">
              <w:rPr>
                <w:spacing w:val="-4"/>
              </w:rPr>
              <w:t>. při růstu odvětví o</w:t>
            </w:r>
            <w:r w:rsidRPr="00263965">
              <w:rPr>
                <w:color w:val="000000" w:themeColor="text1"/>
                <w:spacing w:val="-4"/>
              </w:rPr>
              <w:t> </w:t>
            </w:r>
            <w:r>
              <w:rPr>
                <w:spacing w:val="-4"/>
              </w:rPr>
              <w:t>4,9</w:t>
            </w:r>
            <w:r w:rsidR="00EA2841" w:rsidRPr="00263965">
              <w:rPr>
                <w:color w:val="000000" w:themeColor="text1"/>
                <w:spacing w:val="-4"/>
              </w:rPr>
              <w:t> </w:t>
            </w:r>
            <w:r w:rsidRPr="00263965">
              <w:rPr>
                <w:spacing w:val="-4"/>
              </w:rPr>
              <w:t xml:space="preserve">%). Podobným tempem se navyšovala produkce i ve strojírenství. Již druhým </w:t>
            </w:r>
            <w:r w:rsidRPr="00263965">
              <w:rPr>
                <w:spacing w:val="-4"/>
              </w:rPr>
              <w:lastRenderedPageBreak/>
              <w:t xml:space="preserve">rokem v řadě se rostoucí poptávka po stavebních materiálech odrážela ve svižném růstu odvětví ostatních nekovových minerálních výrobků. Vyšší tuzemská poptávka přispěla také k oživení </w:t>
            </w:r>
            <w:r w:rsidR="00157CC9">
              <w:rPr>
                <w:spacing w:val="-4"/>
              </w:rPr>
              <w:t>hutnictví a slévárenství (+5,7</w:t>
            </w:r>
            <w:r w:rsidRPr="00263965">
              <w:rPr>
                <w:spacing w:val="-4"/>
              </w:rPr>
              <w:t xml:space="preserve"> %, nejvyšší tempo za posledních sedm let). Nao</w:t>
            </w:r>
            <w:r>
              <w:rPr>
                <w:spacing w:val="-4"/>
              </w:rPr>
              <w:t xml:space="preserve">pak skromnější dynamiku vykazovalo </w:t>
            </w:r>
            <w:r w:rsidRPr="00263965">
              <w:rPr>
                <w:spacing w:val="-4"/>
              </w:rPr>
              <w:t xml:space="preserve">dlouhodobě potravinářství, jež je tradičně zaměřené primárně na tuzemský trh. Již pátým rokem v řadě zde růst produkce zaostal za tempem v celém průmyslu. Slabší výkony tohoto odvětví </w:t>
            </w:r>
            <w:r w:rsidR="008641AC">
              <w:rPr>
                <w:spacing w:val="-4"/>
              </w:rPr>
              <w:t>souvisejí</w:t>
            </w:r>
            <w:r w:rsidR="008641AC" w:rsidRPr="00263965">
              <w:rPr>
                <w:spacing w:val="-4"/>
              </w:rPr>
              <w:t xml:space="preserve"> </w:t>
            </w:r>
            <w:r w:rsidRPr="00263965">
              <w:rPr>
                <w:spacing w:val="-4"/>
              </w:rPr>
              <w:t>s prohlubujícím se negativním saldem zahraničního obchodu s potravinářskými výrobky.</w:t>
            </w:r>
          </w:p>
        </w:tc>
      </w:tr>
      <w:tr w:rsidR="0083630F" w:rsidRPr="00B35056" w:rsidTr="00D726A9">
        <w:trPr>
          <w:trHeight w:val="145"/>
        </w:trPr>
        <w:tc>
          <w:tcPr>
            <w:tcW w:w="1839" w:type="dxa"/>
            <w:shd w:val="clear" w:color="auto" w:fill="auto"/>
            <w:tcMar>
              <w:left w:w="0" w:type="dxa"/>
            </w:tcMar>
          </w:tcPr>
          <w:p w:rsidR="0083630F" w:rsidRDefault="0083630F" w:rsidP="0083630F">
            <w:pPr>
              <w:pStyle w:val="Marginlie"/>
            </w:pPr>
            <w:r>
              <w:lastRenderedPageBreak/>
              <w:t>Produkci nadále navyšovala i většina menších zpracovatelských odvětví. K</w:t>
            </w:r>
            <w:r>
              <w:rPr>
                <w:color w:val="0D0D0D" w:themeColor="text1" w:themeTint="F2"/>
                <w:spacing w:val="-4"/>
              </w:rPr>
              <w:t> </w:t>
            </w:r>
            <w:r>
              <w:t>dlouhodobému útlumu se vrátil kožedělný průmysl.</w:t>
            </w: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r>
              <w:t>Po šesti letech se zastavil pokles produkce v těžbě a</w:t>
            </w:r>
            <w:r>
              <w:rPr>
                <w:color w:val="0D0D0D" w:themeColor="text1" w:themeTint="F2"/>
                <w:spacing w:val="-4"/>
              </w:rPr>
              <w:t> </w:t>
            </w:r>
            <w:r>
              <w:t>dobývání.</w:t>
            </w:r>
          </w:p>
        </w:tc>
        <w:tc>
          <w:tcPr>
            <w:tcW w:w="233" w:type="dxa"/>
            <w:shd w:val="clear" w:color="auto" w:fill="auto"/>
            <w:tcMar>
              <w:left w:w="0" w:type="dxa"/>
            </w:tcMar>
          </w:tcPr>
          <w:p w:rsidR="0083630F" w:rsidRPr="002A4B98" w:rsidRDefault="0083630F" w:rsidP="0083630F">
            <w:pPr>
              <w:pStyle w:val="Textpoznpodarou"/>
              <w:jc w:val="both"/>
              <w:rPr>
                <w:spacing w:val="-3"/>
              </w:rPr>
            </w:pPr>
          </w:p>
        </w:tc>
        <w:tc>
          <w:tcPr>
            <w:tcW w:w="7567" w:type="dxa"/>
            <w:shd w:val="clear" w:color="auto" w:fill="auto"/>
            <w:tcMar>
              <w:left w:w="0" w:type="dxa"/>
            </w:tcMar>
          </w:tcPr>
          <w:p w:rsidR="0083630F" w:rsidRPr="00B35056" w:rsidRDefault="0083630F" w:rsidP="0083630F">
            <w:pPr>
              <w:pStyle w:val="Textpoznpodarou"/>
              <w:spacing w:after="220" w:line="276" w:lineRule="auto"/>
              <w:jc w:val="both"/>
              <w:rPr>
                <w:spacing w:val="-3"/>
              </w:rPr>
            </w:pPr>
            <w:r>
              <w:rPr>
                <w:spacing w:val="-3"/>
              </w:rPr>
              <w:t>Nadále se dařilo</w:t>
            </w:r>
            <w:r w:rsidRPr="00B35056">
              <w:rPr>
                <w:spacing w:val="-3"/>
              </w:rPr>
              <w:t xml:space="preserve"> i většině menších zpracovatelských oborů</w:t>
            </w:r>
            <w:r>
              <w:rPr>
                <w:spacing w:val="-3"/>
              </w:rPr>
              <w:t xml:space="preserve"> – výrobě oděvů, textilií, zpracování dřeva, nábytkářství i farmacii. To platilo i o produkci nápojů, kde meziroční růst v 1. až 3. čtvrtletí o</w:t>
            </w:r>
            <w:r w:rsidRPr="00263965">
              <w:rPr>
                <w:spacing w:val="-4"/>
              </w:rPr>
              <w:t> </w:t>
            </w:r>
            <w:r w:rsidR="00157CC9">
              <w:rPr>
                <w:spacing w:val="-3"/>
              </w:rPr>
              <w:t>5</w:t>
            </w:r>
            <w:r>
              <w:rPr>
                <w:spacing w:val="-3"/>
              </w:rPr>
              <w:t>,</w:t>
            </w:r>
            <w:r w:rsidR="00157CC9">
              <w:rPr>
                <w:spacing w:val="-3"/>
              </w:rPr>
              <w:t>0</w:t>
            </w:r>
            <w:r w:rsidRPr="00263965">
              <w:rPr>
                <w:spacing w:val="-4"/>
              </w:rPr>
              <w:t> </w:t>
            </w:r>
            <w:r>
              <w:rPr>
                <w:spacing w:val="-3"/>
              </w:rPr>
              <w:t xml:space="preserve">% (podpořený i dlouhým horkým letním obdobím) představoval nejlepší výsledek po roce 2007. Po nepříznivém loňském vývoji letos opět rostly výkony výrobců ostatních (zejména kolejových) dopravních prostředků, podobně jako </w:t>
            </w:r>
            <w:r>
              <w:rPr>
                <w:color w:val="0D0D0D" w:themeColor="text1" w:themeTint="F2"/>
                <w:spacing w:val="-4"/>
              </w:rPr>
              <w:t xml:space="preserve">v ostatním zpracovatelském průmyslu (jenž zahrnuje např. sportovní potřeby, hračky, hudební nástroje či bižuterii). Po krátkém loňském oživení se k dlouhodobému útlumu vrátilo nejmenší zpracovatelské odvětví – kožedělný průmysl, což se vedle produkce promítlo i v zaměstnanosti. V těžebním průmyslu se letos po šesti letech pokles produkce zastavil, neboť růst ve váhově okrajovém segmentu těžby stavebních materiálů převážil nepříznivý vývoj v těžbě a úpravě uhlí </w:t>
            </w:r>
            <w:r w:rsidR="003A5889">
              <w:rPr>
                <w:color w:val="0D0D0D" w:themeColor="text1" w:themeTint="F2"/>
                <w:spacing w:val="-4"/>
              </w:rPr>
              <w:t>(–</w:t>
            </w:r>
            <w:r w:rsidR="00157CC9">
              <w:rPr>
                <w:color w:val="0D0D0D" w:themeColor="text1" w:themeTint="F2"/>
                <w:spacing w:val="-4"/>
              </w:rPr>
              <w:t>2,9</w:t>
            </w:r>
            <w:r>
              <w:rPr>
                <w:color w:val="0D0D0D" w:themeColor="text1" w:themeTint="F2"/>
                <w:spacing w:val="-4"/>
              </w:rPr>
              <w:t xml:space="preserve"> %)</w:t>
            </w:r>
            <w:r>
              <w:rPr>
                <w:rStyle w:val="Znakapoznpodarou"/>
                <w:color w:val="0D0D0D" w:themeColor="text1" w:themeTint="F2"/>
                <w:spacing w:val="-4"/>
              </w:rPr>
              <w:footnoteReference w:id="24"/>
            </w:r>
            <w:r>
              <w:rPr>
                <w:color w:val="0D0D0D" w:themeColor="text1" w:themeTint="F2"/>
                <w:spacing w:val="-4"/>
              </w:rPr>
              <w:t>. Již druhým rokem v řadě rostla produkce ener</w:t>
            </w:r>
            <w:r w:rsidR="00157CC9">
              <w:rPr>
                <w:color w:val="0D0D0D" w:themeColor="text1" w:themeTint="F2"/>
                <w:spacing w:val="-4"/>
              </w:rPr>
              <w:t>getiky, o letošní růst o 0,2</w:t>
            </w:r>
            <w:r>
              <w:rPr>
                <w:color w:val="0D0D0D" w:themeColor="text1" w:themeTint="F2"/>
                <w:spacing w:val="-4"/>
              </w:rPr>
              <w:t xml:space="preserve"> % se zasloužily vyšší výkony jaderných elektráren, z menší části i větrných a fotovoltaických zařízení. </w:t>
            </w:r>
          </w:p>
        </w:tc>
      </w:tr>
      <w:tr w:rsidR="0083630F" w:rsidRPr="002A4B98" w:rsidTr="00D726A9">
        <w:trPr>
          <w:trHeight w:val="145"/>
        </w:trPr>
        <w:tc>
          <w:tcPr>
            <w:tcW w:w="1839" w:type="dxa"/>
            <w:shd w:val="clear" w:color="auto" w:fill="auto"/>
            <w:tcMar>
              <w:left w:w="0" w:type="dxa"/>
            </w:tcMar>
          </w:tcPr>
          <w:p w:rsidR="0083630F" w:rsidRDefault="0083630F" w:rsidP="0083630F">
            <w:pPr>
              <w:pStyle w:val="Marginlie"/>
            </w:pPr>
          </w:p>
        </w:tc>
        <w:tc>
          <w:tcPr>
            <w:tcW w:w="233" w:type="dxa"/>
            <w:shd w:val="clear" w:color="auto" w:fill="auto"/>
            <w:tcMar>
              <w:left w:w="0" w:type="dxa"/>
            </w:tcMar>
          </w:tcPr>
          <w:p w:rsidR="0083630F" w:rsidRPr="002A4B98" w:rsidRDefault="0083630F" w:rsidP="0083630F">
            <w:pPr>
              <w:pStyle w:val="Textpoznpodarou"/>
              <w:jc w:val="both"/>
              <w:rPr>
                <w:spacing w:val="-3"/>
              </w:rPr>
            </w:pPr>
          </w:p>
        </w:tc>
        <w:tc>
          <w:tcPr>
            <w:tcW w:w="7567" w:type="dxa"/>
            <w:shd w:val="clear" w:color="auto" w:fill="auto"/>
            <w:tcMar>
              <w:left w:w="0" w:type="dxa"/>
            </w:tcMar>
          </w:tcPr>
          <w:p w:rsidR="00D922A1" w:rsidRDefault="0083630F" w:rsidP="0083630F">
            <w:pPr>
              <w:pStyle w:val="Textpoznpodarou"/>
              <w:spacing w:line="276" w:lineRule="auto"/>
              <w:rPr>
                <w:b/>
                <w:spacing w:val="-3"/>
              </w:rPr>
            </w:pPr>
            <w:r w:rsidRPr="002A4B98">
              <w:rPr>
                <w:b/>
                <w:spacing w:val="-3"/>
              </w:rPr>
              <w:t>Graf č. 6  Nové zakázky v automobilovém průmyslu, v průmyslu celkem</w:t>
            </w:r>
          </w:p>
          <w:p w:rsidR="0083630F" w:rsidRPr="002A4B98" w:rsidRDefault="0083630F" w:rsidP="0083630F">
            <w:pPr>
              <w:pStyle w:val="Textpoznpodarou"/>
              <w:spacing w:line="276" w:lineRule="auto"/>
              <w:rPr>
                <w:spacing w:val="-3"/>
              </w:rPr>
            </w:pPr>
            <w:r w:rsidRPr="002A4B98">
              <w:rPr>
                <w:bCs/>
                <w:spacing w:val="-3"/>
              </w:rPr>
              <w:t xml:space="preserve">(v běžných cenách, </w:t>
            </w:r>
            <w:r w:rsidRPr="002A4B98">
              <w:rPr>
                <w:spacing w:val="-3"/>
              </w:rPr>
              <w:t>meziročně</w:t>
            </w:r>
            <w:r w:rsidRPr="002A4B98">
              <w:rPr>
                <w:bCs/>
                <w:spacing w:val="-3"/>
              </w:rPr>
              <w:t xml:space="preserve"> v %)</w:t>
            </w:r>
            <w:r>
              <w:rPr>
                <w:bCs/>
                <w:spacing w:val="-3"/>
              </w:rPr>
              <w:t>,</w:t>
            </w:r>
            <w:r w:rsidRPr="002A4B98">
              <w:rPr>
                <w:b/>
                <w:spacing w:val="-3"/>
              </w:rPr>
              <w:t xml:space="preserve"> saldo indikátoru důvěry v</w:t>
            </w:r>
            <w:r>
              <w:rPr>
                <w:b/>
                <w:spacing w:val="-3"/>
              </w:rPr>
              <w:t> </w:t>
            </w:r>
            <w:r w:rsidRPr="002A4B98">
              <w:rPr>
                <w:b/>
                <w:spacing w:val="-3"/>
              </w:rPr>
              <w:t>průmyslu</w:t>
            </w:r>
            <w:r>
              <w:rPr>
                <w:b/>
                <w:spacing w:val="-3"/>
              </w:rPr>
              <w:t>*</w:t>
            </w:r>
            <w:r w:rsidRPr="002A4B98">
              <w:rPr>
                <w:b/>
                <w:spacing w:val="-3"/>
              </w:rPr>
              <w:t xml:space="preserve"> </w:t>
            </w:r>
            <w:r w:rsidRPr="002A4B98">
              <w:rPr>
                <w:spacing w:val="-3"/>
              </w:rPr>
              <w:t>(v bodech)</w:t>
            </w:r>
            <w:r>
              <w:rPr>
                <w:spacing w:val="-3"/>
              </w:rPr>
              <w:t xml:space="preserve"> </w:t>
            </w:r>
            <w:r w:rsidRPr="00176851">
              <w:rPr>
                <w:b/>
                <w:spacing w:val="-3"/>
              </w:rPr>
              <w:t>a využití výrobních kapacit v průmyslu*</w:t>
            </w:r>
            <w:r>
              <w:rPr>
                <w:spacing w:val="-3"/>
              </w:rPr>
              <w:t xml:space="preserve"> (v %)</w:t>
            </w:r>
          </w:p>
        </w:tc>
      </w:tr>
      <w:tr w:rsidR="0083630F" w:rsidRPr="00970E6F" w:rsidTr="00D726A9">
        <w:trPr>
          <w:trHeight w:val="145"/>
        </w:trPr>
        <w:tc>
          <w:tcPr>
            <w:tcW w:w="1839" w:type="dxa"/>
            <w:shd w:val="clear" w:color="auto" w:fill="auto"/>
            <w:tcMar>
              <w:left w:w="0" w:type="dxa"/>
            </w:tcMar>
          </w:tcPr>
          <w:p w:rsidR="0083630F" w:rsidRDefault="0083630F" w:rsidP="0083630F">
            <w:pPr>
              <w:pStyle w:val="Marginlie"/>
            </w:pP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970E6F" w:rsidRDefault="0083630F" w:rsidP="0083630F">
            <w:pPr>
              <w:spacing w:after="0" w:line="240" w:lineRule="auto"/>
              <w:rPr>
                <w:spacing w:val="-2"/>
                <w:szCs w:val="20"/>
              </w:rPr>
            </w:pPr>
            <w:r w:rsidRPr="00176851">
              <w:rPr>
                <w:noProof/>
                <w:spacing w:val="-2"/>
                <w:szCs w:val="20"/>
              </w:rPr>
              <w:drawing>
                <wp:inline distT="0" distB="0" distL="0" distR="0">
                  <wp:extent cx="4730750" cy="3371850"/>
                  <wp:effectExtent l="0" t="0" r="0" b="0"/>
                  <wp:docPr id="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83630F" w:rsidRPr="00DE6706" w:rsidTr="00D726A9">
        <w:trPr>
          <w:trHeight w:val="145"/>
        </w:trPr>
        <w:tc>
          <w:tcPr>
            <w:tcW w:w="1839" w:type="dxa"/>
            <w:shd w:val="clear" w:color="auto" w:fill="auto"/>
            <w:tcMar>
              <w:left w:w="0" w:type="dxa"/>
            </w:tcMar>
          </w:tcPr>
          <w:p w:rsidR="0083630F" w:rsidRDefault="0083630F" w:rsidP="0083630F">
            <w:pPr>
              <w:pStyle w:val="Marginlie"/>
            </w:pP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DE6706" w:rsidRDefault="0083630F" w:rsidP="0083630F">
            <w:pPr>
              <w:spacing w:after="220" w:line="240" w:lineRule="auto"/>
              <w:rPr>
                <w:rFonts w:cs="Arial"/>
                <w:sz w:val="14"/>
                <w:szCs w:val="14"/>
              </w:rPr>
            </w:pPr>
            <w:r>
              <w:rPr>
                <w:rFonts w:cs="Arial"/>
                <w:sz w:val="14"/>
                <w:szCs w:val="14"/>
              </w:rPr>
              <w:t xml:space="preserve">*Údaje jsou sezónně očištěny.    </w:t>
            </w:r>
            <w:r w:rsidRPr="00535F78">
              <w:rPr>
                <w:rFonts w:cs="Arial"/>
                <w:sz w:val="14"/>
                <w:szCs w:val="14"/>
              </w:rPr>
              <w:t xml:space="preserve">Zdroj: </w:t>
            </w:r>
            <w:r>
              <w:rPr>
                <w:rFonts w:cs="Arial"/>
                <w:sz w:val="14"/>
                <w:szCs w:val="14"/>
              </w:rPr>
              <w:t>ČSÚ</w:t>
            </w:r>
          </w:p>
        </w:tc>
      </w:tr>
      <w:tr w:rsidR="0083630F" w:rsidRPr="002A4B98" w:rsidTr="00D726A9">
        <w:trPr>
          <w:trHeight w:val="145"/>
        </w:trPr>
        <w:tc>
          <w:tcPr>
            <w:tcW w:w="1839" w:type="dxa"/>
            <w:shd w:val="clear" w:color="auto" w:fill="auto"/>
            <w:tcMar>
              <w:left w:w="0" w:type="dxa"/>
            </w:tcMar>
          </w:tcPr>
          <w:p w:rsidR="0083630F" w:rsidRDefault="0083630F" w:rsidP="0083630F">
            <w:pPr>
              <w:pStyle w:val="Marginlie"/>
            </w:pPr>
            <w:r>
              <w:t>Průmyslové zakázky rostly ve 3. čtvrtletí ve farmacii a</w:t>
            </w:r>
            <w:r>
              <w:rPr>
                <w:color w:val="0D0D0D" w:themeColor="text1" w:themeTint="F2"/>
                <w:spacing w:val="-4"/>
              </w:rPr>
              <w:t> </w:t>
            </w:r>
            <w:r>
              <w:t xml:space="preserve">výrobě počítačů, elektronických a optických přístrojů. Během podzimu </w:t>
            </w:r>
            <w:r>
              <w:lastRenderedPageBreak/>
              <w:t>se pak zlepšilo postavení automobilového průmyslu.</w:t>
            </w:r>
          </w:p>
        </w:tc>
        <w:tc>
          <w:tcPr>
            <w:tcW w:w="233" w:type="dxa"/>
            <w:shd w:val="clear" w:color="auto" w:fill="auto"/>
            <w:tcMar>
              <w:left w:w="0" w:type="dxa"/>
            </w:tcMar>
          </w:tcPr>
          <w:p w:rsidR="0083630F" w:rsidRPr="002A4B98" w:rsidRDefault="0083630F" w:rsidP="0083630F">
            <w:pPr>
              <w:pStyle w:val="Textpoznpodarou"/>
              <w:jc w:val="both"/>
              <w:rPr>
                <w:spacing w:val="-3"/>
              </w:rPr>
            </w:pPr>
          </w:p>
        </w:tc>
        <w:tc>
          <w:tcPr>
            <w:tcW w:w="7567" w:type="dxa"/>
            <w:shd w:val="clear" w:color="auto" w:fill="auto"/>
            <w:tcMar>
              <w:left w:w="0" w:type="dxa"/>
            </w:tcMar>
          </w:tcPr>
          <w:p w:rsidR="0083630F" w:rsidRPr="002A4B98" w:rsidRDefault="0083630F" w:rsidP="0083630F">
            <w:pPr>
              <w:pStyle w:val="Textpoznpodarou"/>
              <w:spacing w:after="220" w:line="276" w:lineRule="auto"/>
              <w:jc w:val="both"/>
              <w:rPr>
                <w:b/>
                <w:spacing w:val="-3"/>
              </w:rPr>
            </w:pPr>
            <w:r>
              <w:rPr>
                <w:color w:val="0D0D0D" w:themeColor="text1" w:themeTint="F2"/>
                <w:spacing w:val="-4"/>
              </w:rPr>
              <w:t>Solidní vyhlídky pro průmyslové podniky naznačoval vývoj nových zakázek. Jejich hodnota ve 3. čtvrtletí meziročně posílila o 3,8 % – nejvíce ve výrobě</w:t>
            </w:r>
            <w:r w:rsidRPr="008E2C10">
              <w:rPr>
                <w:color w:val="0D0D0D" w:themeColor="text1" w:themeTint="F2"/>
                <w:spacing w:val="-4"/>
              </w:rPr>
              <w:t xml:space="preserve"> počíta</w:t>
            </w:r>
            <w:r>
              <w:rPr>
                <w:color w:val="0D0D0D" w:themeColor="text1" w:themeTint="F2"/>
                <w:spacing w:val="-4"/>
              </w:rPr>
              <w:t xml:space="preserve">čů, elektronických a optických </w:t>
            </w:r>
            <w:r w:rsidRPr="008E2C10">
              <w:rPr>
                <w:color w:val="0D0D0D" w:themeColor="text1" w:themeTint="F2"/>
                <w:spacing w:val="-4"/>
              </w:rPr>
              <w:t xml:space="preserve">přístrojů </w:t>
            </w:r>
            <w:r>
              <w:rPr>
                <w:color w:val="0D0D0D" w:themeColor="text1" w:themeTint="F2"/>
                <w:spacing w:val="-4"/>
              </w:rPr>
              <w:t xml:space="preserve">a dále i ve farmacii (v obou případech </w:t>
            </w:r>
            <w:r w:rsidR="002340EF">
              <w:rPr>
                <w:color w:val="0D0D0D" w:themeColor="text1" w:themeTint="F2"/>
                <w:spacing w:val="-4"/>
              </w:rPr>
              <w:t xml:space="preserve">o </w:t>
            </w:r>
            <w:r>
              <w:rPr>
                <w:color w:val="0D0D0D" w:themeColor="text1" w:themeTint="F2"/>
                <w:spacing w:val="-4"/>
              </w:rPr>
              <w:t xml:space="preserve">osminu). Drobný pokles signalizovalo ze sledovaných odvětví jen oděvnictví, v chemickém </w:t>
            </w:r>
            <w:r>
              <w:rPr>
                <w:color w:val="0D0D0D" w:themeColor="text1" w:themeTint="F2"/>
                <w:spacing w:val="-4"/>
              </w:rPr>
              <w:lastRenderedPageBreak/>
              <w:t>průmyslu a výrobě motorových vozidel</w:t>
            </w:r>
            <w:r>
              <w:rPr>
                <w:rStyle w:val="Znakapoznpodarou"/>
                <w:color w:val="0D0D0D" w:themeColor="text1" w:themeTint="F2"/>
                <w:spacing w:val="-4"/>
              </w:rPr>
              <w:footnoteReference w:id="25"/>
            </w:r>
            <w:r>
              <w:rPr>
                <w:color w:val="0D0D0D" w:themeColor="text1" w:themeTint="F2"/>
                <w:spacing w:val="-4"/>
              </w:rPr>
              <w:t xml:space="preserve"> zakázky stagnovaly. Bez výraznějších výkyvů zůstalo letos i </w:t>
            </w:r>
            <w:r>
              <w:rPr>
                <w:rFonts w:cs="Arial"/>
                <w:color w:val="0D0D0D" w:themeColor="text1" w:themeTint="F2"/>
                <w:spacing w:val="-4"/>
              </w:rPr>
              <w:t>saldo indikátoru důvěry v průmyslu. Byť v červenci sestoupilo na třináct</w:t>
            </w:r>
            <w:r w:rsidR="00157CC9">
              <w:rPr>
                <w:rFonts w:cs="Arial"/>
                <w:color w:val="0D0D0D" w:themeColor="text1" w:themeTint="F2"/>
                <w:spacing w:val="-4"/>
              </w:rPr>
              <w:t>iměsíční minimum, nadále setrváva</w:t>
            </w:r>
            <w:r>
              <w:rPr>
                <w:rFonts w:cs="Arial"/>
                <w:color w:val="0D0D0D" w:themeColor="text1" w:themeTint="F2"/>
                <w:spacing w:val="-4"/>
              </w:rPr>
              <w:t>lo v pozitivním pásmu. Hlavní bariérou růstu průmyslu zůstává již od poloviny loňského roku nedostatek zaměstnanců, na počátku 4</w:t>
            </w:r>
            <w:r w:rsidR="00506603">
              <w:rPr>
                <w:rFonts w:cs="Arial"/>
                <w:color w:val="0D0D0D" w:themeColor="text1" w:themeTint="F2"/>
                <w:spacing w:val="-4"/>
              </w:rPr>
              <w:t>. </w:t>
            </w:r>
            <w:r>
              <w:rPr>
                <w:rFonts w:cs="Arial"/>
                <w:color w:val="0D0D0D" w:themeColor="text1" w:themeTint="F2"/>
                <w:spacing w:val="-4"/>
              </w:rPr>
              <w:t xml:space="preserve">čtvrtletí 2018 </w:t>
            </w:r>
            <w:r w:rsidR="00506603">
              <w:rPr>
                <w:rFonts w:cs="Arial"/>
                <w:color w:val="0D0D0D" w:themeColor="text1" w:themeTint="F2"/>
                <w:spacing w:val="-4"/>
              </w:rPr>
              <w:t xml:space="preserve">ji </w:t>
            </w:r>
            <w:r>
              <w:rPr>
                <w:rFonts w:cs="Arial"/>
                <w:color w:val="0D0D0D" w:themeColor="text1" w:themeTint="F2"/>
                <w:spacing w:val="-4"/>
              </w:rPr>
              <w:t>takto označilo 45 % podniků (tento podíl však zůstává v letošním roce již stabilní). Nedostatečná poptávka omezovala třetinu podniků. Využití produkčních kapacit průmyslu přesáhlo ve 2. pololetí 86 %, šlo o nejvyšší hodnotu po roce 2009.</w:t>
            </w:r>
          </w:p>
        </w:tc>
      </w:tr>
      <w:tr w:rsidR="0083630F" w:rsidRPr="00D95458" w:rsidTr="00D726A9">
        <w:trPr>
          <w:trHeight w:val="145"/>
        </w:trPr>
        <w:tc>
          <w:tcPr>
            <w:tcW w:w="1839" w:type="dxa"/>
            <w:shd w:val="clear" w:color="auto" w:fill="auto"/>
            <w:tcMar>
              <w:left w:w="0" w:type="dxa"/>
            </w:tcMar>
          </w:tcPr>
          <w:p w:rsidR="0083630F" w:rsidRDefault="0083630F" w:rsidP="0083630F">
            <w:pPr>
              <w:pStyle w:val="Marginlie"/>
            </w:pPr>
            <w:r>
              <w:lastRenderedPageBreak/>
              <w:t>Tempo růstu stavební produkce v průběhu roku sílilo. Dařilo se jak pozemnímu, tak i inženýrskému stavitelství.</w:t>
            </w: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D95458" w:rsidRDefault="0083630F" w:rsidP="00157CC9">
            <w:pPr>
              <w:spacing w:after="200"/>
              <w:rPr>
                <w:spacing w:val="-3"/>
              </w:rPr>
            </w:pPr>
            <w:r>
              <w:rPr>
                <w:spacing w:val="-3"/>
              </w:rPr>
              <w:t>Růst výkonu stavebnictví v průběhu roku 2018 zrychloval. Zatímco v 1. čtvrtletí vzrostla stavební produkce</w:t>
            </w:r>
            <w:r>
              <w:rPr>
                <w:rStyle w:val="Znakapoznpodarou"/>
                <w:spacing w:val="-4"/>
              </w:rPr>
              <w:footnoteReference w:id="26"/>
            </w:r>
            <w:r>
              <w:rPr>
                <w:spacing w:val="-3"/>
              </w:rPr>
              <w:t xml:space="preserve"> mezikvartálně o rovná 2 %, v následujícím čtvrtletí o 3,2 % a ve 3. čtvrtletí o 3,3 %. Celé odvětví těžilo vedle příznivých teplotních podmínek hlavně z dlouhodobějšího růstu národního hospodářství doprovázeného posilováním veřejných investic, které vycházelo především ze zrychleného čerpání prostředků z rozpočtu EU. Za tři čtvrtletí vzrostla stavební produkce meziročně o 10,3 %, vyšší tempo bylo ve stejném období roku zaznamenáno naposledy v roce 2004. Zatímco loni navyšovalo výkon celého odvětví jen pozemní stavitelství, letos s ním, pokud jde o tempo, dokázalo držet krok i inženýrské stavitelství.</w:t>
            </w:r>
          </w:p>
        </w:tc>
      </w:tr>
      <w:tr w:rsidR="0083630F" w:rsidRPr="001800C4" w:rsidTr="00D726A9">
        <w:trPr>
          <w:trHeight w:val="145"/>
        </w:trPr>
        <w:tc>
          <w:tcPr>
            <w:tcW w:w="1839" w:type="dxa"/>
            <w:shd w:val="clear" w:color="auto" w:fill="auto"/>
            <w:tcMar>
              <w:left w:w="0" w:type="dxa"/>
            </w:tcMar>
          </w:tcPr>
          <w:p w:rsidR="0083630F" w:rsidRDefault="0083630F" w:rsidP="0083630F">
            <w:pPr>
              <w:pStyle w:val="Marginlie"/>
            </w:pP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D922A1" w:rsidRDefault="0083630F" w:rsidP="0083630F">
            <w:pPr>
              <w:pStyle w:val="Textpoznpodarou"/>
              <w:spacing w:line="276" w:lineRule="auto"/>
              <w:rPr>
                <w:bCs/>
              </w:rPr>
            </w:pPr>
            <w:r>
              <w:rPr>
                <w:b/>
              </w:rPr>
              <w:t xml:space="preserve">Graf č. 7  Stavební produkce*, hodnota nových zakázek </w:t>
            </w:r>
            <w:r>
              <w:rPr>
                <w:bCs/>
              </w:rPr>
              <w:t>(</w:t>
            </w:r>
            <w:r w:rsidRPr="00540CB3">
              <w:rPr>
                <w:spacing w:val="-2"/>
              </w:rPr>
              <w:t>meziročně</w:t>
            </w:r>
            <w:r w:rsidRPr="00540CB3">
              <w:rPr>
                <w:bCs/>
                <w:spacing w:val="-2"/>
              </w:rPr>
              <w:t xml:space="preserve"> v %)</w:t>
            </w:r>
          </w:p>
          <w:p w:rsidR="0083630F" w:rsidRPr="001800C4" w:rsidRDefault="0083630F" w:rsidP="0083630F">
            <w:pPr>
              <w:pStyle w:val="Textpoznpodarou"/>
              <w:spacing w:line="276" w:lineRule="auto"/>
              <w:rPr>
                <w:bCs/>
              </w:rPr>
            </w:pPr>
            <w:r w:rsidRPr="006B4FFB">
              <w:rPr>
                <w:b/>
              </w:rPr>
              <w:t>a</w:t>
            </w:r>
            <w:r>
              <w:rPr>
                <w:b/>
              </w:rPr>
              <w:t xml:space="preserve"> saldo indikátoru důvěry ve stavebnictví</w:t>
            </w:r>
            <w:r w:rsidRPr="002A4B98">
              <w:rPr>
                <w:spacing w:val="-3"/>
              </w:rPr>
              <w:t xml:space="preserve"> (v bodech)</w:t>
            </w:r>
          </w:p>
        </w:tc>
      </w:tr>
      <w:tr w:rsidR="0083630F" w:rsidRPr="00B4411A" w:rsidTr="00D726A9">
        <w:trPr>
          <w:trHeight w:val="145"/>
        </w:trPr>
        <w:tc>
          <w:tcPr>
            <w:tcW w:w="1839" w:type="dxa"/>
            <w:shd w:val="clear" w:color="auto" w:fill="auto"/>
            <w:tcMar>
              <w:left w:w="0" w:type="dxa"/>
            </w:tcMar>
          </w:tcPr>
          <w:p w:rsidR="0083630F" w:rsidRDefault="0083630F" w:rsidP="0083630F">
            <w:pPr>
              <w:pStyle w:val="Marginlie"/>
            </w:pP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B4411A" w:rsidRDefault="0083630F" w:rsidP="0083630F">
            <w:pPr>
              <w:spacing w:after="0"/>
              <w:rPr>
                <w:spacing w:val="-4"/>
              </w:rPr>
            </w:pPr>
            <w:r w:rsidRPr="002B796F">
              <w:rPr>
                <w:noProof/>
                <w:spacing w:val="-4"/>
              </w:rPr>
              <w:drawing>
                <wp:inline distT="0" distB="0" distL="0" distR="0">
                  <wp:extent cx="4733925" cy="3552825"/>
                  <wp:effectExtent l="0" t="0" r="0" b="0"/>
                  <wp:docPr id="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83630F" w:rsidRPr="004621FE" w:rsidTr="00D726A9">
        <w:trPr>
          <w:trHeight w:val="145"/>
        </w:trPr>
        <w:tc>
          <w:tcPr>
            <w:tcW w:w="1839" w:type="dxa"/>
            <w:shd w:val="clear" w:color="auto" w:fill="auto"/>
            <w:tcMar>
              <w:left w:w="0" w:type="dxa"/>
            </w:tcMar>
          </w:tcPr>
          <w:p w:rsidR="0083630F" w:rsidRDefault="0083630F" w:rsidP="0083630F">
            <w:pPr>
              <w:pStyle w:val="Marginlie"/>
            </w:pP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972326" w:rsidRDefault="0083630F" w:rsidP="0083630F">
            <w:pPr>
              <w:spacing w:after="0" w:line="240" w:lineRule="auto"/>
              <w:rPr>
                <w:rFonts w:cs="Arial"/>
                <w:sz w:val="14"/>
                <w:szCs w:val="14"/>
              </w:rPr>
            </w:pPr>
            <w:r w:rsidRPr="00972326">
              <w:rPr>
                <w:sz w:val="14"/>
                <w:szCs w:val="14"/>
              </w:rPr>
              <w:t>*</w:t>
            </w:r>
            <w:r>
              <w:rPr>
                <w:sz w:val="14"/>
                <w:szCs w:val="14"/>
              </w:rPr>
              <w:t>O</w:t>
            </w:r>
            <w:r w:rsidRPr="00972326">
              <w:rPr>
                <w:sz w:val="14"/>
                <w:szCs w:val="14"/>
              </w:rPr>
              <w:t xml:space="preserve">čištěno o </w:t>
            </w:r>
            <w:r>
              <w:rPr>
                <w:sz w:val="14"/>
                <w:szCs w:val="14"/>
              </w:rPr>
              <w:t>vliv různého počtu pracovních dní.</w:t>
            </w:r>
          </w:p>
          <w:p w:rsidR="0083630F" w:rsidRPr="004621FE" w:rsidRDefault="0083630F" w:rsidP="00157CC9">
            <w:pPr>
              <w:spacing w:after="180"/>
              <w:rPr>
                <w:rFonts w:cs="Arial"/>
                <w:color w:val="0D0D0D" w:themeColor="text1" w:themeTint="F2"/>
                <w:spacing w:val="-4"/>
              </w:rPr>
            </w:pPr>
            <w:r w:rsidRPr="00535F78">
              <w:rPr>
                <w:rFonts w:cs="Arial"/>
                <w:sz w:val="14"/>
                <w:szCs w:val="14"/>
              </w:rPr>
              <w:t xml:space="preserve">Zdroj: </w:t>
            </w:r>
            <w:r>
              <w:rPr>
                <w:rFonts w:cs="Arial"/>
                <w:sz w:val="14"/>
                <w:szCs w:val="14"/>
              </w:rPr>
              <w:t>ČSÚ</w:t>
            </w:r>
          </w:p>
        </w:tc>
      </w:tr>
      <w:tr w:rsidR="0083630F" w:rsidRPr="005813A9" w:rsidTr="00D726A9">
        <w:trPr>
          <w:trHeight w:val="145"/>
        </w:trPr>
        <w:tc>
          <w:tcPr>
            <w:tcW w:w="1839" w:type="dxa"/>
            <w:shd w:val="clear" w:color="auto" w:fill="auto"/>
            <w:tcMar>
              <w:left w:w="0" w:type="dxa"/>
            </w:tcMar>
          </w:tcPr>
          <w:p w:rsidR="0083630F" w:rsidRDefault="0083630F" w:rsidP="0083630F">
            <w:pPr>
              <w:pStyle w:val="Marginlie"/>
              <w:rPr>
                <w:spacing w:val="-4"/>
              </w:rPr>
            </w:pPr>
            <w:r>
              <w:rPr>
                <w:spacing w:val="-4"/>
              </w:rPr>
              <w:t>Počet zahájených bytů vzrostl na devítileté maximum především zásluhou výstavby rodinných domů.</w:t>
            </w:r>
          </w:p>
          <w:p w:rsidR="005301A6" w:rsidRDefault="005301A6" w:rsidP="005301A6">
            <w:pPr>
              <w:pStyle w:val="Marginlie"/>
              <w:spacing w:line="240" w:lineRule="auto"/>
              <w:rPr>
                <w:spacing w:val="-4"/>
              </w:rPr>
            </w:pPr>
          </w:p>
          <w:p w:rsidR="0083630F" w:rsidRPr="00F30C65" w:rsidRDefault="0083630F" w:rsidP="0083630F">
            <w:pPr>
              <w:pStyle w:val="Marginlie"/>
              <w:rPr>
                <w:spacing w:val="-4"/>
              </w:rPr>
            </w:pPr>
            <w:r>
              <w:rPr>
                <w:spacing w:val="-4"/>
              </w:rPr>
              <w:t xml:space="preserve">Počet zahájených bytů v Praze v posledních letech výrazně zaostává za </w:t>
            </w:r>
            <w:r>
              <w:rPr>
                <w:spacing w:val="-4"/>
              </w:rPr>
              <w:lastRenderedPageBreak/>
              <w:t>migračním přírůstkem obyvatel.</w:t>
            </w:r>
          </w:p>
        </w:tc>
        <w:tc>
          <w:tcPr>
            <w:tcW w:w="233" w:type="dxa"/>
            <w:shd w:val="clear" w:color="auto" w:fill="auto"/>
            <w:tcMar>
              <w:left w:w="0" w:type="dxa"/>
            </w:tcMar>
          </w:tcPr>
          <w:p w:rsidR="0083630F" w:rsidRPr="009110F7" w:rsidRDefault="0083630F" w:rsidP="0083630F">
            <w:pPr>
              <w:pStyle w:val="Textpoznpodarou"/>
              <w:jc w:val="both"/>
              <w:rPr>
                <w:spacing w:val="-4"/>
              </w:rPr>
            </w:pPr>
          </w:p>
        </w:tc>
        <w:tc>
          <w:tcPr>
            <w:tcW w:w="7567" w:type="dxa"/>
            <w:shd w:val="clear" w:color="auto" w:fill="auto"/>
            <w:tcMar>
              <w:left w:w="0" w:type="dxa"/>
            </w:tcMar>
          </w:tcPr>
          <w:p w:rsidR="0083630F" w:rsidRPr="005813A9" w:rsidRDefault="0083630F" w:rsidP="0083630F">
            <w:pPr>
              <w:spacing w:after="200"/>
              <w:rPr>
                <w:color w:val="0D0D0D" w:themeColor="text1" w:themeTint="F2"/>
                <w:spacing w:val="-3"/>
                <w:szCs w:val="20"/>
              </w:rPr>
            </w:pPr>
            <w:r w:rsidRPr="005813A9">
              <w:rPr>
                <w:color w:val="0D0D0D" w:themeColor="text1" w:themeTint="F2"/>
                <w:spacing w:val="-3"/>
                <w:szCs w:val="20"/>
              </w:rPr>
              <w:t>Pokračoval postupný rozvoj bytové výstavby. Počet zahájených bytů v 1. až 3. čtvrtletí 2018 dosáhl 24,7 tis. (maximum za posledních devět let). Meziročně posílil o 6,0 %, především zásluhou vyšší četnosti rodinných domů a bytů ve stavebně upravených nebytových pros</w:t>
            </w:r>
            <w:r w:rsidR="00157CC9">
              <w:rPr>
                <w:color w:val="0D0D0D" w:themeColor="text1" w:themeTint="F2"/>
                <w:spacing w:val="-3"/>
                <w:szCs w:val="20"/>
              </w:rPr>
              <w:t xml:space="preserve">torách. V kategorii </w:t>
            </w:r>
            <w:r w:rsidRPr="005813A9">
              <w:rPr>
                <w:color w:val="0D0D0D" w:themeColor="text1" w:themeTint="F2"/>
                <w:spacing w:val="-3"/>
                <w:szCs w:val="20"/>
              </w:rPr>
              <w:t>bytů v b</w:t>
            </w:r>
            <w:r w:rsidR="00157CC9">
              <w:rPr>
                <w:color w:val="0D0D0D" w:themeColor="text1" w:themeTint="F2"/>
                <w:spacing w:val="-3"/>
                <w:szCs w:val="20"/>
              </w:rPr>
              <w:t>ytových domech</w:t>
            </w:r>
            <w:r w:rsidRPr="005813A9">
              <w:rPr>
                <w:color w:val="0D0D0D" w:themeColor="text1" w:themeTint="F2"/>
                <w:spacing w:val="-3"/>
                <w:szCs w:val="20"/>
              </w:rPr>
              <w:t xml:space="preserve"> byl růst jen mírný (1,4 %), absolutní počet bytů nedosáhl ani poloviny ze stejného období roku 2008. K vyššímu počtu všech bytů přispěla nejvíce výstavba ve Středočeském kraji a na Vysočině. V Praze počet zahá</w:t>
            </w:r>
            <w:r>
              <w:rPr>
                <w:color w:val="0D0D0D" w:themeColor="text1" w:themeTint="F2"/>
                <w:spacing w:val="-3"/>
                <w:szCs w:val="20"/>
              </w:rPr>
              <w:t>jených bytů meziročně klesl o</w:t>
            </w:r>
            <w:r w:rsidRPr="005813A9">
              <w:rPr>
                <w:color w:val="0D0D0D" w:themeColor="text1" w:themeTint="F2"/>
                <w:spacing w:val="-3"/>
                <w:szCs w:val="20"/>
              </w:rPr>
              <w:t> </w:t>
            </w:r>
            <w:r>
              <w:rPr>
                <w:color w:val="0D0D0D" w:themeColor="text1" w:themeTint="F2"/>
                <w:spacing w:val="-3"/>
                <w:szCs w:val="20"/>
              </w:rPr>
              <w:t>6</w:t>
            </w:r>
            <w:r w:rsidRPr="005813A9">
              <w:rPr>
                <w:color w:val="0D0D0D" w:themeColor="text1" w:themeTint="F2"/>
                <w:spacing w:val="-3"/>
                <w:szCs w:val="20"/>
              </w:rPr>
              <w:t xml:space="preserve"> % (k růstu </w:t>
            </w:r>
            <w:r w:rsidR="00157CC9">
              <w:rPr>
                <w:color w:val="0D0D0D" w:themeColor="text1" w:themeTint="F2"/>
                <w:spacing w:val="-3"/>
                <w:szCs w:val="20"/>
              </w:rPr>
              <w:t>ale došlo např.</w:t>
            </w:r>
            <w:r w:rsidR="005301A6">
              <w:rPr>
                <w:color w:val="0D0D0D" w:themeColor="text1" w:themeTint="F2"/>
                <w:spacing w:val="-3"/>
                <w:szCs w:val="20"/>
              </w:rPr>
              <w:t xml:space="preserve"> </w:t>
            </w:r>
            <w:r w:rsidR="005301A6">
              <w:rPr>
                <w:color w:val="0D0D0D" w:themeColor="text1" w:themeTint="F2"/>
                <w:spacing w:val="-3"/>
                <w:szCs w:val="20"/>
              </w:rPr>
              <w:lastRenderedPageBreak/>
              <w:t>u</w:t>
            </w:r>
            <w:r w:rsidR="005301A6" w:rsidRPr="005813A9">
              <w:rPr>
                <w:color w:val="0D0D0D" w:themeColor="text1" w:themeTint="F2"/>
                <w:spacing w:val="-3"/>
                <w:szCs w:val="20"/>
              </w:rPr>
              <w:t> </w:t>
            </w:r>
            <w:r w:rsidRPr="005813A9">
              <w:rPr>
                <w:color w:val="0D0D0D" w:themeColor="text1" w:themeTint="F2"/>
                <w:spacing w:val="-3"/>
                <w:szCs w:val="20"/>
              </w:rPr>
              <w:t>násta</w:t>
            </w:r>
            <w:r w:rsidR="00157CC9">
              <w:rPr>
                <w:color w:val="0D0D0D" w:themeColor="text1" w:themeTint="F2"/>
                <w:spacing w:val="-3"/>
                <w:szCs w:val="20"/>
              </w:rPr>
              <w:t>veb, přístaveb i vestaveb či</w:t>
            </w:r>
            <w:r w:rsidRPr="005813A9">
              <w:rPr>
                <w:color w:val="0D0D0D" w:themeColor="text1" w:themeTint="F2"/>
                <w:spacing w:val="-3"/>
                <w:szCs w:val="20"/>
              </w:rPr>
              <w:t xml:space="preserve"> bytů po úpravě nebytových prostor) na 2,7 tis. Výrazně tak zaostal za celkovým přírůstkem obyvatel (8,1 tis.). Rostoucí napětí na rezidenčním trhu se v metropoli odráží v prudkém růstu realizovaných cen nových bytů i nájmů</w:t>
            </w:r>
            <w:r w:rsidRPr="005813A9">
              <w:rPr>
                <w:rStyle w:val="Znakapoznpodarou"/>
                <w:color w:val="0D0D0D" w:themeColor="text1" w:themeTint="F2"/>
                <w:spacing w:val="-3"/>
                <w:szCs w:val="20"/>
              </w:rPr>
              <w:footnoteReference w:id="27"/>
            </w:r>
            <w:r w:rsidRPr="005813A9">
              <w:rPr>
                <w:color w:val="0D0D0D" w:themeColor="text1" w:themeTint="F2"/>
                <w:spacing w:val="-3"/>
                <w:szCs w:val="20"/>
              </w:rPr>
              <w:t>.</w:t>
            </w:r>
          </w:p>
        </w:tc>
      </w:tr>
      <w:tr w:rsidR="0083630F" w:rsidRPr="00AF37C3" w:rsidTr="00D726A9">
        <w:trPr>
          <w:trHeight w:val="145"/>
        </w:trPr>
        <w:tc>
          <w:tcPr>
            <w:tcW w:w="1839" w:type="dxa"/>
            <w:shd w:val="clear" w:color="auto" w:fill="auto"/>
            <w:tcMar>
              <w:left w:w="0" w:type="dxa"/>
            </w:tcMar>
          </w:tcPr>
          <w:p w:rsidR="0083630F" w:rsidRPr="00F30C65" w:rsidRDefault="0083630F" w:rsidP="0083630F">
            <w:pPr>
              <w:pStyle w:val="Marginlie"/>
              <w:rPr>
                <w:spacing w:val="-4"/>
              </w:rPr>
            </w:pPr>
            <w:r>
              <w:rPr>
                <w:spacing w:val="-4"/>
              </w:rPr>
              <w:lastRenderedPageBreak/>
              <w:t xml:space="preserve">Pokračoval svižný růst nových </w:t>
            </w:r>
            <w:r w:rsidR="00CE14BE">
              <w:rPr>
                <w:spacing w:val="-4"/>
              </w:rPr>
              <w:t xml:space="preserve">stavebních </w:t>
            </w:r>
            <w:r>
              <w:rPr>
                <w:spacing w:val="-4"/>
              </w:rPr>
              <w:t xml:space="preserve">zakázek, především v první polovině roku. Nálada podnikatelů ve stavebnictví se </w:t>
            </w:r>
            <w:r w:rsidR="006B79EA">
              <w:rPr>
                <w:spacing w:val="-4"/>
              </w:rPr>
              <w:t xml:space="preserve">významně </w:t>
            </w:r>
            <w:r>
              <w:rPr>
                <w:spacing w:val="-4"/>
              </w:rPr>
              <w:t>zlepšila, stavební podniky ale výrazně trápí nedostatek volné pracovní síly.</w:t>
            </w:r>
          </w:p>
        </w:tc>
        <w:tc>
          <w:tcPr>
            <w:tcW w:w="233" w:type="dxa"/>
            <w:shd w:val="clear" w:color="auto" w:fill="auto"/>
            <w:tcMar>
              <w:left w:w="0" w:type="dxa"/>
            </w:tcMar>
          </w:tcPr>
          <w:p w:rsidR="0083630F" w:rsidRPr="009110F7" w:rsidRDefault="0083630F" w:rsidP="0083630F">
            <w:pPr>
              <w:pStyle w:val="Textpoznpodarou"/>
              <w:jc w:val="both"/>
              <w:rPr>
                <w:spacing w:val="-4"/>
              </w:rPr>
            </w:pPr>
          </w:p>
        </w:tc>
        <w:tc>
          <w:tcPr>
            <w:tcW w:w="7567" w:type="dxa"/>
            <w:shd w:val="clear" w:color="auto" w:fill="auto"/>
            <w:tcMar>
              <w:left w:w="0" w:type="dxa"/>
            </w:tcMar>
          </w:tcPr>
          <w:p w:rsidR="0083630F" w:rsidRPr="00AF37C3" w:rsidRDefault="0083630F" w:rsidP="0083630F">
            <w:pPr>
              <w:spacing w:after="200"/>
              <w:rPr>
                <w:color w:val="0D0D0D" w:themeColor="text1" w:themeTint="F2"/>
                <w:spacing w:val="-4"/>
                <w:szCs w:val="20"/>
              </w:rPr>
            </w:pPr>
            <w:r w:rsidRPr="00AF37C3">
              <w:rPr>
                <w:color w:val="0D0D0D" w:themeColor="text1" w:themeTint="F2"/>
                <w:spacing w:val="-4"/>
                <w:szCs w:val="20"/>
              </w:rPr>
              <w:t xml:space="preserve">Růst hodnoty nových stavebních zakázek v tuzemsku (u </w:t>
            </w:r>
            <w:r w:rsidRPr="00AF37C3">
              <w:rPr>
                <w:szCs w:val="20"/>
              </w:rPr>
              <w:t>podniků s</w:t>
            </w:r>
            <w:r w:rsidR="006B79EA">
              <w:rPr>
                <w:szCs w:val="20"/>
              </w:rPr>
              <w:t xml:space="preserve"> </w:t>
            </w:r>
            <w:r w:rsidRPr="00AF37C3">
              <w:rPr>
                <w:szCs w:val="20"/>
              </w:rPr>
              <w:t xml:space="preserve">50 a více zaměstnanci) </w:t>
            </w:r>
            <w:r w:rsidRPr="00AF37C3">
              <w:rPr>
                <w:color w:val="0D0D0D" w:themeColor="text1" w:themeTint="F2"/>
                <w:spacing w:val="-4"/>
                <w:szCs w:val="20"/>
              </w:rPr>
              <w:t xml:space="preserve">během 1. pololetí akceleroval. Za tři čtvrtletí vzrostl meziročně o 21,5 % (bez významnějších rozdílů mezi pozemním a inženýrským stavitelstvím). </w:t>
            </w:r>
            <w:r>
              <w:rPr>
                <w:color w:val="0D0D0D" w:themeColor="text1" w:themeTint="F2"/>
                <w:spacing w:val="-4"/>
                <w:szCs w:val="20"/>
              </w:rPr>
              <w:t>V samotném 3.</w:t>
            </w:r>
            <w:r w:rsidR="005301A6" w:rsidRPr="005813A9">
              <w:rPr>
                <w:color w:val="0D0D0D" w:themeColor="text1" w:themeTint="F2"/>
                <w:spacing w:val="-3"/>
                <w:szCs w:val="20"/>
              </w:rPr>
              <w:t> </w:t>
            </w:r>
            <w:r>
              <w:rPr>
                <w:color w:val="0D0D0D" w:themeColor="text1" w:themeTint="F2"/>
                <w:spacing w:val="-4"/>
                <w:szCs w:val="20"/>
              </w:rPr>
              <w:t>čtvrtletí ale tempo růstu zakázek zvolnilo (na 5,3 %). Postupně se zvyšovala i průměrná velikost nově uzavřených zakázek (</w:t>
            </w:r>
            <w:r w:rsidR="00157CC9">
              <w:rPr>
                <w:color w:val="0D0D0D" w:themeColor="text1" w:themeTint="F2"/>
                <w:spacing w:val="-4"/>
                <w:szCs w:val="20"/>
              </w:rPr>
              <w:t xml:space="preserve">v 1. až 3. čtvrtletí </w:t>
            </w:r>
            <w:r>
              <w:rPr>
                <w:color w:val="0D0D0D" w:themeColor="text1" w:themeTint="F2"/>
                <w:spacing w:val="-4"/>
                <w:szCs w:val="20"/>
              </w:rPr>
              <w:t>na 3,9 mil. korun, o rok dříve 3,2</w:t>
            </w:r>
            <w:r>
              <w:rPr>
                <w:color w:val="0D0D0D" w:themeColor="text1" w:themeTint="F2"/>
                <w:spacing w:val="-4"/>
              </w:rPr>
              <w:t> </w:t>
            </w:r>
            <w:r>
              <w:rPr>
                <w:color w:val="0D0D0D" w:themeColor="text1" w:themeTint="F2"/>
                <w:spacing w:val="-4"/>
                <w:szCs w:val="20"/>
              </w:rPr>
              <w:t xml:space="preserve">mil.). Indikátor důvěry manažerů stavebních podniků se již bezmála dva roky zlepšoval. V listopadu 2018 dokonce opustil záporné pásmo (poprvé od září 2008). Podíl stavebních podniků považujících nedostatečnou poptávku za bariéru růstu se od počátku letošního roku snížil na polovinu (v říjnu činil 24 % a vyrovnal historické minimum z konjunktury minulé dekády). Naopak podíl podniků, které sužoval nedostatek pracovníků, se za stejné období zdvojnásobil (na 40 %). </w:t>
            </w:r>
          </w:p>
        </w:tc>
      </w:tr>
      <w:tr w:rsidR="0083630F" w:rsidRPr="00A16220" w:rsidTr="00D726A9">
        <w:trPr>
          <w:trHeight w:val="145"/>
        </w:trPr>
        <w:tc>
          <w:tcPr>
            <w:tcW w:w="1839" w:type="dxa"/>
            <w:shd w:val="clear" w:color="auto" w:fill="auto"/>
            <w:tcMar>
              <w:left w:w="0" w:type="dxa"/>
            </w:tcMar>
          </w:tcPr>
          <w:p w:rsidR="0083630F" w:rsidRDefault="0083630F" w:rsidP="0083630F">
            <w:pPr>
              <w:pStyle w:val="Marginlie"/>
            </w:pP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A16220" w:rsidRDefault="0083630F" w:rsidP="0083630F">
            <w:pPr>
              <w:pStyle w:val="Textpoznpodarou"/>
              <w:spacing w:line="276" w:lineRule="auto"/>
              <w:rPr>
                <w:b/>
                <w:spacing w:val="-2"/>
              </w:rPr>
            </w:pPr>
            <w:r>
              <w:rPr>
                <w:b/>
              </w:rPr>
              <w:t xml:space="preserve">Graf č. 8  </w:t>
            </w:r>
            <w:r>
              <w:rPr>
                <w:b/>
                <w:spacing w:val="-2"/>
              </w:rPr>
              <w:t xml:space="preserve">Tržby ve vybraných sekcích služeb </w:t>
            </w:r>
            <w:r w:rsidRPr="00E62A33">
              <w:rPr>
                <w:bCs/>
                <w:spacing w:val="-2"/>
              </w:rPr>
              <w:t xml:space="preserve">(reálně, </w:t>
            </w:r>
            <w:r>
              <w:rPr>
                <w:bCs/>
                <w:spacing w:val="-2"/>
              </w:rPr>
              <w:t xml:space="preserve">sezónně </w:t>
            </w:r>
            <w:r w:rsidRPr="00E62A33">
              <w:rPr>
                <w:rFonts w:cs="Arial"/>
                <w:spacing w:val="-2"/>
              </w:rPr>
              <w:t xml:space="preserve">očištěno, </w:t>
            </w:r>
            <w:r>
              <w:rPr>
                <w:spacing w:val="-2"/>
              </w:rPr>
              <w:t>úroveň roku 2015</w:t>
            </w:r>
            <w:r w:rsidR="00CE14BE">
              <w:rPr>
                <w:spacing w:val="-2"/>
              </w:rPr>
              <w:t xml:space="preserve"> </w:t>
            </w:r>
            <w:r>
              <w:rPr>
                <w:spacing w:val="-2"/>
              </w:rPr>
              <w:t>=</w:t>
            </w:r>
            <w:r w:rsidR="00CE14BE">
              <w:rPr>
                <w:spacing w:val="-2"/>
              </w:rPr>
              <w:t xml:space="preserve"> </w:t>
            </w:r>
            <w:r>
              <w:rPr>
                <w:spacing w:val="-2"/>
              </w:rPr>
              <w:t>100</w:t>
            </w:r>
            <w:r w:rsidRPr="00E62A33">
              <w:rPr>
                <w:bCs/>
                <w:spacing w:val="-2"/>
              </w:rPr>
              <w:t>)</w:t>
            </w:r>
            <w:r>
              <w:rPr>
                <w:bCs/>
                <w:spacing w:val="-2"/>
              </w:rPr>
              <w:t xml:space="preserve"> </w:t>
            </w:r>
            <w:r>
              <w:rPr>
                <w:b/>
                <w:spacing w:val="-2"/>
              </w:rPr>
              <w:t xml:space="preserve">a </w:t>
            </w:r>
            <w:r w:rsidRPr="002A4B98">
              <w:rPr>
                <w:b/>
                <w:spacing w:val="-3"/>
              </w:rPr>
              <w:t>saldo indikátoru důvěry v</w:t>
            </w:r>
            <w:r>
              <w:rPr>
                <w:b/>
                <w:spacing w:val="-3"/>
              </w:rPr>
              <w:t>e vybraných službách*</w:t>
            </w:r>
            <w:r w:rsidRPr="002A4B98">
              <w:rPr>
                <w:b/>
                <w:spacing w:val="-3"/>
              </w:rPr>
              <w:t xml:space="preserve"> </w:t>
            </w:r>
            <w:r w:rsidRPr="002A4B98">
              <w:rPr>
                <w:spacing w:val="-3"/>
              </w:rPr>
              <w:t>(v bodech)</w:t>
            </w:r>
          </w:p>
        </w:tc>
      </w:tr>
      <w:tr w:rsidR="0083630F" w:rsidRPr="00535F78" w:rsidTr="00D726A9">
        <w:trPr>
          <w:trHeight w:val="145"/>
        </w:trPr>
        <w:tc>
          <w:tcPr>
            <w:tcW w:w="1839" w:type="dxa"/>
            <w:shd w:val="clear" w:color="auto" w:fill="auto"/>
            <w:tcMar>
              <w:left w:w="0" w:type="dxa"/>
            </w:tcMar>
          </w:tcPr>
          <w:p w:rsidR="0083630F" w:rsidRDefault="0083630F" w:rsidP="0083630F">
            <w:pPr>
              <w:pStyle w:val="Marginlie"/>
            </w:pP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535F78" w:rsidRDefault="00A925B1" w:rsidP="0083630F">
            <w:pPr>
              <w:spacing w:after="200"/>
              <w:rPr>
                <w:rFonts w:cs="Arial"/>
                <w:sz w:val="14"/>
                <w:szCs w:val="14"/>
              </w:rPr>
            </w:pPr>
            <w:r w:rsidRPr="00A925B1">
              <w:rPr>
                <w:rFonts w:cs="Arial"/>
                <w:noProof/>
                <w:sz w:val="14"/>
                <w:szCs w:val="14"/>
              </w:rPr>
              <w:drawing>
                <wp:inline distT="0" distB="0" distL="0" distR="0">
                  <wp:extent cx="4785863" cy="3623095"/>
                  <wp:effectExtent l="19050" t="0" r="0" b="0"/>
                  <wp:docPr id="3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83630F" w:rsidRPr="00535F78" w:rsidTr="00D726A9">
        <w:trPr>
          <w:trHeight w:val="145"/>
        </w:trPr>
        <w:tc>
          <w:tcPr>
            <w:tcW w:w="1839" w:type="dxa"/>
            <w:shd w:val="clear" w:color="auto" w:fill="auto"/>
            <w:tcMar>
              <w:left w:w="0" w:type="dxa"/>
            </w:tcMar>
          </w:tcPr>
          <w:p w:rsidR="0083630F" w:rsidRDefault="0083630F" w:rsidP="0083630F">
            <w:pPr>
              <w:pStyle w:val="Marginlie"/>
            </w:pP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83630F" w:rsidRPr="00535F78" w:rsidRDefault="0083630F" w:rsidP="0083630F">
            <w:pPr>
              <w:spacing w:after="200" w:line="240" w:lineRule="auto"/>
              <w:rPr>
                <w:rFonts w:cs="Arial"/>
                <w:sz w:val="14"/>
                <w:szCs w:val="14"/>
              </w:rPr>
            </w:pPr>
            <w:r>
              <w:rPr>
                <w:rFonts w:cs="Arial"/>
                <w:sz w:val="14"/>
                <w:szCs w:val="14"/>
              </w:rPr>
              <w:t xml:space="preserve">*Údaje jsou sezónně očištěny, zahrnuje i finanční sektor.                                                                                 </w:t>
            </w:r>
            <w:r w:rsidRPr="00535F78">
              <w:rPr>
                <w:rFonts w:cs="Arial"/>
                <w:sz w:val="14"/>
                <w:szCs w:val="14"/>
              </w:rPr>
              <w:t xml:space="preserve">Zdroj: </w:t>
            </w:r>
            <w:r>
              <w:rPr>
                <w:rFonts w:cs="Arial"/>
                <w:sz w:val="14"/>
                <w:szCs w:val="14"/>
              </w:rPr>
              <w:t>ČSÚ</w:t>
            </w:r>
          </w:p>
        </w:tc>
      </w:tr>
      <w:tr w:rsidR="0083630F" w:rsidRPr="00535F78" w:rsidTr="00D726A9">
        <w:trPr>
          <w:trHeight w:val="145"/>
        </w:trPr>
        <w:tc>
          <w:tcPr>
            <w:tcW w:w="1839" w:type="dxa"/>
            <w:shd w:val="clear" w:color="auto" w:fill="auto"/>
            <w:tcMar>
              <w:left w:w="0" w:type="dxa"/>
            </w:tcMar>
          </w:tcPr>
          <w:p w:rsidR="00D726A9" w:rsidRDefault="00D726A9" w:rsidP="00D726A9">
            <w:pPr>
              <w:pStyle w:val="Marginlie"/>
            </w:pPr>
            <w:r>
              <w:t xml:space="preserve"> Tržby vzrostly napříč většinou odvětví služeb. Pokračoval dynamický růst dopravy a skladování, ale i informačních a</w:t>
            </w:r>
            <w:r>
              <w:rPr>
                <w:spacing w:val="-4"/>
              </w:rPr>
              <w:t> </w:t>
            </w:r>
            <w:r>
              <w:t>komunikačních činností.</w:t>
            </w:r>
          </w:p>
          <w:p w:rsidR="00D726A9" w:rsidRDefault="00D726A9" w:rsidP="00D726A9">
            <w:pPr>
              <w:pStyle w:val="Marginlie"/>
            </w:pPr>
          </w:p>
          <w:p w:rsidR="00D726A9" w:rsidRDefault="00D726A9" w:rsidP="00D726A9">
            <w:pPr>
              <w:pStyle w:val="Marginlie"/>
            </w:pPr>
          </w:p>
          <w:p w:rsidR="005301A6" w:rsidRDefault="005301A6" w:rsidP="00D726A9">
            <w:pPr>
              <w:pStyle w:val="Marginlie"/>
            </w:pPr>
          </w:p>
          <w:p w:rsidR="005301A6" w:rsidRDefault="005301A6" w:rsidP="00D726A9">
            <w:pPr>
              <w:pStyle w:val="Marginlie"/>
            </w:pPr>
          </w:p>
          <w:p w:rsidR="00D726A9" w:rsidRPr="00E3163F" w:rsidRDefault="00D726A9" w:rsidP="00D726A9">
            <w:pPr>
              <w:pStyle w:val="Marginlie"/>
              <w:rPr>
                <w:spacing w:val="-3"/>
              </w:rPr>
            </w:pPr>
            <w:r w:rsidRPr="00E3163F">
              <w:rPr>
                <w:spacing w:val="-3"/>
              </w:rPr>
              <w:t>Tržby v ubytování, stravování a pohostinství rostly vlivem nebývale vysoké loňské základny jen mírně. Rozvoj cestovního ruchu pokračoval, délka pobytu hostů v Česku se ale dále zkracovala.</w:t>
            </w:r>
          </w:p>
          <w:p w:rsidR="0083630F" w:rsidRDefault="0083630F" w:rsidP="00D726A9">
            <w:pPr>
              <w:pStyle w:val="Marginlie"/>
            </w:pPr>
          </w:p>
        </w:tc>
        <w:tc>
          <w:tcPr>
            <w:tcW w:w="233" w:type="dxa"/>
            <w:shd w:val="clear" w:color="auto" w:fill="auto"/>
            <w:tcMar>
              <w:left w:w="0" w:type="dxa"/>
            </w:tcMar>
          </w:tcPr>
          <w:p w:rsidR="0083630F" w:rsidRDefault="0083630F" w:rsidP="0083630F">
            <w:pPr>
              <w:pStyle w:val="Textpoznpodarou"/>
              <w:jc w:val="both"/>
              <w:rPr>
                <w:spacing w:val="-4"/>
              </w:rPr>
            </w:pPr>
          </w:p>
        </w:tc>
        <w:tc>
          <w:tcPr>
            <w:tcW w:w="7567" w:type="dxa"/>
            <w:shd w:val="clear" w:color="auto" w:fill="auto"/>
            <w:tcMar>
              <w:left w:w="0" w:type="dxa"/>
            </w:tcMar>
          </w:tcPr>
          <w:p w:rsidR="00601EEF" w:rsidRPr="00157CC9" w:rsidRDefault="0083630F">
            <w:pPr>
              <w:spacing w:after="220"/>
              <w:rPr>
                <w:color w:val="0D0D0D" w:themeColor="text1" w:themeTint="F2"/>
                <w:spacing w:val="-2"/>
              </w:rPr>
            </w:pPr>
            <w:r>
              <w:rPr>
                <w:spacing w:val="-4"/>
              </w:rPr>
              <w:t>Tržby</w:t>
            </w:r>
            <w:r w:rsidRPr="00E476F6">
              <w:rPr>
                <w:spacing w:val="-4"/>
              </w:rPr>
              <w:t xml:space="preserve"> </w:t>
            </w:r>
            <w:r w:rsidRPr="00E476F6">
              <w:rPr>
                <w:color w:val="0D0D0D" w:themeColor="text1" w:themeTint="F2"/>
                <w:spacing w:val="-4"/>
              </w:rPr>
              <w:t>ve vybraných službách</w:t>
            </w:r>
            <w:r w:rsidRPr="00E476F6">
              <w:rPr>
                <w:color w:val="0D0D0D" w:themeColor="text1" w:themeTint="F2"/>
                <w:spacing w:val="-4"/>
                <w:vertAlign w:val="superscript"/>
              </w:rPr>
              <w:footnoteReference w:id="28"/>
            </w:r>
            <w:r>
              <w:rPr>
                <w:color w:val="0D0D0D" w:themeColor="text1" w:themeTint="F2"/>
                <w:spacing w:val="-4"/>
              </w:rPr>
              <w:t xml:space="preserve"> v 1. až 3 čtvrtletí vzrostly meziročně o 3,</w:t>
            </w:r>
            <w:r w:rsidR="00157CC9">
              <w:rPr>
                <w:color w:val="0D0D0D" w:themeColor="text1" w:themeTint="F2"/>
                <w:spacing w:val="-4"/>
              </w:rPr>
              <w:t>5</w:t>
            </w:r>
            <w:r>
              <w:rPr>
                <w:color w:val="0D0D0D" w:themeColor="text1" w:themeTint="F2"/>
                <w:spacing w:val="-4"/>
              </w:rPr>
              <w:t xml:space="preserve"> %. </w:t>
            </w:r>
            <w:r w:rsidR="00D726A9">
              <w:rPr>
                <w:color w:val="0D0D0D" w:themeColor="text1" w:themeTint="F2"/>
                <w:spacing w:val="-4"/>
              </w:rPr>
              <w:t>Přestože posílení tržeb zaznamenaly všechny odvětvové sekce (vyjma činností v oblasti nemovitostí, kde o 1,0 % klesly), na růstu služeb se z drtivé většiny podílela pouze dvě hlavní odvětví – doprava a skladování a také informační a komunikační činnosti. V dopravě a skladování posílily tržby o 5,5 %, nejvíce za posledních jedenáct let. Dařilo se všem druhům dopravy, nejvíce váhově okrajo</w:t>
            </w:r>
            <w:r w:rsidR="00157CC9">
              <w:rPr>
                <w:color w:val="0D0D0D" w:themeColor="text1" w:themeTint="F2"/>
                <w:spacing w:val="-4"/>
              </w:rPr>
              <w:t>vému segmentu vodní dopravy (+14,5</w:t>
            </w:r>
            <w:r w:rsidR="00D726A9">
              <w:rPr>
                <w:color w:val="0D0D0D" w:themeColor="text1" w:themeTint="F2"/>
                <w:spacing w:val="-4"/>
              </w:rPr>
              <w:t> %)</w:t>
            </w:r>
            <w:r w:rsidR="00D726A9">
              <w:rPr>
                <w:rStyle w:val="Znakapoznpodarou"/>
                <w:color w:val="0D0D0D" w:themeColor="text1" w:themeTint="F2"/>
                <w:spacing w:val="-4"/>
              </w:rPr>
              <w:footnoteReference w:id="29"/>
            </w:r>
            <w:r w:rsidR="00D726A9">
              <w:rPr>
                <w:color w:val="0D0D0D" w:themeColor="text1" w:themeTint="F2"/>
                <w:spacing w:val="-4"/>
              </w:rPr>
              <w:t xml:space="preserve">. Pozemní doprava i skladování profitovaly z rozvoje průmyslu i vnitřního </w:t>
            </w:r>
            <w:r w:rsidR="00D726A9">
              <w:rPr>
                <w:color w:val="0D0D0D" w:themeColor="text1" w:themeTint="F2"/>
                <w:spacing w:val="-4"/>
              </w:rPr>
              <w:lastRenderedPageBreak/>
              <w:t>a zahraničního</w:t>
            </w:r>
            <w:r w:rsidR="00157CC9">
              <w:rPr>
                <w:color w:val="0D0D0D" w:themeColor="text1" w:themeTint="F2"/>
                <w:spacing w:val="-4"/>
              </w:rPr>
              <w:t xml:space="preserve"> ochodu. Růst tržeb</w:t>
            </w:r>
            <w:r w:rsidR="00D726A9">
              <w:rPr>
                <w:color w:val="0D0D0D" w:themeColor="text1" w:themeTint="F2"/>
                <w:spacing w:val="-4"/>
              </w:rPr>
              <w:t xml:space="preserve"> (především ve vnitrostátní dopravě) souvisel s vyšší mobilitou obyvatel poháněnou i rekordní výší zaměstnanosti. Výkon v dlouhodobě dynamickém odvětví informačních a komun</w:t>
            </w:r>
            <w:r w:rsidR="00157CC9">
              <w:rPr>
                <w:color w:val="0D0D0D" w:themeColor="text1" w:themeTint="F2"/>
                <w:spacing w:val="-4"/>
              </w:rPr>
              <w:t>ikačních činností zrychlil (+5,8</w:t>
            </w:r>
            <w:r w:rsidR="00D726A9">
              <w:rPr>
                <w:color w:val="0D0D0D" w:themeColor="text1" w:themeTint="F2"/>
                <w:spacing w:val="-4"/>
              </w:rPr>
              <w:t xml:space="preserve"> %, o rok dříve +4,4 %). </w:t>
            </w:r>
            <w:r w:rsidR="00D726A9">
              <w:rPr>
                <w:color w:val="0D0D0D" w:themeColor="text1" w:themeTint="F2"/>
                <w:spacing w:val="-2"/>
              </w:rPr>
              <w:t>N</w:t>
            </w:r>
            <w:r w:rsidR="00D726A9" w:rsidRPr="005E4BC9">
              <w:rPr>
                <w:color w:val="0D0D0D" w:themeColor="text1" w:themeTint="F2"/>
                <w:spacing w:val="-2"/>
              </w:rPr>
              <w:t xml:space="preserve">ejvíce </w:t>
            </w:r>
            <w:r w:rsidR="00D726A9">
              <w:rPr>
                <w:color w:val="0D0D0D" w:themeColor="text1" w:themeTint="F2"/>
                <w:spacing w:val="-2"/>
              </w:rPr>
              <w:t>se projevil</w:t>
            </w:r>
            <w:r w:rsidR="00D726A9" w:rsidRPr="005E4BC9">
              <w:rPr>
                <w:color w:val="0D0D0D" w:themeColor="text1" w:themeTint="F2"/>
                <w:spacing w:val="-2"/>
              </w:rPr>
              <w:t xml:space="preserve"> vliv činností v oblasti IT (programování, správa počítačového vybavení), vyšší výkony ale letos zaznamenaly všechny odvětvové oddíly </w:t>
            </w:r>
            <w:r w:rsidR="00D726A9">
              <w:rPr>
                <w:color w:val="0D0D0D" w:themeColor="text1" w:themeTint="F2"/>
                <w:spacing w:val="-2"/>
              </w:rPr>
              <w:t>vyjma filmového a hudebního průmyslu</w:t>
            </w:r>
            <w:r w:rsidR="00D726A9">
              <w:rPr>
                <w:rStyle w:val="Znakapoznpodarou"/>
                <w:color w:val="0D0D0D" w:themeColor="text1" w:themeTint="F2"/>
                <w:spacing w:val="-2"/>
              </w:rPr>
              <w:footnoteReference w:id="30"/>
            </w:r>
            <w:r w:rsidR="00D726A9">
              <w:rPr>
                <w:color w:val="0D0D0D" w:themeColor="text1" w:themeTint="F2"/>
                <w:spacing w:val="-2"/>
              </w:rPr>
              <w:t>. V odvětví ubytování, stravování a pohostinství rostly letos tržby jen o</w:t>
            </w:r>
            <w:r w:rsidR="00D726A9">
              <w:rPr>
                <w:color w:val="0D0D0D" w:themeColor="text1" w:themeTint="F2"/>
                <w:spacing w:val="-4"/>
              </w:rPr>
              <w:t> </w:t>
            </w:r>
            <w:r w:rsidR="00157CC9">
              <w:rPr>
                <w:color w:val="0D0D0D" w:themeColor="text1" w:themeTint="F2"/>
                <w:spacing w:val="-2"/>
              </w:rPr>
              <w:t>1,2 % (o rok dříve o 11,3</w:t>
            </w:r>
            <w:r w:rsidR="00D726A9">
              <w:rPr>
                <w:color w:val="0D0D0D" w:themeColor="text1" w:themeTint="F2"/>
                <w:spacing w:val="-2"/>
              </w:rPr>
              <w:t xml:space="preserve"> %). V pozadí tohoto vývoje stál</w:t>
            </w:r>
            <w:r w:rsidR="00D726A9" w:rsidRPr="005E4BC9">
              <w:rPr>
                <w:color w:val="0D0D0D" w:themeColor="text1" w:themeTint="F2"/>
                <w:spacing w:val="-2"/>
              </w:rPr>
              <w:t xml:space="preserve"> efekt vysoké </w:t>
            </w:r>
            <w:r w:rsidR="00D726A9" w:rsidRPr="002F2BC6">
              <w:rPr>
                <w:color w:val="0D0D0D" w:themeColor="text1" w:themeTint="F2"/>
                <w:spacing w:val="-2"/>
              </w:rPr>
              <w:t>srovnávací základny</w:t>
            </w:r>
            <w:r w:rsidR="00D726A9" w:rsidRPr="002F2BC6">
              <w:rPr>
                <w:rStyle w:val="Znakapoznpodarou"/>
                <w:color w:val="0D0D0D" w:themeColor="text1" w:themeTint="F2"/>
                <w:spacing w:val="-2"/>
              </w:rPr>
              <w:footnoteReference w:id="31"/>
            </w:r>
            <w:r w:rsidR="00D726A9" w:rsidRPr="002F2BC6">
              <w:rPr>
                <w:color w:val="0D0D0D" w:themeColor="text1" w:themeTint="F2"/>
                <w:spacing w:val="-2"/>
              </w:rPr>
              <w:t xml:space="preserve"> ovlivněné i legislativními změnami souvisejícími s výběrem daně.</w:t>
            </w:r>
            <w:r w:rsidR="00D726A9">
              <w:rPr>
                <w:color w:val="0D0D0D" w:themeColor="text1" w:themeTint="F2"/>
                <w:spacing w:val="-2"/>
              </w:rPr>
              <w:t xml:space="preserve"> V p</w:t>
            </w:r>
            <w:r w:rsidR="00D726A9" w:rsidRPr="005E4BC9">
              <w:rPr>
                <w:color w:val="0D0D0D" w:themeColor="text1" w:themeTint="F2"/>
                <w:spacing w:val="-2"/>
              </w:rPr>
              <w:t>rofesní</w:t>
            </w:r>
            <w:r w:rsidR="00D726A9">
              <w:rPr>
                <w:color w:val="0D0D0D" w:themeColor="text1" w:themeTint="F2"/>
                <w:spacing w:val="-2"/>
              </w:rPr>
              <w:t>ch, vědeckých a technických činnostech rostly tržby jen o 1,7 % především vlivem slabého růstu architektonických a</w:t>
            </w:r>
            <w:r w:rsidR="00D726A9">
              <w:rPr>
                <w:color w:val="0D0D0D" w:themeColor="text1" w:themeTint="F2"/>
                <w:spacing w:val="-4"/>
              </w:rPr>
              <w:t> </w:t>
            </w:r>
            <w:r w:rsidR="00D726A9">
              <w:rPr>
                <w:color w:val="0D0D0D" w:themeColor="text1" w:themeTint="F2"/>
                <w:spacing w:val="-2"/>
              </w:rPr>
              <w:t>inženýrských</w:t>
            </w:r>
            <w:r w:rsidR="00D726A9" w:rsidRPr="00AD4650">
              <w:rPr>
                <w:color w:val="0D0D0D" w:themeColor="text1" w:themeTint="F2"/>
                <w:spacing w:val="-2"/>
              </w:rPr>
              <w:t xml:space="preserve"> činnost</w:t>
            </w:r>
            <w:r w:rsidR="00D726A9">
              <w:rPr>
                <w:color w:val="0D0D0D" w:themeColor="text1" w:themeTint="F2"/>
                <w:spacing w:val="-2"/>
              </w:rPr>
              <w:t>í i poklesu tržeb za reklamu. Dařilo se naopak p</w:t>
            </w:r>
            <w:r w:rsidR="00D726A9" w:rsidRPr="00AD4650">
              <w:rPr>
                <w:color w:val="0D0D0D" w:themeColor="text1" w:themeTint="F2"/>
                <w:spacing w:val="-2"/>
              </w:rPr>
              <w:t>oradenství v</w:t>
            </w:r>
            <w:r w:rsidR="00D726A9">
              <w:rPr>
                <w:color w:val="0D0D0D" w:themeColor="text1" w:themeTint="F2"/>
                <w:spacing w:val="-4"/>
              </w:rPr>
              <w:t> </w:t>
            </w:r>
            <w:r w:rsidR="00D726A9" w:rsidRPr="00AD4650">
              <w:rPr>
                <w:color w:val="0D0D0D" w:themeColor="text1" w:themeTint="F2"/>
                <w:spacing w:val="-2"/>
              </w:rPr>
              <w:t>oblasti řízení</w:t>
            </w:r>
            <w:r w:rsidR="00D726A9">
              <w:rPr>
                <w:color w:val="0D0D0D" w:themeColor="text1" w:themeTint="F2"/>
                <w:spacing w:val="-2"/>
              </w:rPr>
              <w:t>, účetnickým a auditorským</w:t>
            </w:r>
            <w:r w:rsidR="00D726A9" w:rsidRPr="00AD4650">
              <w:rPr>
                <w:color w:val="0D0D0D" w:themeColor="text1" w:themeTint="F2"/>
                <w:spacing w:val="-2"/>
              </w:rPr>
              <w:t xml:space="preserve"> činnost</w:t>
            </w:r>
            <w:r w:rsidR="00D726A9">
              <w:rPr>
                <w:color w:val="0D0D0D" w:themeColor="text1" w:themeTint="F2"/>
                <w:spacing w:val="-2"/>
              </w:rPr>
              <w:t>em</w:t>
            </w:r>
            <w:r w:rsidR="00E4665D">
              <w:rPr>
                <w:color w:val="0D0D0D" w:themeColor="text1" w:themeTint="F2"/>
                <w:spacing w:val="-2"/>
              </w:rPr>
              <w:t>, daňovému poradenství</w:t>
            </w:r>
            <w:r w:rsidR="00D726A9">
              <w:rPr>
                <w:color w:val="0D0D0D" w:themeColor="text1" w:themeTint="F2"/>
                <w:spacing w:val="-2"/>
              </w:rPr>
              <w:t xml:space="preserve"> či průzkumu trhu a veřejného mínění. Růst tržeb administr</w:t>
            </w:r>
            <w:r w:rsidR="00E4665D">
              <w:rPr>
                <w:color w:val="0D0D0D" w:themeColor="text1" w:themeTint="F2"/>
                <w:spacing w:val="-2"/>
              </w:rPr>
              <w:t>ativních a podpůrných činností</w:t>
            </w:r>
            <w:r w:rsidR="00D726A9">
              <w:rPr>
                <w:color w:val="0D0D0D" w:themeColor="text1" w:themeTint="F2"/>
                <w:spacing w:val="-2"/>
              </w:rPr>
              <w:t xml:space="preserve"> (+3,3 %) byl tažen zejména č</w:t>
            </w:r>
            <w:r w:rsidR="00D726A9" w:rsidRPr="00AD4650">
              <w:rPr>
                <w:color w:val="0D0D0D" w:themeColor="text1" w:themeTint="F2"/>
                <w:spacing w:val="-2"/>
              </w:rPr>
              <w:t>innost</w:t>
            </w:r>
            <w:r w:rsidR="00D726A9">
              <w:rPr>
                <w:color w:val="0D0D0D" w:themeColor="text1" w:themeTint="F2"/>
                <w:spacing w:val="-2"/>
              </w:rPr>
              <w:t xml:space="preserve">mi v oblasti pronájmu </w:t>
            </w:r>
            <w:r w:rsidR="00D726A9" w:rsidRPr="00AD4650">
              <w:rPr>
                <w:color w:val="0D0D0D" w:themeColor="text1" w:themeTint="F2"/>
                <w:spacing w:val="-2"/>
              </w:rPr>
              <w:t>a operativního leasingu</w:t>
            </w:r>
            <w:r w:rsidR="00D726A9">
              <w:rPr>
                <w:color w:val="0D0D0D" w:themeColor="text1" w:themeTint="F2"/>
                <w:spacing w:val="-2"/>
              </w:rPr>
              <w:t>.</w:t>
            </w:r>
          </w:p>
        </w:tc>
      </w:tr>
      <w:tr w:rsidR="00D726A9" w:rsidRPr="00535F78" w:rsidTr="00D726A9">
        <w:trPr>
          <w:trHeight w:val="145"/>
        </w:trPr>
        <w:tc>
          <w:tcPr>
            <w:tcW w:w="1839" w:type="dxa"/>
            <w:shd w:val="clear" w:color="auto" w:fill="auto"/>
            <w:tcMar>
              <w:left w:w="0" w:type="dxa"/>
            </w:tcMar>
          </w:tcPr>
          <w:p w:rsidR="00D726A9" w:rsidRDefault="00D726A9" w:rsidP="0083630F">
            <w:pPr>
              <w:pStyle w:val="Marginlie"/>
            </w:pPr>
            <w:r>
              <w:lastRenderedPageBreak/>
              <w:t xml:space="preserve">Tempo růstu maloobchodních tržeb v průběhu roku mírně zvolňovalo, přesto zůstávalo vysoké, zejména v evropském srovnání. </w:t>
            </w:r>
          </w:p>
        </w:tc>
        <w:tc>
          <w:tcPr>
            <w:tcW w:w="233" w:type="dxa"/>
            <w:shd w:val="clear" w:color="auto" w:fill="auto"/>
            <w:tcMar>
              <w:left w:w="0" w:type="dxa"/>
            </w:tcMar>
          </w:tcPr>
          <w:p w:rsidR="00D726A9" w:rsidRDefault="00D726A9" w:rsidP="0083630F">
            <w:pPr>
              <w:pStyle w:val="Textpoznpodarou"/>
              <w:jc w:val="both"/>
              <w:rPr>
                <w:spacing w:val="-4"/>
              </w:rPr>
            </w:pPr>
          </w:p>
        </w:tc>
        <w:tc>
          <w:tcPr>
            <w:tcW w:w="7567" w:type="dxa"/>
            <w:shd w:val="clear" w:color="auto" w:fill="auto"/>
            <w:tcMar>
              <w:left w:w="0" w:type="dxa"/>
            </w:tcMar>
          </w:tcPr>
          <w:p w:rsidR="00601EEF" w:rsidRDefault="00D726A9">
            <w:pPr>
              <w:spacing w:after="200"/>
              <w:rPr>
                <w:spacing w:val="-4"/>
              </w:rPr>
            </w:pPr>
            <w:r>
              <w:rPr>
                <w:spacing w:val="-4"/>
              </w:rPr>
              <w:t xml:space="preserve">Svižný růst příjmů domácností doprovázený velmi optimistickou náladou spotřebitelů (jež dosáhla vrcholu na přelomu jarního a letního období) vyústil v 1. až 3. čtvrtletí v téměř 5% meziroční růst maloobchodních tržeb. Růstové tempo v průběhu roku mírně zvolňovalo, přesto bylo ve 3. čtvrtletí ve srovnání s EU skoro dvojnásobné. </w:t>
            </w:r>
            <w:r>
              <w:rPr>
                <w:color w:val="0D0D0D" w:themeColor="text1" w:themeTint="F2"/>
                <w:spacing w:val="-4"/>
              </w:rPr>
              <w:t xml:space="preserve">K růstu maloobchodu přispěl tradičně nejvíce prodej </w:t>
            </w:r>
            <w:proofErr w:type="spellStart"/>
            <w:r>
              <w:rPr>
                <w:color w:val="0D0D0D" w:themeColor="text1" w:themeTint="F2"/>
                <w:spacing w:val="-4"/>
              </w:rPr>
              <w:t>nepotravinářského</w:t>
            </w:r>
            <w:proofErr w:type="spellEnd"/>
            <w:r>
              <w:rPr>
                <w:color w:val="0D0D0D" w:themeColor="text1" w:themeTint="F2"/>
                <w:spacing w:val="-4"/>
              </w:rPr>
              <w:t xml:space="preserve"> zboží, jehož tempo za tři čtvrtletí činilo 7,3 %. Tržby rostly letos ve všech hlavních skupinách specializovaných prodejen. Dařilo se hlavně prodeji počítačového a komunikačního</w:t>
            </w:r>
            <w:r w:rsidRPr="00FA70D3">
              <w:rPr>
                <w:color w:val="0D0D0D" w:themeColor="text1" w:themeTint="F2"/>
                <w:spacing w:val="-4"/>
              </w:rPr>
              <w:t xml:space="preserve"> zařízení</w:t>
            </w:r>
            <w:r>
              <w:rPr>
                <w:color w:val="0D0D0D" w:themeColor="text1" w:themeTint="F2"/>
                <w:spacing w:val="-4"/>
              </w:rPr>
              <w:t>, kde rostly tržby dvojciferným tempem již druhým rokem v řadě. Naopak jen minimálního posílení dosáhl maloobchod s </w:t>
            </w:r>
            <w:r w:rsidRPr="00D02D00">
              <w:rPr>
                <w:color w:val="0D0D0D" w:themeColor="text1" w:themeTint="F2"/>
                <w:spacing w:val="-4"/>
              </w:rPr>
              <w:t>potravinami ve specializovaných prodejnách</w:t>
            </w:r>
            <w:r w:rsidR="00157CC9">
              <w:rPr>
                <w:color w:val="0D0D0D" w:themeColor="text1" w:themeTint="F2"/>
                <w:spacing w:val="-4"/>
              </w:rPr>
              <w:t xml:space="preserve"> (+0,3</w:t>
            </w:r>
            <w:r>
              <w:rPr>
                <w:color w:val="0D0D0D" w:themeColor="text1" w:themeTint="F2"/>
                <w:spacing w:val="-4"/>
              </w:rPr>
              <w:t xml:space="preserve"> %, o rok dříve +3,0 %).</w:t>
            </w:r>
          </w:p>
        </w:tc>
      </w:tr>
      <w:tr w:rsidR="00D726A9" w:rsidRPr="009110F7" w:rsidTr="00D726A9">
        <w:trPr>
          <w:trHeight w:val="145"/>
        </w:trPr>
        <w:tc>
          <w:tcPr>
            <w:tcW w:w="1839" w:type="dxa"/>
            <w:shd w:val="clear" w:color="auto" w:fill="auto"/>
            <w:tcMar>
              <w:left w:w="0" w:type="dxa"/>
            </w:tcMar>
          </w:tcPr>
          <w:p w:rsidR="00D726A9" w:rsidRPr="009110F7" w:rsidRDefault="00D726A9" w:rsidP="0089754C">
            <w:pPr>
              <w:pStyle w:val="Marginlie"/>
            </w:pPr>
          </w:p>
        </w:tc>
        <w:tc>
          <w:tcPr>
            <w:tcW w:w="233" w:type="dxa"/>
            <w:shd w:val="clear" w:color="auto" w:fill="auto"/>
            <w:tcMar>
              <w:left w:w="0" w:type="dxa"/>
            </w:tcMar>
          </w:tcPr>
          <w:p w:rsidR="00D726A9" w:rsidRPr="009110F7" w:rsidRDefault="00D726A9" w:rsidP="0089754C">
            <w:pPr>
              <w:pStyle w:val="Textpoznpodarou"/>
              <w:jc w:val="both"/>
              <w:rPr>
                <w:spacing w:val="-4"/>
              </w:rPr>
            </w:pPr>
          </w:p>
        </w:tc>
        <w:tc>
          <w:tcPr>
            <w:tcW w:w="7567" w:type="dxa"/>
            <w:shd w:val="clear" w:color="auto" w:fill="auto"/>
            <w:tcMar>
              <w:left w:w="0" w:type="dxa"/>
            </w:tcMar>
          </w:tcPr>
          <w:p w:rsidR="00D726A9" w:rsidRPr="00A925B1" w:rsidRDefault="00D726A9" w:rsidP="00A925B1">
            <w:pPr>
              <w:spacing w:after="0" w:line="240" w:lineRule="auto"/>
              <w:rPr>
                <w:b/>
                <w:spacing w:val="-4"/>
              </w:rPr>
            </w:pPr>
            <w:r w:rsidRPr="00A925B1">
              <w:rPr>
                <w:b/>
                <w:spacing w:val="-4"/>
              </w:rPr>
              <w:t>Graf č. 9  Tržby za maloobchod a prodej a opravy motorových vozidel</w:t>
            </w:r>
          </w:p>
          <w:p w:rsidR="00D726A9" w:rsidRPr="00A925B1" w:rsidRDefault="00D726A9" w:rsidP="0089754C">
            <w:pPr>
              <w:spacing w:after="0"/>
              <w:rPr>
                <w:spacing w:val="-4"/>
              </w:rPr>
            </w:pPr>
            <w:r w:rsidRPr="00A925B1">
              <w:rPr>
                <w:spacing w:val="-4"/>
              </w:rPr>
              <w:t>(reálně, očištěno od vlivu počtu pracovních dnů, meziročně v %)</w:t>
            </w:r>
          </w:p>
        </w:tc>
      </w:tr>
      <w:tr w:rsidR="00D726A9" w:rsidRPr="009110F7" w:rsidTr="00D726A9">
        <w:trPr>
          <w:trHeight w:val="145"/>
        </w:trPr>
        <w:tc>
          <w:tcPr>
            <w:tcW w:w="1839" w:type="dxa"/>
            <w:shd w:val="clear" w:color="auto" w:fill="auto"/>
            <w:tcMar>
              <w:left w:w="0" w:type="dxa"/>
            </w:tcMar>
          </w:tcPr>
          <w:p w:rsidR="00D726A9" w:rsidRPr="009110F7" w:rsidRDefault="00D726A9" w:rsidP="0089754C">
            <w:pPr>
              <w:pStyle w:val="Marginlie"/>
            </w:pPr>
          </w:p>
        </w:tc>
        <w:tc>
          <w:tcPr>
            <w:tcW w:w="233" w:type="dxa"/>
            <w:shd w:val="clear" w:color="auto" w:fill="auto"/>
            <w:tcMar>
              <w:left w:w="0" w:type="dxa"/>
            </w:tcMar>
          </w:tcPr>
          <w:p w:rsidR="00D726A9" w:rsidRPr="009110F7" w:rsidRDefault="00D726A9" w:rsidP="0089754C">
            <w:pPr>
              <w:pStyle w:val="Textpoznpodarou"/>
              <w:jc w:val="both"/>
              <w:rPr>
                <w:spacing w:val="-4"/>
              </w:rPr>
            </w:pPr>
          </w:p>
        </w:tc>
        <w:tc>
          <w:tcPr>
            <w:tcW w:w="7567" w:type="dxa"/>
            <w:shd w:val="clear" w:color="auto" w:fill="auto"/>
            <w:tcMar>
              <w:left w:w="0" w:type="dxa"/>
            </w:tcMar>
          </w:tcPr>
          <w:p w:rsidR="00D726A9" w:rsidRPr="00A925B1" w:rsidRDefault="002A603E" w:rsidP="0089754C">
            <w:pPr>
              <w:spacing w:after="0"/>
              <w:rPr>
                <w:spacing w:val="-4"/>
              </w:rPr>
            </w:pPr>
            <w:r>
              <w:rPr>
                <w:noProof/>
                <w:spacing w:val="-4"/>
              </w:rPr>
              <w:drawing>
                <wp:inline distT="0" distB="0" distL="0" distR="0">
                  <wp:extent cx="4732935" cy="3364992"/>
                  <wp:effectExtent l="1905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D726A9" w:rsidRPr="009110F7" w:rsidTr="00D726A9">
        <w:trPr>
          <w:trHeight w:val="145"/>
        </w:trPr>
        <w:tc>
          <w:tcPr>
            <w:tcW w:w="1839" w:type="dxa"/>
            <w:shd w:val="clear" w:color="auto" w:fill="auto"/>
            <w:tcMar>
              <w:left w:w="0" w:type="dxa"/>
            </w:tcMar>
          </w:tcPr>
          <w:p w:rsidR="00D726A9" w:rsidRPr="009110F7" w:rsidRDefault="00D726A9" w:rsidP="0089754C">
            <w:pPr>
              <w:pStyle w:val="Marginlie"/>
            </w:pPr>
          </w:p>
        </w:tc>
        <w:tc>
          <w:tcPr>
            <w:tcW w:w="233" w:type="dxa"/>
            <w:shd w:val="clear" w:color="auto" w:fill="auto"/>
            <w:tcMar>
              <w:left w:w="0" w:type="dxa"/>
            </w:tcMar>
          </w:tcPr>
          <w:p w:rsidR="00D726A9" w:rsidRPr="009110F7" w:rsidRDefault="00D726A9" w:rsidP="0089754C">
            <w:pPr>
              <w:pStyle w:val="Textpoznpodarou"/>
              <w:jc w:val="both"/>
              <w:rPr>
                <w:spacing w:val="-4"/>
              </w:rPr>
            </w:pPr>
          </w:p>
        </w:tc>
        <w:tc>
          <w:tcPr>
            <w:tcW w:w="7567" w:type="dxa"/>
            <w:shd w:val="clear" w:color="auto" w:fill="auto"/>
            <w:tcMar>
              <w:left w:w="0" w:type="dxa"/>
            </w:tcMar>
          </w:tcPr>
          <w:p w:rsidR="00D726A9" w:rsidRPr="00A925B1" w:rsidRDefault="00D726A9" w:rsidP="00A925B1">
            <w:pPr>
              <w:spacing w:after="0"/>
              <w:rPr>
                <w:spacing w:val="-4"/>
                <w:sz w:val="14"/>
                <w:szCs w:val="14"/>
              </w:rPr>
            </w:pPr>
            <w:r w:rsidRPr="00A925B1">
              <w:rPr>
                <w:spacing w:val="-4"/>
                <w:sz w:val="14"/>
                <w:szCs w:val="14"/>
              </w:rPr>
              <w:t>Zdroj: ČSÚ</w:t>
            </w:r>
          </w:p>
        </w:tc>
      </w:tr>
    </w:tbl>
    <w:p w:rsidR="00A925B1" w:rsidRPr="00A925B1" w:rsidRDefault="00A925B1" w:rsidP="001554C2">
      <w:pPr>
        <w:pStyle w:val="Nadpis11"/>
        <w:rPr>
          <w:sz w:val="10"/>
          <w:szCs w:val="10"/>
        </w:rPr>
      </w:pPr>
    </w:p>
    <w:p w:rsidR="00A925B1" w:rsidRDefault="00A925B1" w:rsidP="001554C2">
      <w:pPr>
        <w:pStyle w:val="Nadpis11"/>
        <w:sectPr w:rsidR="00A925B1" w:rsidSect="00A03B10">
          <w:headerReference w:type="even" r:id="rId18"/>
          <w:headerReference w:type="default" r:id="rId19"/>
          <w:footerReference w:type="even" r:id="rId20"/>
          <w:footerReference w:type="default" r:id="rId21"/>
          <w:pgSz w:w="11906" w:h="16838" w:code="9"/>
          <w:pgMar w:top="1134" w:right="1134" w:bottom="1418" w:left="1134" w:header="680" w:footer="737" w:gutter="0"/>
          <w:cols w:space="708"/>
          <w:docGrid w:linePitch="360"/>
        </w:sectPr>
      </w:pPr>
    </w:p>
    <w:p w:rsidR="00935BD4" w:rsidRPr="009110F7" w:rsidRDefault="00935BD4" w:rsidP="001554C2">
      <w:pPr>
        <w:pStyle w:val="Nadpis11"/>
      </w:pPr>
      <w:bookmarkStart w:id="7" w:name="_Toc532558284"/>
      <w:r w:rsidRPr="009110F7">
        <w:lastRenderedPageBreak/>
        <w:t>4. Vnější vztahy</w:t>
      </w:r>
      <w:bookmarkEnd w:id="7"/>
    </w:p>
    <w:tbl>
      <w:tblPr>
        <w:tblW w:w="9639" w:type="dxa"/>
        <w:tblInd w:w="-15" w:type="dxa"/>
        <w:tblCellMar>
          <w:left w:w="0" w:type="dxa"/>
          <w:right w:w="0" w:type="dxa"/>
        </w:tblCellMar>
        <w:tblLook w:val="00A0"/>
      </w:tblPr>
      <w:tblGrid>
        <w:gridCol w:w="1888"/>
        <w:gridCol w:w="250"/>
        <w:gridCol w:w="7501"/>
      </w:tblGrid>
      <w:tr w:rsidR="00EA3B32" w:rsidRPr="009110F7" w:rsidTr="00EA3B32">
        <w:trPr>
          <w:trHeight w:val="145"/>
        </w:trPr>
        <w:tc>
          <w:tcPr>
            <w:tcW w:w="1888" w:type="dxa"/>
            <w:shd w:val="clear" w:color="auto" w:fill="auto"/>
            <w:tcMar>
              <w:left w:w="0" w:type="dxa"/>
            </w:tcMar>
          </w:tcPr>
          <w:p w:rsidR="00EA3B32" w:rsidRDefault="00EA3B32" w:rsidP="008458BD">
            <w:pPr>
              <w:pStyle w:val="Marginlie"/>
            </w:pPr>
            <w:r>
              <w:t>Celkový meziroční nárůst vývozu od začátku roku byl poměrně slabý. Výsledky zlepšilo jen 3. čtvrtletí.</w:t>
            </w:r>
          </w:p>
        </w:tc>
        <w:tc>
          <w:tcPr>
            <w:tcW w:w="250" w:type="dxa"/>
            <w:shd w:val="clear" w:color="auto" w:fill="auto"/>
            <w:tcMar>
              <w:left w:w="0" w:type="dxa"/>
            </w:tcMar>
          </w:tcPr>
          <w:p w:rsidR="00EA3B32" w:rsidRDefault="00EA3B32" w:rsidP="008458BD">
            <w:pPr>
              <w:pStyle w:val="Textpoznpodarou"/>
              <w:jc w:val="both"/>
              <w:rPr>
                <w:spacing w:val="-4"/>
              </w:rPr>
            </w:pPr>
          </w:p>
        </w:tc>
        <w:tc>
          <w:tcPr>
            <w:tcW w:w="7501" w:type="dxa"/>
            <w:shd w:val="clear" w:color="auto" w:fill="auto"/>
            <w:tcMar>
              <w:left w:w="0" w:type="dxa"/>
            </w:tcMar>
          </w:tcPr>
          <w:p w:rsidR="00EA3B32" w:rsidRPr="00AF6F98" w:rsidRDefault="00EA3B32" w:rsidP="008458BD">
            <w:pPr>
              <w:spacing w:after="200"/>
              <w:rPr>
                <w:spacing w:val="-4"/>
              </w:rPr>
            </w:pPr>
            <w:r>
              <w:rPr>
                <w:spacing w:val="-4"/>
              </w:rPr>
              <w:t>Celková hodnota vývozu zboží v 1. až 3. čtvrtletí 2018 dosáhla 2 683,1 mld. korun</w:t>
            </w:r>
            <w:r w:rsidRPr="00AF6F98">
              <w:rPr>
                <w:rStyle w:val="Znakapoznpodarou"/>
                <w:spacing w:val="-4"/>
              </w:rPr>
              <w:footnoteReference w:id="32"/>
            </w:r>
            <w:r>
              <w:rPr>
                <w:spacing w:val="-4"/>
              </w:rPr>
              <w:t xml:space="preserve">. Dynamika letošního prvního pololetí ve srovnání s mimořádně úspěšným rokem 2017 zaostávala. Hodnota vývozu zboží se tak za první tři čtvrtletí meziročně navýšila jen mírně (54,6 mld., 2,1 %). Samotný 3. kvartál byl z hlediska vývozu úspěšnější než ty předchozí. Celková hodnota exportu zboží činila 860,4 mld. korun a zvýšila se meziročně o 46,6 mld. (5,7 %). </w:t>
            </w:r>
          </w:p>
        </w:tc>
      </w:tr>
      <w:tr w:rsidR="00EA3B32" w:rsidRPr="009110F7" w:rsidTr="00EA3B32">
        <w:trPr>
          <w:trHeight w:val="145"/>
        </w:trPr>
        <w:tc>
          <w:tcPr>
            <w:tcW w:w="1888" w:type="dxa"/>
            <w:shd w:val="clear" w:color="auto" w:fill="auto"/>
            <w:tcMar>
              <w:left w:w="0" w:type="dxa"/>
            </w:tcMar>
          </w:tcPr>
          <w:p w:rsidR="00EA3B32" w:rsidRDefault="00EA3B32" w:rsidP="008458BD">
            <w:pPr>
              <w:pStyle w:val="Marginlie"/>
            </w:pPr>
            <w:r>
              <w:t>Oslabil vývoz do sousedních zemí. Klíčová byla stagnace vývozu do Německa.</w:t>
            </w:r>
          </w:p>
        </w:tc>
        <w:tc>
          <w:tcPr>
            <w:tcW w:w="250" w:type="dxa"/>
            <w:shd w:val="clear" w:color="auto" w:fill="auto"/>
            <w:tcMar>
              <w:left w:w="0" w:type="dxa"/>
            </w:tcMar>
          </w:tcPr>
          <w:p w:rsidR="00EA3B32" w:rsidRDefault="00EA3B32" w:rsidP="008458BD">
            <w:pPr>
              <w:pStyle w:val="Textpoznpodarou"/>
              <w:jc w:val="both"/>
              <w:rPr>
                <w:spacing w:val="-4"/>
              </w:rPr>
            </w:pPr>
          </w:p>
        </w:tc>
        <w:tc>
          <w:tcPr>
            <w:tcW w:w="7501" w:type="dxa"/>
            <w:shd w:val="clear" w:color="auto" w:fill="auto"/>
            <w:tcMar>
              <w:left w:w="0" w:type="dxa"/>
            </w:tcMar>
          </w:tcPr>
          <w:p w:rsidR="00EA3B32" w:rsidRPr="00AF6F98" w:rsidRDefault="00EA3B32" w:rsidP="008458BD">
            <w:pPr>
              <w:spacing w:after="200"/>
              <w:rPr>
                <w:spacing w:val="-4"/>
              </w:rPr>
            </w:pPr>
            <w:r>
              <w:rPr>
                <w:spacing w:val="-4"/>
              </w:rPr>
              <w:t xml:space="preserve">Vývoz do zemí Evropské unie se od začátku roku meziročně zvýšil o 45,3 mld. korun (2,1 %). Podobnou dynamiku měl i export do zemí mimo Unii (nárůst o 9,0 mld., 2,1 %). Oba údaje ovlivnila především slabší první polovina roku. V samotném 3. čtvrtletí se vývoz do EU meziročně zvýšil o 4,7 % a mimo Unii dokonce o 10,8 % (tuto hodnotu však výrazně ovlivnila i nižší srovnávací základna). Vývozní dynamika oslabila zejména kvůli obchodu s našimi nejbližšími partnery. Hodnota exportu do Německa za 1. až 3. čtvrtletí meziročně vzrostla jen o 0,1 %. Slabý růst vykázal i vývoz na Slovensko (0,4 %). Výrazně oslabil přírůstek hodnoty vývozu do Rakouska (2,5 %), slabší, i když stále solidní byl přírůstek u Polska (3,7 %). Naopak pokračuje výrazná dynamika vývozu do </w:t>
            </w:r>
            <w:r w:rsidR="008478A6">
              <w:rPr>
                <w:spacing w:val="-4"/>
              </w:rPr>
              <w:t xml:space="preserve">Nizozemska </w:t>
            </w:r>
            <w:r>
              <w:rPr>
                <w:spacing w:val="-4"/>
              </w:rPr>
              <w:t xml:space="preserve">(13,0 % za 1. až 3. čtvrtletí). Pokles ve stejném období nastal u exportu do Velké Británie </w:t>
            </w:r>
            <w:r w:rsidR="008478A6">
              <w:rPr>
                <w:spacing w:val="-4"/>
              </w:rPr>
              <w:t>(–</w:t>
            </w:r>
            <w:r>
              <w:rPr>
                <w:spacing w:val="-4"/>
              </w:rPr>
              <w:t xml:space="preserve">4,6 %). Zde se jedná o dlouhodobější jev – meziroční snížení trvá již čtyři čtvrtletí. Růst vývozu do </w:t>
            </w:r>
            <w:proofErr w:type="spellStart"/>
            <w:r>
              <w:rPr>
                <w:spacing w:val="-4"/>
              </w:rPr>
              <w:t>mimounijních</w:t>
            </w:r>
            <w:proofErr w:type="spellEnd"/>
            <w:r>
              <w:rPr>
                <w:spacing w:val="-4"/>
              </w:rPr>
              <w:t xml:space="preserve"> destinací podpořil hlavně přírůstek exportu do Ruska ve výši 4,9 mld. korun (9,5 %).</w:t>
            </w:r>
          </w:p>
        </w:tc>
      </w:tr>
      <w:tr w:rsidR="00EA3B32" w:rsidRPr="009110F7" w:rsidTr="00EA3B32">
        <w:trPr>
          <w:trHeight w:val="170"/>
        </w:trPr>
        <w:tc>
          <w:tcPr>
            <w:tcW w:w="1888" w:type="dxa"/>
            <w:shd w:val="clear" w:color="auto" w:fill="auto"/>
            <w:tcMar>
              <w:left w:w="0" w:type="dxa"/>
            </w:tcMar>
          </w:tcPr>
          <w:p w:rsidR="00EA3B32" w:rsidRDefault="00EA3B32" w:rsidP="008458BD">
            <w:pPr>
              <w:pStyle w:val="Marginlie"/>
            </w:pPr>
            <w:r>
              <w:t>Vývoz motorových vozidel klesl. Naopak pokračuje dynamický růst u počítačů, elektronických a optických přístrojů.</w:t>
            </w:r>
          </w:p>
        </w:tc>
        <w:tc>
          <w:tcPr>
            <w:tcW w:w="250" w:type="dxa"/>
            <w:shd w:val="clear" w:color="auto" w:fill="auto"/>
            <w:tcMar>
              <w:left w:w="0" w:type="dxa"/>
            </w:tcMar>
          </w:tcPr>
          <w:p w:rsidR="00EA3B32" w:rsidRDefault="00EA3B32" w:rsidP="008458BD">
            <w:pPr>
              <w:pStyle w:val="Textpoznpodarou"/>
              <w:jc w:val="both"/>
              <w:rPr>
                <w:spacing w:val="-4"/>
              </w:rPr>
            </w:pPr>
          </w:p>
        </w:tc>
        <w:tc>
          <w:tcPr>
            <w:tcW w:w="7501" w:type="dxa"/>
            <w:shd w:val="clear" w:color="auto" w:fill="auto"/>
            <w:tcMar>
              <w:left w:w="0" w:type="dxa"/>
            </w:tcMar>
          </w:tcPr>
          <w:p w:rsidR="00EA3B32" w:rsidRPr="00AF6F98" w:rsidRDefault="00EA3B32" w:rsidP="008458BD">
            <w:pPr>
              <w:spacing w:after="200"/>
              <w:rPr>
                <w:spacing w:val="-4"/>
              </w:rPr>
            </w:pPr>
            <w:r>
              <w:rPr>
                <w:spacing w:val="-4"/>
              </w:rPr>
              <w:t xml:space="preserve">Od počátku roku meziročně klesal vývoz motorových vozidel, která tvoří páteř českého exportu. Během 1. až 3. čtvrtletí se zde vývoz snížil o 27,9 mld. korun (3,7 %). Naopak </w:t>
            </w:r>
            <w:r w:rsidR="0033448D">
              <w:rPr>
                <w:spacing w:val="-4"/>
              </w:rPr>
              <w:t>u </w:t>
            </w:r>
            <w:r>
              <w:rPr>
                <w:spacing w:val="-4"/>
              </w:rPr>
              <w:t>počítačů, elektronických a optických přístrojů již od minulého roku pozorujeme mohutný meziroční nárůst, který letos pokračoval. Během 1. až 3. čtvrtletí tak přírůstek činil 45,</w:t>
            </w:r>
            <w:r w:rsidRPr="009D4A14">
              <w:t>6</w:t>
            </w:r>
            <w:r>
              <w:t> </w:t>
            </w:r>
            <w:r w:rsidRPr="009D4A14">
              <w:t>mld</w:t>
            </w:r>
            <w:r>
              <w:rPr>
                <w:spacing w:val="-4"/>
              </w:rPr>
              <w:t xml:space="preserve">. korun (18,7 %). U ostatních důležitých artiklů růst oslabil, ale zůstal kladný. Vývoz strojů a zařízení za 1. až 3. kvartál vzrostl o 6,7 mld. korun (2,3 %), </w:t>
            </w:r>
            <w:r w:rsidR="00BE190A">
              <w:rPr>
                <w:spacing w:val="-4"/>
              </w:rPr>
              <w:t>u </w:t>
            </w:r>
            <w:r>
              <w:rPr>
                <w:spacing w:val="-4"/>
              </w:rPr>
              <w:t>elektrických zařízení došlo ve stejném období k nárůstu o 9,2 mld. korun (4,1 %). Silný byl růst vývozu základních kovů (9,0 mld. korun, 8,5 %).</w:t>
            </w:r>
          </w:p>
        </w:tc>
      </w:tr>
      <w:tr w:rsidR="00EA3B32" w:rsidRPr="009110F7" w:rsidTr="00EA3B32">
        <w:trPr>
          <w:trHeight w:val="145"/>
        </w:trPr>
        <w:tc>
          <w:tcPr>
            <w:tcW w:w="1888" w:type="dxa"/>
            <w:shd w:val="clear" w:color="auto" w:fill="auto"/>
            <w:tcMar>
              <w:left w:w="0" w:type="dxa"/>
            </w:tcMar>
          </w:tcPr>
          <w:p w:rsidR="00EA3B32" w:rsidRDefault="00EA3B32" w:rsidP="008458BD">
            <w:pPr>
              <w:pStyle w:val="Marginlie"/>
            </w:pPr>
            <w:r>
              <w:t>Dovoz rostl silněji než vývoz. Výrazně rostl dovoz z Číny.</w:t>
            </w:r>
          </w:p>
        </w:tc>
        <w:tc>
          <w:tcPr>
            <w:tcW w:w="250" w:type="dxa"/>
            <w:shd w:val="clear" w:color="auto" w:fill="auto"/>
            <w:tcMar>
              <w:left w:w="0" w:type="dxa"/>
            </w:tcMar>
          </w:tcPr>
          <w:p w:rsidR="00EA3B32" w:rsidRDefault="00EA3B32" w:rsidP="008458BD">
            <w:pPr>
              <w:pStyle w:val="Textpoznpodarou"/>
              <w:jc w:val="both"/>
              <w:rPr>
                <w:spacing w:val="-4"/>
              </w:rPr>
            </w:pPr>
          </w:p>
        </w:tc>
        <w:tc>
          <w:tcPr>
            <w:tcW w:w="7501" w:type="dxa"/>
            <w:shd w:val="clear" w:color="auto" w:fill="auto"/>
            <w:tcMar>
              <w:left w:w="0" w:type="dxa"/>
            </w:tcMar>
          </w:tcPr>
          <w:p w:rsidR="00EA3B32" w:rsidRPr="00AF6F98" w:rsidRDefault="00EA3B32" w:rsidP="006C683C">
            <w:pPr>
              <w:rPr>
                <w:spacing w:val="-4"/>
              </w:rPr>
            </w:pPr>
            <w:r>
              <w:rPr>
                <w:spacing w:val="-4"/>
              </w:rPr>
              <w:t xml:space="preserve">Hodnota dovozu zboží v 1. až 3. čtvrtletí dosáhla 2 572,6 mld. korun. To je o 90,9 mld. (3,7 %) více než ve stejném období minulého roku. Podobně jako u exportu i meziroční dynamika dovozu byla slabší v 1. pololetí. Ve 3. čtvrtletí však meziroční nárůst činil 63,1 mld. korun (8,0 %) a výsledná hodnota importu dosáhla 855,3 mld. korun. Import dynamiku exportu překonal především díky dovozu ze zemí mimo EU. Jeho hodnota se za 1. až 3. čtvrtletí zvýšila o 52,9 mld. korun (6,9 %). Dovoz z EU rostl méně výrazně (2,3 %). Ve 3. čtvrtletí skokově narostl dovoz z Číny (17,1 mld., 21,8 %), což ovlivnilo právě </w:t>
            </w:r>
            <w:proofErr w:type="spellStart"/>
            <w:r>
              <w:rPr>
                <w:spacing w:val="-4"/>
              </w:rPr>
              <w:t>mimounijní</w:t>
            </w:r>
            <w:proofErr w:type="spellEnd"/>
            <w:r>
              <w:rPr>
                <w:spacing w:val="-4"/>
              </w:rPr>
              <w:t xml:space="preserve"> statistiky. U zemí EU lze vyzdvihnout nárůst dovozu z Francie o 6,2 % (1,6 mld. korun) ve 3. čtvrtletí (celkem od začátku roku 7,6 %, 6,1 mld.). Stagnoval však import z Německa (0,8 % za 1. až 3. čtvrtletí), což ve výsledku tlumilo celkovou dynamiku. K růstu dovozu výrazně přispěly počítače, elektronické a optické přístroje (meziroční přírůstek 31,0 mld. korun od počátku roku, 12,0 %, lze spojit s nárůstem dovozu z Číny) a rovněž koks a rafinované ropné výrobky (nárůst během 1. až 3. čtvrtletí o</w:t>
            </w:r>
            <w:r w:rsidR="00BE190A">
              <w:rPr>
                <w:spacing w:val="-4"/>
              </w:rPr>
              <w:t> </w:t>
            </w:r>
            <w:r>
              <w:rPr>
                <w:spacing w:val="-4"/>
              </w:rPr>
              <w:t xml:space="preserve">12,0 mld. korun, 31,9 %). Od počátku roku meziročně poklesl dovoz motorových vozidel </w:t>
            </w:r>
            <w:r w:rsidR="00BE190A">
              <w:rPr>
                <w:spacing w:val="-4"/>
              </w:rPr>
              <w:t>(–</w:t>
            </w:r>
            <w:r>
              <w:rPr>
                <w:spacing w:val="-4"/>
              </w:rPr>
              <w:t xml:space="preserve">8,7 mld. korun, </w:t>
            </w:r>
            <w:r w:rsidR="00BE190A">
              <w:rPr>
                <w:spacing w:val="-4"/>
              </w:rPr>
              <w:t>–</w:t>
            </w:r>
            <w:r>
              <w:rPr>
                <w:spacing w:val="-4"/>
              </w:rPr>
              <w:t xml:space="preserve">2,1 %). Na druhé straně dovoz ostatních dopravních prostředků se zvýšil o 11,2 mld. korun (41,3 %). Lze však předpokládat, že jde zčásti </w:t>
            </w:r>
            <w:r w:rsidR="00BE190A">
              <w:rPr>
                <w:spacing w:val="-4"/>
              </w:rPr>
              <w:t>o </w:t>
            </w:r>
            <w:r>
              <w:rPr>
                <w:spacing w:val="-4"/>
              </w:rPr>
              <w:t>jednorázový nárůst způsobený nárazovým</w:t>
            </w:r>
            <w:r w:rsidR="00BE190A">
              <w:rPr>
                <w:spacing w:val="-4"/>
              </w:rPr>
              <w:t>i</w:t>
            </w:r>
            <w:r>
              <w:rPr>
                <w:spacing w:val="-4"/>
              </w:rPr>
              <w:t xml:space="preserve"> nákupy v domácí ekonomice.</w:t>
            </w:r>
          </w:p>
        </w:tc>
      </w:tr>
      <w:tr w:rsidR="00EA3B32" w:rsidRPr="009110F7" w:rsidTr="00EA3B32">
        <w:trPr>
          <w:trHeight w:val="145"/>
        </w:trPr>
        <w:tc>
          <w:tcPr>
            <w:tcW w:w="1888" w:type="dxa"/>
            <w:shd w:val="clear" w:color="auto" w:fill="auto"/>
            <w:tcMar>
              <w:left w:w="0" w:type="dxa"/>
            </w:tcMar>
          </w:tcPr>
          <w:p w:rsidR="00EA3B32" w:rsidRDefault="00EA3B32" w:rsidP="008458BD">
            <w:pPr>
              <w:pStyle w:val="Marginlie"/>
            </w:pPr>
            <w:r>
              <w:lastRenderedPageBreak/>
              <w:t>Bilance zahraničního obchodu zůstala v přebytku. Ten však mimo jiné zásluhou obchodu s motorovými vozidly klesl.</w:t>
            </w:r>
          </w:p>
        </w:tc>
        <w:tc>
          <w:tcPr>
            <w:tcW w:w="250" w:type="dxa"/>
            <w:shd w:val="clear" w:color="auto" w:fill="auto"/>
            <w:tcMar>
              <w:left w:w="0" w:type="dxa"/>
            </w:tcMar>
          </w:tcPr>
          <w:p w:rsidR="00EA3B32" w:rsidRDefault="00EA3B32" w:rsidP="008458BD">
            <w:pPr>
              <w:pStyle w:val="Textpoznpodarou"/>
              <w:jc w:val="both"/>
              <w:rPr>
                <w:spacing w:val="-4"/>
              </w:rPr>
            </w:pPr>
          </w:p>
        </w:tc>
        <w:tc>
          <w:tcPr>
            <w:tcW w:w="7501" w:type="dxa"/>
            <w:shd w:val="clear" w:color="auto" w:fill="auto"/>
            <w:tcMar>
              <w:left w:w="0" w:type="dxa"/>
            </w:tcMar>
          </w:tcPr>
          <w:p w:rsidR="00EA3B32" w:rsidRPr="00AF6F98" w:rsidRDefault="00EA3B32" w:rsidP="008458BD">
            <w:pPr>
              <w:rPr>
                <w:spacing w:val="-4"/>
              </w:rPr>
            </w:pPr>
            <w:r>
              <w:rPr>
                <w:spacing w:val="-4"/>
              </w:rPr>
              <w:t xml:space="preserve">Bilance zahraničního obchodu se zbožím zůstala v 1. až 3. čtvrtletí v přebytku 110,5 mld. korun. To je však o 36,3 mld. méně než ve stejném období roku 2017. Redukce tradičních přebytků probíhala v průběhu celého roku. Ve 3. čtvrtletí bylo snížení nejvýraznější. Přebytek klesl o 16,5 mld. korun na 5,2 mld. Za dané čtvrtletí jde o nejhorší výsledek od roku 2011. Pokles přebytku lze přičíst zejména prohloubení deficitu obchodu se zeměmi mimo EU od začátku roku o 43,9 mld. korun. Tradiční přebytek obchodu s EU se za stejné období zvýšil jen o 6,8 mld. korun a napomohlo tomu 3. čtvrtletí, ve kterém došlo k navýšení o 15,7 mld. (v 1. i 2. čtvrtletí přebytek klesal). Výše zmíněný nárůst dovozu z Číny se projevil i prohloubením deficitu bilance o 23,9 mld. korun. Snížil se přebytek obchodu s Německem </w:t>
            </w:r>
            <w:r w:rsidR="00660D2D">
              <w:rPr>
                <w:spacing w:val="-4"/>
              </w:rPr>
              <w:t>(–</w:t>
            </w:r>
            <w:r>
              <w:rPr>
                <w:spacing w:val="-4"/>
              </w:rPr>
              <w:t xml:space="preserve">5,0 mld. korun). Nejvýrazněji se zvýšil přebytek obchodu s Nizozemskem (+9,3 mld.). Výrazný pokles přebytku proběhl u motorových vozidel </w:t>
            </w:r>
            <w:r w:rsidR="00C31F21">
              <w:rPr>
                <w:spacing w:val="-4"/>
              </w:rPr>
              <w:t>(–</w:t>
            </w:r>
            <w:r>
              <w:rPr>
                <w:spacing w:val="-4"/>
              </w:rPr>
              <w:t xml:space="preserve">19,1 mld. korun), ostatních dopravních prostředků </w:t>
            </w:r>
            <w:r w:rsidR="00C31F21">
              <w:rPr>
                <w:spacing w:val="-4"/>
              </w:rPr>
              <w:t>(–</w:t>
            </w:r>
            <w:r>
              <w:rPr>
                <w:spacing w:val="-4"/>
              </w:rPr>
              <w:t xml:space="preserve">10,9 mld., obchod se zde propadl do deficitu) a také u strojů a zařízení </w:t>
            </w:r>
            <w:r w:rsidR="00C31F21">
              <w:rPr>
                <w:spacing w:val="-4"/>
              </w:rPr>
              <w:br/>
              <w:t>(–</w:t>
            </w:r>
            <w:r>
              <w:rPr>
                <w:spacing w:val="-4"/>
              </w:rPr>
              <w:t>3,5 mld.). Prohloubil se deficit obchodu s koksem a rafinovanými ropnými výrobky o 10,7 mld. korun. Pokles vývozu vedl k prohloubení deficitu obchodu s produkty zemědělství a myslivosti o 4,3 mld. korun. Přebytek obchodu si udržely počítače, elektronické a optické přístroje, které se v předchozím čtvrtletí vymanily z tradičního deficitu. Za 1. až 3. čtvrtletí se přebytek meziročně zvýšil o 14,7 mld. korun.</w:t>
            </w:r>
          </w:p>
        </w:tc>
      </w:tr>
      <w:tr w:rsidR="00EA3B32" w:rsidRPr="009110F7" w:rsidTr="00EA3B32">
        <w:trPr>
          <w:trHeight w:val="106"/>
        </w:trPr>
        <w:tc>
          <w:tcPr>
            <w:tcW w:w="1888" w:type="dxa"/>
            <w:vMerge w:val="restart"/>
            <w:shd w:val="clear" w:color="auto" w:fill="auto"/>
            <w:tcMar>
              <w:left w:w="0" w:type="dxa"/>
            </w:tcMar>
          </w:tcPr>
          <w:p w:rsidR="00EA3B32" w:rsidRDefault="00EA3B32" w:rsidP="009B05B3">
            <w:pPr>
              <w:pStyle w:val="Marginlie"/>
            </w:pPr>
          </w:p>
        </w:tc>
        <w:tc>
          <w:tcPr>
            <w:tcW w:w="250" w:type="dxa"/>
            <w:vMerge w:val="restart"/>
            <w:shd w:val="clear" w:color="auto" w:fill="auto"/>
            <w:tcMar>
              <w:left w:w="0" w:type="dxa"/>
            </w:tcMar>
          </w:tcPr>
          <w:p w:rsidR="00EA3B32" w:rsidRDefault="00EA3B32" w:rsidP="009B05B3">
            <w:pPr>
              <w:pStyle w:val="Textpoznpodarou"/>
              <w:jc w:val="both"/>
              <w:rPr>
                <w:spacing w:val="-4"/>
              </w:rPr>
            </w:pPr>
          </w:p>
        </w:tc>
        <w:tc>
          <w:tcPr>
            <w:tcW w:w="7501" w:type="dxa"/>
            <w:shd w:val="clear" w:color="auto" w:fill="auto"/>
            <w:tcMar>
              <w:left w:w="0" w:type="dxa"/>
            </w:tcMar>
          </w:tcPr>
          <w:p w:rsidR="00EA3B32" w:rsidRPr="00AF6F98" w:rsidRDefault="00A925B1" w:rsidP="008458BD">
            <w:pPr>
              <w:spacing w:after="0"/>
              <w:rPr>
                <w:spacing w:val="-4"/>
              </w:rPr>
            </w:pPr>
            <w:r>
              <w:rPr>
                <w:rFonts w:cs="Arial"/>
                <w:b/>
                <w:bCs/>
                <w:color w:val="000000"/>
                <w:sz w:val="18"/>
                <w:szCs w:val="18"/>
              </w:rPr>
              <w:t>Graf č. 10</w:t>
            </w:r>
            <w:r w:rsidR="00EA3B32" w:rsidRPr="00631BC9">
              <w:rPr>
                <w:rFonts w:cs="Arial"/>
                <w:b/>
                <w:bCs/>
                <w:color w:val="000000"/>
                <w:sz w:val="18"/>
                <w:szCs w:val="18"/>
              </w:rPr>
              <w:t xml:space="preserve">  </w:t>
            </w:r>
            <w:r w:rsidR="00EA3B32" w:rsidRPr="00631BC9">
              <w:rPr>
                <w:b/>
                <w:spacing w:val="-4"/>
                <w:sz w:val="18"/>
                <w:szCs w:val="18"/>
              </w:rPr>
              <w:t>Bilance zahraničního obchodu* ve statistice zahraničního obchodu (</w:t>
            </w:r>
            <w:r w:rsidR="00EA3B32">
              <w:rPr>
                <w:b/>
                <w:spacing w:val="-4"/>
                <w:sz w:val="18"/>
                <w:szCs w:val="18"/>
              </w:rPr>
              <w:t xml:space="preserve">kumulace </w:t>
            </w:r>
            <w:r w:rsidR="00EA3B32" w:rsidRPr="00631BC9">
              <w:rPr>
                <w:b/>
                <w:spacing w:val="-4"/>
                <w:sz w:val="18"/>
                <w:szCs w:val="18"/>
              </w:rPr>
              <w:t>1.</w:t>
            </w:r>
            <w:r w:rsidR="00EA3B32">
              <w:rPr>
                <w:b/>
                <w:spacing w:val="-4"/>
                <w:sz w:val="18"/>
                <w:szCs w:val="18"/>
              </w:rPr>
              <w:t> až 3. čtvrtletí</w:t>
            </w:r>
            <w:r w:rsidR="00EA3B32" w:rsidRPr="00631BC9">
              <w:rPr>
                <w:b/>
                <w:spacing w:val="-4"/>
                <w:sz w:val="18"/>
                <w:szCs w:val="18"/>
              </w:rPr>
              <w:t>, v mld. korun, vybrané oddíly klasifikace CPA)</w:t>
            </w:r>
          </w:p>
        </w:tc>
      </w:tr>
      <w:tr w:rsidR="00EA3B32" w:rsidRPr="009110F7" w:rsidTr="00EA3B32">
        <w:trPr>
          <w:trHeight w:val="106"/>
        </w:trPr>
        <w:tc>
          <w:tcPr>
            <w:tcW w:w="1888" w:type="dxa"/>
            <w:vMerge/>
            <w:shd w:val="clear" w:color="auto" w:fill="auto"/>
            <w:tcMar>
              <w:left w:w="0" w:type="dxa"/>
            </w:tcMar>
          </w:tcPr>
          <w:p w:rsidR="00EA3B32" w:rsidRDefault="00EA3B32" w:rsidP="009B05B3">
            <w:pPr>
              <w:pStyle w:val="Marginlie"/>
            </w:pPr>
          </w:p>
        </w:tc>
        <w:tc>
          <w:tcPr>
            <w:tcW w:w="250" w:type="dxa"/>
            <w:vMerge/>
            <w:shd w:val="clear" w:color="auto" w:fill="auto"/>
            <w:tcMar>
              <w:left w:w="0" w:type="dxa"/>
            </w:tcMar>
          </w:tcPr>
          <w:p w:rsidR="00EA3B32" w:rsidRDefault="00EA3B32" w:rsidP="009B05B3">
            <w:pPr>
              <w:pStyle w:val="Textpoznpodarou"/>
              <w:jc w:val="both"/>
              <w:rPr>
                <w:spacing w:val="-4"/>
              </w:rPr>
            </w:pPr>
          </w:p>
        </w:tc>
        <w:tc>
          <w:tcPr>
            <w:tcW w:w="7501" w:type="dxa"/>
            <w:shd w:val="clear" w:color="auto" w:fill="auto"/>
            <w:tcMar>
              <w:left w:w="0" w:type="dxa"/>
            </w:tcMar>
          </w:tcPr>
          <w:p w:rsidR="00EA3B32" w:rsidRPr="00AF6F98" w:rsidRDefault="00EA3B32" w:rsidP="008458BD">
            <w:pPr>
              <w:spacing w:after="0"/>
              <w:rPr>
                <w:spacing w:val="-4"/>
              </w:rPr>
            </w:pPr>
            <w:r w:rsidRPr="00110383">
              <w:rPr>
                <w:noProof/>
                <w:spacing w:val="-4"/>
              </w:rPr>
              <w:drawing>
                <wp:inline distT="0" distB="0" distL="0" distR="0">
                  <wp:extent cx="4737600" cy="3553200"/>
                  <wp:effectExtent l="19050" t="0" r="0" b="0"/>
                  <wp:docPr id="2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EA3B32" w:rsidRPr="009110F7" w:rsidTr="00EA3B32">
        <w:trPr>
          <w:trHeight w:val="106"/>
        </w:trPr>
        <w:tc>
          <w:tcPr>
            <w:tcW w:w="1888" w:type="dxa"/>
            <w:vMerge/>
            <w:shd w:val="clear" w:color="auto" w:fill="auto"/>
            <w:tcMar>
              <w:left w:w="0" w:type="dxa"/>
            </w:tcMar>
          </w:tcPr>
          <w:p w:rsidR="00EA3B32" w:rsidRDefault="00EA3B32" w:rsidP="009B05B3">
            <w:pPr>
              <w:pStyle w:val="Marginlie"/>
            </w:pPr>
          </w:p>
        </w:tc>
        <w:tc>
          <w:tcPr>
            <w:tcW w:w="250" w:type="dxa"/>
            <w:vMerge/>
            <w:shd w:val="clear" w:color="auto" w:fill="auto"/>
            <w:tcMar>
              <w:left w:w="0" w:type="dxa"/>
            </w:tcMar>
          </w:tcPr>
          <w:p w:rsidR="00EA3B32" w:rsidRDefault="00EA3B32" w:rsidP="009B05B3">
            <w:pPr>
              <w:pStyle w:val="Textpoznpodarou"/>
              <w:jc w:val="both"/>
              <w:rPr>
                <w:spacing w:val="-4"/>
              </w:rPr>
            </w:pPr>
          </w:p>
        </w:tc>
        <w:tc>
          <w:tcPr>
            <w:tcW w:w="7501" w:type="dxa"/>
            <w:shd w:val="clear" w:color="auto" w:fill="auto"/>
            <w:tcMar>
              <w:left w:w="0" w:type="dxa"/>
            </w:tcMar>
          </w:tcPr>
          <w:p w:rsidR="00EA3B32" w:rsidRDefault="00EA3B32" w:rsidP="008458BD">
            <w:pPr>
              <w:spacing w:after="0"/>
              <w:rPr>
                <w:sz w:val="14"/>
                <w:szCs w:val="14"/>
              </w:rPr>
            </w:pPr>
            <w:r>
              <w:rPr>
                <w:sz w:val="14"/>
                <w:szCs w:val="14"/>
              </w:rPr>
              <w:t>Zdroj: ČSÚ</w:t>
            </w:r>
          </w:p>
          <w:p w:rsidR="00EA3B32" w:rsidRPr="00AF6F98" w:rsidRDefault="00EA3B32" w:rsidP="008458BD">
            <w:pPr>
              <w:rPr>
                <w:spacing w:val="-4"/>
              </w:rPr>
            </w:pPr>
            <w:r>
              <w:rPr>
                <w:sz w:val="14"/>
                <w:szCs w:val="14"/>
              </w:rPr>
              <w:t>*v národním pojetí</w:t>
            </w:r>
          </w:p>
        </w:tc>
      </w:tr>
      <w:tr w:rsidR="00EA3B32" w:rsidRPr="009110F7" w:rsidTr="00EA3B32">
        <w:trPr>
          <w:trHeight w:val="170"/>
        </w:trPr>
        <w:tc>
          <w:tcPr>
            <w:tcW w:w="1888" w:type="dxa"/>
            <w:shd w:val="clear" w:color="auto" w:fill="auto"/>
            <w:tcMar>
              <w:left w:w="0" w:type="dxa"/>
            </w:tcMar>
          </w:tcPr>
          <w:p w:rsidR="00EA3B32" w:rsidRDefault="00140D1A" w:rsidP="009B05B3">
            <w:pPr>
              <w:pStyle w:val="Marginlie"/>
            </w:pPr>
            <w:r>
              <w:t>Přebytek běžného účtu platební bilance se snížil.</w:t>
            </w:r>
          </w:p>
        </w:tc>
        <w:tc>
          <w:tcPr>
            <w:tcW w:w="250" w:type="dxa"/>
            <w:shd w:val="clear" w:color="auto" w:fill="auto"/>
            <w:tcMar>
              <w:left w:w="0" w:type="dxa"/>
            </w:tcMar>
          </w:tcPr>
          <w:p w:rsidR="00EA3B32" w:rsidRDefault="00EA3B32" w:rsidP="009B05B3">
            <w:pPr>
              <w:pStyle w:val="Textpoznpodarou"/>
              <w:jc w:val="both"/>
              <w:rPr>
                <w:spacing w:val="-4"/>
              </w:rPr>
            </w:pPr>
          </w:p>
        </w:tc>
        <w:tc>
          <w:tcPr>
            <w:tcW w:w="7501" w:type="dxa"/>
            <w:shd w:val="clear" w:color="auto" w:fill="auto"/>
            <w:tcMar>
              <w:left w:w="0" w:type="dxa"/>
            </w:tcMar>
          </w:tcPr>
          <w:p w:rsidR="00EA3B32" w:rsidRPr="00AF6F98" w:rsidRDefault="00140D1A" w:rsidP="009B05B3">
            <w:pPr>
              <w:rPr>
                <w:spacing w:val="-4"/>
              </w:rPr>
            </w:pPr>
            <w:r>
              <w:rPr>
                <w:spacing w:val="-4"/>
              </w:rPr>
              <w:t>Z údajů ČNB vyplývá, že přebytek běžného účtu platební bilance od počátku roku dosáhl 19,0 mld. korun a meziročně se značně snížil. Propad je z velké části dán poklesem přebytku obchodu se zbožím a službami. Zvýraznil se i čistý odliv prvotních důchodů. Prohloubil se totiž čistý odliv důchodů z investic (o 14,8 mld.) a zároveň se zmírnil čistý příliv náhrad zaměstnancům (5,3 mld. korun). Na kapitálovém účtu došlo k nárůstu příjmů o 5,1 mld. korun, přírůstek výdajů 17,8 mld. však vedl k propadu salda o 12,7 mld. korun.</w:t>
            </w:r>
          </w:p>
        </w:tc>
      </w:tr>
    </w:tbl>
    <w:p w:rsidR="000D3058" w:rsidRPr="009110F7" w:rsidRDefault="000D3058" w:rsidP="000D3058">
      <w:pPr>
        <w:pStyle w:val="Nadpis11"/>
      </w:pPr>
      <w:bookmarkStart w:id="8" w:name="_Toc511215218"/>
      <w:bookmarkStart w:id="9" w:name="_Toc532558285"/>
      <w:bookmarkEnd w:id="8"/>
      <w:r w:rsidRPr="009110F7">
        <w:lastRenderedPageBreak/>
        <w:t>5. Ceny</w:t>
      </w:r>
      <w:bookmarkEnd w:id="9"/>
    </w:p>
    <w:tbl>
      <w:tblPr>
        <w:tblW w:w="9639" w:type="dxa"/>
        <w:tblInd w:w="-15" w:type="dxa"/>
        <w:tblCellMar>
          <w:left w:w="0" w:type="dxa"/>
          <w:right w:w="0" w:type="dxa"/>
        </w:tblCellMar>
        <w:tblLook w:val="00A0"/>
      </w:tblPr>
      <w:tblGrid>
        <w:gridCol w:w="1877"/>
        <w:gridCol w:w="247"/>
        <w:gridCol w:w="7515"/>
      </w:tblGrid>
      <w:tr w:rsidR="000E440D" w:rsidRPr="009110F7" w:rsidTr="004B305C">
        <w:trPr>
          <w:trHeight w:val="145"/>
        </w:trPr>
        <w:tc>
          <w:tcPr>
            <w:tcW w:w="1888" w:type="dxa"/>
            <w:shd w:val="clear" w:color="auto" w:fill="auto"/>
            <w:tcMar>
              <w:left w:w="0" w:type="dxa"/>
            </w:tcMar>
          </w:tcPr>
          <w:p w:rsidR="000E440D" w:rsidRPr="00793D78" w:rsidRDefault="000E440D" w:rsidP="008458BD">
            <w:pPr>
              <w:pStyle w:val="Marginlie"/>
              <w:rPr>
                <w:spacing w:val="0"/>
              </w:rPr>
            </w:pPr>
            <w:r w:rsidRPr="00793D78">
              <w:rPr>
                <w:spacing w:val="0"/>
              </w:rPr>
              <w:t>Celková cenová hladina rostla.</w:t>
            </w:r>
          </w:p>
        </w:tc>
        <w:tc>
          <w:tcPr>
            <w:tcW w:w="250" w:type="dxa"/>
            <w:shd w:val="clear" w:color="auto" w:fill="auto"/>
            <w:tcMar>
              <w:left w:w="0" w:type="dxa"/>
            </w:tcMar>
          </w:tcPr>
          <w:p w:rsidR="000E440D" w:rsidRPr="00793D78" w:rsidRDefault="000E440D" w:rsidP="008458BD">
            <w:pPr>
              <w:pStyle w:val="Textpoznpodarou1"/>
              <w:jc w:val="both"/>
            </w:pPr>
          </w:p>
        </w:tc>
        <w:tc>
          <w:tcPr>
            <w:tcW w:w="7501" w:type="dxa"/>
            <w:shd w:val="clear" w:color="auto" w:fill="auto"/>
            <w:tcMar>
              <w:left w:w="0" w:type="dxa"/>
            </w:tcMar>
          </w:tcPr>
          <w:p w:rsidR="000E440D" w:rsidRPr="00793D78" w:rsidRDefault="000E440D" w:rsidP="008458BD">
            <w:pPr>
              <w:rPr>
                <w:szCs w:val="20"/>
              </w:rPr>
            </w:pPr>
            <w:r>
              <w:rPr>
                <w:szCs w:val="20"/>
              </w:rPr>
              <w:t>Meziroční růst cenové hladiny (vyjádřený deflátorem HDP) ve 3. čtvrtletí dosáhl 2,2 %. Ke zvýšení přispívaly ceny spotřebního zboží (nárůst o 3,8 %) i kapitálové statky (1,5 %). Do záporných hodnot však spadly směnné relace obchodu se zbožím a službami (98,8 %).</w:t>
            </w:r>
          </w:p>
        </w:tc>
      </w:tr>
      <w:tr w:rsidR="000E440D" w:rsidRPr="009110F7" w:rsidTr="004B305C">
        <w:trPr>
          <w:trHeight w:val="145"/>
        </w:trPr>
        <w:tc>
          <w:tcPr>
            <w:tcW w:w="1888" w:type="dxa"/>
            <w:shd w:val="clear" w:color="auto" w:fill="auto"/>
            <w:tcMar>
              <w:left w:w="0" w:type="dxa"/>
            </w:tcMar>
          </w:tcPr>
          <w:p w:rsidR="000E440D" w:rsidRPr="00793D78" w:rsidRDefault="000E440D" w:rsidP="008458BD">
            <w:pPr>
              <w:pStyle w:val="Marginlie"/>
              <w:rPr>
                <w:spacing w:val="0"/>
              </w:rPr>
            </w:pPr>
            <w:r>
              <w:rPr>
                <w:spacing w:val="0"/>
              </w:rPr>
              <w:t xml:space="preserve">Meziroční růst spotřebitelských cen se udržoval nad 2% hranicí. Klíčový vliv měly ceny bydlení </w:t>
            </w:r>
            <w:r w:rsidR="00086D19">
              <w:rPr>
                <w:spacing w:val="0"/>
              </w:rPr>
              <w:t>a </w:t>
            </w:r>
            <w:r>
              <w:rPr>
                <w:spacing w:val="0"/>
              </w:rPr>
              <w:t>energií a</w:t>
            </w:r>
            <w:r w:rsidR="00571E59">
              <w:rPr>
                <w:spacing w:val="0"/>
              </w:rPr>
              <w:t> </w:t>
            </w:r>
            <w:r>
              <w:rPr>
                <w:spacing w:val="0"/>
              </w:rPr>
              <w:t>dopravy.</w:t>
            </w:r>
          </w:p>
        </w:tc>
        <w:tc>
          <w:tcPr>
            <w:tcW w:w="250" w:type="dxa"/>
            <w:shd w:val="clear" w:color="auto" w:fill="auto"/>
            <w:tcMar>
              <w:left w:w="0" w:type="dxa"/>
            </w:tcMar>
          </w:tcPr>
          <w:p w:rsidR="000E440D" w:rsidRPr="00793D78" w:rsidRDefault="000E440D" w:rsidP="008458BD">
            <w:pPr>
              <w:pStyle w:val="Textpoznpodarou1"/>
              <w:jc w:val="both"/>
              <w:rPr>
                <w:highlight w:val="yellow"/>
              </w:rPr>
            </w:pPr>
          </w:p>
        </w:tc>
        <w:tc>
          <w:tcPr>
            <w:tcW w:w="7501" w:type="dxa"/>
            <w:shd w:val="clear" w:color="auto" w:fill="auto"/>
            <w:tcMar>
              <w:left w:w="0" w:type="dxa"/>
            </w:tcMar>
          </w:tcPr>
          <w:p w:rsidR="000E440D" w:rsidRPr="00793D78" w:rsidRDefault="000E440D" w:rsidP="008458BD">
            <w:pPr>
              <w:rPr>
                <w:highlight w:val="yellow"/>
              </w:rPr>
            </w:pPr>
            <w:r>
              <w:t>Průměrná m</w:t>
            </w:r>
            <w:r w:rsidRPr="00123E0D">
              <w:t>ez</w:t>
            </w:r>
            <w:r>
              <w:t>iroční dynamika indexu spotřebitelských cen ve 3. čtvrtletí dosáhla 2,</w:t>
            </w:r>
            <w:r w:rsidR="00086D19">
              <w:t>4 </w:t>
            </w:r>
            <w:r>
              <w:t>%. Došlo tedy k malému zrychlení oproti 2. čtvrtletí. Průměrné meziroční tempo od začátku roku činilo 2,2 %. Nejvýrazněji k růstu cen ve 3. čtvrtletí přispívalo bydlení a energie (0,8 p. b.), kde pokračovalo zrychlování meziroční dynamiky. Výrazně posílila role cen dopravy, které k celkovému nárůstu přispěly 0,5 p. b. Ceny alkoholických nápojů a tabáku přidaly k celkovému růstu 0,3 p. b. V letním období se typicky oživil růst cen rekreace a kultury, které přispěly 0,2 p. b., stejně jako stravování a ubytování. Naopak příspěvek cen potravin, které významně ovlivňovaly cenovou hladinu loni a v letošním 1. pololetí, se zredukoval na 0,1 p. b.</w:t>
            </w:r>
          </w:p>
        </w:tc>
      </w:tr>
      <w:tr w:rsidR="000E440D" w:rsidRPr="009110F7" w:rsidTr="004B305C">
        <w:trPr>
          <w:trHeight w:val="170"/>
        </w:trPr>
        <w:tc>
          <w:tcPr>
            <w:tcW w:w="1888" w:type="dxa"/>
            <w:vMerge w:val="restart"/>
            <w:shd w:val="clear" w:color="auto" w:fill="auto"/>
            <w:tcMar>
              <w:left w:w="0" w:type="dxa"/>
            </w:tcMar>
          </w:tcPr>
          <w:p w:rsidR="000E440D" w:rsidRPr="00793D78" w:rsidRDefault="000E440D" w:rsidP="008458BD">
            <w:pPr>
              <w:pStyle w:val="Marginlie"/>
              <w:rPr>
                <w:spacing w:val="0"/>
              </w:rPr>
            </w:pPr>
          </w:p>
        </w:tc>
        <w:tc>
          <w:tcPr>
            <w:tcW w:w="250" w:type="dxa"/>
            <w:vMerge w:val="restart"/>
            <w:shd w:val="clear" w:color="auto" w:fill="auto"/>
            <w:tcMar>
              <w:left w:w="0" w:type="dxa"/>
            </w:tcMar>
          </w:tcPr>
          <w:p w:rsidR="000E440D" w:rsidRPr="00793D78" w:rsidRDefault="000E440D" w:rsidP="008458BD">
            <w:pPr>
              <w:pStyle w:val="Textpoznpodarou1"/>
              <w:jc w:val="both"/>
            </w:pPr>
          </w:p>
        </w:tc>
        <w:tc>
          <w:tcPr>
            <w:tcW w:w="7501" w:type="dxa"/>
            <w:shd w:val="clear" w:color="auto" w:fill="auto"/>
            <w:tcMar>
              <w:left w:w="0" w:type="dxa"/>
            </w:tcMar>
          </w:tcPr>
          <w:p w:rsidR="000E440D" w:rsidRPr="00793D78" w:rsidRDefault="000E440D" w:rsidP="008458BD">
            <w:pPr>
              <w:spacing w:after="0"/>
              <w:rPr>
                <w:b/>
              </w:rPr>
            </w:pPr>
            <w:r w:rsidRPr="00793D78">
              <w:rPr>
                <w:rFonts w:cs="Arial"/>
                <w:b/>
                <w:bCs/>
                <w:color w:val="000000"/>
                <w:sz w:val="18"/>
                <w:szCs w:val="18"/>
              </w:rPr>
              <w:t>Graf č. 1</w:t>
            </w:r>
            <w:r w:rsidR="00A925B1">
              <w:rPr>
                <w:rFonts w:cs="Arial"/>
                <w:b/>
                <w:bCs/>
                <w:color w:val="000000"/>
                <w:sz w:val="18"/>
                <w:szCs w:val="18"/>
              </w:rPr>
              <w:t>1</w:t>
            </w:r>
            <w:r w:rsidRPr="00793D78">
              <w:rPr>
                <w:rFonts w:cs="Arial"/>
                <w:b/>
                <w:bCs/>
                <w:color w:val="000000"/>
                <w:sz w:val="18"/>
                <w:szCs w:val="18"/>
              </w:rPr>
              <w:t xml:space="preserve">  Ceny ve vybraných oddílech indexu spotřebitelských cen</w:t>
            </w:r>
            <w:r w:rsidRPr="00793D78">
              <w:rPr>
                <w:rFonts w:cs="Arial"/>
                <w:b/>
                <w:color w:val="000000"/>
                <w:sz w:val="18"/>
                <w:szCs w:val="18"/>
              </w:rPr>
              <w:t xml:space="preserve"> (y/y v</w:t>
            </w:r>
            <w:r>
              <w:rPr>
                <w:rFonts w:cs="Arial"/>
                <w:b/>
                <w:color w:val="000000"/>
                <w:sz w:val="18"/>
                <w:szCs w:val="18"/>
              </w:rPr>
              <w:t> %</w:t>
            </w:r>
            <w:r w:rsidRPr="00793D78">
              <w:rPr>
                <w:rFonts w:cs="Arial"/>
                <w:b/>
                <w:color w:val="000000"/>
                <w:sz w:val="18"/>
                <w:szCs w:val="18"/>
              </w:rPr>
              <w:t>)</w:t>
            </w:r>
          </w:p>
        </w:tc>
      </w:tr>
      <w:tr w:rsidR="000E440D" w:rsidRPr="009110F7" w:rsidTr="004B305C">
        <w:trPr>
          <w:trHeight w:val="170"/>
        </w:trPr>
        <w:tc>
          <w:tcPr>
            <w:tcW w:w="1888" w:type="dxa"/>
            <w:vMerge/>
            <w:shd w:val="clear" w:color="auto" w:fill="auto"/>
            <w:tcMar>
              <w:left w:w="0" w:type="dxa"/>
            </w:tcMar>
          </w:tcPr>
          <w:p w:rsidR="000E440D" w:rsidRPr="00793D78" w:rsidRDefault="000E440D" w:rsidP="00965797">
            <w:pPr>
              <w:pStyle w:val="Marginlie"/>
              <w:rPr>
                <w:spacing w:val="0"/>
              </w:rPr>
            </w:pPr>
          </w:p>
        </w:tc>
        <w:tc>
          <w:tcPr>
            <w:tcW w:w="250" w:type="dxa"/>
            <w:vMerge/>
            <w:shd w:val="clear" w:color="auto" w:fill="auto"/>
            <w:tcMar>
              <w:left w:w="0" w:type="dxa"/>
            </w:tcMar>
          </w:tcPr>
          <w:p w:rsidR="000E440D" w:rsidRPr="00793D78" w:rsidRDefault="000E440D" w:rsidP="00965797">
            <w:pPr>
              <w:pStyle w:val="Textpoznpodarou"/>
              <w:jc w:val="both"/>
            </w:pPr>
          </w:p>
        </w:tc>
        <w:tc>
          <w:tcPr>
            <w:tcW w:w="7501" w:type="dxa"/>
            <w:shd w:val="clear" w:color="auto" w:fill="auto"/>
            <w:tcMar>
              <w:left w:w="0" w:type="dxa"/>
            </w:tcMar>
          </w:tcPr>
          <w:p w:rsidR="000E440D" w:rsidRPr="00793D78" w:rsidRDefault="000E440D" w:rsidP="00965797">
            <w:pPr>
              <w:spacing w:after="0"/>
            </w:pPr>
            <w:r w:rsidRPr="00E850B7">
              <w:rPr>
                <w:noProof/>
              </w:rPr>
              <w:drawing>
                <wp:inline distT="0" distB="0" distL="0" distR="0">
                  <wp:extent cx="4737600" cy="3553200"/>
                  <wp:effectExtent l="0" t="0" r="0" b="0"/>
                  <wp:docPr id="2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E440D" w:rsidRPr="009110F7" w:rsidTr="004B305C">
        <w:trPr>
          <w:trHeight w:val="170"/>
        </w:trPr>
        <w:tc>
          <w:tcPr>
            <w:tcW w:w="1888" w:type="dxa"/>
            <w:vMerge/>
            <w:shd w:val="clear" w:color="auto" w:fill="auto"/>
            <w:tcMar>
              <w:left w:w="0" w:type="dxa"/>
            </w:tcMar>
          </w:tcPr>
          <w:p w:rsidR="000E440D" w:rsidRPr="00793D78" w:rsidRDefault="000E440D" w:rsidP="00965797">
            <w:pPr>
              <w:pStyle w:val="Marginlie"/>
              <w:rPr>
                <w:spacing w:val="0"/>
              </w:rPr>
            </w:pPr>
          </w:p>
        </w:tc>
        <w:tc>
          <w:tcPr>
            <w:tcW w:w="250" w:type="dxa"/>
            <w:vMerge/>
            <w:shd w:val="clear" w:color="auto" w:fill="auto"/>
            <w:tcMar>
              <w:left w:w="0" w:type="dxa"/>
            </w:tcMar>
          </w:tcPr>
          <w:p w:rsidR="000E440D" w:rsidRPr="00793D78" w:rsidRDefault="000E440D" w:rsidP="00965797">
            <w:pPr>
              <w:pStyle w:val="Textpoznpodarou"/>
              <w:jc w:val="both"/>
            </w:pPr>
          </w:p>
        </w:tc>
        <w:tc>
          <w:tcPr>
            <w:tcW w:w="7501" w:type="dxa"/>
            <w:shd w:val="clear" w:color="auto" w:fill="auto"/>
            <w:tcMar>
              <w:left w:w="0" w:type="dxa"/>
            </w:tcMar>
          </w:tcPr>
          <w:p w:rsidR="000E440D" w:rsidRPr="00793D78" w:rsidRDefault="000E440D" w:rsidP="00965797">
            <w:pPr>
              <w:rPr>
                <w:sz w:val="14"/>
                <w:szCs w:val="14"/>
              </w:rPr>
            </w:pPr>
            <w:r w:rsidRPr="00793D78">
              <w:rPr>
                <w:sz w:val="14"/>
                <w:szCs w:val="14"/>
              </w:rPr>
              <w:t>Zdroj: ČSÚ</w:t>
            </w:r>
          </w:p>
        </w:tc>
      </w:tr>
      <w:tr w:rsidR="000E440D" w:rsidRPr="009110F7" w:rsidTr="004B305C">
        <w:trPr>
          <w:trHeight w:val="145"/>
        </w:trPr>
        <w:tc>
          <w:tcPr>
            <w:tcW w:w="1888" w:type="dxa"/>
            <w:shd w:val="clear" w:color="auto" w:fill="auto"/>
            <w:tcMar>
              <w:left w:w="0" w:type="dxa"/>
            </w:tcMar>
          </w:tcPr>
          <w:p w:rsidR="000E440D" w:rsidRPr="00793D78" w:rsidRDefault="000E440D" w:rsidP="008458BD">
            <w:pPr>
              <w:pStyle w:val="Marginlie"/>
              <w:rPr>
                <w:spacing w:val="0"/>
              </w:rPr>
            </w:pPr>
            <w:r>
              <w:rPr>
                <w:spacing w:val="0"/>
              </w:rPr>
              <w:t>Ceny bydlení a energií posouvalo vzhůru rostoucí nájemné i zdražující elektřina.</w:t>
            </w:r>
          </w:p>
        </w:tc>
        <w:tc>
          <w:tcPr>
            <w:tcW w:w="250" w:type="dxa"/>
            <w:shd w:val="clear" w:color="auto" w:fill="auto"/>
            <w:tcMar>
              <w:left w:w="0" w:type="dxa"/>
            </w:tcMar>
          </w:tcPr>
          <w:p w:rsidR="000E440D" w:rsidRPr="00793D78" w:rsidRDefault="000E440D" w:rsidP="008458BD">
            <w:pPr>
              <w:pStyle w:val="Textpoznpodarou1"/>
              <w:jc w:val="both"/>
              <w:rPr>
                <w:highlight w:val="yellow"/>
              </w:rPr>
            </w:pPr>
          </w:p>
        </w:tc>
        <w:tc>
          <w:tcPr>
            <w:tcW w:w="7501" w:type="dxa"/>
            <w:shd w:val="clear" w:color="auto" w:fill="auto"/>
            <w:tcMar>
              <w:left w:w="0" w:type="dxa"/>
            </w:tcMar>
          </w:tcPr>
          <w:p w:rsidR="000E440D" w:rsidRPr="00793D78" w:rsidRDefault="000E440D" w:rsidP="0007512B">
            <w:pPr>
              <w:rPr>
                <w:highlight w:val="yellow"/>
              </w:rPr>
            </w:pPr>
            <w:r w:rsidRPr="004D53B5">
              <w:t>Ceny bydlení, vody, energií a paliv</w:t>
            </w:r>
            <w:r>
              <w:t xml:space="preserve"> ve 3. čtvrtletí meziročně vzrostly o 3,2 %. Situace na trhu s nemovitostmi se ve výsledku promítla i do spotřebitelských cen. Znovu tak akceleroval meziroční růst cen nájemného z bytů (na 3,4 %) i imputovaného nájemného (4,0 %). Nejvýrazněji však zrychlil růst cen elektřiny a ostatních energií (z</w:t>
            </w:r>
            <w:r w:rsidR="0007512B">
              <w:t> </w:t>
            </w:r>
            <w:r>
              <w:t>1,7 % na 2,6 %). Výrazný nárůst tržních cen elektřiny se totiž projevil i na účtech domácností. Ceny běžné údržby a drobných oprav se meziročně zvýšily o 3,9 %.</w:t>
            </w:r>
          </w:p>
        </w:tc>
      </w:tr>
      <w:tr w:rsidR="000E440D" w:rsidRPr="009110F7" w:rsidTr="004B305C">
        <w:trPr>
          <w:trHeight w:val="145"/>
        </w:trPr>
        <w:tc>
          <w:tcPr>
            <w:tcW w:w="1888" w:type="dxa"/>
            <w:shd w:val="clear" w:color="auto" w:fill="auto"/>
            <w:tcMar>
              <w:left w:w="0" w:type="dxa"/>
            </w:tcMar>
          </w:tcPr>
          <w:p w:rsidR="000E440D" w:rsidRPr="00793D78" w:rsidRDefault="00140D1A" w:rsidP="008458BD">
            <w:pPr>
              <w:pStyle w:val="Marginlie"/>
              <w:rPr>
                <w:spacing w:val="0"/>
              </w:rPr>
            </w:pPr>
            <w:r>
              <w:rPr>
                <w:spacing w:val="0"/>
              </w:rPr>
              <w:t>Ceny bytů stále rostly silným tempem.</w:t>
            </w:r>
          </w:p>
        </w:tc>
        <w:tc>
          <w:tcPr>
            <w:tcW w:w="250" w:type="dxa"/>
            <w:shd w:val="clear" w:color="auto" w:fill="auto"/>
            <w:tcMar>
              <w:left w:w="0" w:type="dxa"/>
            </w:tcMar>
          </w:tcPr>
          <w:p w:rsidR="000E440D" w:rsidRPr="00793D78" w:rsidRDefault="000E440D" w:rsidP="008458BD">
            <w:pPr>
              <w:pStyle w:val="Textpoznpodarou1"/>
              <w:jc w:val="both"/>
            </w:pPr>
          </w:p>
        </w:tc>
        <w:tc>
          <w:tcPr>
            <w:tcW w:w="7501" w:type="dxa"/>
            <w:shd w:val="clear" w:color="auto" w:fill="auto"/>
            <w:tcMar>
              <w:left w:w="0" w:type="dxa"/>
            </w:tcMar>
          </w:tcPr>
          <w:p w:rsidR="006C683C" w:rsidRPr="00793D78" w:rsidRDefault="00140D1A" w:rsidP="00140D1A">
            <w:pPr>
              <w:spacing w:after="0"/>
            </w:pPr>
            <w:r>
              <w:t>Ceny bytů si většinou udržely silnou meziroční dynamiku, která však v porovnání s loňským rokem byla mírnější. Index nabídkových cen bytů v ČR se ve 3. čtvrtletí meziročně zvýšil o 9,5 % (v Praze o 10,7 %). Index realizovaných cen starších bytů v celé ekonomice meziročně vzrostl o 9,0 %. Pražský index rostl výrazně pomaleji (5,1 %). Index realizovaných cen nových bytů v Praze po mírném zpomalení na přelomu let 2017 a 2018 opět roste dvouciferným tempem (16,8 %).</w:t>
            </w:r>
          </w:p>
        </w:tc>
      </w:tr>
      <w:tr w:rsidR="000E440D" w:rsidRPr="009110F7" w:rsidTr="004B305C">
        <w:trPr>
          <w:trHeight w:val="170"/>
        </w:trPr>
        <w:tc>
          <w:tcPr>
            <w:tcW w:w="1888" w:type="dxa"/>
            <w:vMerge w:val="restart"/>
            <w:shd w:val="clear" w:color="auto" w:fill="auto"/>
            <w:tcMar>
              <w:left w:w="0" w:type="dxa"/>
            </w:tcMar>
          </w:tcPr>
          <w:p w:rsidR="000E440D" w:rsidRPr="00793D78" w:rsidRDefault="000E440D" w:rsidP="008458BD">
            <w:pPr>
              <w:pStyle w:val="Marginlie"/>
              <w:rPr>
                <w:spacing w:val="0"/>
              </w:rPr>
            </w:pPr>
          </w:p>
        </w:tc>
        <w:tc>
          <w:tcPr>
            <w:tcW w:w="250" w:type="dxa"/>
            <w:vMerge w:val="restart"/>
            <w:shd w:val="clear" w:color="auto" w:fill="auto"/>
            <w:tcMar>
              <w:left w:w="0" w:type="dxa"/>
            </w:tcMar>
          </w:tcPr>
          <w:p w:rsidR="000E440D" w:rsidRPr="00793D78" w:rsidRDefault="000E440D" w:rsidP="008458BD">
            <w:pPr>
              <w:pStyle w:val="Textpoznpodarou1"/>
              <w:jc w:val="both"/>
            </w:pPr>
          </w:p>
        </w:tc>
        <w:tc>
          <w:tcPr>
            <w:tcW w:w="7501" w:type="dxa"/>
            <w:shd w:val="clear" w:color="auto" w:fill="auto"/>
            <w:tcMar>
              <w:left w:w="0" w:type="dxa"/>
            </w:tcMar>
          </w:tcPr>
          <w:p w:rsidR="000E440D" w:rsidRPr="00793D78" w:rsidRDefault="00A925B1" w:rsidP="008458BD">
            <w:pPr>
              <w:spacing w:after="0"/>
              <w:rPr>
                <w:b/>
                <w:sz w:val="18"/>
                <w:szCs w:val="18"/>
              </w:rPr>
            </w:pPr>
            <w:r>
              <w:rPr>
                <w:b/>
                <w:sz w:val="18"/>
                <w:szCs w:val="18"/>
                <w:lang w:eastAsia="en-US"/>
              </w:rPr>
              <w:t>Graf č. 12</w:t>
            </w:r>
            <w:r w:rsidR="000E440D" w:rsidRPr="00793D78">
              <w:rPr>
                <w:b/>
                <w:sz w:val="18"/>
                <w:szCs w:val="18"/>
                <w:lang w:eastAsia="en-US"/>
              </w:rPr>
              <w:t xml:space="preserve">  Ceny nemovitostí (meziroční změna, v</w:t>
            </w:r>
            <w:r w:rsidR="000E440D">
              <w:rPr>
                <w:b/>
                <w:sz w:val="18"/>
                <w:szCs w:val="18"/>
                <w:lang w:eastAsia="en-US"/>
              </w:rPr>
              <w:t> %</w:t>
            </w:r>
            <w:r w:rsidR="000E440D" w:rsidRPr="00793D78">
              <w:rPr>
                <w:b/>
                <w:sz w:val="18"/>
                <w:szCs w:val="18"/>
                <w:lang w:eastAsia="en-US"/>
              </w:rPr>
              <w:t>)</w:t>
            </w:r>
          </w:p>
        </w:tc>
      </w:tr>
      <w:tr w:rsidR="000E440D" w:rsidRPr="009110F7" w:rsidTr="004B305C">
        <w:trPr>
          <w:trHeight w:val="170"/>
        </w:trPr>
        <w:tc>
          <w:tcPr>
            <w:tcW w:w="1888" w:type="dxa"/>
            <w:vMerge/>
            <w:shd w:val="clear" w:color="auto" w:fill="auto"/>
            <w:tcMar>
              <w:left w:w="0" w:type="dxa"/>
            </w:tcMar>
          </w:tcPr>
          <w:p w:rsidR="000E440D" w:rsidRPr="00793D78" w:rsidRDefault="000E440D" w:rsidP="00965797">
            <w:pPr>
              <w:pStyle w:val="Marginlie"/>
              <w:rPr>
                <w:spacing w:val="0"/>
              </w:rPr>
            </w:pPr>
          </w:p>
        </w:tc>
        <w:tc>
          <w:tcPr>
            <w:tcW w:w="250" w:type="dxa"/>
            <w:vMerge/>
            <w:shd w:val="clear" w:color="auto" w:fill="auto"/>
            <w:tcMar>
              <w:left w:w="0" w:type="dxa"/>
            </w:tcMar>
          </w:tcPr>
          <w:p w:rsidR="000E440D" w:rsidRPr="00793D78" w:rsidRDefault="000E440D" w:rsidP="00965797">
            <w:pPr>
              <w:pStyle w:val="Textpoznpodarou"/>
              <w:jc w:val="both"/>
            </w:pPr>
          </w:p>
        </w:tc>
        <w:tc>
          <w:tcPr>
            <w:tcW w:w="7501" w:type="dxa"/>
            <w:shd w:val="clear" w:color="auto" w:fill="auto"/>
            <w:tcMar>
              <w:left w:w="0" w:type="dxa"/>
            </w:tcMar>
          </w:tcPr>
          <w:p w:rsidR="000E440D" w:rsidRPr="00793D78" w:rsidRDefault="00140D1A" w:rsidP="00965797">
            <w:pPr>
              <w:spacing w:after="0"/>
            </w:pPr>
            <w:r w:rsidRPr="00140D1A">
              <w:rPr>
                <w:noProof/>
              </w:rPr>
              <w:drawing>
                <wp:inline distT="0" distB="0" distL="0" distR="0">
                  <wp:extent cx="4737600" cy="3553200"/>
                  <wp:effectExtent l="1905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0E440D" w:rsidRPr="009110F7" w:rsidTr="004B305C">
        <w:trPr>
          <w:trHeight w:val="170"/>
        </w:trPr>
        <w:tc>
          <w:tcPr>
            <w:tcW w:w="1888" w:type="dxa"/>
            <w:vMerge/>
            <w:shd w:val="clear" w:color="auto" w:fill="auto"/>
            <w:tcMar>
              <w:left w:w="0" w:type="dxa"/>
            </w:tcMar>
          </w:tcPr>
          <w:p w:rsidR="000E440D" w:rsidRPr="00793D78" w:rsidRDefault="000E440D" w:rsidP="00965797">
            <w:pPr>
              <w:pStyle w:val="Marginlie"/>
              <w:rPr>
                <w:spacing w:val="0"/>
              </w:rPr>
            </w:pPr>
          </w:p>
        </w:tc>
        <w:tc>
          <w:tcPr>
            <w:tcW w:w="250" w:type="dxa"/>
            <w:vMerge/>
            <w:shd w:val="clear" w:color="auto" w:fill="auto"/>
            <w:tcMar>
              <w:left w:w="0" w:type="dxa"/>
            </w:tcMar>
          </w:tcPr>
          <w:p w:rsidR="000E440D" w:rsidRPr="00793D78" w:rsidRDefault="000E440D" w:rsidP="00965797">
            <w:pPr>
              <w:pStyle w:val="Textpoznpodarou"/>
              <w:jc w:val="both"/>
            </w:pPr>
          </w:p>
        </w:tc>
        <w:tc>
          <w:tcPr>
            <w:tcW w:w="7501" w:type="dxa"/>
            <w:shd w:val="clear" w:color="auto" w:fill="auto"/>
            <w:tcMar>
              <w:left w:w="0" w:type="dxa"/>
            </w:tcMar>
          </w:tcPr>
          <w:p w:rsidR="000E440D" w:rsidRPr="00793D78" w:rsidRDefault="000E440D" w:rsidP="00965797">
            <w:pPr>
              <w:rPr>
                <w:sz w:val="14"/>
                <w:szCs w:val="14"/>
              </w:rPr>
            </w:pPr>
            <w:r w:rsidRPr="00793D78">
              <w:rPr>
                <w:sz w:val="14"/>
                <w:szCs w:val="14"/>
              </w:rPr>
              <w:t>Zdroj: ČSÚ</w:t>
            </w:r>
          </w:p>
        </w:tc>
      </w:tr>
      <w:tr w:rsidR="000E440D" w:rsidRPr="009110F7" w:rsidTr="004B305C">
        <w:trPr>
          <w:trHeight w:val="145"/>
        </w:trPr>
        <w:tc>
          <w:tcPr>
            <w:tcW w:w="1888" w:type="dxa"/>
            <w:shd w:val="clear" w:color="auto" w:fill="auto"/>
            <w:tcMar>
              <w:left w:w="0" w:type="dxa"/>
            </w:tcMar>
          </w:tcPr>
          <w:p w:rsidR="000E440D" w:rsidRPr="00793D78" w:rsidRDefault="000E440D" w:rsidP="008458BD">
            <w:pPr>
              <w:pStyle w:val="Marginlie"/>
              <w:rPr>
                <w:spacing w:val="0"/>
              </w:rPr>
            </w:pPr>
            <w:r>
              <w:rPr>
                <w:spacing w:val="0"/>
              </w:rPr>
              <w:t>Rostoucí ceny ropy tlačily vzhůru ceny dopravy.</w:t>
            </w:r>
          </w:p>
        </w:tc>
        <w:tc>
          <w:tcPr>
            <w:tcW w:w="250" w:type="dxa"/>
            <w:shd w:val="clear" w:color="auto" w:fill="auto"/>
            <w:tcMar>
              <w:left w:w="0" w:type="dxa"/>
            </w:tcMar>
          </w:tcPr>
          <w:p w:rsidR="000E440D" w:rsidRPr="00793D78" w:rsidRDefault="000E440D" w:rsidP="008458BD">
            <w:pPr>
              <w:pStyle w:val="Textpoznpodarou1"/>
              <w:jc w:val="both"/>
            </w:pPr>
          </w:p>
        </w:tc>
        <w:tc>
          <w:tcPr>
            <w:tcW w:w="7501" w:type="dxa"/>
            <w:shd w:val="clear" w:color="auto" w:fill="auto"/>
            <w:tcMar>
              <w:left w:w="0" w:type="dxa"/>
            </w:tcMar>
          </w:tcPr>
          <w:p w:rsidR="000E440D" w:rsidRPr="00793D78" w:rsidRDefault="000E440D" w:rsidP="00CC6FE5">
            <w:r>
              <w:t xml:space="preserve">Ceny dopravy ve 3. čtvrtletí meziročně vzrostly o 4,5 %, nejvíce od počátku roku 2017. Samotná cenová hladina se u dopravy navýšila především meziměsíčními nárůsty v květnu a červnu. Ve 3. čtvrtletí index v průměru meziměsíčně </w:t>
            </w:r>
            <w:r w:rsidR="00CC6FE5">
              <w:t>klesal o 0,4 %</w:t>
            </w:r>
            <w:r>
              <w:t xml:space="preserve">. Výrazný meziroční rozdíl byl způsoben zejména nízkou základnou minulého roku, </w:t>
            </w:r>
            <w:r w:rsidR="000073A0">
              <w:t>a </w:t>
            </w:r>
            <w:r>
              <w:t>to hlavně u cen provozu osobních dopravních prostředků. Ty ve 3. čtvrtletí meziročně vzrostly o 9,3 %. Jasným důvodem byl pokračující růst cen ropy. Průměrná cena za barel ropy Brent v letošním září byla nejvyšší od listopadu 2014</w:t>
            </w:r>
            <w:r>
              <w:rPr>
                <w:rStyle w:val="Znakapoznpodarou"/>
              </w:rPr>
              <w:footnoteReference w:id="33"/>
            </w:r>
            <w:r>
              <w:t xml:space="preserve">. Naopak zmírnilo meziroční tempo růstu cen nákupů osobních dopravních prostředků (na 1,6 %). Jde o projev snahy prodat co nejvíce vozů, které nesplňovaly nejnovější emisní homologaci, </w:t>
            </w:r>
            <w:r w:rsidR="00AB5CA1">
              <w:t xml:space="preserve">jež </w:t>
            </w:r>
            <w:r>
              <w:t>vstoupila v platnost na začátku září (v srpnu se tak ceny meziměsíčně snížily). Meziročně klesly ceny dopravních služeb o 1,8 % (zde se projevilo zavedení slev v dopravě pro studenty a seniory).</w:t>
            </w:r>
          </w:p>
        </w:tc>
      </w:tr>
      <w:tr w:rsidR="000E440D" w:rsidRPr="009110F7" w:rsidTr="004B305C">
        <w:trPr>
          <w:trHeight w:val="145"/>
        </w:trPr>
        <w:tc>
          <w:tcPr>
            <w:tcW w:w="1888" w:type="dxa"/>
            <w:shd w:val="clear" w:color="auto" w:fill="auto"/>
            <w:tcMar>
              <w:left w:w="0" w:type="dxa"/>
            </w:tcMar>
          </w:tcPr>
          <w:p w:rsidR="000E440D" w:rsidRPr="00793D78" w:rsidRDefault="000E440D" w:rsidP="008458BD">
            <w:pPr>
              <w:pStyle w:val="Marginlie"/>
              <w:rPr>
                <w:spacing w:val="0"/>
              </w:rPr>
            </w:pPr>
            <w:r>
              <w:rPr>
                <w:spacing w:val="0"/>
              </w:rPr>
              <w:t>Meziroční růst cen potravin výrazně zmírnil.</w:t>
            </w:r>
          </w:p>
        </w:tc>
        <w:tc>
          <w:tcPr>
            <w:tcW w:w="250" w:type="dxa"/>
            <w:shd w:val="clear" w:color="auto" w:fill="auto"/>
            <w:tcMar>
              <w:left w:w="0" w:type="dxa"/>
            </w:tcMar>
          </w:tcPr>
          <w:p w:rsidR="000E440D" w:rsidRPr="00793D78" w:rsidRDefault="000E440D" w:rsidP="008458BD">
            <w:pPr>
              <w:pStyle w:val="Textpoznpodarou1"/>
              <w:jc w:val="both"/>
            </w:pPr>
          </w:p>
        </w:tc>
        <w:tc>
          <w:tcPr>
            <w:tcW w:w="7501" w:type="dxa"/>
            <w:shd w:val="clear" w:color="auto" w:fill="auto"/>
            <w:tcMar>
              <w:left w:w="0" w:type="dxa"/>
            </w:tcMar>
          </w:tcPr>
          <w:p w:rsidR="000E440D" w:rsidRPr="00793D78" w:rsidRDefault="000E440D" w:rsidP="00CC6FE5">
            <w:r>
              <w:t xml:space="preserve">Meziroční růst cen potravin ve 3. čtvrtletí klesl na 0,6 %. Projevil se vliv velmi vysoké základny minulého roku, který byl patrný napříč téměř všemi třídami klasifikace individuální spotřeby. Na nulu zpomalil meziroční růst cen masa, na 3,1 % zpomalil růst cen mléka, sýrů a vajec. Do poklesu se dostaly ceny pekárenských výrobků </w:t>
            </w:r>
            <w:r w:rsidR="007C1F0C">
              <w:t>a </w:t>
            </w:r>
            <w:r>
              <w:t xml:space="preserve">obilovin </w:t>
            </w:r>
            <w:r w:rsidR="007C1F0C">
              <w:t>(–</w:t>
            </w:r>
            <w:r>
              <w:t>0,9 %). Ceny alkoholických nápojů a tabáku také zpomalily růst ve 3</w:t>
            </w:r>
            <w:r w:rsidR="007C1F0C">
              <w:t>. </w:t>
            </w:r>
            <w:r>
              <w:t>čtvrtletí (2,8 %). Oživení cenového růstu, které zde tradičně souvisí s letním obdobím, potkalo ceny rekreac</w:t>
            </w:r>
            <w:r w:rsidR="00CC6FE5">
              <w:t>í</w:t>
            </w:r>
            <w:r>
              <w:t xml:space="preserve"> a kultury (2,2 %). Hlavní vliv měly dovolené s komplexními službami, jejichž ceny se ve 3. čtvrtletí zvýšily o 9,7 %. Stabilní meziroční růst od začátku roku provází ceny stravování a ubytování. Ve 3. čtvrtletí to bylo 3,5 %. </w:t>
            </w:r>
          </w:p>
        </w:tc>
      </w:tr>
      <w:tr w:rsidR="000E440D" w:rsidRPr="009110F7" w:rsidTr="004B305C">
        <w:trPr>
          <w:trHeight w:val="170"/>
        </w:trPr>
        <w:tc>
          <w:tcPr>
            <w:tcW w:w="1888" w:type="dxa"/>
            <w:vMerge w:val="restart"/>
            <w:shd w:val="clear" w:color="auto" w:fill="auto"/>
            <w:tcMar>
              <w:left w:w="0" w:type="dxa"/>
            </w:tcMar>
          </w:tcPr>
          <w:p w:rsidR="000E440D" w:rsidRPr="00793D78" w:rsidRDefault="000E440D" w:rsidP="008458BD">
            <w:pPr>
              <w:pStyle w:val="Marginlie"/>
              <w:rPr>
                <w:spacing w:val="0"/>
              </w:rPr>
            </w:pPr>
            <w:r>
              <w:rPr>
                <w:spacing w:val="0"/>
              </w:rPr>
              <w:t>Růst spotřebitelských cen v EU zrychlil.</w:t>
            </w:r>
          </w:p>
          <w:p w:rsidR="000E440D" w:rsidRPr="00793D78" w:rsidRDefault="000E440D" w:rsidP="008458BD">
            <w:pPr>
              <w:pStyle w:val="Marginlie"/>
              <w:rPr>
                <w:spacing w:val="0"/>
              </w:rPr>
            </w:pPr>
          </w:p>
        </w:tc>
        <w:tc>
          <w:tcPr>
            <w:tcW w:w="250" w:type="dxa"/>
            <w:vMerge w:val="restart"/>
            <w:shd w:val="clear" w:color="auto" w:fill="auto"/>
            <w:tcMar>
              <w:left w:w="0" w:type="dxa"/>
            </w:tcMar>
          </w:tcPr>
          <w:p w:rsidR="000E440D" w:rsidRPr="00793D78" w:rsidRDefault="000E440D" w:rsidP="008458BD">
            <w:pPr>
              <w:pStyle w:val="Textpoznpodarou1"/>
              <w:jc w:val="both"/>
            </w:pPr>
          </w:p>
          <w:p w:rsidR="000E440D" w:rsidRPr="00793D78" w:rsidRDefault="000E440D" w:rsidP="008458BD">
            <w:pPr>
              <w:pStyle w:val="Textpoznpodarou1"/>
              <w:jc w:val="both"/>
            </w:pPr>
          </w:p>
        </w:tc>
        <w:tc>
          <w:tcPr>
            <w:tcW w:w="7501" w:type="dxa"/>
            <w:shd w:val="clear" w:color="auto" w:fill="auto"/>
            <w:tcMar>
              <w:left w:w="0" w:type="dxa"/>
            </w:tcMar>
          </w:tcPr>
          <w:p w:rsidR="000E440D" w:rsidRPr="00793D78" w:rsidRDefault="000E440D" w:rsidP="00CC6FE5">
            <w:r>
              <w:t xml:space="preserve">Spotřebitelské ceny v Evropské unii se ve 3. čtvrtletí meziročně zvýšily o 2,2 %. Meziroční dynamika v Unii tak od začátku roku zrychlovala. Vliv měly zejména ceny dopravy, které vzhůru posouvaly rostoucí ceny ropy. Nejvíce vzrostla spotřebitelská </w:t>
            </w:r>
            <w:r>
              <w:lastRenderedPageBreak/>
              <w:t>cenová hladina v Rumunsku (4,6 %)</w:t>
            </w:r>
            <w:r w:rsidR="00CC6FE5">
              <w:t xml:space="preserve">, </w:t>
            </w:r>
            <w:r>
              <w:t xml:space="preserve">Bulharsku (3,6 %) a shodně 3,5 % dosáhl meziroční nárůst v Maďarsku a Estonsku. Ve 3. čtvrtletí nedošlo v žádné zemi EU k poklesu, nejnižšího přírůstku </w:t>
            </w:r>
            <w:r w:rsidR="007C1F0C">
              <w:t xml:space="preserve">dosáhly </w:t>
            </w:r>
            <w:r>
              <w:t>Dánsko (0,7 %), Řecko (0,9 %) a Irsko (1,0 %).</w:t>
            </w:r>
          </w:p>
        </w:tc>
      </w:tr>
      <w:tr w:rsidR="000E440D" w:rsidRPr="009110F7" w:rsidTr="004B305C">
        <w:trPr>
          <w:trHeight w:val="170"/>
        </w:trPr>
        <w:tc>
          <w:tcPr>
            <w:tcW w:w="1888" w:type="dxa"/>
            <w:vMerge/>
            <w:shd w:val="clear" w:color="auto" w:fill="auto"/>
            <w:tcMar>
              <w:left w:w="0" w:type="dxa"/>
            </w:tcMar>
          </w:tcPr>
          <w:p w:rsidR="000E440D" w:rsidRPr="00793D78" w:rsidRDefault="000E440D" w:rsidP="00965797">
            <w:pPr>
              <w:pStyle w:val="Marginlie"/>
              <w:rPr>
                <w:spacing w:val="0"/>
              </w:rPr>
            </w:pPr>
          </w:p>
        </w:tc>
        <w:tc>
          <w:tcPr>
            <w:tcW w:w="250" w:type="dxa"/>
            <w:vMerge/>
            <w:shd w:val="clear" w:color="auto" w:fill="auto"/>
            <w:tcMar>
              <w:left w:w="0" w:type="dxa"/>
            </w:tcMar>
          </w:tcPr>
          <w:p w:rsidR="000E440D" w:rsidRPr="00793D78" w:rsidRDefault="000E440D" w:rsidP="00965797">
            <w:pPr>
              <w:pStyle w:val="Textpoznpodarou"/>
              <w:jc w:val="both"/>
            </w:pPr>
          </w:p>
        </w:tc>
        <w:tc>
          <w:tcPr>
            <w:tcW w:w="7501" w:type="dxa"/>
            <w:shd w:val="clear" w:color="auto" w:fill="auto"/>
            <w:tcMar>
              <w:left w:w="0" w:type="dxa"/>
            </w:tcMar>
          </w:tcPr>
          <w:p w:rsidR="000E440D" w:rsidRPr="00793D78" w:rsidRDefault="00A925B1" w:rsidP="00965797">
            <w:pPr>
              <w:spacing w:after="0"/>
            </w:pPr>
            <w:r>
              <w:rPr>
                <w:b/>
                <w:sz w:val="18"/>
                <w:szCs w:val="18"/>
              </w:rPr>
              <w:t>Graf č. 13</w:t>
            </w:r>
            <w:r w:rsidR="000E440D" w:rsidRPr="00793D78">
              <w:rPr>
                <w:b/>
                <w:sz w:val="18"/>
                <w:szCs w:val="18"/>
              </w:rPr>
              <w:t xml:space="preserve">  </w:t>
            </w:r>
            <w:r w:rsidR="000E440D" w:rsidRPr="00793D78">
              <w:rPr>
                <w:b/>
                <w:sz w:val="18"/>
                <w:szCs w:val="18"/>
                <w:lang w:eastAsia="en-US"/>
              </w:rPr>
              <w:t>Ceny hlavních skupin průmyslových výrobců (meziroční změna, v %, podle klasifikace CPA)</w:t>
            </w:r>
          </w:p>
        </w:tc>
      </w:tr>
      <w:tr w:rsidR="000E440D" w:rsidRPr="009110F7" w:rsidTr="004B305C">
        <w:trPr>
          <w:trHeight w:val="170"/>
        </w:trPr>
        <w:tc>
          <w:tcPr>
            <w:tcW w:w="1888" w:type="dxa"/>
            <w:vMerge/>
            <w:shd w:val="clear" w:color="auto" w:fill="auto"/>
            <w:tcMar>
              <w:left w:w="0" w:type="dxa"/>
            </w:tcMar>
          </w:tcPr>
          <w:p w:rsidR="000E440D" w:rsidRPr="00793D78" w:rsidRDefault="000E440D" w:rsidP="00965797">
            <w:pPr>
              <w:pStyle w:val="Marginlie"/>
              <w:rPr>
                <w:spacing w:val="0"/>
              </w:rPr>
            </w:pPr>
          </w:p>
        </w:tc>
        <w:tc>
          <w:tcPr>
            <w:tcW w:w="250" w:type="dxa"/>
            <w:vMerge/>
            <w:shd w:val="clear" w:color="auto" w:fill="auto"/>
            <w:tcMar>
              <w:left w:w="0" w:type="dxa"/>
            </w:tcMar>
          </w:tcPr>
          <w:p w:rsidR="000E440D" w:rsidRPr="00793D78" w:rsidRDefault="000E440D" w:rsidP="00965797">
            <w:pPr>
              <w:pStyle w:val="Textpoznpodarou"/>
              <w:jc w:val="both"/>
            </w:pPr>
          </w:p>
        </w:tc>
        <w:tc>
          <w:tcPr>
            <w:tcW w:w="7501" w:type="dxa"/>
            <w:shd w:val="clear" w:color="auto" w:fill="auto"/>
            <w:tcMar>
              <w:left w:w="0" w:type="dxa"/>
            </w:tcMar>
          </w:tcPr>
          <w:p w:rsidR="000E440D" w:rsidRPr="00793D78" w:rsidRDefault="000E440D" w:rsidP="006C683C">
            <w:pPr>
              <w:spacing w:after="0"/>
              <w:rPr>
                <w:sz w:val="14"/>
                <w:szCs w:val="14"/>
              </w:rPr>
            </w:pPr>
            <w:r w:rsidRPr="00E850B7">
              <w:rPr>
                <w:noProof/>
              </w:rPr>
              <w:drawing>
                <wp:inline distT="0" distB="0" distL="0" distR="0">
                  <wp:extent cx="4735902" cy="3545456"/>
                  <wp:effectExtent l="0" t="0" r="0" b="0"/>
                  <wp:docPr id="2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E440D" w:rsidRPr="009110F7" w:rsidTr="004B305C">
        <w:trPr>
          <w:trHeight w:val="145"/>
        </w:trPr>
        <w:tc>
          <w:tcPr>
            <w:tcW w:w="1888" w:type="dxa"/>
            <w:shd w:val="clear" w:color="auto" w:fill="auto"/>
            <w:tcMar>
              <w:left w:w="0" w:type="dxa"/>
            </w:tcMar>
          </w:tcPr>
          <w:p w:rsidR="000E440D" w:rsidRPr="00793D78" w:rsidRDefault="000E440D" w:rsidP="008458BD">
            <w:pPr>
              <w:pStyle w:val="Marginlie"/>
              <w:rPr>
                <w:spacing w:val="0"/>
              </w:rPr>
            </w:pPr>
          </w:p>
        </w:tc>
        <w:tc>
          <w:tcPr>
            <w:tcW w:w="250" w:type="dxa"/>
            <w:shd w:val="clear" w:color="auto" w:fill="auto"/>
            <w:tcMar>
              <w:left w:w="0" w:type="dxa"/>
            </w:tcMar>
          </w:tcPr>
          <w:p w:rsidR="000E440D" w:rsidRPr="00793D78" w:rsidRDefault="000E440D" w:rsidP="008458BD">
            <w:pPr>
              <w:pStyle w:val="Textpoznpodarou"/>
              <w:jc w:val="both"/>
            </w:pPr>
          </w:p>
        </w:tc>
        <w:tc>
          <w:tcPr>
            <w:tcW w:w="7501" w:type="dxa"/>
            <w:shd w:val="clear" w:color="auto" w:fill="auto"/>
            <w:tcMar>
              <w:left w:w="0" w:type="dxa"/>
            </w:tcMar>
          </w:tcPr>
          <w:p w:rsidR="000E440D" w:rsidRPr="00793D78" w:rsidRDefault="000E440D" w:rsidP="008458BD">
            <w:pPr>
              <w:rPr>
                <w:sz w:val="14"/>
                <w:szCs w:val="14"/>
              </w:rPr>
            </w:pPr>
            <w:r w:rsidRPr="00793D78">
              <w:rPr>
                <w:sz w:val="14"/>
                <w:szCs w:val="14"/>
              </w:rPr>
              <w:t>Zdroj: ČSÚ</w:t>
            </w:r>
          </w:p>
        </w:tc>
      </w:tr>
      <w:tr w:rsidR="000E440D" w:rsidRPr="009110F7" w:rsidTr="004B305C">
        <w:trPr>
          <w:trHeight w:val="145"/>
        </w:trPr>
        <w:tc>
          <w:tcPr>
            <w:tcW w:w="1888" w:type="dxa"/>
            <w:shd w:val="clear" w:color="auto" w:fill="auto"/>
            <w:tcMar>
              <w:left w:w="0" w:type="dxa"/>
            </w:tcMar>
          </w:tcPr>
          <w:p w:rsidR="000E440D" w:rsidRPr="00793D78" w:rsidRDefault="000E440D" w:rsidP="008458BD">
            <w:pPr>
              <w:pStyle w:val="Marginlie"/>
              <w:rPr>
                <w:spacing w:val="0"/>
              </w:rPr>
            </w:pPr>
            <w:r>
              <w:rPr>
                <w:spacing w:val="0"/>
              </w:rPr>
              <w:t>Vývoj cen průmyslových výrobců stále reflektoval zdražení ropy.</w:t>
            </w:r>
          </w:p>
        </w:tc>
        <w:tc>
          <w:tcPr>
            <w:tcW w:w="250" w:type="dxa"/>
            <w:shd w:val="clear" w:color="auto" w:fill="auto"/>
            <w:tcMar>
              <w:left w:w="0" w:type="dxa"/>
            </w:tcMar>
          </w:tcPr>
          <w:p w:rsidR="000E440D" w:rsidRPr="00793D78" w:rsidRDefault="000E440D" w:rsidP="008458BD">
            <w:pPr>
              <w:pStyle w:val="Textpoznpodarou1"/>
              <w:jc w:val="both"/>
            </w:pPr>
          </w:p>
        </w:tc>
        <w:tc>
          <w:tcPr>
            <w:tcW w:w="7501" w:type="dxa"/>
            <w:shd w:val="clear" w:color="auto" w:fill="auto"/>
            <w:tcMar>
              <w:left w:w="0" w:type="dxa"/>
            </w:tcMar>
          </w:tcPr>
          <w:p w:rsidR="000E440D" w:rsidRPr="00793D78" w:rsidRDefault="000E440D" w:rsidP="008458BD">
            <w:r>
              <w:t xml:space="preserve">Od počátku roku zrychloval meziroční růst cen průmyslových výrobců. Ve 3. čtvrtletí dosáhl 3,3 %. Výslednou dynamiku nejvýrazněji ovlivnily ceny ve zpracovatelském průmyslu, který tvoří více než 80 % celého průmyslu v ČR. Ceny zde meziročně vzrostly o 3,2 %. Většinu tohoto nárůstu lze přičíst cenám koksu a rafinovaných ropných výrobků. Obecně rostoucí ceny některých surovin pak ilustroval nárůst cen základních kovů a kovodělných výrobků o 3,8 %. Na ropu navázaný chemický průmysl rovněž vykázal cenový růst (7,8 %). Zmírnil se meziroční pokles cen dopravních prostředků </w:t>
            </w:r>
            <w:r w:rsidR="007B3D5E">
              <w:t>(–</w:t>
            </w:r>
            <w:r>
              <w:t xml:space="preserve">0,8 %). Významně se navýšilo meziroční tempo růstu cen elektřiny, plynu, páry a klimatizovaného vzduchu (2,6 %). Nejsilnější meziroční navýšení cen ve 3. čtvrtletí provázelo sekci těžba a dobývání (9,4 %). Jde zejména </w:t>
            </w:r>
            <w:r w:rsidR="002709CC">
              <w:t>o </w:t>
            </w:r>
            <w:r>
              <w:t>vliv srovnávací základny. Vývoj bazického indexu ukazuje, že po skokovém nárůstu cen v 1. čtvrtletí roku se úroveň výrazněji nezvyšovala.</w:t>
            </w:r>
          </w:p>
        </w:tc>
      </w:tr>
      <w:tr w:rsidR="000E440D" w:rsidRPr="009110F7" w:rsidTr="004B305C">
        <w:trPr>
          <w:trHeight w:val="145"/>
        </w:trPr>
        <w:tc>
          <w:tcPr>
            <w:tcW w:w="1888" w:type="dxa"/>
            <w:shd w:val="clear" w:color="auto" w:fill="auto"/>
            <w:tcMar>
              <w:left w:w="0" w:type="dxa"/>
            </w:tcMar>
          </w:tcPr>
          <w:p w:rsidR="000E440D" w:rsidRPr="00793D78" w:rsidRDefault="000E440D" w:rsidP="008458BD">
            <w:pPr>
              <w:pStyle w:val="Marginlie"/>
              <w:rPr>
                <w:spacing w:val="0"/>
              </w:rPr>
            </w:pPr>
            <w:r>
              <w:rPr>
                <w:spacing w:val="0"/>
              </w:rPr>
              <w:t>Růst cen výrobců v EU také zrychloval.</w:t>
            </w:r>
          </w:p>
        </w:tc>
        <w:tc>
          <w:tcPr>
            <w:tcW w:w="250" w:type="dxa"/>
            <w:shd w:val="clear" w:color="auto" w:fill="auto"/>
            <w:tcMar>
              <w:left w:w="0" w:type="dxa"/>
            </w:tcMar>
          </w:tcPr>
          <w:p w:rsidR="000E440D" w:rsidRPr="00793D78" w:rsidRDefault="000E440D" w:rsidP="008458BD">
            <w:pPr>
              <w:pStyle w:val="Textpoznpodarou1"/>
              <w:jc w:val="both"/>
            </w:pPr>
          </w:p>
        </w:tc>
        <w:tc>
          <w:tcPr>
            <w:tcW w:w="7501" w:type="dxa"/>
            <w:shd w:val="clear" w:color="auto" w:fill="auto"/>
            <w:tcMar>
              <w:left w:w="0" w:type="dxa"/>
            </w:tcMar>
          </w:tcPr>
          <w:p w:rsidR="000E440D" w:rsidRPr="00793D78" w:rsidRDefault="000E440D" w:rsidP="00CC6FE5">
            <w:r>
              <w:t>Postupné zrychlení meziročního růstu cen výrobců se od počátku roku dělo i ve zbytku EU. Ceny výrobců se zde ve 3. čtvrtletí zvýšily o 4,9 %. Na zrychlení působilo meziroční zvýšení cen ropy, ve 2. a 3. čtvrtletí výrazně zesílila i dynamika cen těžby a dobývání. Nejrychleji se ve 3. čtvrtletí zvyšovaly ceny výrobců v Belgii (9,4 %), Dánsku (9,</w:t>
            </w:r>
            <w:r w:rsidR="00CC6FE5">
              <w:t>2</w:t>
            </w:r>
            <w:r>
              <w:t xml:space="preserve"> %) a o 8,5 % </w:t>
            </w:r>
            <w:r w:rsidR="00CC6FE5">
              <w:t>v</w:t>
            </w:r>
            <w:r>
              <w:t xml:space="preserve"> Maďarsku. Jedinou zemí, kde ceny výrobců od počátku roku meziročně klesaly, je Irsko. Propad se během roku prohluboval a ve 3. čtvrtletí dosáhl </w:t>
            </w:r>
            <w:r w:rsidR="002709CC">
              <w:t>–</w:t>
            </w:r>
            <w:r>
              <w:t>2,8 %. Jen mírně rostly ceny na Maltě (</w:t>
            </w:r>
            <w:r w:rsidR="00CC6FE5">
              <w:t>1</w:t>
            </w:r>
            <w:r>
              <w:t>,</w:t>
            </w:r>
            <w:r w:rsidR="00CC6FE5">
              <w:t>0</w:t>
            </w:r>
            <w:r>
              <w:t xml:space="preserve"> % ve 3. čtvrtletí) a ve Slovinsku (2,2 %).</w:t>
            </w:r>
          </w:p>
        </w:tc>
      </w:tr>
      <w:tr w:rsidR="000E440D" w:rsidRPr="009110F7" w:rsidTr="004B305C">
        <w:trPr>
          <w:trHeight w:val="145"/>
        </w:trPr>
        <w:tc>
          <w:tcPr>
            <w:tcW w:w="1888" w:type="dxa"/>
            <w:shd w:val="clear" w:color="auto" w:fill="auto"/>
            <w:tcMar>
              <w:left w:w="0" w:type="dxa"/>
            </w:tcMar>
          </w:tcPr>
          <w:p w:rsidR="000E440D" w:rsidRPr="00793D78" w:rsidRDefault="000E440D" w:rsidP="008458BD">
            <w:pPr>
              <w:pStyle w:val="Marginlie"/>
              <w:rPr>
                <w:spacing w:val="0"/>
              </w:rPr>
            </w:pPr>
            <w:r>
              <w:rPr>
                <w:spacing w:val="0"/>
              </w:rPr>
              <w:t>Ceny tržních služeb ve 3. čtvrtletí rostly.</w:t>
            </w:r>
          </w:p>
        </w:tc>
        <w:tc>
          <w:tcPr>
            <w:tcW w:w="250" w:type="dxa"/>
            <w:shd w:val="clear" w:color="auto" w:fill="auto"/>
            <w:tcMar>
              <w:left w:w="0" w:type="dxa"/>
            </w:tcMar>
          </w:tcPr>
          <w:p w:rsidR="000E440D" w:rsidRPr="00793D78" w:rsidRDefault="000E440D" w:rsidP="008458BD">
            <w:pPr>
              <w:pStyle w:val="Textpoznpodarou1"/>
              <w:jc w:val="both"/>
            </w:pPr>
          </w:p>
        </w:tc>
        <w:tc>
          <w:tcPr>
            <w:tcW w:w="7501" w:type="dxa"/>
            <w:shd w:val="clear" w:color="auto" w:fill="auto"/>
            <w:tcMar>
              <w:left w:w="0" w:type="dxa"/>
            </w:tcMar>
          </w:tcPr>
          <w:p w:rsidR="000E440D" w:rsidRPr="00793D78" w:rsidRDefault="000E440D" w:rsidP="008458BD">
            <w:r>
              <w:t xml:space="preserve">Meziroční tempo růstu cen tržních služeb zrychlovalo po celý loňský rok a od počátku roku 2018 se udržovalo na konstantní hodnotě. Ve 3. čtvrtletí však došlo </w:t>
            </w:r>
            <w:r>
              <w:lastRenderedPageBreak/>
              <w:t xml:space="preserve">k malému zpomalení na 1,6 %. </w:t>
            </w:r>
            <w:proofErr w:type="spellStart"/>
            <w:r>
              <w:t>Prorůstově</w:t>
            </w:r>
            <w:proofErr w:type="spellEnd"/>
            <w:r>
              <w:t xml:space="preserve"> působily zejména ceny pozemní </w:t>
            </w:r>
            <w:r w:rsidR="002709CC">
              <w:t>a </w:t>
            </w:r>
            <w:r>
              <w:t xml:space="preserve">potrubní dopravy (meziroční tempo zrychlilo na 1,6 %), pojištění, zajištění </w:t>
            </w:r>
            <w:r w:rsidR="002709CC">
              <w:t>a </w:t>
            </w:r>
            <w:r>
              <w:t xml:space="preserve">penzijního financování (5,4 %) a také ceny služeb v oblasti nemovitostí (3,1 %). Tržní služby výrazně </w:t>
            </w:r>
            <w:r w:rsidR="002709CC">
              <w:t xml:space="preserve">závisejí </w:t>
            </w:r>
            <w:r>
              <w:t xml:space="preserve">na pracovní síle. Mzdový růst se tedy promítal do mnoha oblastí. Růst cen služeb v oblasti zaměstnání však zmírnil (z dvouciferných temp na 6,8 %). Výrazněji negativní vliv na vývoj celkového indexu měly jen ceny ve skladování a podpůrných službách v dopravě (pokles o 2,6 %). </w:t>
            </w:r>
          </w:p>
        </w:tc>
      </w:tr>
      <w:tr w:rsidR="000E440D" w:rsidRPr="009110F7" w:rsidTr="004B305C">
        <w:trPr>
          <w:trHeight w:val="145"/>
        </w:trPr>
        <w:tc>
          <w:tcPr>
            <w:tcW w:w="1888" w:type="dxa"/>
            <w:shd w:val="clear" w:color="auto" w:fill="auto"/>
            <w:tcMar>
              <w:left w:w="0" w:type="dxa"/>
            </w:tcMar>
          </w:tcPr>
          <w:p w:rsidR="000E440D" w:rsidRPr="00793D78" w:rsidRDefault="000E440D" w:rsidP="008458BD">
            <w:pPr>
              <w:pStyle w:val="Marginlie"/>
              <w:rPr>
                <w:spacing w:val="0"/>
              </w:rPr>
            </w:pPr>
            <w:r>
              <w:rPr>
                <w:spacing w:val="0"/>
              </w:rPr>
              <w:lastRenderedPageBreak/>
              <w:t>Do cen rostlinné výroby se v některých případech začala promítat nižší letošní úroda.</w:t>
            </w:r>
          </w:p>
        </w:tc>
        <w:tc>
          <w:tcPr>
            <w:tcW w:w="250" w:type="dxa"/>
            <w:shd w:val="clear" w:color="auto" w:fill="auto"/>
            <w:tcMar>
              <w:left w:w="0" w:type="dxa"/>
            </w:tcMar>
          </w:tcPr>
          <w:p w:rsidR="000E440D" w:rsidRPr="00793D78" w:rsidRDefault="000E440D" w:rsidP="008458BD">
            <w:pPr>
              <w:pStyle w:val="Textpoznpodarou1"/>
              <w:jc w:val="both"/>
            </w:pPr>
          </w:p>
        </w:tc>
        <w:tc>
          <w:tcPr>
            <w:tcW w:w="7501" w:type="dxa"/>
            <w:shd w:val="clear" w:color="auto" w:fill="auto"/>
            <w:tcMar>
              <w:left w:w="0" w:type="dxa"/>
            </w:tcMar>
          </w:tcPr>
          <w:p w:rsidR="000E440D" w:rsidRPr="00793D78" w:rsidRDefault="000E440D" w:rsidP="008458BD">
            <w:r>
              <w:t xml:space="preserve">Ceny zemědělských výrobců ve 3. čtvrtletí opět meziročně klesly </w:t>
            </w:r>
            <w:r w:rsidR="00BD6C75">
              <w:t>(–</w:t>
            </w:r>
            <w:r>
              <w:t xml:space="preserve">2,3 %). Zatímco u rostlinné výroby došlo opět k mírnému meziročnímu růstu o 1,1 % (ve 2. čtvrtletí ceny klesaly o 3,3 %), v živočišné výrobě se prohloubil propad na </w:t>
            </w:r>
            <w:r w:rsidR="00BD6C75">
              <w:t>–</w:t>
            </w:r>
            <w:r>
              <w:t xml:space="preserve">6,1 %. </w:t>
            </w:r>
            <w:r w:rsidR="00BD6C75">
              <w:t>U </w:t>
            </w:r>
            <w:r>
              <w:t xml:space="preserve">rostlinné výroby se projevilo zrychlení růstu cen obilovin na 6,0 %. Naopak klesaly ceny průmyslových plodin </w:t>
            </w:r>
            <w:r w:rsidR="00BD6C75">
              <w:t>(–</w:t>
            </w:r>
            <w:r>
              <w:t xml:space="preserve">3,4 %), zejména olejnin </w:t>
            </w:r>
            <w:r w:rsidR="00BD6C75">
              <w:t>(–</w:t>
            </w:r>
            <w:r>
              <w:t xml:space="preserve">4,2 %). Současná vlna snížených výnosů, která zasáhla zemědělské výrobce, se asi nejsilněji projevila na cenách krmných plodin, které ve 3. čtvrtletí meziročně vzrostly o 14,2 %. Pokles cen živočišné výroby měl z větší části původ u hospodářských zvířat </w:t>
            </w:r>
            <w:r w:rsidR="00BD6C75">
              <w:t>(–</w:t>
            </w:r>
            <w:r>
              <w:t xml:space="preserve">9,7 %). Zlevnila především prasata a selata </w:t>
            </w:r>
            <w:r w:rsidR="00BD6C75">
              <w:t>(–</w:t>
            </w:r>
            <w:r>
              <w:t>19,4 %), ale také drůbež (</w:t>
            </w:r>
            <w:r w:rsidR="002340EF">
              <w:t>-</w:t>
            </w:r>
            <w:r>
              <w:t xml:space="preserve">2,2 %). Ceny živočišných výrobků klesly o 3,1 %. Snižovaly se hlavně ceny mléka </w:t>
            </w:r>
            <w:r w:rsidR="00BD6C75">
              <w:t>(–</w:t>
            </w:r>
            <w:r>
              <w:t xml:space="preserve">3,2 %), mírně také ceny vajec </w:t>
            </w:r>
            <w:r w:rsidR="00BD6C75">
              <w:t>(–</w:t>
            </w:r>
            <w:r>
              <w:t>0,4 %).</w:t>
            </w:r>
          </w:p>
        </w:tc>
      </w:tr>
      <w:tr w:rsidR="004B305C" w:rsidRPr="009110F7" w:rsidTr="004B305C">
        <w:trPr>
          <w:trHeight w:val="145"/>
        </w:trPr>
        <w:tc>
          <w:tcPr>
            <w:tcW w:w="1888" w:type="dxa"/>
            <w:shd w:val="clear" w:color="auto" w:fill="auto"/>
            <w:tcMar>
              <w:left w:w="0" w:type="dxa"/>
            </w:tcMar>
          </w:tcPr>
          <w:p w:rsidR="004B305C" w:rsidRPr="00793D78" w:rsidRDefault="004B305C" w:rsidP="004B305C">
            <w:pPr>
              <w:pStyle w:val="Marginlie"/>
              <w:rPr>
                <w:spacing w:val="0"/>
              </w:rPr>
            </w:pPr>
            <w:r>
              <w:rPr>
                <w:spacing w:val="0"/>
              </w:rPr>
              <w:t xml:space="preserve">Ceny vývozu rostly pomaleji než ceny </w:t>
            </w:r>
            <w:r w:rsidR="00FA0105">
              <w:rPr>
                <w:spacing w:val="0"/>
              </w:rPr>
              <w:t>dovozu</w:t>
            </w:r>
            <w:r>
              <w:rPr>
                <w:spacing w:val="0"/>
              </w:rPr>
              <w:t>.</w:t>
            </w:r>
          </w:p>
          <w:p w:rsidR="004B305C" w:rsidRDefault="004B305C" w:rsidP="008458BD">
            <w:pPr>
              <w:pStyle w:val="Marginlie"/>
              <w:rPr>
                <w:spacing w:val="0"/>
              </w:rPr>
            </w:pPr>
          </w:p>
        </w:tc>
        <w:tc>
          <w:tcPr>
            <w:tcW w:w="250" w:type="dxa"/>
            <w:shd w:val="clear" w:color="auto" w:fill="auto"/>
            <w:tcMar>
              <w:left w:w="0" w:type="dxa"/>
            </w:tcMar>
          </w:tcPr>
          <w:p w:rsidR="004B305C" w:rsidRPr="00793D78" w:rsidRDefault="004B305C" w:rsidP="008458BD">
            <w:pPr>
              <w:pStyle w:val="Textpoznpodarou1"/>
              <w:jc w:val="both"/>
            </w:pPr>
          </w:p>
        </w:tc>
        <w:tc>
          <w:tcPr>
            <w:tcW w:w="7501" w:type="dxa"/>
            <w:shd w:val="clear" w:color="auto" w:fill="auto"/>
            <w:tcMar>
              <w:left w:w="0" w:type="dxa"/>
            </w:tcMar>
          </w:tcPr>
          <w:p w:rsidR="004B305C" w:rsidRDefault="004B305C" w:rsidP="00CC6FE5">
            <w:r>
              <w:t xml:space="preserve">Ve 3. čtvrtletí ceny vývozu i dovozu poprvé od 2. čtvrtletí 2017 meziročně rostly. Ceny vývozu se zvýšily o 1,6 %. Výrazně se na tom podílel nárůst cen minerálních paliv o 22,8 %. </w:t>
            </w:r>
            <w:r w:rsidR="00CC6FE5">
              <w:t xml:space="preserve">Naopak </w:t>
            </w:r>
            <w:r>
              <w:t xml:space="preserve">ceny strojů a </w:t>
            </w:r>
            <w:r w:rsidR="00CC6FE5">
              <w:t>dopravních prostředků klesaly</w:t>
            </w:r>
            <w:r>
              <w:t xml:space="preserve"> o </w:t>
            </w:r>
            <w:r w:rsidR="00CC6FE5">
              <w:t>0,3</w:t>
            </w:r>
            <w:r>
              <w:t xml:space="preserve"> %. I ceny dovozu (+2,6 %) byly nejvýrazněji ovlivněny minerálními palivy, jejichž cena se zvýšila o 33,3 %. K obnovení cenového růstu přispělo i oslabení kurzového vlivu. Směnné relace ve 3. čtvrtletí dosáhly 99,0 %. Záporných směnných relací dosáhl obchod s minerálními palivy (92,1 %). Naopak kladné směnné relace měl obchod se surovými materiály (104,5 %)</w:t>
            </w:r>
            <w:r w:rsidR="00CC6FE5">
              <w:t>.</w:t>
            </w:r>
          </w:p>
        </w:tc>
      </w:tr>
      <w:tr w:rsidR="000E440D" w:rsidRPr="009110F7" w:rsidTr="004B305C">
        <w:trPr>
          <w:trHeight w:val="170"/>
        </w:trPr>
        <w:tc>
          <w:tcPr>
            <w:tcW w:w="1888" w:type="dxa"/>
            <w:vMerge w:val="restart"/>
            <w:shd w:val="clear" w:color="auto" w:fill="auto"/>
            <w:tcMar>
              <w:left w:w="0" w:type="dxa"/>
            </w:tcMar>
          </w:tcPr>
          <w:p w:rsidR="000E440D" w:rsidRPr="00793D78" w:rsidRDefault="000E440D" w:rsidP="004B305C">
            <w:pPr>
              <w:pStyle w:val="Marginlie"/>
              <w:rPr>
                <w:spacing w:val="0"/>
              </w:rPr>
            </w:pPr>
          </w:p>
        </w:tc>
        <w:tc>
          <w:tcPr>
            <w:tcW w:w="250" w:type="dxa"/>
            <w:vMerge w:val="restart"/>
            <w:shd w:val="clear" w:color="auto" w:fill="auto"/>
            <w:tcMar>
              <w:left w:w="0" w:type="dxa"/>
            </w:tcMar>
          </w:tcPr>
          <w:p w:rsidR="000E440D" w:rsidRPr="00793D78" w:rsidRDefault="000E440D" w:rsidP="008458BD">
            <w:pPr>
              <w:pStyle w:val="Textpoznpodarou1"/>
              <w:jc w:val="both"/>
            </w:pPr>
          </w:p>
          <w:p w:rsidR="000E440D" w:rsidRPr="00793D78" w:rsidRDefault="000E440D" w:rsidP="008458BD">
            <w:pPr>
              <w:pStyle w:val="Textpoznpodarou1"/>
              <w:jc w:val="both"/>
            </w:pPr>
          </w:p>
        </w:tc>
        <w:tc>
          <w:tcPr>
            <w:tcW w:w="7501" w:type="dxa"/>
            <w:shd w:val="clear" w:color="auto" w:fill="auto"/>
            <w:tcMar>
              <w:left w:w="0" w:type="dxa"/>
            </w:tcMar>
          </w:tcPr>
          <w:p w:rsidR="000E440D" w:rsidRPr="00793D78" w:rsidRDefault="00A925B1" w:rsidP="004B305C">
            <w:pPr>
              <w:spacing w:after="0"/>
            </w:pPr>
            <w:r>
              <w:rPr>
                <w:b/>
                <w:sz w:val="18"/>
                <w:szCs w:val="18"/>
              </w:rPr>
              <w:t>Graf č. 14</w:t>
            </w:r>
            <w:r w:rsidR="004B305C" w:rsidRPr="00793D78">
              <w:rPr>
                <w:b/>
                <w:sz w:val="18"/>
                <w:szCs w:val="18"/>
              </w:rPr>
              <w:t xml:space="preserve">  </w:t>
            </w:r>
            <w:r w:rsidR="004B305C" w:rsidRPr="00793D78">
              <w:rPr>
                <w:rFonts w:cs="Arial"/>
                <w:b/>
                <w:bCs/>
                <w:color w:val="000000"/>
                <w:sz w:val="18"/>
                <w:szCs w:val="18"/>
              </w:rPr>
              <w:t>Deflátory</w:t>
            </w:r>
            <w:r w:rsidR="004B305C" w:rsidRPr="00793D78">
              <w:rPr>
                <w:rFonts w:cs="Arial"/>
                <w:b/>
                <w:color w:val="000000"/>
                <w:sz w:val="18"/>
                <w:szCs w:val="18"/>
              </w:rPr>
              <w:t xml:space="preserve"> (očištěno o sezónní a kalendářní vlivy, </w:t>
            </w:r>
            <w:r w:rsidR="004B305C">
              <w:rPr>
                <w:rFonts w:cs="Arial"/>
                <w:b/>
                <w:color w:val="000000"/>
                <w:sz w:val="18"/>
                <w:szCs w:val="18"/>
              </w:rPr>
              <w:t>meziročně</w:t>
            </w:r>
            <w:r w:rsidR="004B305C" w:rsidRPr="00793D78">
              <w:rPr>
                <w:rFonts w:cs="Arial"/>
                <w:b/>
                <w:color w:val="000000"/>
                <w:sz w:val="18"/>
                <w:szCs w:val="18"/>
              </w:rPr>
              <w:t xml:space="preserve"> v</w:t>
            </w:r>
            <w:r w:rsidR="004B305C">
              <w:rPr>
                <w:rFonts w:cs="Arial"/>
                <w:b/>
                <w:color w:val="000000"/>
                <w:sz w:val="18"/>
                <w:szCs w:val="18"/>
              </w:rPr>
              <w:t> %</w:t>
            </w:r>
            <w:r w:rsidR="004B305C" w:rsidRPr="00793D78">
              <w:rPr>
                <w:rFonts w:cs="Arial"/>
                <w:b/>
                <w:color w:val="000000"/>
                <w:sz w:val="18"/>
                <w:szCs w:val="18"/>
              </w:rPr>
              <w:t>)</w:t>
            </w:r>
          </w:p>
        </w:tc>
      </w:tr>
      <w:tr w:rsidR="000E440D" w:rsidRPr="009110F7" w:rsidTr="004B305C">
        <w:trPr>
          <w:trHeight w:val="170"/>
        </w:trPr>
        <w:tc>
          <w:tcPr>
            <w:tcW w:w="1888" w:type="dxa"/>
            <w:vMerge/>
            <w:shd w:val="clear" w:color="auto" w:fill="auto"/>
            <w:tcMar>
              <w:left w:w="0" w:type="dxa"/>
            </w:tcMar>
          </w:tcPr>
          <w:p w:rsidR="000E440D" w:rsidRPr="00793D78" w:rsidRDefault="000E440D" w:rsidP="00965797">
            <w:pPr>
              <w:pStyle w:val="Marginlie"/>
              <w:rPr>
                <w:spacing w:val="0"/>
              </w:rPr>
            </w:pPr>
          </w:p>
        </w:tc>
        <w:tc>
          <w:tcPr>
            <w:tcW w:w="250" w:type="dxa"/>
            <w:vMerge/>
            <w:shd w:val="clear" w:color="auto" w:fill="auto"/>
            <w:tcMar>
              <w:left w:w="0" w:type="dxa"/>
            </w:tcMar>
          </w:tcPr>
          <w:p w:rsidR="000E440D" w:rsidRPr="00793D78" w:rsidRDefault="000E440D" w:rsidP="00965797">
            <w:pPr>
              <w:pStyle w:val="Textpoznpodarou"/>
              <w:jc w:val="both"/>
            </w:pPr>
          </w:p>
        </w:tc>
        <w:tc>
          <w:tcPr>
            <w:tcW w:w="7501" w:type="dxa"/>
            <w:shd w:val="clear" w:color="auto" w:fill="auto"/>
            <w:tcMar>
              <w:left w:w="0" w:type="dxa"/>
            </w:tcMar>
          </w:tcPr>
          <w:p w:rsidR="000E440D" w:rsidRPr="00793D78" w:rsidRDefault="004B305C" w:rsidP="00965797">
            <w:pPr>
              <w:spacing w:after="0"/>
            </w:pPr>
            <w:r w:rsidRPr="004B305C">
              <w:rPr>
                <w:noProof/>
              </w:rPr>
              <w:drawing>
                <wp:inline distT="0" distB="0" distL="0" distR="0">
                  <wp:extent cx="4771467" cy="3553200"/>
                  <wp:effectExtent l="0" t="0" r="0" b="0"/>
                  <wp:docPr id="3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0E440D" w:rsidRPr="009110F7" w:rsidTr="004B305C">
        <w:trPr>
          <w:trHeight w:val="170"/>
        </w:trPr>
        <w:tc>
          <w:tcPr>
            <w:tcW w:w="1888" w:type="dxa"/>
            <w:vMerge/>
            <w:shd w:val="clear" w:color="auto" w:fill="auto"/>
            <w:tcMar>
              <w:left w:w="0" w:type="dxa"/>
            </w:tcMar>
          </w:tcPr>
          <w:p w:rsidR="000E440D" w:rsidRPr="009110F7" w:rsidRDefault="000E440D" w:rsidP="00965797">
            <w:pPr>
              <w:pStyle w:val="Marginlie"/>
            </w:pPr>
          </w:p>
        </w:tc>
        <w:tc>
          <w:tcPr>
            <w:tcW w:w="250" w:type="dxa"/>
            <w:vMerge/>
            <w:shd w:val="clear" w:color="auto" w:fill="auto"/>
            <w:tcMar>
              <w:left w:w="0" w:type="dxa"/>
            </w:tcMar>
          </w:tcPr>
          <w:p w:rsidR="000E440D" w:rsidRPr="009110F7" w:rsidRDefault="000E440D" w:rsidP="00965797">
            <w:pPr>
              <w:pStyle w:val="Textpoznpodarou"/>
              <w:jc w:val="both"/>
              <w:rPr>
                <w:spacing w:val="-4"/>
              </w:rPr>
            </w:pPr>
          </w:p>
        </w:tc>
        <w:tc>
          <w:tcPr>
            <w:tcW w:w="7501" w:type="dxa"/>
            <w:shd w:val="clear" w:color="auto" w:fill="auto"/>
            <w:tcMar>
              <w:left w:w="0" w:type="dxa"/>
            </w:tcMar>
          </w:tcPr>
          <w:p w:rsidR="000E440D" w:rsidRPr="009110F7" w:rsidRDefault="004B305C" w:rsidP="00965797">
            <w:pPr>
              <w:rPr>
                <w:sz w:val="14"/>
                <w:szCs w:val="14"/>
              </w:rPr>
            </w:pPr>
            <w:r>
              <w:rPr>
                <w:sz w:val="14"/>
                <w:szCs w:val="14"/>
              </w:rPr>
              <w:t>Zdroj: ČSÚ, národní účty</w:t>
            </w:r>
          </w:p>
        </w:tc>
      </w:tr>
    </w:tbl>
    <w:p w:rsidR="00B4411A" w:rsidRDefault="00935BD4" w:rsidP="000D3058">
      <w:pPr>
        <w:pStyle w:val="Nadpis11"/>
      </w:pPr>
      <w:bookmarkStart w:id="10" w:name="_Toc532558286"/>
      <w:r w:rsidRPr="009110F7">
        <w:lastRenderedPageBreak/>
        <w:t>6</w:t>
      </w:r>
      <w:r w:rsidR="000D3058" w:rsidRPr="009110F7">
        <w:t xml:space="preserve">. </w:t>
      </w:r>
      <w:r w:rsidRPr="009110F7">
        <w:t>Trh práce</w:t>
      </w:r>
      <w:bookmarkEnd w:id="10"/>
    </w:p>
    <w:tbl>
      <w:tblPr>
        <w:tblW w:w="9639" w:type="dxa"/>
        <w:tblInd w:w="-15" w:type="dxa"/>
        <w:tblCellMar>
          <w:left w:w="0" w:type="dxa"/>
          <w:right w:w="0" w:type="dxa"/>
        </w:tblCellMar>
        <w:tblLook w:val="00A0"/>
      </w:tblPr>
      <w:tblGrid>
        <w:gridCol w:w="1864"/>
        <w:gridCol w:w="241"/>
        <w:gridCol w:w="7534"/>
      </w:tblGrid>
      <w:tr w:rsidR="0083630F" w:rsidRPr="00D175A7" w:rsidTr="0083630F">
        <w:trPr>
          <w:trHeight w:val="145"/>
        </w:trPr>
        <w:tc>
          <w:tcPr>
            <w:tcW w:w="1864" w:type="dxa"/>
            <w:shd w:val="clear" w:color="auto" w:fill="auto"/>
            <w:tcMar>
              <w:left w:w="0" w:type="dxa"/>
            </w:tcMar>
          </w:tcPr>
          <w:p w:rsidR="0083630F" w:rsidRDefault="0083630F" w:rsidP="0083630F">
            <w:pPr>
              <w:pStyle w:val="Marginlie"/>
            </w:pPr>
            <w:r>
              <w:t>Růst zaměstnanosti i pokles nezaměstnanosti se v </w:t>
            </w:r>
            <w:proofErr w:type="spellStart"/>
            <w:r>
              <w:t>mezikvartálním</w:t>
            </w:r>
            <w:proofErr w:type="spellEnd"/>
            <w:r>
              <w:t xml:space="preserve"> vyjádření ve 3. čtvrtletí zastavily.</w:t>
            </w: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D175A7" w:rsidRDefault="0083630F" w:rsidP="0083630F">
            <w:pPr>
              <w:spacing w:after="200"/>
              <w:rPr>
                <w:spacing w:val="-2"/>
              </w:rPr>
            </w:pPr>
            <w:r>
              <w:rPr>
                <w:spacing w:val="-2"/>
              </w:rPr>
              <w:t>Některé relevantní ukazatele naznačovaly, že tuzemský trh práce se v první polovině</w:t>
            </w:r>
            <w:r w:rsidRPr="00D175A7">
              <w:rPr>
                <w:spacing w:val="-2"/>
              </w:rPr>
              <w:t xml:space="preserve"> roku </w:t>
            </w:r>
            <w:r>
              <w:rPr>
                <w:spacing w:val="-2"/>
              </w:rPr>
              <w:t xml:space="preserve">2018 </w:t>
            </w:r>
            <w:r w:rsidRPr="00D175A7">
              <w:rPr>
                <w:spacing w:val="-2"/>
              </w:rPr>
              <w:t>patrně dotkl svého vrcholu</w:t>
            </w:r>
            <w:r w:rsidRPr="00D175A7">
              <w:rPr>
                <w:color w:val="0D0D0D" w:themeColor="text1" w:themeTint="F2"/>
                <w:spacing w:val="-2"/>
              </w:rPr>
              <w:t>.</w:t>
            </w:r>
            <w:r w:rsidRPr="00D175A7">
              <w:rPr>
                <w:spacing w:val="-2"/>
              </w:rPr>
              <w:t xml:space="preserve"> Zatímco v 1. i 2. čtvrtletí </w:t>
            </w:r>
            <w:r>
              <w:rPr>
                <w:spacing w:val="-2"/>
              </w:rPr>
              <w:t xml:space="preserve">počet </w:t>
            </w:r>
            <w:r w:rsidRPr="00D175A7">
              <w:rPr>
                <w:spacing w:val="-2"/>
              </w:rPr>
              <w:t>pracovníků</w:t>
            </w:r>
            <w:r w:rsidRPr="00D175A7">
              <w:rPr>
                <w:rStyle w:val="Znakapoznpodarou"/>
                <w:color w:val="0D0D0D" w:themeColor="text1" w:themeTint="F2"/>
                <w:spacing w:val="-2"/>
              </w:rPr>
              <w:footnoteReference w:id="34"/>
            </w:r>
            <w:r w:rsidRPr="00D175A7">
              <w:rPr>
                <w:spacing w:val="-2"/>
              </w:rPr>
              <w:t xml:space="preserve"> v ekonomice mezičtvrtletně rostl o 0,6 %, ve 3. čtvrtletí již stagnoval. V letním období se rovněž zastavil pokles sezónně očištěné obecné míry nezaměstnanosti. Tento vývoj byl z velké části ovlivněn vyčerpáním snadno dosažitelných rezerv disponibilní pracovní síly, resp. nasátím drtivé většiny práceschopných lidí z řad nezaměstnaných na </w:t>
            </w:r>
            <w:r>
              <w:rPr>
                <w:spacing w:val="-2"/>
              </w:rPr>
              <w:t>pracovní trh</w:t>
            </w:r>
            <w:r w:rsidRPr="00D175A7">
              <w:rPr>
                <w:spacing w:val="-2"/>
              </w:rPr>
              <w:t>. Z č</w:t>
            </w:r>
            <w:r w:rsidR="00116D3F">
              <w:rPr>
                <w:spacing w:val="-2"/>
              </w:rPr>
              <w:t>ásti mohl souviset také se zpomalením</w:t>
            </w:r>
            <w:r w:rsidRPr="00D175A7">
              <w:rPr>
                <w:spacing w:val="-2"/>
              </w:rPr>
              <w:t xml:space="preserve"> v EU</w:t>
            </w:r>
            <w:r w:rsidRPr="00D175A7">
              <w:rPr>
                <w:rStyle w:val="Znakapoznpodarou"/>
                <w:spacing w:val="-2"/>
              </w:rPr>
              <w:footnoteReference w:id="35"/>
            </w:r>
            <w:r w:rsidRPr="00D175A7">
              <w:rPr>
                <w:spacing w:val="-2"/>
              </w:rPr>
              <w:t>.</w:t>
            </w:r>
          </w:p>
        </w:tc>
      </w:tr>
      <w:tr w:rsidR="0083630F" w:rsidRPr="00B4411A" w:rsidTr="0083630F">
        <w:trPr>
          <w:trHeight w:val="145"/>
        </w:trPr>
        <w:tc>
          <w:tcPr>
            <w:tcW w:w="1864" w:type="dxa"/>
            <w:shd w:val="clear" w:color="auto" w:fill="auto"/>
            <w:tcMar>
              <w:left w:w="0" w:type="dxa"/>
            </w:tcMar>
          </w:tcPr>
          <w:p w:rsidR="0083630F" w:rsidRDefault="0083630F" w:rsidP="0083630F">
            <w:pPr>
              <w:pStyle w:val="Marginlie"/>
            </w:pPr>
            <w:r>
              <w:t>Role nedostatku pracovní síly jako bariéry růstu podniků nadále sílila, nejvíce ve stavebnictví.</w:t>
            </w: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r>
              <w:t>Podniky v průběhu roku postupně částečně korigovaly svá vysoká očekávání směrem ke střídmějšímu růstu zaměstnanosti.</w:t>
            </w: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B4411A" w:rsidRDefault="0083630F" w:rsidP="0083630F">
            <w:pPr>
              <w:spacing w:after="200"/>
              <w:rPr>
                <w:spacing w:val="-4"/>
              </w:rPr>
            </w:pPr>
            <w:r>
              <w:rPr>
                <w:spacing w:val="-4"/>
              </w:rPr>
              <w:t xml:space="preserve">Přestože </w:t>
            </w:r>
            <w:r w:rsidRPr="001B6C91">
              <w:rPr>
                <w:color w:val="0D0D0D" w:themeColor="text1" w:themeTint="F2"/>
                <w:spacing w:val="-4"/>
              </w:rPr>
              <w:t>celkový počet pracovníků dosáhl</w:t>
            </w:r>
            <w:r>
              <w:rPr>
                <w:spacing w:val="-4"/>
              </w:rPr>
              <w:t xml:space="preserve"> ve 2. i 3. čtvrtletí 5,43 mil. osob a byl nejvyšší v historii samostatné ČR, silné napětí na trhu práce dále přetrvávalo. </w:t>
            </w:r>
            <w:r w:rsidRPr="00B4411A">
              <w:rPr>
                <w:spacing w:val="-4"/>
              </w:rPr>
              <w:t>Podíl podniků pociťujících současný nedostatek volné pracovní síly jako bariéru svého růstu se ve všech hlavních odvětvích ekonomiky zvyšoval</w:t>
            </w:r>
            <w:r>
              <w:rPr>
                <w:spacing w:val="-4"/>
              </w:rPr>
              <w:t xml:space="preserve"> a</w:t>
            </w:r>
            <w:r w:rsidRPr="00B4411A">
              <w:rPr>
                <w:spacing w:val="-4"/>
              </w:rPr>
              <w:t> </w:t>
            </w:r>
            <w:r>
              <w:rPr>
                <w:spacing w:val="-4"/>
              </w:rPr>
              <w:t>dosáhl historických maxim. To se nejcitelněji projevovalo ve stavebnictví, kde výrazné letošní oživení poptávky po pracovní síle souviselo se sílícími veřejnými i soukromými investicemi. Na počátku 4. čtvrtletí 2018 považovalo nedostatek pracovní síly za bariéru růstu již 40 % stavebních podniků (o rok dříve 22 %). V průmyslu činil letos obdobný podíl 45 %, ve vybraných službách</w:t>
            </w:r>
            <w:r>
              <w:rPr>
                <w:rStyle w:val="Znakapoznpodarou"/>
                <w:spacing w:val="-4"/>
              </w:rPr>
              <w:footnoteReference w:id="36"/>
            </w:r>
            <w:r>
              <w:rPr>
                <w:spacing w:val="-4"/>
              </w:rPr>
              <w:t xml:space="preserve"> 19 %. Zejména průmyslové podniky </w:t>
            </w:r>
            <w:r w:rsidR="001F7CE0">
              <w:rPr>
                <w:spacing w:val="-4"/>
              </w:rPr>
              <w:t>problému</w:t>
            </w:r>
            <w:r>
              <w:rPr>
                <w:spacing w:val="-4"/>
              </w:rPr>
              <w:t xml:space="preserve"> nedostatku pracovníků do jisté míry už přivykly (ten jen s mírně nižší intenzitou </w:t>
            </w:r>
            <w:r w:rsidR="001F7CE0">
              <w:rPr>
                <w:spacing w:val="-4"/>
              </w:rPr>
              <w:t xml:space="preserve">než </w:t>
            </w:r>
            <w:r>
              <w:rPr>
                <w:spacing w:val="-4"/>
              </w:rPr>
              <w:t xml:space="preserve">v současnosti přetrvává již od poloviny loňského roku) a více se zaměřily na zvyšování produktivity práce (mj. i formou investic do ICT). Situaci tuzemského průmyslu navíc ovlivňují i mírně </w:t>
            </w:r>
            <w:r w:rsidR="001F7CE0">
              <w:rPr>
                <w:spacing w:val="-4"/>
              </w:rPr>
              <w:t xml:space="preserve">se </w:t>
            </w:r>
            <w:r>
              <w:rPr>
                <w:spacing w:val="-4"/>
              </w:rPr>
              <w:t xml:space="preserve">zhoršující vyhlídky hospodářského růstu globální i evropské ekonomiky spojené mj. i s narůstajícím napětím v transatlantických obchodních vztazích. Krátkodobá očekávání vývoje zaměstnanosti ve většině hlavních odvětví ekonomiky ČR byla na vrcholu na počátku letošního roku, od té doby se snižují (s výjimkou stavebnictví, kde nadále narůstají). </w:t>
            </w:r>
          </w:p>
        </w:tc>
      </w:tr>
      <w:tr w:rsidR="0083630F" w:rsidRPr="00F704D2" w:rsidTr="0083630F">
        <w:trPr>
          <w:trHeight w:val="170"/>
        </w:trPr>
        <w:tc>
          <w:tcPr>
            <w:tcW w:w="1864" w:type="dxa"/>
            <w:vMerge w:val="restart"/>
            <w:shd w:val="clear" w:color="auto" w:fill="auto"/>
            <w:tcMar>
              <w:left w:w="0" w:type="dxa"/>
            </w:tcMar>
          </w:tcPr>
          <w:p w:rsidR="0083630F" w:rsidRDefault="0083630F" w:rsidP="0083630F">
            <w:pPr>
              <w:pStyle w:val="Marginlie"/>
            </w:pPr>
          </w:p>
        </w:tc>
        <w:tc>
          <w:tcPr>
            <w:tcW w:w="241" w:type="dxa"/>
            <w:vMerge w:val="restart"/>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F704D2" w:rsidRDefault="0083630F" w:rsidP="0083630F">
            <w:pPr>
              <w:spacing w:after="0" w:line="240" w:lineRule="auto"/>
              <w:jc w:val="left"/>
              <w:rPr>
                <w:rFonts w:cs="Arial"/>
                <w:bCs/>
              </w:rPr>
            </w:pPr>
            <w:r w:rsidRPr="00C06323">
              <w:rPr>
                <w:rFonts w:cs="Arial"/>
                <w:b/>
                <w:bCs/>
                <w:color w:val="000000"/>
                <w:szCs w:val="20"/>
              </w:rPr>
              <w:t xml:space="preserve">Graf č. </w:t>
            </w:r>
            <w:r w:rsidR="00A925B1">
              <w:rPr>
                <w:rFonts w:cs="Arial"/>
                <w:b/>
                <w:bCs/>
                <w:color w:val="000000"/>
                <w:szCs w:val="20"/>
              </w:rPr>
              <w:t>15</w:t>
            </w:r>
            <w:r w:rsidRPr="00631BC9">
              <w:rPr>
                <w:rFonts w:cs="Arial"/>
                <w:b/>
                <w:bCs/>
                <w:color w:val="000000"/>
                <w:sz w:val="18"/>
                <w:szCs w:val="18"/>
              </w:rPr>
              <w:t xml:space="preserve"> </w:t>
            </w:r>
            <w:r>
              <w:rPr>
                <w:rFonts w:cs="Arial"/>
                <w:b/>
                <w:bCs/>
                <w:color w:val="000000"/>
                <w:sz w:val="18"/>
                <w:szCs w:val="18"/>
              </w:rPr>
              <w:t xml:space="preserve"> </w:t>
            </w:r>
            <w:r>
              <w:rPr>
                <w:b/>
                <w:lang w:eastAsia="en-US"/>
              </w:rPr>
              <w:t xml:space="preserve">Počet zaměstnaných ve vybraných odvětvích </w:t>
            </w:r>
            <w:r w:rsidRPr="00886A8F">
              <w:rPr>
                <w:b/>
                <w:lang w:eastAsia="en-US"/>
              </w:rPr>
              <w:t xml:space="preserve">a </w:t>
            </w:r>
            <w:r>
              <w:rPr>
                <w:b/>
                <w:lang w:eastAsia="en-US"/>
              </w:rPr>
              <w:t xml:space="preserve">celkový počet </w:t>
            </w:r>
            <w:r w:rsidRPr="00886A8F">
              <w:rPr>
                <w:b/>
                <w:lang w:eastAsia="en-US"/>
              </w:rPr>
              <w:t xml:space="preserve">zaměstnanců </w:t>
            </w:r>
            <w:r>
              <w:rPr>
                <w:spacing w:val="-4"/>
                <w:lang w:eastAsia="en-US"/>
              </w:rPr>
              <w:t>(</w:t>
            </w:r>
            <w:r w:rsidRPr="00582DA0">
              <w:rPr>
                <w:spacing w:val="-4"/>
                <w:lang w:eastAsia="en-US"/>
              </w:rPr>
              <w:t>dle</w:t>
            </w:r>
            <w:r>
              <w:rPr>
                <w:spacing w:val="-4"/>
                <w:lang w:eastAsia="en-US"/>
              </w:rPr>
              <w:t xml:space="preserve"> národních účtů</w:t>
            </w:r>
            <w:r w:rsidRPr="00582DA0">
              <w:rPr>
                <w:spacing w:val="-4"/>
                <w:lang w:eastAsia="en-US"/>
              </w:rPr>
              <w:t xml:space="preserve">, </w:t>
            </w:r>
            <w:r>
              <w:rPr>
                <w:spacing w:val="-4"/>
                <w:lang w:eastAsia="en-US"/>
              </w:rPr>
              <w:t xml:space="preserve">sezónně očištěno, </w:t>
            </w:r>
            <w:r w:rsidRPr="00E62A33">
              <w:rPr>
                <w:spacing w:val="-2"/>
              </w:rPr>
              <w:t>meziročně</w:t>
            </w:r>
            <w:r w:rsidRPr="00E62A33">
              <w:rPr>
                <w:bCs/>
                <w:spacing w:val="-2"/>
              </w:rPr>
              <w:t xml:space="preserve"> v</w:t>
            </w:r>
            <w:r>
              <w:rPr>
                <w:bCs/>
                <w:spacing w:val="-2"/>
              </w:rPr>
              <w:t> %</w:t>
            </w:r>
            <w:r w:rsidRPr="00E62A33">
              <w:rPr>
                <w:bCs/>
                <w:spacing w:val="-2"/>
              </w:rPr>
              <w:t>)</w:t>
            </w:r>
          </w:p>
        </w:tc>
      </w:tr>
      <w:tr w:rsidR="0083630F" w:rsidTr="0083630F">
        <w:trPr>
          <w:trHeight w:val="170"/>
        </w:trPr>
        <w:tc>
          <w:tcPr>
            <w:tcW w:w="1864" w:type="dxa"/>
            <w:vMerge/>
            <w:shd w:val="clear" w:color="auto" w:fill="auto"/>
            <w:tcMar>
              <w:left w:w="0" w:type="dxa"/>
            </w:tcMar>
          </w:tcPr>
          <w:p w:rsidR="0083630F" w:rsidRDefault="0083630F" w:rsidP="0083630F">
            <w:pPr>
              <w:pStyle w:val="Marginlie"/>
            </w:pPr>
          </w:p>
        </w:tc>
        <w:tc>
          <w:tcPr>
            <w:tcW w:w="241" w:type="dxa"/>
            <w:vMerge/>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Default="0083630F" w:rsidP="0083630F">
            <w:pPr>
              <w:spacing w:after="0"/>
            </w:pPr>
            <w:r w:rsidRPr="004B30F0">
              <w:rPr>
                <w:noProof/>
              </w:rPr>
              <w:drawing>
                <wp:inline distT="0" distB="0" distL="0" distR="0">
                  <wp:extent cx="4783540" cy="3370997"/>
                  <wp:effectExtent l="0" t="0" r="0"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83630F" w:rsidRPr="007B3A78" w:rsidTr="0083630F">
        <w:trPr>
          <w:trHeight w:val="170"/>
        </w:trPr>
        <w:tc>
          <w:tcPr>
            <w:tcW w:w="1864" w:type="dxa"/>
            <w:vMerge/>
            <w:shd w:val="clear" w:color="auto" w:fill="auto"/>
            <w:tcMar>
              <w:left w:w="0" w:type="dxa"/>
            </w:tcMar>
          </w:tcPr>
          <w:p w:rsidR="0083630F" w:rsidRDefault="0083630F" w:rsidP="0083630F">
            <w:pPr>
              <w:pStyle w:val="Marginlie"/>
            </w:pPr>
          </w:p>
        </w:tc>
        <w:tc>
          <w:tcPr>
            <w:tcW w:w="241" w:type="dxa"/>
            <w:vMerge/>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7B3A78" w:rsidRDefault="0083630F" w:rsidP="0083630F">
            <w:pPr>
              <w:spacing w:after="0" w:line="240" w:lineRule="auto"/>
              <w:jc w:val="left"/>
              <w:rPr>
                <w:rFonts w:cs="Arial"/>
                <w:sz w:val="14"/>
                <w:szCs w:val="14"/>
              </w:rPr>
            </w:pPr>
            <w:r w:rsidRPr="00535F78">
              <w:rPr>
                <w:rFonts w:cs="Arial"/>
                <w:sz w:val="14"/>
                <w:szCs w:val="14"/>
              </w:rPr>
              <w:t xml:space="preserve">Zdroj: </w:t>
            </w:r>
            <w:r>
              <w:rPr>
                <w:rFonts w:cs="Arial"/>
                <w:sz w:val="14"/>
                <w:szCs w:val="14"/>
              </w:rPr>
              <w:t>ČSÚ (národní účty)</w:t>
            </w:r>
          </w:p>
        </w:tc>
      </w:tr>
      <w:tr w:rsidR="0083630F" w:rsidRPr="00E86366" w:rsidTr="0083630F">
        <w:trPr>
          <w:trHeight w:val="145"/>
        </w:trPr>
        <w:tc>
          <w:tcPr>
            <w:tcW w:w="1864" w:type="dxa"/>
            <w:shd w:val="clear" w:color="auto" w:fill="auto"/>
            <w:tcMar>
              <w:left w:w="0" w:type="dxa"/>
            </w:tcMar>
          </w:tcPr>
          <w:p w:rsidR="0083630F" w:rsidRDefault="0083630F" w:rsidP="0083630F">
            <w:pPr>
              <w:pStyle w:val="Marginlie"/>
            </w:pPr>
            <w:r>
              <w:lastRenderedPageBreak/>
              <w:t>K meziročnímu růstu počtu pracovníků přispěli jen zaměstnanci. Z pohledu odvětví byl klíčový příspěvek sektoru služeb.</w:t>
            </w:r>
          </w:p>
          <w:p w:rsidR="0083630F" w:rsidRDefault="0083630F" w:rsidP="0083630F">
            <w:pPr>
              <w:pStyle w:val="Marginlie"/>
            </w:pP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E86366" w:rsidRDefault="0083630F" w:rsidP="0083630F">
            <w:pPr>
              <w:spacing w:after="220"/>
              <w:rPr>
                <w:spacing w:val="-4"/>
              </w:rPr>
            </w:pPr>
            <w:r>
              <w:rPr>
                <w:spacing w:val="-4"/>
              </w:rPr>
              <w:t>Z</w:t>
            </w:r>
            <w:r w:rsidRPr="00E86366">
              <w:rPr>
                <w:spacing w:val="-4"/>
              </w:rPr>
              <w:t xml:space="preserve">aměstnanost </w:t>
            </w:r>
            <w:r>
              <w:rPr>
                <w:spacing w:val="-4"/>
              </w:rPr>
              <w:t xml:space="preserve">se meziročně </w:t>
            </w:r>
            <w:r w:rsidRPr="00E86366">
              <w:rPr>
                <w:spacing w:val="-4"/>
              </w:rPr>
              <w:t xml:space="preserve">nadále zvyšovala, </w:t>
            </w:r>
            <w:r w:rsidR="00FB0AEA">
              <w:rPr>
                <w:spacing w:val="-4"/>
              </w:rPr>
              <w:t>tempo jejího růstu</w:t>
            </w:r>
            <w:r w:rsidRPr="00E86366">
              <w:rPr>
                <w:spacing w:val="-4"/>
              </w:rPr>
              <w:t xml:space="preserve"> ale sláblo (</w:t>
            </w:r>
            <w:r>
              <w:rPr>
                <w:spacing w:val="-4"/>
              </w:rPr>
              <w:t>v 1. pololetí +1,8 %,</w:t>
            </w:r>
            <w:r w:rsidRPr="00E86366">
              <w:rPr>
                <w:spacing w:val="-4"/>
              </w:rPr>
              <w:t xml:space="preserve"> ve 3. čtvrtletí </w:t>
            </w:r>
            <w:r>
              <w:rPr>
                <w:spacing w:val="-4"/>
              </w:rPr>
              <w:t>jen +1,2</w:t>
            </w:r>
            <w:r w:rsidRPr="00E86366">
              <w:rPr>
                <w:spacing w:val="-4"/>
              </w:rPr>
              <w:t xml:space="preserve"> %</w:t>
            </w:r>
            <w:r>
              <w:rPr>
                <w:spacing w:val="-4"/>
              </w:rPr>
              <w:t>,</w:t>
            </w:r>
            <w:r w:rsidRPr="00E86366">
              <w:rPr>
                <w:spacing w:val="-4"/>
              </w:rPr>
              <w:t xml:space="preserve"> což bylo</w:t>
            </w:r>
            <w:r>
              <w:rPr>
                <w:spacing w:val="-4"/>
              </w:rPr>
              <w:t xml:space="preserve"> nejméně od konce</w:t>
            </w:r>
            <w:r w:rsidRPr="00E86366">
              <w:rPr>
                <w:spacing w:val="-4"/>
              </w:rPr>
              <w:t xml:space="preserve"> roku 2014). </w:t>
            </w:r>
            <w:r w:rsidRPr="00E86366">
              <w:rPr>
                <w:rFonts w:cs="Arial"/>
                <w:color w:val="0D0D0D" w:themeColor="text1" w:themeTint="F2"/>
                <w:spacing w:val="-4"/>
              </w:rPr>
              <w:t>Na rozdíl od loňského roku byl letošní růst zaměstnanosti v ekonomice tažen téměř výhradně lidmi v</w:t>
            </w:r>
            <w:r w:rsidRPr="00E86366">
              <w:rPr>
                <w:rFonts w:cs="Arial"/>
                <w:b/>
                <w:color w:val="0D0D0D" w:themeColor="text1" w:themeTint="F2"/>
                <w:spacing w:val="-4"/>
              </w:rPr>
              <w:t> </w:t>
            </w:r>
            <w:r w:rsidRPr="00E86366">
              <w:rPr>
                <w:rFonts w:cs="Arial"/>
                <w:color w:val="0D0D0D" w:themeColor="text1" w:themeTint="F2"/>
                <w:spacing w:val="-4"/>
              </w:rPr>
              <w:t xml:space="preserve">zaměstnaneckém postavení. Počet </w:t>
            </w:r>
            <w:proofErr w:type="spellStart"/>
            <w:r w:rsidRPr="00E86366">
              <w:rPr>
                <w:rFonts w:cs="Arial"/>
                <w:color w:val="0D0D0D" w:themeColor="text1" w:themeTint="F2"/>
                <w:spacing w:val="-4"/>
              </w:rPr>
              <w:t>sebezaměstnaných</w:t>
            </w:r>
            <w:proofErr w:type="spellEnd"/>
            <w:r w:rsidRPr="00E86366">
              <w:rPr>
                <w:rFonts w:cs="Arial"/>
                <w:color w:val="0D0D0D" w:themeColor="text1" w:themeTint="F2"/>
                <w:spacing w:val="-4"/>
              </w:rPr>
              <w:t xml:space="preserve"> </w:t>
            </w:r>
            <w:r>
              <w:rPr>
                <w:rFonts w:cs="Arial"/>
                <w:color w:val="0D0D0D" w:themeColor="text1" w:themeTint="F2"/>
                <w:spacing w:val="-4"/>
              </w:rPr>
              <w:t xml:space="preserve">fakticky </w:t>
            </w:r>
            <w:r w:rsidRPr="00E86366">
              <w:rPr>
                <w:rFonts w:cs="Arial"/>
                <w:color w:val="0D0D0D" w:themeColor="text1" w:themeTint="F2"/>
                <w:spacing w:val="-4"/>
              </w:rPr>
              <w:t xml:space="preserve">stagnoval, </w:t>
            </w:r>
            <w:r>
              <w:rPr>
                <w:rFonts w:cs="Arial"/>
                <w:color w:val="0D0D0D" w:themeColor="text1" w:themeTint="F2"/>
                <w:spacing w:val="-4"/>
              </w:rPr>
              <w:t>když růst v průmyslu, obchodu a v oblasti nemovitostí byl kompenzován úbytky v ostatních odvětvích.</w:t>
            </w:r>
            <w:r w:rsidRPr="00E86366">
              <w:rPr>
                <w:rFonts w:cs="Arial"/>
                <w:color w:val="0D0D0D" w:themeColor="text1" w:themeTint="F2"/>
                <w:spacing w:val="-4"/>
              </w:rPr>
              <w:t xml:space="preserve"> </w:t>
            </w:r>
            <w:r>
              <w:rPr>
                <w:rFonts w:cs="Arial"/>
                <w:color w:val="0D0D0D" w:themeColor="text1" w:themeTint="F2"/>
                <w:spacing w:val="-4"/>
              </w:rPr>
              <w:t xml:space="preserve">K růstu celkové zaměstnanosti přispěly skoro ze </w:t>
            </w:r>
            <w:r w:rsidR="00FB0AEA">
              <w:rPr>
                <w:rFonts w:cs="Arial"/>
                <w:color w:val="0D0D0D" w:themeColor="text1" w:themeTint="F2"/>
                <w:spacing w:val="-4"/>
              </w:rPr>
              <w:t xml:space="preserve">tří </w:t>
            </w:r>
            <w:r>
              <w:rPr>
                <w:rFonts w:cs="Arial"/>
                <w:color w:val="0D0D0D" w:themeColor="text1" w:themeTint="F2"/>
                <w:spacing w:val="-4"/>
              </w:rPr>
              <w:t>čtvrtin služ</w:t>
            </w:r>
            <w:r w:rsidRPr="00E86366">
              <w:rPr>
                <w:rFonts w:cs="Arial"/>
                <w:color w:val="0D0D0D" w:themeColor="text1" w:themeTint="F2"/>
                <w:spacing w:val="-4"/>
              </w:rPr>
              <w:t>b</w:t>
            </w:r>
            <w:r>
              <w:rPr>
                <w:rFonts w:cs="Arial"/>
                <w:color w:val="0D0D0D" w:themeColor="text1" w:themeTint="F2"/>
                <w:spacing w:val="-4"/>
              </w:rPr>
              <w:t>y</w:t>
            </w:r>
            <w:r w:rsidRPr="00E86366">
              <w:rPr>
                <w:rFonts w:cs="Arial"/>
                <w:color w:val="0D0D0D" w:themeColor="text1" w:themeTint="F2"/>
                <w:spacing w:val="-4"/>
              </w:rPr>
              <w:t>, kde se dařilo informačním a komunikačním činnostem</w:t>
            </w:r>
            <w:r>
              <w:rPr>
                <w:rFonts w:cs="Arial"/>
                <w:color w:val="0D0D0D" w:themeColor="text1" w:themeTint="F2"/>
                <w:spacing w:val="-4"/>
              </w:rPr>
              <w:t xml:space="preserve"> (+4,5 %) i</w:t>
            </w:r>
            <w:r w:rsidRPr="00E86366">
              <w:rPr>
                <w:rFonts w:cs="Arial"/>
                <w:color w:val="0D0D0D" w:themeColor="text1" w:themeTint="F2"/>
                <w:spacing w:val="-4"/>
              </w:rPr>
              <w:t xml:space="preserve"> odvětvím </w:t>
            </w:r>
            <w:r>
              <w:rPr>
                <w:rFonts w:cs="Arial"/>
                <w:color w:val="0D0D0D" w:themeColor="text1" w:themeTint="F2"/>
                <w:spacing w:val="-4"/>
              </w:rPr>
              <w:t>s domina</w:t>
            </w:r>
            <w:r w:rsidR="00116D3F">
              <w:rPr>
                <w:rFonts w:cs="Arial"/>
                <w:color w:val="0D0D0D" w:themeColor="text1" w:themeTint="F2"/>
                <w:spacing w:val="-4"/>
              </w:rPr>
              <w:t>n</w:t>
            </w:r>
            <w:r>
              <w:rPr>
                <w:rFonts w:cs="Arial"/>
                <w:color w:val="0D0D0D" w:themeColor="text1" w:themeTint="F2"/>
                <w:spacing w:val="-4"/>
              </w:rPr>
              <w:t>cí veřejného sektoru (+2,5 %). V</w:t>
            </w:r>
            <w:r w:rsidRPr="00E86366">
              <w:rPr>
                <w:rFonts w:cs="Arial"/>
                <w:color w:val="0D0D0D" w:themeColor="text1" w:themeTint="F2"/>
                <w:spacing w:val="-4"/>
              </w:rPr>
              <w:t xml:space="preserve">e výrazně ožívajícím stavebnictví </w:t>
            </w:r>
            <w:r>
              <w:rPr>
                <w:rFonts w:cs="Arial"/>
                <w:color w:val="0D0D0D" w:themeColor="text1" w:themeTint="F2"/>
                <w:spacing w:val="-4"/>
              </w:rPr>
              <w:t xml:space="preserve">zaměstnanost nadále nerostla, v kategorii zaměstnanců se zde ale vleklá redukce zaměstnanosti již zastavila (ve 3. čtvrtletí činil meziroční růst 0,2 %, mezičtvrtletní dokonce 0,8 %). </w:t>
            </w:r>
          </w:p>
        </w:tc>
      </w:tr>
      <w:tr w:rsidR="0083630F" w:rsidRPr="00B4411A" w:rsidTr="0083630F">
        <w:trPr>
          <w:trHeight w:val="145"/>
        </w:trPr>
        <w:tc>
          <w:tcPr>
            <w:tcW w:w="1864" w:type="dxa"/>
            <w:shd w:val="clear" w:color="auto" w:fill="auto"/>
            <w:tcMar>
              <w:left w:w="0" w:type="dxa"/>
            </w:tcMar>
          </w:tcPr>
          <w:p w:rsidR="0083630F" w:rsidRDefault="0083630F" w:rsidP="0083630F">
            <w:pPr>
              <w:pStyle w:val="Marginlie"/>
            </w:pPr>
            <w:r>
              <w:t>Míra zaměstnanosti rostla nadále svižněji u žen.</w:t>
            </w: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B4411A" w:rsidRDefault="0083630F" w:rsidP="0083630F">
            <w:pPr>
              <w:spacing w:after="220"/>
              <w:rPr>
                <w:spacing w:val="-4"/>
              </w:rPr>
            </w:pPr>
            <w:r>
              <w:rPr>
                <w:spacing w:val="-4"/>
              </w:rPr>
              <w:t>Míra zaměstnanosti lidí ve věku 15 až 64 let ve 3. čtvrtletí vystoupala na 75,0 %. Meziročně posílila o 0,9 p. b. Podobně jako v předešlých čtvrtletích se dynamičtěji zvyšovala u žen, což zčásti souviselo s rychlejším zvyšováním důchodového věku. Míra zaměstnanosti v Česku byla ve srovnání s EU o 6 p. b. vyšší.</w:t>
            </w:r>
          </w:p>
        </w:tc>
      </w:tr>
      <w:tr w:rsidR="0083630F" w:rsidRPr="00425211" w:rsidTr="0083630F">
        <w:trPr>
          <w:trHeight w:val="145"/>
        </w:trPr>
        <w:tc>
          <w:tcPr>
            <w:tcW w:w="1864" w:type="dxa"/>
            <w:shd w:val="clear" w:color="auto" w:fill="auto"/>
            <w:tcMar>
              <w:left w:w="0" w:type="dxa"/>
            </w:tcMar>
          </w:tcPr>
          <w:p w:rsidR="0083630F" w:rsidRDefault="0083630F" w:rsidP="0083630F">
            <w:pPr>
              <w:pStyle w:val="Marginlie"/>
            </w:pP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425211" w:rsidRDefault="00A925B1" w:rsidP="0083630F">
            <w:pPr>
              <w:pStyle w:val="Textpoznpodarou"/>
              <w:rPr>
                <w:spacing w:val="-2"/>
              </w:rPr>
            </w:pPr>
            <w:r>
              <w:rPr>
                <w:b/>
                <w:spacing w:val="-2"/>
              </w:rPr>
              <w:t>Graf č. 16</w:t>
            </w:r>
            <w:r w:rsidR="0083630F" w:rsidRPr="00425211">
              <w:rPr>
                <w:b/>
                <w:spacing w:val="-2"/>
              </w:rPr>
              <w:t xml:space="preserve">  </w:t>
            </w:r>
            <w:r w:rsidR="0083630F" w:rsidRPr="00425211">
              <w:rPr>
                <w:rFonts w:cs="Arial"/>
                <w:b/>
                <w:bCs/>
                <w:spacing w:val="-2"/>
              </w:rPr>
              <w:t>Obecná míra nezaměstnanosti mužů a žen</w:t>
            </w:r>
            <w:r w:rsidR="0083630F">
              <w:rPr>
                <w:rFonts w:cs="Arial"/>
                <w:b/>
                <w:bCs/>
                <w:spacing w:val="-2"/>
              </w:rPr>
              <w:t xml:space="preserve">, podíl </w:t>
            </w:r>
            <w:proofErr w:type="spellStart"/>
            <w:r w:rsidR="0083630F">
              <w:rPr>
                <w:rFonts w:cs="Arial"/>
                <w:b/>
                <w:bCs/>
                <w:spacing w:val="-2"/>
              </w:rPr>
              <w:t>vybr</w:t>
            </w:r>
            <w:proofErr w:type="spellEnd"/>
            <w:r w:rsidR="0083630F">
              <w:rPr>
                <w:rFonts w:cs="Arial"/>
                <w:b/>
                <w:bCs/>
                <w:spacing w:val="-2"/>
              </w:rPr>
              <w:t>.</w:t>
            </w:r>
            <w:r w:rsidR="0083630F" w:rsidRPr="00425211">
              <w:rPr>
                <w:rFonts w:cs="Arial"/>
                <w:b/>
                <w:bCs/>
                <w:spacing w:val="-2"/>
              </w:rPr>
              <w:t xml:space="preserve"> skupin osob na </w:t>
            </w:r>
            <w:r w:rsidR="0083630F">
              <w:rPr>
                <w:rFonts w:cs="Arial"/>
                <w:b/>
                <w:bCs/>
                <w:spacing w:val="-2"/>
              </w:rPr>
              <w:t>všech</w:t>
            </w:r>
            <w:r w:rsidR="0083630F" w:rsidRPr="00425211">
              <w:rPr>
                <w:rFonts w:cs="Arial"/>
                <w:b/>
                <w:bCs/>
                <w:spacing w:val="-2"/>
              </w:rPr>
              <w:t xml:space="preserve"> nezaměstnaných </w:t>
            </w:r>
            <w:r w:rsidR="0083630F" w:rsidRPr="00425211">
              <w:rPr>
                <w:rFonts w:cs="Arial"/>
                <w:bCs/>
                <w:spacing w:val="-2"/>
              </w:rPr>
              <w:t>(v</w:t>
            </w:r>
            <w:r w:rsidR="0083630F">
              <w:rPr>
                <w:rFonts w:cs="Arial"/>
                <w:bCs/>
                <w:spacing w:val="-2"/>
              </w:rPr>
              <w:t> %</w:t>
            </w:r>
            <w:r w:rsidR="0083630F" w:rsidRPr="00425211">
              <w:rPr>
                <w:rFonts w:cs="Arial"/>
                <w:bCs/>
                <w:spacing w:val="-2"/>
              </w:rPr>
              <w:t xml:space="preserve">) </w:t>
            </w:r>
            <w:r w:rsidR="0083630F" w:rsidRPr="00425211">
              <w:rPr>
                <w:rFonts w:cs="Arial"/>
                <w:b/>
                <w:bCs/>
                <w:spacing w:val="-2"/>
              </w:rPr>
              <w:t xml:space="preserve">a ekonomicky neaktivní chtějící pracovat </w:t>
            </w:r>
            <w:r w:rsidR="0083630F" w:rsidRPr="00425211">
              <w:rPr>
                <w:rFonts w:cs="Arial"/>
                <w:bCs/>
                <w:spacing w:val="-2"/>
              </w:rPr>
              <w:t>(v tis.)</w:t>
            </w:r>
            <w:r w:rsidR="0083630F">
              <w:rPr>
                <w:rFonts w:cs="Arial"/>
                <w:bCs/>
                <w:spacing w:val="-2"/>
              </w:rPr>
              <w:t>*</w:t>
            </w:r>
          </w:p>
        </w:tc>
      </w:tr>
      <w:tr w:rsidR="0083630F" w:rsidRPr="00970E6F" w:rsidTr="0083630F">
        <w:trPr>
          <w:trHeight w:val="145"/>
        </w:trPr>
        <w:tc>
          <w:tcPr>
            <w:tcW w:w="1864" w:type="dxa"/>
            <w:shd w:val="clear" w:color="auto" w:fill="auto"/>
            <w:tcMar>
              <w:left w:w="0" w:type="dxa"/>
            </w:tcMar>
          </w:tcPr>
          <w:p w:rsidR="0083630F" w:rsidRDefault="0083630F" w:rsidP="0083630F">
            <w:pPr>
              <w:pStyle w:val="Marginlie"/>
            </w:pP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970E6F" w:rsidRDefault="0083630F" w:rsidP="0083630F">
            <w:pPr>
              <w:spacing w:after="0" w:line="240" w:lineRule="auto"/>
              <w:rPr>
                <w:spacing w:val="-2"/>
                <w:szCs w:val="20"/>
              </w:rPr>
            </w:pPr>
            <w:r w:rsidRPr="00FB4705">
              <w:rPr>
                <w:noProof/>
                <w:spacing w:val="-2"/>
                <w:szCs w:val="20"/>
              </w:rPr>
              <w:drawing>
                <wp:inline distT="0" distB="0" distL="0" distR="0">
                  <wp:extent cx="4757117" cy="3427012"/>
                  <wp:effectExtent l="0" t="0" r="5383" b="0"/>
                  <wp:docPr id="1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83630F" w:rsidRPr="00343AC1" w:rsidTr="0083630F">
        <w:trPr>
          <w:trHeight w:val="145"/>
        </w:trPr>
        <w:tc>
          <w:tcPr>
            <w:tcW w:w="1864" w:type="dxa"/>
            <w:shd w:val="clear" w:color="auto" w:fill="auto"/>
            <w:tcMar>
              <w:left w:w="0" w:type="dxa"/>
            </w:tcMar>
          </w:tcPr>
          <w:p w:rsidR="0083630F" w:rsidRDefault="0083630F" w:rsidP="0083630F">
            <w:pPr>
              <w:pStyle w:val="Marginlie"/>
            </w:pP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FF12EF" w:rsidRDefault="0083630F" w:rsidP="0083630F">
            <w:pPr>
              <w:spacing w:after="0" w:line="240" w:lineRule="auto"/>
              <w:rPr>
                <w:rFonts w:cs="Arial"/>
                <w:color w:val="0D0D0D" w:themeColor="text1" w:themeTint="F2"/>
                <w:sz w:val="14"/>
                <w:szCs w:val="14"/>
              </w:rPr>
            </w:pPr>
            <w:r w:rsidRPr="00FF12EF">
              <w:rPr>
                <w:rFonts w:cs="Arial"/>
                <w:color w:val="0D0D0D" w:themeColor="text1" w:themeTint="F2"/>
                <w:sz w:val="14"/>
                <w:szCs w:val="14"/>
              </w:rPr>
              <w:t xml:space="preserve">Poznámka: </w:t>
            </w:r>
            <w:r>
              <w:rPr>
                <w:rFonts w:cs="Arial"/>
                <w:color w:val="0D0D0D" w:themeColor="text1" w:themeTint="F2"/>
                <w:sz w:val="14"/>
                <w:szCs w:val="14"/>
              </w:rPr>
              <w:t xml:space="preserve">všechny </w:t>
            </w:r>
            <w:r w:rsidRPr="00FF12EF">
              <w:rPr>
                <w:rFonts w:cs="Arial"/>
                <w:color w:val="0D0D0D" w:themeColor="text1" w:themeTint="F2"/>
                <w:sz w:val="14"/>
                <w:szCs w:val="14"/>
              </w:rPr>
              <w:t>údaje týkající se nezaměstnanosti jsou sezónně očištěny.</w:t>
            </w:r>
          </w:p>
          <w:p w:rsidR="0083630F" w:rsidRPr="00343AC1" w:rsidRDefault="0083630F" w:rsidP="0083630F">
            <w:pPr>
              <w:spacing w:after="200" w:line="240" w:lineRule="auto"/>
              <w:rPr>
                <w:rFonts w:cs="Arial"/>
                <w:color w:val="0D0D0D" w:themeColor="text1" w:themeTint="F2"/>
                <w:sz w:val="14"/>
                <w:szCs w:val="14"/>
              </w:rPr>
            </w:pPr>
            <w:r w:rsidRPr="00FF12EF">
              <w:rPr>
                <w:rFonts w:cs="Arial"/>
                <w:color w:val="0D0D0D" w:themeColor="text1" w:themeTint="F2"/>
                <w:sz w:val="14"/>
                <w:szCs w:val="14"/>
              </w:rPr>
              <w:t>*</w:t>
            </w:r>
            <w:r w:rsidRPr="00FF12EF">
              <w:rPr>
                <w:rFonts w:cs="Arial"/>
                <w:bCs/>
                <w:color w:val="0D0D0D" w:themeColor="text1" w:themeTint="F2"/>
                <w:sz w:val="14"/>
                <w:szCs w:val="14"/>
              </w:rPr>
              <w:t>Jde o osoby, které nepracují, aktivně práci nehledají (a nesplňují tak podmínky ILO pro nezaměstnané),</w:t>
            </w:r>
            <w:r w:rsidRPr="00FF12EF">
              <w:rPr>
                <w:rFonts w:cs="Arial"/>
                <w:color w:val="0D0D0D" w:themeColor="text1" w:themeTint="F2"/>
                <w:sz w:val="14"/>
                <w:szCs w:val="14"/>
              </w:rPr>
              <w:t xml:space="preserve"> ale přitom </w:t>
            </w:r>
            <w:r>
              <w:rPr>
                <w:rFonts w:cs="Arial"/>
                <w:color w:val="0D0D0D" w:themeColor="text1" w:themeTint="F2"/>
                <w:sz w:val="14"/>
                <w:szCs w:val="14"/>
              </w:rPr>
              <w:t xml:space="preserve">uvádějí, že by chtěly pracovat.                                                           </w:t>
            </w:r>
            <w:r w:rsidRPr="00FF12EF">
              <w:rPr>
                <w:rFonts w:cs="Arial"/>
                <w:color w:val="0D0D0D" w:themeColor="text1" w:themeTint="F2"/>
                <w:sz w:val="14"/>
                <w:szCs w:val="14"/>
              </w:rPr>
              <w:t>Zdroj: ČSÚ (VŠPS</w:t>
            </w:r>
            <w:r>
              <w:rPr>
                <w:rFonts w:cs="Arial"/>
                <w:color w:val="0D0D0D" w:themeColor="text1" w:themeTint="F2"/>
                <w:sz w:val="14"/>
                <w:szCs w:val="14"/>
              </w:rPr>
              <w:t xml:space="preserve"> – </w:t>
            </w:r>
            <w:r w:rsidRPr="00FF12EF">
              <w:rPr>
                <w:rFonts w:cs="Arial"/>
                <w:color w:val="0D0D0D" w:themeColor="text1" w:themeTint="F2"/>
                <w:sz w:val="14"/>
                <w:szCs w:val="14"/>
              </w:rPr>
              <w:t>výběrové šetření pracovních sil)</w:t>
            </w:r>
          </w:p>
        </w:tc>
      </w:tr>
      <w:tr w:rsidR="0083630F" w:rsidRPr="00D95458" w:rsidTr="0083630F">
        <w:trPr>
          <w:trHeight w:val="145"/>
        </w:trPr>
        <w:tc>
          <w:tcPr>
            <w:tcW w:w="1864" w:type="dxa"/>
            <w:shd w:val="clear" w:color="auto" w:fill="auto"/>
            <w:tcMar>
              <w:left w:w="0" w:type="dxa"/>
            </w:tcMar>
          </w:tcPr>
          <w:p w:rsidR="0083630F" w:rsidRDefault="0083630F" w:rsidP="0083630F">
            <w:pPr>
              <w:pStyle w:val="Marginlie"/>
            </w:pPr>
            <w:r>
              <w:t>Pokles obecné míry nezaměstnanosti se v průběhu roku 2018 prakticky zastavil.</w:t>
            </w: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D95458" w:rsidRDefault="0083630F" w:rsidP="00781A91">
            <w:pPr>
              <w:spacing w:after="200"/>
              <w:rPr>
                <w:spacing w:val="-3"/>
              </w:rPr>
            </w:pPr>
            <w:r>
              <w:rPr>
                <w:spacing w:val="-3"/>
              </w:rPr>
              <w:t xml:space="preserve">Trend poklesu obecné míry nezaměstnanosti, který ve výrazně nezměněném tempu </w:t>
            </w:r>
            <w:r w:rsidR="00EE6E06">
              <w:rPr>
                <w:spacing w:val="-3"/>
              </w:rPr>
              <w:t>trval celé</w:t>
            </w:r>
            <w:r>
              <w:rPr>
                <w:spacing w:val="-3"/>
              </w:rPr>
              <w:t xml:space="preserve"> čtyři roky, se s příchodem roku 2018 prakticky zastavil. Sezónně očištěná míra nezaměstnanosti osob ve věku 15 až 64 let dosahovala v září u mužů 1,9 %, </w:t>
            </w:r>
            <w:r w:rsidR="00EE6E06">
              <w:rPr>
                <w:spacing w:val="-3"/>
              </w:rPr>
              <w:t>u </w:t>
            </w:r>
            <w:r>
              <w:rPr>
                <w:spacing w:val="-3"/>
              </w:rPr>
              <w:t xml:space="preserve">žen 2,6 % (na sklonku </w:t>
            </w:r>
            <w:r w:rsidR="00EE6E06">
              <w:rPr>
                <w:spacing w:val="-3"/>
              </w:rPr>
              <w:t>roku 2017</w:t>
            </w:r>
            <w:r>
              <w:rPr>
                <w:spacing w:val="-3"/>
              </w:rPr>
              <w:t xml:space="preserve"> činily obdobné podíly 2,0 %, resp. 2,9 %). Že další pokles nezaměstnanosti naráží na své limity, dokreslují i údaje o počtu registrovaných uchazečů o práci v evidenci úřadů práce (ÚP)</w:t>
            </w:r>
            <w:r>
              <w:rPr>
                <w:rStyle w:val="Znakapoznpodarou"/>
                <w:spacing w:val="-3"/>
              </w:rPr>
              <w:footnoteReference w:id="37"/>
            </w:r>
            <w:r>
              <w:rPr>
                <w:spacing w:val="-3"/>
              </w:rPr>
              <w:t>.</w:t>
            </w:r>
            <w:r>
              <w:rPr>
                <w:rFonts w:cs="Arial"/>
                <w:color w:val="0D0D0D" w:themeColor="text1" w:themeTint="F2"/>
                <w:spacing w:val="-4"/>
              </w:rPr>
              <w:t xml:space="preserve"> K</w:t>
            </w:r>
            <w:r w:rsidR="00116D3F">
              <w:rPr>
                <w:rFonts w:cs="Arial"/>
                <w:color w:val="0D0D0D" w:themeColor="text1" w:themeTint="F2"/>
                <w:spacing w:val="-4"/>
              </w:rPr>
              <w:t xml:space="preserve"> meziroční </w:t>
            </w:r>
            <w:r>
              <w:rPr>
                <w:rFonts w:cs="Arial"/>
                <w:color w:val="0D0D0D" w:themeColor="text1" w:themeTint="F2"/>
                <w:spacing w:val="-4"/>
              </w:rPr>
              <w:t xml:space="preserve">redukci počtu nezaměstnaných (dle VŠPS) </w:t>
            </w:r>
            <w:r w:rsidR="00EE6E06">
              <w:rPr>
                <w:rFonts w:cs="Arial"/>
                <w:color w:val="0D0D0D" w:themeColor="text1" w:themeTint="F2"/>
                <w:spacing w:val="-4"/>
              </w:rPr>
              <w:t>i </w:t>
            </w:r>
            <w:r>
              <w:rPr>
                <w:rFonts w:cs="Arial"/>
                <w:color w:val="0D0D0D" w:themeColor="text1" w:themeTint="F2"/>
                <w:spacing w:val="-4"/>
              </w:rPr>
              <w:t xml:space="preserve">ve 3. čtvrtletí z třetiny přispěli lidé, kteří byli bez práce déle </w:t>
            </w:r>
            <w:r>
              <w:rPr>
                <w:rFonts w:cs="Arial"/>
                <w:color w:val="0D0D0D" w:themeColor="text1" w:themeTint="F2"/>
                <w:spacing w:val="-4"/>
              </w:rPr>
              <w:lastRenderedPageBreak/>
              <w:t>než rok. Podíl těchto osob na celkovém počtu nezaměstnaných se snížil na 28,5 %</w:t>
            </w:r>
            <w:r>
              <w:rPr>
                <w:rStyle w:val="Znakapoznpodarou"/>
                <w:color w:val="0D0D0D" w:themeColor="text1" w:themeTint="F2"/>
                <w:spacing w:val="-4"/>
              </w:rPr>
              <w:footnoteReference w:id="38"/>
            </w:r>
            <w:r>
              <w:rPr>
                <w:rFonts w:cs="Arial"/>
                <w:color w:val="0D0D0D" w:themeColor="text1" w:themeTint="F2"/>
                <w:spacing w:val="-4"/>
              </w:rPr>
              <w:t>, tedy na úroveň nižší než ve třech čtvrtinách zemí EU.</w:t>
            </w:r>
          </w:p>
        </w:tc>
      </w:tr>
      <w:tr w:rsidR="0083630F" w:rsidRPr="00A67CD9" w:rsidTr="0083630F">
        <w:trPr>
          <w:trHeight w:val="145"/>
        </w:trPr>
        <w:tc>
          <w:tcPr>
            <w:tcW w:w="1864" w:type="dxa"/>
            <w:shd w:val="clear" w:color="auto" w:fill="auto"/>
            <w:tcMar>
              <w:left w:w="0" w:type="dxa"/>
            </w:tcMar>
          </w:tcPr>
          <w:p w:rsidR="0083630F" w:rsidRDefault="0083630F" w:rsidP="0083630F">
            <w:pPr>
              <w:pStyle w:val="Marginlie"/>
            </w:pPr>
            <w:r>
              <w:lastRenderedPageBreak/>
              <w:t xml:space="preserve">Počet pracovních míst v nabídce ÚP meziměsíčně rostl již téměř dva roky. Nová místa se stále častěji koncentrovala do méně kvalifikovaných manuálních </w:t>
            </w:r>
            <w:r w:rsidR="0040368D">
              <w:t>činností</w:t>
            </w:r>
            <w:r>
              <w:t xml:space="preserve">. </w:t>
            </w: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A67CD9" w:rsidRDefault="0083630F" w:rsidP="00781A91">
            <w:pPr>
              <w:spacing w:after="200"/>
              <w:rPr>
                <w:rFonts w:cs="Arial"/>
                <w:color w:val="0D0D0D" w:themeColor="text1" w:themeTint="F2"/>
                <w:spacing w:val="-4"/>
              </w:rPr>
            </w:pPr>
            <w:r w:rsidRPr="00A67CD9">
              <w:rPr>
                <w:rFonts w:cs="Arial"/>
                <w:color w:val="0D0D0D" w:themeColor="text1" w:themeTint="F2"/>
                <w:spacing w:val="-4"/>
              </w:rPr>
              <w:t>Poptávka po pracovní</w:t>
            </w:r>
            <w:r w:rsidR="0040368D">
              <w:rPr>
                <w:rFonts w:cs="Arial"/>
                <w:color w:val="0D0D0D" w:themeColor="text1" w:themeTint="F2"/>
                <w:spacing w:val="-4"/>
              </w:rPr>
              <w:t>cí</w:t>
            </w:r>
            <w:r w:rsidRPr="00A67CD9">
              <w:rPr>
                <w:rFonts w:cs="Arial"/>
                <w:color w:val="0D0D0D" w:themeColor="text1" w:themeTint="F2"/>
                <w:spacing w:val="-4"/>
              </w:rPr>
              <w:t>ch zůstává v tuzemské ekonomice nadále silná. Počet volných pracov</w:t>
            </w:r>
            <w:r w:rsidR="00116D3F">
              <w:rPr>
                <w:rFonts w:cs="Arial"/>
                <w:color w:val="0D0D0D" w:themeColor="text1" w:themeTint="F2"/>
                <w:spacing w:val="-4"/>
              </w:rPr>
              <w:t>ních pozic v nabídce</w:t>
            </w:r>
            <w:r w:rsidRPr="00A67CD9">
              <w:rPr>
                <w:rFonts w:cs="Arial"/>
                <w:color w:val="0D0D0D" w:themeColor="text1" w:themeTint="F2"/>
                <w:spacing w:val="-4"/>
              </w:rPr>
              <w:t xml:space="preserve"> ÚP</w:t>
            </w:r>
            <w:r>
              <w:rPr>
                <w:rFonts w:cs="Arial"/>
                <w:color w:val="0D0D0D" w:themeColor="text1" w:themeTint="F2"/>
                <w:spacing w:val="-4"/>
              </w:rPr>
              <w:t xml:space="preserve"> rostl (navzdory sezónním vlivům) nepřetržitě již </w:t>
            </w:r>
            <w:r w:rsidR="0040368D">
              <w:rPr>
                <w:rFonts w:cs="Arial"/>
                <w:color w:val="0D0D0D" w:themeColor="text1" w:themeTint="F2"/>
                <w:spacing w:val="-4"/>
              </w:rPr>
              <w:t>22 </w:t>
            </w:r>
            <w:r>
              <w:rPr>
                <w:rFonts w:cs="Arial"/>
                <w:color w:val="0D0D0D" w:themeColor="text1" w:themeTint="F2"/>
                <w:spacing w:val="-4"/>
              </w:rPr>
              <w:t xml:space="preserve">měsíců v řadě. Na konci září 2018 vyšplhal na rekordních 316 tis. míst. Údaje z posledních měsíců ale naznačovaly, že </w:t>
            </w:r>
            <w:r w:rsidR="0040368D">
              <w:rPr>
                <w:rFonts w:cs="Arial"/>
                <w:color w:val="0D0D0D" w:themeColor="text1" w:themeTint="F2"/>
                <w:spacing w:val="-4"/>
              </w:rPr>
              <w:t xml:space="preserve">tempo </w:t>
            </w:r>
            <w:r>
              <w:rPr>
                <w:rFonts w:cs="Arial"/>
                <w:color w:val="0D0D0D" w:themeColor="text1" w:themeTint="F2"/>
                <w:spacing w:val="-4"/>
              </w:rPr>
              <w:t>přírůstku volných míst oslabuje. Přírůstek volných míst byl z pohledu kvalifikačních nároků i regionů značně nerovnoměrný.</w:t>
            </w:r>
            <w:r w:rsidR="00D922A1">
              <w:rPr>
                <w:rFonts w:cs="Arial"/>
                <w:color w:val="0D0D0D" w:themeColor="text1" w:themeTint="F2"/>
                <w:spacing w:val="-4"/>
              </w:rPr>
              <w:t xml:space="preserve"> </w:t>
            </w:r>
            <w:r>
              <w:rPr>
                <w:rFonts w:cs="Arial"/>
                <w:color w:val="0D0D0D" w:themeColor="text1" w:themeTint="F2"/>
                <w:spacing w:val="-4"/>
              </w:rPr>
              <w:t xml:space="preserve">Na meziročním přírůstku míst se 85 % podílely pozice s velmi nízkými deklarovanými kvalifikačními nároky (maximálně základní vzdělání), z pohledu odvětví přibyla nejvíce místa v průmyslu (20,5 tis.), ve stavebnictví (10,0 tis.) </w:t>
            </w:r>
            <w:r w:rsidR="0040368D">
              <w:rPr>
                <w:rFonts w:cs="Arial"/>
                <w:color w:val="0D0D0D" w:themeColor="text1" w:themeTint="F2"/>
                <w:spacing w:val="-4"/>
              </w:rPr>
              <w:t>a </w:t>
            </w:r>
            <w:r>
              <w:rPr>
                <w:rFonts w:cs="Arial"/>
                <w:color w:val="0D0D0D" w:themeColor="text1" w:themeTint="F2"/>
                <w:spacing w:val="-4"/>
              </w:rPr>
              <w:t>v</w:t>
            </w:r>
            <w:r w:rsidR="0040368D">
              <w:rPr>
                <w:rFonts w:cs="Arial"/>
                <w:color w:val="0D0D0D" w:themeColor="text1" w:themeTint="F2"/>
                <w:spacing w:val="-4"/>
              </w:rPr>
              <w:t xml:space="preserve"> odvětví </w:t>
            </w:r>
            <w:r>
              <w:rPr>
                <w:rFonts w:cs="Arial"/>
                <w:color w:val="0D0D0D" w:themeColor="text1" w:themeTint="F2"/>
                <w:spacing w:val="-4"/>
              </w:rPr>
              <w:t xml:space="preserve">administrativních a podpůrných </w:t>
            </w:r>
            <w:r w:rsidR="0040368D">
              <w:rPr>
                <w:rFonts w:cs="Arial"/>
                <w:color w:val="0D0D0D" w:themeColor="text1" w:themeTint="F2"/>
                <w:spacing w:val="-4"/>
              </w:rPr>
              <w:t>činností</w:t>
            </w:r>
            <w:r>
              <w:rPr>
                <w:rFonts w:cs="Arial"/>
                <w:color w:val="0D0D0D" w:themeColor="text1" w:themeTint="F2"/>
                <w:spacing w:val="-4"/>
              </w:rPr>
              <w:t xml:space="preserve">, které zahrnuje i agenturní pracovníky (8,3 tis.). Naproti tomu nabídka míst pro osoby s maturitním či vyšším vzděláním vzrostla jen </w:t>
            </w:r>
            <w:r w:rsidR="0040368D">
              <w:rPr>
                <w:rFonts w:cs="Arial"/>
                <w:color w:val="0D0D0D" w:themeColor="text1" w:themeTint="F2"/>
                <w:spacing w:val="-4"/>
              </w:rPr>
              <w:t>o </w:t>
            </w:r>
            <w:r>
              <w:rPr>
                <w:rFonts w:cs="Arial"/>
                <w:color w:val="0D0D0D" w:themeColor="text1" w:themeTint="F2"/>
                <w:spacing w:val="-4"/>
              </w:rPr>
              <w:t>5,</w:t>
            </w:r>
            <w:r w:rsidR="0040368D">
              <w:rPr>
                <w:rFonts w:cs="Arial"/>
                <w:color w:val="0D0D0D" w:themeColor="text1" w:themeTint="F2"/>
                <w:spacing w:val="-4"/>
              </w:rPr>
              <w:t>8 </w:t>
            </w:r>
            <w:r>
              <w:rPr>
                <w:rFonts w:cs="Arial"/>
                <w:color w:val="0D0D0D" w:themeColor="text1" w:themeTint="F2"/>
                <w:spacing w:val="-4"/>
              </w:rPr>
              <w:t xml:space="preserve">tis. Prohloubila se tak disproporce mezi skladbou nabízených míst a registrovanými uchazeči o práci. </w:t>
            </w:r>
          </w:p>
        </w:tc>
      </w:tr>
      <w:tr w:rsidR="0083630F" w:rsidRPr="00B4411A" w:rsidTr="0083630F">
        <w:trPr>
          <w:trHeight w:val="145"/>
        </w:trPr>
        <w:tc>
          <w:tcPr>
            <w:tcW w:w="1864" w:type="dxa"/>
            <w:shd w:val="clear" w:color="auto" w:fill="auto"/>
            <w:tcMar>
              <w:left w:w="0" w:type="dxa"/>
            </w:tcMar>
          </w:tcPr>
          <w:p w:rsidR="0083630F" w:rsidRDefault="0083630F" w:rsidP="0083630F">
            <w:pPr>
              <w:pStyle w:val="Marginlie"/>
            </w:pPr>
            <w:r>
              <w:t>Převis volných míst nad uchazeči hlásily na konci září již tři pětiny okresů.</w:t>
            </w: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B4411A" w:rsidRDefault="0083630F" w:rsidP="00781A91">
            <w:pPr>
              <w:spacing w:after="200"/>
              <w:rPr>
                <w:spacing w:val="-4"/>
              </w:rPr>
            </w:pPr>
            <w:r>
              <w:rPr>
                <w:rFonts w:cs="Arial"/>
                <w:color w:val="0D0D0D" w:themeColor="text1" w:themeTint="F2"/>
                <w:spacing w:val="-4"/>
              </w:rPr>
              <w:t xml:space="preserve">Na konci září připadalo na jedno volné místo 0,7 uchazeče, počet volných míst začal přitom převyšovat četnost uchazečů od letošního dubna. Obdobná situace panovala na konci září ve třech pětinách okresů ČR. Na krajské úrovni byl mírný převis uchazečů registrován pouze na Ústecku (1,8) a </w:t>
            </w:r>
            <w:proofErr w:type="spellStart"/>
            <w:r>
              <w:rPr>
                <w:rFonts w:cs="Arial"/>
                <w:color w:val="0D0D0D" w:themeColor="text1" w:themeTint="F2"/>
                <w:spacing w:val="-4"/>
              </w:rPr>
              <w:t>Moravskoslezsku</w:t>
            </w:r>
            <w:proofErr w:type="spellEnd"/>
            <w:r>
              <w:rPr>
                <w:rFonts w:cs="Arial"/>
                <w:color w:val="0D0D0D" w:themeColor="text1" w:themeTint="F2"/>
                <w:spacing w:val="-4"/>
              </w:rPr>
              <w:t xml:space="preserve"> (2,2). Obdobné relace z hlediska kvalifikačních tříd dokládají, že problém podniků s nalezením kvalifikované i nekvalifikované manuální pracovní síly se nadále vyostřoval. V kategorii obsluha strojů a zařízení připadalo na volné místo 0,2 uchazeče, u pomocných a nekvalifikovaných pracovníků 0,8. Nedostatek volných pracovníků se ale projevoval i u některých vysoce kvalifikovaných profesí (v kategorii specialisté připadalo na volné místo 0,8 </w:t>
            </w:r>
            <w:r w:rsidR="005410E2">
              <w:rPr>
                <w:rFonts w:cs="Arial"/>
                <w:color w:val="0D0D0D" w:themeColor="text1" w:themeTint="F2"/>
                <w:spacing w:val="-4"/>
              </w:rPr>
              <w:t>uchazeče</w:t>
            </w:r>
            <w:r>
              <w:rPr>
                <w:rFonts w:cs="Arial"/>
                <w:color w:val="0D0D0D" w:themeColor="text1" w:themeTint="F2"/>
                <w:spacing w:val="-4"/>
              </w:rPr>
              <w:t xml:space="preserve">). </w:t>
            </w:r>
          </w:p>
        </w:tc>
      </w:tr>
      <w:tr w:rsidR="0083630F" w:rsidRPr="004621FE" w:rsidTr="0083630F">
        <w:trPr>
          <w:trHeight w:val="145"/>
        </w:trPr>
        <w:tc>
          <w:tcPr>
            <w:tcW w:w="1864" w:type="dxa"/>
            <w:shd w:val="clear" w:color="auto" w:fill="auto"/>
            <w:tcMar>
              <w:left w:w="0" w:type="dxa"/>
            </w:tcMar>
          </w:tcPr>
          <w:p w:rsidR="0083630F" w:rsidRDefault="0083630F" w:rsidP="0083630F">
            <w:pPr>
              <w:pStyle w:val="Marginlie"/>
            </w:pPr>
            <w:r>
              <w:t>Nezaměstnanost dále klesala napříč téměř všemi státy EU. Česko si udrželo primát země s nejnižší úrovní nezaměstnanosti.</w:t>
            </w:r>
          </w:p>
          <w:p w:rsidR="0083630F" w:rsidRDefault="0083630F" w:rsidP="0083630F">
            <w:pPr>
              <w:pStyle w:val="Marginlie"/>
            </w:pP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4621FE" w:rsidRDefault="0083630F" w:rsidP="0083630F">
            <w:pPr>
              <w:spacing w:after="200"/>
              <w:rPr>
                <w:rFonts w:cs="Arial"/>
                <w:color w:val="0D0D0D" w:themeColor="text1" w:themeTint="F2"/>
                <w:spacing w:val="-4"/>
              </w:rPr>
            </w:pPr>
            <w:r>
              <w:rPr>
                <w:rFonts w:cs="Arial"/>
                <w:color w:val="0D0D0D" w:themeColor="text1" w:themeTint="F2"/>
                <w:spacing w:val="-4"/>
              </w:rPr>
              <w:t>Obecná míra nezaměstnanost</w:t>
            </w:r>
            <w:r w:rsidR="00205186">
              <w:rPr>
                <w:rFonts w:cs="Arial"/>
                <w:color w:val="0D0D0D" w:themeColor="text1" w:themeTint="F2"/>
                <w:spacing w:val="-4"/>
              </w:rPr>
              <w:t>i</w:t>
            </w:r>
            <w:r>
              <w:rPr>
                <w:rFonts w:cs="Arial"/>
                <w:color w:val="0D0D0D" w:themeColor="text1" w:themeTint="F2"/>
                <w:spacing w:val="-4"/>
              </w:rPr>
              <w:t xml:space="preserve"> klesala stabilním tempem i v EU. Na konci září 2018 činila (dle sezónně očištěných údajů) 6,7 %, v zemích platících </w:t>
            </w:r>
            <w:r w:rsidR="00205186">
              <w:rPr>
                <w:rFonts w:cs="Arial"/>
                <w:color w:val="0D0D0D" w:themeColor="text1" w:themeTint="F2"/>
                <w:spacing w:val="-4"/>
              </w:rPr>
              <w:t xml:space="preserve">eurem </w:t>
            </w:r>
            <w:r>
              <w:rPr>
                <w:rFonts w:cs="Arial"/>
                <w:color w:val="0D0D0D" w:themeColor="text1" w:themeTint="F2"/>
                <w:spacing w:val="-4"/>
              </w:rPr>
              <w:t>pak 8,1 %. Meziročně se v obou těchto uskupeních snížila o 0,8 p.</w:t>
            </w:r>
            <w:r w:rsidR="00205186">
              <w:rPr>
                <w:rFonts w:cs="Arial"/>
                <w:color w:val="0D0D0D" w:themeColor="text1" w:themeTint="F2"/>
                <w:spacing w:val="-4"/>
              </w:rPr>
              <w:t> </w:t>
            </w:r>
            <w:r>
              <w:rPr>
                <w:rFonts w:cs="Arial"/>
                <w:color w:val="0D0D0D" w:themeColor="text1" w:themeTint="F2"/>
                <w:spacing w:val="-4"/>
              </w:rPr>
              <w:t xml:space="preserve">b. Česko si i nadále drželo pozici státu s nejnižší nezaměstnaností, následované Německem (3,4 %). Nízkou nezaměstnanost (pod 4 %) vykazovaly i Polsko, Maďarsko, Nizozemsko a Malta. Míra nezaměstnanosti se meziročně snížila ve všech státech Unie (kromě Estonska). V některých státech (Francie, země jižního křídla </w:t>
            </w:r>
            <w:proofErr w:type="spellStart"/>
            <w:r w:rsidR="00205186">
              <w:rPr>
                <w:rFonts w:cs="Arial"/>
                <w:color w:val="0D0D0D" w:themeColor="text1" w:themeTint="F2"/>
                <w:spacing w:val="-4"/>
              </w:rPr>
              <w:t>eurozóny</w:t>
            </w:r>
            <w:proofErr w:type="spellEnd"/>
            <w:r>
              <w:rPr>
                <w:rFonts w:cs="Arial"/>
                <w:color w:val="0D0D0D" w:themeColor="text1" w:themeTint="F2"/>
                <w:spacing w:val="-4"/>
              </w:rPr>
              <w:t>) byl však pokles navzdory vysoké loňské základně stále relativně pomalý. I proto se držela nezaměstnanost v </w:t>
            </w:r>
            <w:proofErr w:type="spellStart"/>
            <w:r w:rsidR="00205186">
              <w:rPr>
                <w:rFonts w:cs="Arial"/>
                <w:color w:val="0D0D0D" w:themeColor="text1" w:themeTint="F2"/>
                <w:spacing w:val="-4"/>
              </w:rPr>
              <w:t>eurozóně</w:t>
            </w:r>
            <w:proofErr w:type="spellEnd"/>
            <w:r w:rsidR="00205186">
              <w:rPr>
                <w:rFonts w:cs="Arial"/>
                <w:color w:val="0D0D0D" w:themeColor="text1" w:themeTint="F2"/>
                <w:spacing w:val="-4"/>
              </w:rPr>
              <w:t xml:space="preserve"> </w:t>
            </w:r>
            <w:r>
              <w:rPr>
                <w:rFonts w:cs="Arial"/>
                <w:color w:val="0D0D0D" w:themeColor="text1" w:themeTint="F2"/>
                <w:spacing w:val="-4"/>
              </w:rPr>
              <w:t>o téměř 1 p. b. nad úrovní lokálního mimina (z vrcholu konjunktury minulé dekády), zatímco v celé EU tuto úroveň již ve 2. letošním čtvrtletí překonala.</w:t>
            </w:r>
          </w:p>
        </w:tc>
      </w:tr>
      <w:tr w:rsidR="0083630F" w:rsidRPr="003422D9" w:rsidTr="0083630F">
        <w:trPr>
          <w:trHeight w:val="145"/>
        </w:trPr>
        <w:tc>
          <w:tcPr>
            <w:tcW w:w="1864" w:type="dxa"/>
            <w:shd w:val="clear" w:color="auto" w:fill="auto"/>
            <w:tcMar>
              <w:left w:w="0" w:type="dxa"/>
            </w:tcMar>
          </w:tcPr>
          <w:p w:rsidR="0083630F" w:rsidRDefault="0083630F" w:rsidP="0083630F">
            <w:pPr>
              <w:pStyle w:val="Marginlie"/>
            </w:pPr>
            <w:r>
              <w:t>Mzdový růst se v průběhu roku 2018 stabilizoval na vysoké úrovni.</w:t>
            </w: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3422D9" w:rsidRDefault="0083630F" w:rsidP="00A41FCF">
            <w:pPr>
              <w:spacing w:after="0"/>
              <w:rPr>
                <w:rFonts w:cs="Arial"/>
                <w:szCs w:val="20"/>
              </w:rPr>
            </w:pPr>
            <w:r>
              <w:rPr>
                <w:rFonts w:cs="Arial"/>
                <w:szCs w:val="20"/>
              </w:rPr>
              <w:t xml:space="preserve">V 1. až 3. </w:t>
            </w:r>
            <w:r w:rsidRPr="003422D9">
              <w:rPr>
                <w:rFonts w:cs="Arial"/>
                <w:szCs w:val="20"/>
              </w:rPr>
              <w:t xml:space="preserve">čtvrtletí </w:t>
            </w:r>
            <w:r>
              <w:rPr>
                <w:rFonts w:cs="Arial"/>
                <w:szCs w:val="20"/>
              </w:rPr>
              <w:t xml:space="preserve">2018 vzrostla </w:t>
            </w:r>
            <w:r>
              <w:rPr>
                <w:rFonts w:cs="Arial"/>
                <w:color w:val="0D0D0D" w:themeColor="text1" w:themeTint="F2"/>
                <w:spacing w:val="-4"/>
              </w:rPr>
              <w:t>dle podnikových statistik průměrná hrubá nominální mz</w:t>
            </w:r>
            <w:r w:rsidR="00EA2841">
              <w:rPr>
                <w:rFonts w:cs="Arial"/>
                <w:color w:val="0D0D0D" w:themeColor="text1" w:themeTint="F2"/>
                <w:spacing w:val="-4"/>
              </w:rPr>
              <w:t>da v národním hospodářství o 8,6</w:t>
            </w:r>
            <w:r>
              <w:rPr>
                <w:rFonts w:cs="Arial"/>
                <w:color w:val="0D0D0D" w:themeColor="text1" w:themeTint="F2"/>
                <w:spacing w:val="-4"/>
              </w:rPr>
              <w:t xml:space="preserve"> %</w:t>
            </w:r>
            <w:r w:rsidR="00227F53">
              <w:rPr>
                <w:rFonts w:cs="Arial"/>
                <w:color w:val="0D0D0D" w:themeColor="text1" w:themeTint="F2"/>
                <w:spacing w:val="-4"/>
              </w:rPr>
              <w:t>,</w:t>
            </w:r>
            <w:r>
              <w:rPr>
                <w:rFonts w:cs="Arial"/>
                <w:color w:val="0D0D0D" w:themeColor="text1" w:themeTint="F2"/>
                <w:spacing w:val="-4"/>
              </w:rPr>
              <w:t xml:space="preserve"> a mírně tak překonala tempa z konjunkturních let 2007 a 2008. V průběhu letošního roku již růstové tempo mezd stagnovalo. Vysoký mzdový růst byl výsledkem především přetrvávající silné poptávky po pracovnících, která při praktickém vyčerpání volných pracovních sil v tuzemsku nemohla být adekvátně uspokojena. Důležitou roli hrála také hospodářská politika státu, jež se projevovala jak významným posilováním rozpočtových prostředků na mzdy zaměstnanců ve veřejném sektoru, tak i pravidelným navyšováním minimální mzdy (s dopadem i na výši zaručené mzdy) tlumícím růst mzdové diferenciace. Silný tržní tlak na růst mezd doprovázený letošním zpomalením výkonu ekonomiky vyústil ve snížení míry zisku v podnikové sféře. Mzdová dynamika výrazně převyšovala vývoj produktivity práce. Zatímco v předchozích třech letech byl typickým rysem vývoje silný růst průměrných výdělků v odvětvích s velmi nízkou mzdovou úrovní, letos se jako významnější ukázala silná mzdová dynamika mezd v odvětvích s dominancí </w:t>
            </w:r>
            <w:r w:rsidRPr="00F03F8D">
              <w:rPr>
                <w:spacing w:val="-2"/>
              </w:rPr>
              <w:t>veřejných institucí.</w:t>
            </w:r>
          </w:p>
        </w:tc>
      </w:tr>
      <w:tr w:rsidR="0083630F" w:rsidRPr="00182602" w:rsidTr="0083630F">
        <w:trPr>
          <w:trHeight w:val="145"/>
        </w:trPr>
        <w:tc>
          <w:tcPr>
            <w:tcW w:w="1864" w:type="dxa"/>
            <w:shd w:val="clear" w:color="auto" w:fill="auto"/>
            <w:tcMar>
              <w:left w:w="0" w:type="dxa"/>
            </w:tcMar>
          </w:tcPr>
          <w:p w:rsidR="0083630F" w:rsidRDefault="0083630F" w:rsidP="0083630F">
            <w:pPr>
              <w:pStyle w:val="Marginlie"/>
            </w:pP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182602" w:rsidRDefault="00A925B1" w:rsidP="0083630F">
            <w:pPr>
              <w:spacing w:after="0" w:line="240" w:lineRule="auto"/>
              <w:rPr>
                <w:rFonts w:cs="Arial"/>
                <w:color w:val="0D0D0D" w:themeColor="text1" w:themeTint="F2"/>
                <w:spacing w:val="-4"/>
              </w:rPr>
            </w:pPr>
            <w:r>
              <w:rPr>
                <w:b/>
              </w:rPr>
              <w:t>Graf č. 17</w:t>
            </w:r>
            <w:r w:rsidR="0083630F">
              <w:rPr>
                <w:b/>
              </w:rPr>
              <w:t xml:space="preserve">  </w:t>
            </w:r>
            <w:r w:rsidR="0083630F">
              <w:rPr>
                <w:rFonts w:cs="Arial"/>
                <w:b/>
                <w:bCs/>
                <w:spacing w:val="-2"/>
              </w:rPr>
              <w:t xml:space="preserve">Průměrná hrubá měsíční mzda, rozpětí jejího tempa mezi odvětvími*, mzdový medián </w:t>
            </w:r>
            <w:r w:rsidR="0083630F">
              <w:rPr>
                <w:rFonts w:cs="Arial"/>
                <w:bCs/>
                <w:spacing w:val="-2"/>
              </w:rPr>
              <w:t>(meziročně</w:t>
            </w:r>
            <w:r w:rsidR="0083630F" w:rsidRPr="0006150D">
              <w:rPr>
                <w:rFonts w:cs="Arial"/>
                <w:bCs/>
                <w:spacing w:val="-2"/>
              </w:rPr>
              <w:t>, v</w:t>
            </w:r>
            <w:r w:rsidR="0083630F">
              <w:rPr>
                <w:rFonts w:cs="Arial"/>
                <w:bCs/>
                <w:spacing w:val="-2"/>
              </w:rPr>
              <w:t> %</w:t>
            </w:r>
            <w:r w:rsidR="0083630F" w:rsidRPr="0006150D">
              <w:rPr>
                <w:rFonts w:cs="Arial"/>
                <w:bCs/>
                <w:spacing w:val="-2"/>
              </w:rPr>
              <w:t>)</w:t>
            </w:r>
            <w:r w:rsidR="0083630F">
              <w:rPr>
                <w:rFonts w:cs="Arial"/>
                <w:bCs/>
                <w:spacing w:val="-2"/>
              </w:rPr>
              <w:t xml:space="preserve"> </w:t>
            </w:r>
            <w:r w:rsidR="0083630F" w:rsidRPr="00560905">
              <w:rPr>
                <w:rFonts w:cs="Arial"/>
                <w:b/>
                <w:bCs/>
                <w:spacing w:val="-2"/>
              </w:rPr>
              <w:t>a produktivita práce</w:t>
            </w:r>
            <w:r w:rsidR="0083630F">
              <w:rPr>
                <w:rFonts w:cs="Arial"/>
                <w:b/>
                <w:bCs/>
                <w:spacing w:val="-2"/>
              </w:rPr>
              <w:t>**</w:t>
            </w:r>
          </w:p>
        </w:tc>
      </w:tr>
      <w:tr w:rsidR="0083630F" w:rsidRPr="00182602" w:rsidTr="0083630F">
        <w:trPr>
          <w:trHeight w:val="145"/>
        </w:trPr>
        <w:tc>
          <w:tcPr>
            <w:tcW w:w="1864" w:type="dxa"/>
            <w:shd w:val="clear" w:color="auto" w:fill="auto"/>
            <w:tcMar>
              <w:left w:w="0" w:type="dxa"/>
            </w:tcMar>
          </w:tcPr>
          <w:p w:rsidR="0083630F" w:rsidRDefault="0083630F" w:rsidP="0083630F">
            <w:pPr>
              <w:pStyle w:val="Marginlie"/>
            </w:pP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182602" w:rsidRDefault="0083630F" w:rsidP="0083630F">
            <w:pPr>
              <w:spacing w:after="0"/>
              <w:rPr>
                <w:rFonts w:cs="Arial"/>
                <w:color w:val="0D0D0D" w:themeColor="text1" w:themeTint="F2"/>
                <w:spacing w:val="-4"/>
              </w:rPr>
            </w:pPr>
            <w:r w:rsidRPr="00D11DE5">
              <w:rPr>
                <w:rFonts w:cs="Arial"/>
                <w:noProof/>
                <w:color w:val="0D0D0D" w:themeColor="text1" w:themeTint="F2"/>
                <w:spacing w:val="-4"/>
              </w:rPr>
              <w:drawing>
                <wp:inline distT="0" distB="0" distL="0" distR="0">
                  <wp:extent cx="4729541" cy="3528000"/>
                  <wp:effectExtent l="19050" t="0" r="0" b="0"/>
                  <wp:docPr id="2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83630F" w:rsidRPr="00182602" w:rsidTr="0083630F">
        <w:trPr>
          <w:trHeight w:val="145"/>
        </w:trPr>
        <w:tc>
          <w:tcPr>
            <w:tcW w:w="1864" w:type="dxa"/>
            <w:shd w:val="clear" w:color="auto" w:fill="auto"/>
            <w:tcMar>
              <w:left w:w="0" w:type="dxa"/>
            </w:tcMar>
          </w:tcPr>
          <w:p w:rsidR="0083630F" w:rsidRDefault="0083630F" w:rsidP="0083630F">
            <w:pPr>
              <w:pStyle w:val="Marginlie"/>
            </w:pP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Default="0083630F" w:rsidP="0083630F">
            <w:pPr>
              <w:spacing w:after="0" w:line="240" w:lineRule="auto"/>
              <w:rPr>
                <w:rFonts w:cs="Arial"/>
                <w:sz w:val="14"/>
                <w:szCs w:val="14"/>
              </w:rPr>
            </w:pPr>
            <w:r>
              <w:rPr>
                <w:rFonts w:cs="Arial"/>
                <w:sz w:val="14"/>
                <w:szCs w:val="14"/>
              </w:rPr>
              <w:t xml:space="preserve">*Odvětví s relativně nejvyšším, resp. nejnižším meziročním tempem průměrné mzdy. Na přelomu let 2012 a 2013, resp. 2013 a 2014 nebyla vzhledem k nestandardnímu průběhu zahrnuta odvětví energetiky a peněžnictví </w:t>
            </w:r>
            <w:r w:rsidR="00615DAF">
              <w:rPr>
                <w:rFonts w:cs="Arial"/>
                <w:sz w:val="14"/>
                <w:szCs w:val="14"/>
              </w:rPr>
              <w:t xml:space="preserve">a </w:t>
            </w:r>
            <w:r>
              <w:rPr>
                <w:rFonts w:cs="Arial"/>
                <w:sz w:val="14"/>
                <w:szCs w:val="14"/>
              </w:rPr>
              <w:t>pojišťovnictví.</w:t>
            </w:r>
          </w:p>
          <w:p w:rsidR="0083630F" w:rsidRPr="00182602" w:rsidRDefault="0083630F" w:rsidP="0083630F">
            <w:pPr>
              <w:spacing w:after="200" w:line="240" w:lineRule="auto"/>
              <w:rPr>
                <w:rFonts w:cs="Arial"/>
                <w:color w:val="0D0D0D" w:themeColor="text1" w:themeTint="F2"/>
                <w:spacing w:val="-4"/>
              </w:rPr>
            </w:pPr>
            <w:r>
              <w:rPr>
                <w:rFonts w:cs="Arial"/>
                <w:sz w:val="14"/>
                <w:szCs w:val="14"/>
              </w:rPr>
              <w:t xml:space="preserve">**Podíl sezónně neočištěného HDP a zaměstnanosti (v pojetí národních účtů).                                              </w:t>
            </w:r>
            <w:r w:rsidRPr="00535F78">
              <w:rPr>
                <w:rFonts w:cs="Arial"/>
                <w:sz w:val="14"/>
                <w:szCs w:val="14"/>
              </w:rPr>
              <w:t xml:space="preserve">Zdroj: </w:t>
            </w:r>
            <w:r>
              <w:rPr>
                <w:rFonts w:cs="Arial"/>
                <w:sz w:val="14"/>
                <w:szCs w:val="14"/>
              </w:rPr>
              <w:t>ČSÚ</w:t>
            </w:r>
          </w:p>
        </w:tc>
      </w:tr>
      <w:tr w:rsidR="0083630F" w:rsidTr="0083630F">
        <w:trPr>
          <w:trHeight w:val="145"/>
        </w:trPr>
        <w:tc>
          <w:tcPr>
            <w:tcW w:w="1864" w:type="dxa"/>
            <w:shd w:val="clear" w:color="auto" w:fill="auto"/>
            <w:tcMar>
              <w:left w:w="0" w:type="dxa"/>
            </w:tcMar>
          </w:tcPr>
          <w:p w:rsidR="0083630F" w:rsidRDefault="0083630F" w:rsidP="0083630F">
            <w:pPr>
              <w:pStyle w:val="Marginlie"/>
            </w:pPr>
            <w:r>
              <w:t>Mzdový růst akceleroval ve všech odvětvích s dominancí veřejných institucí. Dařilo se i činnostem v oblasti nemovitostí.</w:t>
            </w: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r>
              <w:t>Ve finančním sektoru dále přetrvával relativně slabší mzdový růst.</w:t>
            </w: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r>
              <w:t>Objem vyplacených mezd v těžbě a dobývání poprvé po pěti letech vzrostl.</w:t>
            </w:r>
          </w:p>
          <w:p w:rsidR="0083630F" w:rsidRDefault="0083630F" w:rsidP="0083630F">
            <w:pPr>
              <w:pStyle w:val="Marginlie"/>
            </w:pP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Default="0083630F" w:rsidP="0083630F">
            <w:pPr>
              <w:spacing w:after="220"/>
              <w:rPr>
                <w:rFonts w:cs="Arial"/>
                <w:color w:val="0D0D0D" w:themeColor="text1" w:themeTint="F2"/>
                <w:spacing w:val="-4"/>
              </w:rPr>
            </w:pPr>
            <w:r>
              <w:rPr>
                <w:rFonts w:cs="Arial"/>
                <w:color w:val="0D0D0D" w:themeColor="text1" w:themeTint="F2"/>
                <w:spacing w:val="-4"/>
              </w:rPr>
              <w:t>Za tři letošní čtvrtletí se průměrné výdělky relativně nejvíce meziročně navyšovaly ve vzdělávání (+12,7 %, o rok dříve o 4,9 %). Přesto výše mezd v tomto odvětví i ve 3. čtvrtletí za úrovní národního hospodářství stále mírně zaostávala. Jen nepatrně slabším tempem si letos polepšili i zaměstnanci v kulturních, zábavních a rekreačních činnostech, o bezmála osminu rostly průměrné výdělky v odvětví veřejné správy, obrany a sociálního zabezpečení, resp. ve zdravotní a sociální péči. Z ostatních služeb vykázaly letos při svižném růstu zaměstnanosti nejvyšší tempo mzdy v činnostech v oblasti nemovitostí (+8,9 %), jejich výše však stále za úrovní celé ekonomiky o téměř osminu zaostávala. To dále platilo hlavně pro výdělky v ubytování, stravování a pohostinství (dosahovaly jen třetiny toho, co v odvětvích s nejvyšší mzdovou úrovní). Růst výdělků zde stále významně stimulovala rostoucí výše minimální mzdy, i tak činil za tři čtvrtletí „jen“ 7,5 % a poprvé po třech letech byl slabší než v celé ekonomice. Nejvyšší úroveň průměrných hrubých měsíčních výdělků si udrželi zaměstnanci v informačních a komunikačních činnostech, jakož i v peněžnictví a pojišťovnictví (za tři čtvrtletí shodně mírně přes 55 tis. korun). Ve finančním sektoru ale při slabém navyšování zaměstnanosti zůstalo tempo růstu výdělků již čtvrtým rokem v řadě pod úrovní celé ekonomiky. Ve zpracovatelském průmyslu růst průměrných mezd letos zrychlil jen mírně (na 7,6 %, o rok dříve 6,6 %), poprvé za posledních sedm</w:t>
            </w:r>
            <w:r w:rsidRPr="003607F1">
              <w:rPr>
                <w:rFonts w:cs="Arial"/>
                <w:color w:val="0D0D0D" w:themeColor="text1" w:themeTint="F2"/>
                <w:spacing w:val="-4"/>
              </w:rPr>
              <w:t xml:space="preserve"> let zde </w:t>
            </w:r>
            <w:r>
              <w:rPr>
                <w:rFonts w:cs="Arial"/>
                <w:color w:val="0D0D0D" w:themeColor="text1" w:themeTint="F2"/>
                <w:spacing w:val="-4"/>
              </w:rPr>
              <w:t xml:space="preserve">navíc </w:t>
            </w:r>
            <w:r w:rsidRPr="003607F1">
              <w:rPr>
                <w:rFonts w:cs="Arial"/>
                <w:color w:val="0D0D0D" w:themeColor="text1" w:themeTint="F2"/>
                <w:spacing w:val="-4"/>
              </w:rPr>
              <w:t>objem vyplacených mezd zaostal za tempem v celé ekonomice. Ten naopak v nejmenší odvětv</w:t>
            </w:r>
            <w:r>
              <w:rPr>
                <w:rFonts w:cs="Arial"/>
                <w:color w:val="0D0D0D" w:themeColor="text1" w:themeTint="F2"/>
                <w:spacing w:val="-4"/>
              </w:rPr>
              <w:t>ové sekci – těžbě a dobývání – p</w:t>
            </w:r>
            <w:r w:rsidRPr="003607F1">
              <w:rPr>
                <w:rFonts w:cs="Arial"/>
                <w:color w:val="0D0D0D" w:themeColor="text1" w:themeTint="F2"/>
                <w:spacing w:val="-4"/>
              </w:rPr>
              <w:t>oprvé po pěti letech vzrostl (</w:t>
            </w:r>
            <w:r>
              <w:rPr>
                <w:rFonts w:cs="Arial"/>
                <w:color w:val="0D0D0D" w:themeColor="text1" w:themeTint="F2"/>
                <w:spacing w:val="-4"/>
              </w:rPr>
              <w:t xml:space="preserve">výhradně </w:t>
            </w:r>
            <w:r w:rsidRPr="003607F1">
              <w:rPr>
                <w:rFonts w:cs="Arial"/>
                <w:color w:val="0D0D0D" w:themeColor="text1" w:themeTint="F2"/>
                <w:spacing w:val="-4"/>
              </w:rPr>
              <w:t>zásluhou vysokého tempa prů</w:t>
            </w:r>
            <w:r>
              <w:rPr>
                <w:rFonts w:cs="Arial"/>
                <w:color w:val="0D0D0D" w:themeColor="text1" w:themeTint="F2"/>
                <w:spacing w:val="-4"/>
              </w:rPr>
              <w:t>měrných mezd 8,6 %, neboť zaměstnanců meziročně o 4,2 % ubylo</w:t>
            </w:r>
            <w:r w:rsidRPr="003607F1">
              <w:rPr>
                <w:rFonts w:cs="Arial"/>
                <w:color w:val="0D0D0D" w:themeColor="text1" w:themeTint="F2"/>
                <w:spacing w:val="-4"/>
              </w:rPr>
              <w:t>).</w:t>
            </w:r>
            <w:r>
              <w:rPr>
                <w:rFonts w:cs="Arial"/>
                <w:color w:val="0D0D0D" w:themeColor="text1" w:themeTint="F2"/>
                <w:spacing w:val="-4"/>
              </w:rPr>
              <w:t xml:space="preserve"> </w:t>
            </w:r>
          </w:p>
        </w:tc>
      </w:tr>
      <w:tr w:rsidR="0083630F" w:rsidRPr="003607F1" w:rsidTr="0083630F">
        <w:trPr>
          <w:trHeight w:val="145"/>
        </w:trPr>
        <w:tc>
          <w:tcPr>
            <w:tcW w:w="1864" w:type="dxa"/>
            <w:shd w:val="clear" w:color="auto" w:fill="auto"/>
            <w:tcMar>
              <w:left w:w="0" w:type="dxa"/>
            </w:tcMar>
          </w:tcPr>
          <w:p w:rsidR="0083630F" w:rsidRDefault="0083630F" w:rsidP="0083630F">
            <w:pPr>
              <w:pStyle w:val="Marginlie"/>
            </w:pPr>
            <w:r>
              <w:t>Mzdová diferenciace se dále snižovala. Kupní síla mezd vzrostla o rekordních 6,3 %.</w:t>
            </w:r>
          </w:p>
        </w:tc>
        <w:tc>
          <w:tcPr>
            <w:tcW w:w="241" w:type="dxa"/>
            <w:shd w:val="clear" w:color="auto" w:fill="auto"/>
            <w:tcMar>
              <w:left w:w="0" w:type="dxa"/>
            </w:tcMar>
          </w:tcPr>
          <w:p w:rsidR="0083630F" w:rsidRDefault="0083630F" w:rsidP="0083630F">
            <w:pPr>
              <w:pStyle w:val="Textpoznpodarou"/>
              <w:jc w:val="both"/>
              <w:rPr>
                <w:spacing w:val="-4"/>
              </w:rPr>
            </w:pPr>
          </w:p>
        </w:tc>
        <w:tc>
          <w:tcPr>
            <w:tcW w:w="7534" w:type="dxa"/>
            <w:shd w:val="clear" w:color="auto" w:fill="auto"/>
            <w:tcMar>
              <w:left w:w="0" w:type="dxa"/>
            </w:tcMar>
          </w:tcPr>
          <w:p w:rsidR="0083630F" w:rsidRPr="003607F1" w:rsidRDefault="0083630F" w:rsidP="0083630F">
            <w:pPr>
              <w:spacing w:after="0"/>
              <w:rPr>
                <w:color w:val="0D0D0D" w:themeColor="text1" w:themeTint="F2"/>
                <w:spacing w:val="-4"/>
              </w:rPr>
            </w:pPr>
            <w:r w:rsidRPr="003607F1">
              <w:rPr>
                <w:rFonts w:cs="Arial"/>
                <w:color w:val="0D0D0D" w:themeColor="text1" w:themeTint="F2"/>
                <w:spacing w:val="-4"/>
              </w:rPr>
              <w:t xml:space="preserve">Mzdová diferenciace mezi odvětvími či regiony se </w:t>
            </w:r>
            <w:r>
              <w:rPr>
                <w:rFonts w:cs="Arial"/>
                <w:color w:val="0D0D0D" w:themeColor="text1" w:themeTint="F2"/>
                <w:spacing w:val="-4"/>
              </w:rPr>
              <w:t xml:space="preserve">dále </w:t>
            </w:r>
            <w:r w:rsidRPr="003607F1">
              <w:rPr>
                <w:rFonts w:cs="Arial"/>
                <w:color w:val="0D0D0D" w:themeColor="text1" w:themeTint="F2"/>
                <w:spacing w:val="-4"/>
              </w:rPr>
              <w:t>mírně s</w:t>
            </w:r>
            <w:r>
              <w:rPr>
                <w:rFonts w:cs="Arial"/>
                <w:color w:val="0D0D0D" w:themeColor="text1" w:themeTint="F2"/>
                <w:spacing w:val="-4"/>
              </w:rPr>
              <w:t>nižovala. Mediánová mzda se ve 3</w:t>
            </w:r>
            <w:r w:rsidRPr="003607F1">
              <w:rPr>
                <w:rFonts w:cs="Arial"/>
                <w:color w:val="0D0D0D" w:themeColor="text1" w:themeTint="F2"/>
                <w:spacing w:val="-4"/>
              </w:rPr>
              <w:t>. č</w:t>
            </w:r>
            <w:r>
              <w:rPr>
                <w:rFonts w:cs="Arial"/>
                <w:color w:val="0D0D0D" w:themeColor="text1" w:themeTint="F2"/>
                <w:spacing w:val="-4"/>
              </w:rPr>
              <w:t>tvrtletí meziročně zvýšila o 9,8 %, u žen dokonce o 11,5 %</w:t>
            </w:r>
            <w:r w:rsidRPr="003607F1">
              <w:rPr>
                <w:rFonts w:cs="Arial"/>
                <w:color w:val="0D0D0D" w:themeColor="text1" w:themeTint="F2"/>
                <w:spacing w:val="-4"/>
              </w:rPr>
              <w:t xml:space="preserve"> </w:t>
            </w:r>
            <w:r>
              <w:rPr>
                <w:rFonts w:cs="Arial"/>
                <w:color w:val="0D0D0D" w:themeColor="text1" w:themeTint="F2"/>
                <w:spacing w:val="-4"/>
              </w:rPr>
              <w:t xml:space="preserve">(i v souvislosti se svižným růstem výdělků ve vzdělávání). </w:t>
            </w:r>
            <w:r w:rsidRPr="003607F1">
              <w:rPr>
                <w:color w:val="0D0D0D" w:themeColor="text1" w:themeTint="F2"/>
                <w:spacing w:val="-4"/>
              </w:rPr>
              <w:t>Předstih růstu mediánové mzdy nad tempem průměrné mzdy přetrvává s drobnými výkyvy již tř</w:t>
            </w:r>
            <w:r>
              <w:rPr>
                <w:color w:val="0D0D0D" w:themeColor="text1" w:themeTint="F2"/>
                <w:spacing w:val="-4"/>
              </w:rPr>
              <w:t>i roky. Pozitivní také bylo, že tempo růstu</w:t>
            </w:r>
            <w:r w:rsidRPr="003607F1">
              <w:rPr>
                <w:color w:val="0D0D0D" w:themeColor="text1" w:themeTint="F2"/>
                <w:spacing w:val="-4"/>
              </w:rPr>
              <w:t xml:space="preserve"> ku</w:t>
            </w:r>
            <w:r>
              <w:rPr>
                <w:color w:val="0D0D0D" w:themeColor="text1" w:themeTint="F2"/>
                <w:spacing w:val="-4"/>
              </w:rPr>
              <w:t>pní síly mezd se oproti loňsku téměř zdvojnásobilo. Navzdory mírně sílící inflaci činilo v 1. až 3. čtvrtletí 6,3 %</w:t>
            </w:r>
            <w:r>
              <w:rPr>
                <w:color w:val="0D0D0D" w:themeColor="text1" w:themeTint="F2"/>
                <w:spacing w:val="-2"/>
              </w:rPr>
              <w:t xml:space="preserve"> (nejvíce ve srovnatelné časové řadě od roku 2000).</w:t>
            </w:r>
            <w:r w:rsidRPr="003607F1">
              <w:rPr>
                <w:color w:val="0D0D0D" w:themeColor="text1" w:themeTint="F2"/>
                <w:spacing w:val="-4"/>
              </w:rPr>
              <w:t xml:space="preserve"> </w:t>
            </w:r>
          </w:p>
        </w:tc>
      </w:tr>
    </w:tbl>
    <w:p w:rsidR="00935BD4" w:rsidRPr="009110F7" w:rsidRDefault="00935BD4" w:rsidP="00935BD4">
      <w:pPr>
        <w:rPr>
          <w:sz w:val="2"/>
          <w:szCs w:val="2"/>
        </w:rPr>
      </w:pPr>
    </w:p>
    <w:p w:rsidR="00935BD4" w:rsidRPr="009110F7" w:rsidRDefault="00935BD4" w:rsidP="000D3058">
      <w:pPr>
        <w:pStyle w:val="Nadpis11"/>
      </w:pPr>
      <w:bookmarkStart w:id="11" w:name="_Toc532558287"/>
      <w:r w:rsidRPr="009110F7">
        <w:lastRenderedPageBreak/>
        <w:t>7. Měnové podmínky</w:t>
      </w:r>
      <w:bookmarkEnd w:id="11"/>
    </w:p>
    <w:tbl>
      <w:tblPr>
        <w:tblW w:w="9639" w:type="dxa"/>
        <w:tblInd w:w="-15" w:type="dxa"/>
        <w:tblCellMar>
          <w:left w:w="0" w:type="dxa"/>
          <w:right w:w="0" w:type="dxa"/>
        </w:tblCellMar>
        <w:tblLook w:val="00A0"/>
      </w:tblPr>
      <w:tblGrid>
        <w:gridCol w:w="1888"/>
        <w:gridCol w:w="250"/>
        <w:gridCol w:w="7501"/>
      </w:tblGrid>
      <w:tr w:rsidR="004B305C" w:rsidRPr="009110F7" w:rsidTr="004B305C">
        <w:trPr>
          <w:trHeight w:val="145"/>
        </w:trPr>
        <w:tc>
          <w:tcPr>
            <w:tcW w:w="1888" w:type="dxa"/>
            <w:shd w:val="clear" w:color="auto" w:fill="auto"/>
            <w:tcMar>
              <w:left w:w="0" w:type="dxa"/>
            </w:tcMar>
          </w:tcPr>
          <w:p w:rsidR="004B305C" w:rsidRDefault="004B305C" w:rsidP="008458BD">
            <w:pPr>
              <w:pStyle w:val="Marginlie"/>
            </w:pPr>
            <w:r>
              <w:t xml:space="preserve">Růst </w:t>
            </w:r>
            <w:proofErr w:type="spellStart"/>
            <w:r>
              <w:t>měnověpolitických</w:t>
            </w:r>
            <w:proofErr w:type="spellEnd"/>
            <w:r>
              <w:t xml:space="preserve"> sazeb ve 3. čtvrtletí pokračoval.</w:t>
            </w:r>
          </w:p>
        </w:tc>
        <w:tc>
          <w:tcPr>
            <w:tcW w:w="250" w:type="dxa"/>
            <w:shd w:val="clear" w:color="auto" w:fill="auto"/>
            <w:tcMar>
              <w:left w:w="0" w:type="dxa"/>
            </w:tcMar>
          </w:tcPr>
          <w:p w:rsidR="004B305C" w:rsidRDefault="004B305C" w:rsidP="008458BD">
            <w:pPr>
              <w:pStyle w:val="Textpoznpodarou"/>
              <w:jc w:val="both"/>
              <w:rPr>
                <w:spacing w:val="-4"/>
              </w:rPr>
            </w:pPr>
          </w:p>
        </w:tc>
        <w:tc>
          <w:tcPr>
            <w:tcW w:w="7501" w:type="dxa"/>
            <w:shd w:val="clear" w:color="auto" w:fill="auto"/>
            <w:tcMar>
              <w:left w:w="0" w:type="dxa"/>
            </w:tcMar>
          </w:tcPr>
          <w:p w:rsidR="004B305C" w:rsidRPr="00E66062" w:rsidRDefault="00727C02" w:rsidP="00FE6E69">
            <w:pPr>
              <w:rPr>
                <w:spacing w:val="-2"/>
              </w:rPr>
            </w:pPr>
            <w:r w:rsidRPr="00727C02">
              <w:rPr>
                <w:spacing w:val="-2"/>
              </w:rPr>
              <w:t xml:space="preserve">Vzhledem k celkovým ekonomickým podmínkám (zrychlení inflace, tlak na trhu práce atd.) se ČNB rozhodla pro další zvýšení </w:t>
            </w:r>
            <w:proofErr w:type="spellStart"/>
            <w:r w:rsidRPr="00727C02">
              <w:rPr>
                <w:spacing w:val="-2"/>
              </w:rPr>
              <w:t>měnověpolitických</w:t>
            </w:r>
            <w:proofErr w:type="spellEnd"/>
            <w:r w:rsidRPr="00727C02">
              <w:rPr>
                <w:spacing w:val="-2"/>
              </w:rPr>
              <w:t xml:space="preserve"> sazeb. Ve 3. čtvrtletí došlo dokonce k vícenásobnému navýšení. Dvoutýdenní </w:t>
            </w:r>
            <w:proofErr w:type="spellStart"/>
            <w:r w:rsidRPr="00727C02">
              <w:rPr>
                <w:spacing w:val="-2"/>
              </w:rPr>
              <w:t>repo</w:t>
            </w:r>
            <w:proofErr w:type="spellEnd"/>
            <w:r w:rsidRPr="00727C02">
              <w:rPr>
                <w:spacing w:val="-2"/>
              </w:rPr>
              <w:t xml:space="preserve"> sazba byla navýšena na 1,25</w:t>
            </w:r>
            <w:r w:rsidR="00E66062" w:rsidRPr="00E66062">
              <w:rPr>
                <w:spacing w:val="-2"/>
              </w:rPr>
              <w:t> </w:t>
            </w:r>
            <w:r w:rsidRPr="00727C02">
              <w:rPr>
                <w:spacing w:val="-2"/>
              </w:rPr>
              <w:t>% v srpnu a dále na 1,50 % ke konci září (dopad tohoto posunu však spadá do 4.</w:t>
            </w:r>
            <w:r w:rsidR="00E66062" w:rsidRPr="00E66062">
              <w:rPr>
                <w:spacing w:val="-2"/>
              </w:rPr>
              <w:t> </w:t>
            </w:r>
            <w:r w:rsidRPr="00727C02">
              <w:rPr>
                <w:spacing w:val="-2"/>
              </w:rPr>
              <w:t>kvartálu). Zvýšena byla i diskontní sazba (na 0,25 % a dále na 0,50 %) i lombardní sazba (na 2,25 % a 2,50 %). Vývoj měnových podmínek však byl ovlivněn i změnou sazeb, která proběhla na konci června. Kurz koruny vůči euru začal čtvrtletí nad hranicí 26 korun, ale měl tendence k posílení. Nejsilnější byl v druhé polovině září, kdy dosáhl 25,43</w:t>
            </w:r>
            <w:r w:rsidRPr="00727C02">
              <w:rPr>
                <w:rStyle w:val="Znakapoznpodarou"/>
                <w:spacing w:val="-2"/>
              </w:rPr>
              <w:footnoteReference w:id="39"/>
            </w:r>
            <w:r w:rsidRPr="00727C02">
              <w:rPr>
                <w:spacing w:val="-2"/>
              </w:rPr>
              <w:t xml:space="preserve"> korun za euro. Na konci září se však trend obrátil a v poslední zářijový pracovní den dosáhl kurz 25,72 korun za euro. Kurz vůči dolaru byl více volatilní. V</w:t>
            </w:r>
            <w:r w:rsidR="00E66062" w:rsidRPr="00E66062">
              <w:rPr>
                <w:spacing w:val="-2"/>
              </w:rPr>
              <w:t> </w:t>
            </w:r>
            <w:r w:rsidRPr="00727C02">
              <w:rPr>
                <w:spacing w:val="-2"/>
              </w:rPr>
              <w:t>červenci se kurz držel mezi 22,40 a 21,80 korunami za dolar. Do poloviny srpna měna oslabila až na 22,71 korun za dolar. Následně však posilovala a 20. září dosáhl kurz 21,71 korun.</w:t>
            </w:r>
            <w:r w:rsidR="00FE6E69">
              <w:rPr>
                <w:spacing w:val="-2"/>
              </w:rPr>
              <w:t xml:space="preserve"> Do konce září pak měna mírně oslabila na 21,97 korun za dolar. </w:t>
            </w:r>
          </w:p>
        </w:tc>
      </w:tr>
      <w:tr w:rsidR="004B305C" w:rsidRPr="009110F7" w:rsidTr="004B305C">
        <w:trPr>
          <w:trHeight w:val="145"/>
        </w:trPr>
        <w:tc>
          <w:tcPr>
            <w:tcW w:w="1888" w:type="dxa"/>
            <w:shd w:val="clear" w:color="auto" w:fill="auto"/>
            <w:tcMar>
              <w:left w:w="0" w:type="dxa"/>
            </w:tcMar>
          </w:tcPr>
          <w:p w:rsidR="004B305C" w:rsidRDefault="004B305C" w:rsidP="008458BD">
            <w:pPr>
              <w:pStyle w:val="Marginlie"/>
            </w:pPr>
            <w:r>
              <w:t xml:space="preserve">Rostly i výnosy na krátkodobých </w:t>
            </w:r>
            <w:r w:rsidR="00F27071">
              <w:t>a </w:t>
            </w:r>
            <w:r>
              <w:t>střednědobých dluhopisech. U těch s dlouhodobou splatností však úroky stagnovaly.</w:t>
            </w:r>
          </w:p>
        </w:tc>
        <w:tc>
          <w:tcPr>
            <w:tcW w:w="250" w:type="dxa"/>
            <w:shd w:val="clear" w:color="auto" w:fill="auto"/>
            <w:tcMar>
              <w:left w:w="0" w:type="dxa"/>
            </w:tcMar>
          </w:tcPr>
          <w:p w:rsidR="004B305C" w:rsidRDefault="004B305C" w:rsidP="008458BD">
            <w:pPr>
              <w:pStyle w:val="Textpoznpodarou"/>
              <w:jc w:val="both"/>
              <w:rPr>
                <w:spacing w:val="-4"/>
              </w:rPr>
            </w:pPr>
          </w:p>
        </w:tc>
        <w:tc>
          <w:tcPr>
            <w:tcW w:w="7501" w:type="dxa"/>
            <w:shd w:val="clear" w:color="auto" w:fill="auto"/>
            <w:tcMar>
              <w:left w:w="0" w:type="dxa"/>
            </w:tcMar>
          </w:tcPr>
          <w:p w:rsidR="004B305C" w:rsidRPr="00E66062" w:rsidRDefault="00727C02" w:rsidP="008458BD">
            <w:pPr>
              <w:rPr>
                <w:spacing w:val="-1"/>
              </w:rPr>
            </w:pPr>
            <w:r w:rsidRPr="00727C02">
              <w:rPr>
                <w:spacing w:val="-1"/>
              </w:rPr>
              <w:t xml:space="preserve">Přímým důsledkem zvýšení </w:t>
            </w:r>
            <w:proofErr w:type="spellStart"/>
            <w:r w:rsidRPr="00727C02">
              <w:rPr>
                <w:spacing w:val="-1"/>
              </w:rPr>
              <w:t>měnověpolitických</w:t>
            </w:r>
            <w:proofErr w:type="spellEnd"/>
            <w:r w:rsidRPr="00727C02">
              <w:rPr>
                <w:spacing w:val="-1"/>
              </w:rPr>
              <w:t xml:space="preserve"> sazeb je růst úrokových sazeb na mezibankovním trhu. Tříměsíční PRIBOR se během 3. čtvrtletí neustále posouval vzhůru. Jeho průměrná hodnota v červenci reagovala na červnový posun </w:t>
            </w:r>
            <w:proofErr w:type="spellStart"/>
            <w:r w:rsidRPr="00727C02">
              <w:rPr>
                <w:spacing w:val="-1"/>
              </w:rPr>
              <w:t>repo</w:t>
            </w:r>
            <w:proofErr w:type="spellEnd"/>
            <w:r w:rsidRPr="00727C02">
              <w:rPr>
                <w:spacing w:val="-1"/>
              </w:rPr>
              <w:t xml:space="preserve"> sazby a dosáhla 1,18 %. V srpnu průměr dosahoval 1,45 % a v září 1,54 %. Účinek zářijového rozhodnutí bankovní rady se pak přenesl do říjnového vývoje. Sazby na českých </w:t>
            </w:r>
            <w:r w:rsidR="00FE6E69">
              <w:rPr>
                <w:spacing w:val="-1"/>
              </w:rPr>
              <w:t xml:space="preserve">státních </w:t>
            </w:r>
            <w:r w:rsidRPr="00727C02">
              <w:rPr>
                <w:spacing w:val="-1"/>
              </w:rPr>
              <w:t xml:space="preserve">dluhopisech se během roku posouvaly nahoru. V samotném 3. čtvrtletí se zvyšovaly jen výnosy na dluhopisech se splatností do 2 (+0,45 p. b.) a 5 let (+0,29 p. b.). Dluhopisy s dlouhodobou splatností se od června držely na stejné úrovni výnosů (2,14 %). </w:t>
            </w:r>
          </w:p>
        </w:tc>
      </w:tr>
      <w:tr w:rsidR="004B305C" w:rsidRPr="009110F7" w:rsidTr="004B305C">
        <w:trPr>
          <w:trHeight w:val="145"/>
        </w:trPr>
        <w:tc>
          <w:tcPr>
            <w:tcW w:w="1888" w:type="dxa"/>
            <w:shd w:val="clear" w:color="auto" w:fill="auto"/>
            <w:tcMar>
              <w:left w:w="0" w:type="dxa"/>
            </w:tcMar>
          </w:tcPr>
          <w:p w:rsidR="004B305C" w:rsidRDefault="004B305C" w:rsidP="008458BD">
            <w:pPr>
              <w:pStyle w:val="Marginlie"/>
            </w:pPr>
            <w:r>
              <w:t>U vkladů s dohodnutou splatností úrokové sazby pomalu rostou.</w:t>
            </w:r>
          </w:p>
        </w:tc>
        <w:tc>
          <w:tcPr>
            <w:tcW w:w="250" w:type="dxa"/>
            <w:shd w:val="clear" w:color="auto" w:fill="auto"/>
            <w:tcMar>
              <w:left w:w="0" w:type="dxa"/>
            </w:tcMar>
          </w:tcPr>
          <w:p w:rsidR="004B305C" w:rsidRDefault="004B305C" w:rsidP="008458BD">
            <w:pPr>
              <w:pStyle w:val="Textpoznpodarou"/>
              <w:jc w:val="both"/>
              <w:rPr>
                <w:spacing w:val="-4"/>
              </w:rPr>
            </w:pPr>
          </w:p>
        </w:tc>
        <w:tc>
          <w:tcPr>
            <w:tcW w:w="7501" w:type="dxa"/>
            <w:shd w:val="clear" w:color="auto" w:fill="auto"/>
            <w:tcMar>
              <w:left w:w="0" w:type="dxa"/>
            </w:tcMar>
          </w:tcPr>
          <w:p w:rsidR="004B305C" w:rsidRPr="00E66062" w:rsidRDefault="00727C02" w:rsidP="008458BD">
            <w:pPr>
              <w:rPr>
                <w:spacing w:val="-3"/>
              </w:rPr>
            </w:pPr>
            <w:r w:rsidRPr="00727C02">
              <w:rPr>
                <w:spacing w:val="-3"/>
              </w:rPr>
              <w:t>Úrokové sazby na běžných účtech domácností nadále setrvávaly na technické nule (0,05 %). Ve 3. čtvrtletí však došlo k výraznějšímu nárůstu sazeb na vkladech s dohodnutou splatností (nárůst o 0,30 p. b. na 1,05 %). U nefinančních podniků se mírně zvýšily průměrné výnosy na běžných účtech, hranici 0,1 % však nepřekonaly. Vklady s dohodnutou splatností pro nefinanční podniky začínají opět představovat lákavější alternativu pro ukládání finančních prostředků. Průměrná úroková sazba se u</w:t>
            </w:r>
            <w:r w:rsidR="00E66062" w:rsidRPr="00E66062">
              <w:rPr>
                <w:spacing w:val="-2"/>
              </w:rPr>
              <w:t> </w:t>
            </w:r>
            <w:r w:rsidRPr="00727C02">
              <w:rPr>
                <w:spacing w:val="-3"/>
              </w:rPr>
              <w:t>nich ve 3. čtvrtletí zdvojnásobila a posunula na 0,95 %. Pohled na strukturu peněžní zásoby pak ukazuje, že zatímco nárůst prostředků ve formě běžných vkladů a hotovosti byl jen mírný, vklady s dohodnutou splatností si udržely dvouciferné meziroční tempo růstu. Od počátku letošního roku jich přibylo o 63,2 mld. korun (39,7 %).</w:t>
            </w:r>
          </w:p>
        </w:tc>
      </w:tr>
      <w:tr w:rsidR="004B305C" w:rsidRPr="009110F7" w:rsidTr="004B305C">
        <w:trPr>
          <w:trHeight w:val="145"/>
        </w:trPr>
        <w:tc>
          <w:tcPr>
            <w:tcW w:w="1888" w:type="dxa"/>
            <w:shd w:val="clear" w:color="auto" w:fill="auto"/>
            <w:tcMar>
              <w:left w:w="0" w:type="dxa"/>
            </w:tcMar>
          </w:tcPr>
          <w:p w:rsidR="004B305C" w:rsidRDefault="004B305C" w:rsidP="008458BD">
            <w:pPr>
              <w:pStyle w:val="Marginlie"/>
            </w:pPr>
            <w:r>
              <w:t>Zdražily se úvěry pro domácnosti i podniky.</w:t>
            </w:r>
          </w:p>
        </w:tc>
        <w:tc>
          <w:tcPr>
            <w:tcW w:w="250" w:type="dxa"/>
            <w:shd w:val="clear" w:color="auto" w:fill="auto"/>
            <w:tcMar>
              <w:left w:w="0" w:type="dxa"/>
            </w:tcMar>
          </w:tcPr>
          <w:p w:rsidR="004B305C" w:rsidRDefault="004B305C" w:rsidP="008458BD">
            <w:pPr>
              <w:pStyle w:val="Textpoznpodarou"/>
              <w:jc w:val="both"/>
              <w:rPr>
                <w:spacing w:val="-4"/>
              </w:rPr>
            </w:pPr>
          </w:p>
        </w:tc>
        <w:tc>
          <w:tcPr>
            <w:tcW w:w="7501" w:type="dxa"/>
            <w:shd w:val="clear" w:color="auto" w:fill="auto"/>
            <w:tcMar>
              <w:left w:w="0" w:type="dxa"/>
            </w:tcMar>
          </w:tcPr>
          <w:p w:rsidR="00601EEF" w:rsidRDefault="004B305C">
            <w:r>
              <w:t>Úrokové sazby na úvěrech na spotřebu pro domácnosti v předchozích letech výrazně klesaly, tento pohyb se však v polovině letošního roku zastavil a úročení se posunulo mírně vzhůru. Průměrná hodnota k 30. 9. 2018 tak činila 8,53 %. Pokračoval postupný růst sazeb na úvěrech na bydlení, který trvá již od počátku roku 2017. Ke konci 3. čtvrtletí dosahovala celková průměrná sazba 2,7 %. Úrokové sazby úvěrů pro nefinanční podniky se v předchozích čtvrtletích posouvaly vzhůru poměrně pomalu, ve 3. čtvrtletí však došlo k většímu nárůstu. Nejvýraznější nárůst zaznamenaly úvěry nad 30 mil. korun, u nichž se sazby v minulém období držely nejníže ze všech sledovaných kategorií. Zatímco k 30. 6. byla průměrná sazba 2,25 %, ke konci září to bylo 2,92 %. Naopak úvěry do 7,5 mil. korun, které jsou tradičně úročeny nejvyšší sazbou (3,87 % k 30. 9.)</w:t>
            </w:r>
            <w:r w:rsidR="00CE2D8F">
              <w:t>,</w:t>
            </w:r>
            <w:r>
              <w:t xml:space="preserve"> se oproti předchozímu čtvrtletí zdražily nejméně (+0,20 p. b.).</w:t>
            </w:r>
          </w:p>
        </w:tc>
      </w:tr>
      <w:tr w:rsidR="004B305C" w:rsidRPr="009110F7" w:rsidTr="004B305C">
        <w:trPr>
          <w:trHeight w:val="145"/>
        </w:trPr>
        <w:tc>
          <w:tcPr>
            <w:tcW w:w="1888" w:type="dxa"/>
            <w:shd w:val="clear" w:color="auto" w:fill="auto"/>
            <w:tcMar>
              <w:left w:w="0" w:type="dxa"/>
            </w:tcMar>
          </w:tcPr>
          <w:p w:rsidR="004B305C" w:rsidRDefault="004B305C" w:rsidP="00140D1A">
            <w:pPr>
              <w:pStyle w:val="Marginlie"/>
            </w:pPr>
            <w:r>
              <w:lastRenderedPageBreak/>
              <w:t>Objem spotřebních úvěrů rostl rychleji než loni. U</w:t>
            </w:r>
            <w:r w:rsidR="00D922A1">
              <w:t> </w:t>
            </w:r>
            <w:r>
              <w:t xml:space="preserve">hypoték rostl objem, počet nových smluv meziročně </w:t>
            </w:r>
            <w:r w:rsidR="00140D1A">
              <w:t>mírně vzrostl.</w:t>
            </w:r>
          </w:p>
        </w:tc>
        <w:tc>
          <w:tcPr>
            <w:tcW w:w="250" w:type="dxa"/>
            <w:shd w:val="clear" w:color="auto" w:fill="auto"/>
            <w:tcMar>
              <w:left w:w="0" w:type="dxa"/>
            </w:tcMar>
          </w:tcPr>
          <w:p w:rsidR="004B305C" w:rsidRDefault="004B305C" w:rsidP="008458BD">
            <w:pPr>
              <w:pStyle w:val="Textpoznpodarou"/>
              <w:jc w:val="both"/>
              <w:rPr>
                <w:spacing w:val="-4"/>
              </w:rPr>
            </w:pPr>
          </w:p>
        </w:tc>
        <w:tc>
          <w:tcPr>
            <w:tcW w:w="7501" w:type="dxa"/>
            <w:shd w:val="clear" w:color="auto" w:fill="auto"/>
            <w:tcMar>
              <w:left w:w="0" w:type="dxa"/>
            </w:tcMar>
          </w:tcPr>
          <w:p w:rsidR="004B305C" w:rsidRDefault="004B305C" w:rsidP="00140D1A">
            <w:r>
              <w:t xml:space="preserve">Zájem domácností o úvěrové financování neutuchal ani ve 3. čtvrtletí 2018. Meziroční dynamika objemu úvěrů na spotřebu ve druhé polovině roku 2017 mírně zpomalila, ve 3. čtvrtletí </w:t>
            </w:r>
            <w:r w:rsidR="000E6FCB">
              <w:t xml:space="preserve">2018 </w:t>
            </w:r>
            <w:r>
              <w:t xml:space="preserve">však překonala 9 %. Objem úvěrů na spotřebu poskytnutých domácnostem k 30. září dosáhl 212,3 mld. korun a zvýšil se meziročně o 17,8 mld. (9,1 %). Stále silně rostl objem </w:t>
            </w:r>
            <w:r w:rsidR="000E6FCB">
              <w:t xml:space="preserve">úvěrů </w:t>
            </w:r>
            <w:r>
              <w:t xml:space="preserve">poskytnutých na bydlení. Objem hypotečních úvěrů poskytnutých domácnostem ke konci září činil 1 103,3 mld. korun a meziročně se zvýšil o 89,8 mld. </w:t>
            </w:r>
            <w:r w:rsidR="00140D1A">
              <w:t>Mírně (asi o 600) se meziročně zvýšil p</w:t>
            </w:r>
            <w:r>
              <w:t>očet nových hypotečních smluv</w:t>
            </w:r>
            <w:r w:rsidR="00140D1A">
              <w:t>, který klesal</w:t>
            </w:r>
            <w:r>
              <w:t xml:space="preserve"> od 2. čtvrtletí 2017</w:t>
            </w:r>
            <w:r w:rsidR="00140D1A">
              <w:t xml:space="preserve">. </w:t>
            </w:r>
            <w:r>
              <w:t xml:space="preserve">S časovým odstupem je patrný zlom ve vývoji spotřebitelských úvěrů na nemovitosti. Jejich výše silně rostla (dvouciferným meziročním tempem) </w:t>
            </w:r>
            <w:r w:rsidR="000E6FCB">
              <w:t>v letech</w:t>
            </w:r>
            <w:r>
              <w:t xml:space="preserve"> 2015 i 2016, ve 2. pololetí 2017 však došlo k náhlému útlumu růstu. Stagnace pokračovala i v dalším období. Rovněž u překlenovacích úvěrů ze stavebního spoření je zřejmé, že ve 2. pololetí 2016 se poptávka po nich prudce zvýšila</w:t>
            </w:r>
            <w:r w:rsidR="000E6FCB">
              <w:t>,</w:t>
            </w:r>
            <w:r>
              <w:t xml:space="preserve"> pravděpodobně ve snaze využít volnějších podmínek pro poskytování hypoték</w:t>
            </w:r>
            <w:r w:rsidR="000E6FCB">
              <w:t>,</w:t>
            </w:r>
            <w:r>
              <w:t xml:space="preserve"> a následně růst opět zvolnil. Kumulaci úvěrů na bydlení se snažila zabránit ČNB svými doporučeními.</w:t>
            </w:r>
          </w:p>
        </w:tc>
      </w:tr>
      <w:tr w:rsidR="004B305C" w:rsidRPr="009110F7" w:rsidTr="004B305C">
        <w:trPr>
          <w:trHeight w:val="145"/>
        </w:trPr>
        <w:tc>
          <w:tcPr>
            <w:tcW w:w="1888" w:type="dxa"/>
            <w:shd w:val="clear" w:color="auto" w:fill="auto"/>
            <w:tcMar>
              <w:left w:w="0" w:type="dxa"/>
            </w:tcMar>
          </w:tcPr>
          <w:p w:rsidR="004B305C" w:rsidRDefault="004B305C" w:rsidP="008458BD">
            <w:pPr>
              <w:pStyle w:val="Marginlie"/>
            </w:pPr>
            <w:r>
              <w:t>Podniky se stále orientují na úvěry v cizí měně.</w:t>
            </w:r>
          </w:p>
        </w:tc>
        <w:tc>
          <w:tcPr>
            <w:tcW w:w="250" w:type="dxa"/>
            <w:shd w:val="clear" w:color="auto" w:fill="auto"/>
            <w:tcMar>
              <w:left w:w="0" w:type="dxa"/>
            </w:tcMar>
          </w:tcPr>
          <w:p w:rsidR="004B305C" w:rsidRDefault="004B305C" w:rsidP="008458BD">
            <w:pPr>
              <w:pStyle w:val="Textpoznpodarou"/>
              <w:jc w:val="both"/>
              <w:rPr>
                <w:spacing w:val="-4"/>
              </w:rPr>
            </w:pPr>
          </w:p>
        </w:tc>
        <w:tc>
          <w:tcPr>
            <w:tcW w:w="7501" w:type="dxa"/>
            <w:shd w:val="clear" w:color="auto" w:fill="auto"/>
            <w:tcMar>
              <w:left w:w="0" w:type="dxa"/>
            </w:tcMar>
          </w:tcPr>
          <w:p w:rsidR="004B305C" w:rsidRDefault="004B305C" w:rsidP="008458BD">
            <w:r>
              <w:t xml:space="preserve">Úvěry a pohledávky za nefinanční podniky ukazují, že poptávka po úvěrech v cizí měně, kterou stimuloval počátek intervencí, neutichla ani po jejich ukončení. Ke konci 3. čtvrtletí vzrostl podíl těchto úvěrů a pohledávek na 30,9 %. Nejvyšší podíl měly úvěry v cizí měně u pohledávek se splatností mezi 1 a 5 lety, růst však probíhal u všech kategorií. Celkem (v korunách i cizí měně) vzrostl ve 3. čtvrtletí objem úvěrů a pohledávek u nefinančních podniků meziročně o 5,4 % (56,7 mld. korun). Podniky využívaly zejména úvěry s delší splatností. Zvyšoval se objem úvěrů poskytnutých podnikům ve zpracovatelském průmyslu (+19,8 mld. korun, 7,5 %), výrazné oživení se projevilo u stavebnictví (+7,0 mld. korun, 15,3 %). Konjunktura se projevuje zvýšenou investiční aktivitou v dopravě a skladování, což je provázáno i s nárůstem úvěrového financování (+7,5 mld. korun, 15,6 %). Naopak pokračovala redukce objemu úvěrů v sekci těžba a dobývání </w:t>
            </w:r>
            <w:r w:rsidR="009B7DB2">
              <w:t>(–</w:t>
            </w:r>
            <w:r>
              <w:t xml:space="preserve">8,5 mld. korun, </w:t>
            </w:r>
            <w:r w:rsidR="009B7DB2">
              <w:t>–</w:t>
            </w:r>
            <w:r>
              <w:t xml:space="preserve">46,0 %). </w:t>
            </w:r>
          </w:p>
        </w:tc>
      </w:tr>
      <w:tr w:rsidR="004B305C" w:rsidRPr="009110F7" w:rsidTr="004B305C">
        <w:trPr>
          <w:trHeight w:val="304"/>
        </w:trPr>
        <w:tc>
          <w:tcPr>
            <w:tcW w:w="1888" w:type="dxa"/>
            <w:vMerge w:val="restart"/>
            <w:shd w:val="clear" w:color="auto" w:fill="auto"/>
            <w:tcMar>
              <w:left w:w="0" w:type="dxa"/>
            </w:tcMar>
          </w:tcPr>
          <w:p w:rsidR="004B305C" w:rsidRDefault="004B305C" w:rsidP="009B05B3">
            <w:pPr>
              <w:pStyle w:val="Marginlie"/>
            </w:pPr>
          </w:p>
        </w:tc>
        <w:tc>
          <w:tcPr>
            <w:tcW w:w="250" w:type="dxa"/>
            <w:vMerge w:val="restart"/>
            <w:shd w:val="clear" w:color="auto" w:fill="auto"/>
            <w:tcMar>
              <w:left w:w="0" w:type="dxa"/>
            </w:tcMar>
          </w:tcPr>
          <w:p w:rsidR="004B305C" w:rsidRDefault="004B305C" w:rsidP="009B05B3">
            <w:pPr>
              <w:pStyle w:val="Textpoznpodarou"/>
              <w:jc w:val="both"/>
              <w:rPr>
                <w:spacing w:val="-4"/>
              </w:rPr>
            </w:pPr>
          </w:p>
        </w:tc>
        <w:tc>
          <w:tcPr>
            <w:tcW w:w="7501" w:type="dxa"/>
            <w:shd w:val="clear" w:color="auto" w:fill="auto"/>
            <w:tcMar>
              <w:left w:w="0" w:type="dxa"/>
            </w:tcMar>
          </w:tcPr>
          <w:p w:rsidR="004B305C" w:rsidRDefault="00A925B1" w:rsidP="004B305C">
            <w:pPr>
              <w:spacing w:after="0"/>
            </w:pPr>
            <w:r>
              <w:rPr>
                <w:rFonts w:cs="Arial"/>
                <w:b/>
                <w:bCs/>
                <w:color w:val="000000"/>
                <w:sz w:val="18"/>
                <w:szCs w:val="18"/>
              </w:rPr>
              <w:t>Graf č. 18</w:t>
            </w:r>
            <w:r w:rsidR="004B305C" w:rsidRPr="00631BC9">
              <w:rPr>
                <w:rFonts w:cs="Arial"/>
                <w:b/>
                <w:bCs/>
                <w:color w:val="000000"/>
                <w:sz w:val="18"/>
                <w:szCs w:val="18"/>
              </w:rPr>
              <w:t xml:space="preserve">  </w:t>
            </w:r>
            <w:r w:rsidR="004B305C">
              <w:rPr>
                <w:b/>
                <w:spacing w:val="-4"/>
                <w:sz w:val="18"/>
                <w:szCs w:val="18"/>
              </w:rPr>
              <w:t>Tržní úrokové sazby (v %)</w:t>
            </w:r>
          </w:p>
        </w:tc>
      </w:tr>
      <w:tr w:rsidR="004B305C" w:rsidRPr="009110F7" w:rsidTr="004B305C">
        <w:trPr>
          <w:trHeight w:val="170"/>
        </w:trPr>
        <w:tc>
          <w:tcPr>
            <w:tcW w:w="1888" w:type="dxa"/>
            <w:vMerge/>
            <w:shd w:val="clear" w:color="auto" w:fill="auto"/>
            <w:tcMar>
              <w:left w:w="0" w:type="dxa"/>
            </w:tcMar>
          </w:tcPr>
          <w:p w:rsidR="004B305C" w:rsidRPr="009110F7" w:rsidRDefault="004B305C" w:rsidP="00965797">
            <w:pPr>
              <w:pStyle w:val="Marginlie"/>
            </w:pPr>
          </w:p>
        </w:tc>
        <w:tc>
          <w:tcPr>
            <w:tcW w:w="250" w:type="dxa"/>
            <w:vMerge/>
            <w:shd w:val="clear" w:color="auto" w:fill="auto"/>
            <w:tcMar>
              <w:left w:w="0" w:type="dxa"/>
            </w:tcMar>
          </w:tcPr>
          <w:p w:rsidR="004B305C" w:rsidRPr="009110F7" w:rsidRDefault="004B305C" w:rsidP="00965797">
            <w:pPr>
              <w:pStyle w:val="Textpoznpodarou"/>
              <w:jc w:val="both"/>
              <w:rPr>
                <w:spacing w:val="-4"/>
              </w:rPr>
            </w:pPr>
          </w:p>
        </w:tc>
        <w:tc>
          <w:tcPr>
            <w:tcW w:w="7501" w:type="dxa"/>
            <w:shd w:val="clear" w:color="auto" w:fill="auto"/>
            <w:tcMar>
              <w:left w:w="0" w:type="dxa"/>
            </w:tcMar>
          </w:tcPr>
          <w:p w:rsidR="004B305C" w:rsidRPr="009110F7" w:rsidRDefault="004B305C" w:rsidP="008458BD">
            <w:pPr>
              <w:spacing w:after="0"/>
              <w:rPr>
                <w:sz w:val="14"/>
                <w:szCs w:val="14"/>
              </w:rPr>
            </w:pPr>
            <w:r w:rsidRPr="00B00E77">
              <w:rPr>
                <w:noProof/>
                <w:sz w:val="14"/>
                <w:szCs w:val="14"/>
              </w:rPr>
              <w:drawing>
                <wp:inline distT="0" distB="0" distL="0" distR="0">
                  <wp:extent cx="4737600" cy="3553200"/>
                  <wp:effectExtent l="0" t="0" r="0" b="0"/>
                  <wp:docPr id="3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B305C" w:rsidRPr="009110F7" w:rsidTr="004B305C">
        <w:trPr>
          <w:trHeight w:val="170"/>
        </w:trPr>
        <w:tc>
          <w:tcPr>
            <w:tcW w:w="1888" w:type="dxa"/>
            <w:vMerge/>
            <w:shd w:val="clear" w:color="auto" w:fill="auto"/>
            <w:tcMar>
              <w:left w:w="0" w:type="dxa"/>
            </w:tcMar>
          </w:tcPr>
          <w:p w:rsidR="004B305C" w:rsidRPr="009110F7" w:rsidRDefault="004B305C" w:rsidP="00965797">
            <w:pPr>
              <w:pStyle w:val="Marginlie"/>
            </w:pPr>
          </w:p>
        </w:tc>
        <w:tc>
          <w:tcPr>
            <w:tcW w:w="250" w:type="dxa"/>
            <w:vMerge/>
            <w:shd w:val="clear" w:color="auto" w:fill="auto"/>
            <w:tcMar>
              <w:left w:w="0" w:type="dxa"/>
            </w:tcMar>
          </w:tcPr>
          <w:p w:rsidR="004B305C" w:rsidRPr="009110F7" w:rsidRDefault="004B305C" w:rsidP="00965797">
            <w:pPr>
              <w:pStyle w:val="Textpoznpodarou"/>
              <w:jc w:val="both"/>
              <w:rPr>
                <w:spacing w:val="-4"/>
              </w:rPr>
            </w:pPr>
          </w:p>
        </w:tc>
        <w:tc>
          <w:tcPr>
            <w:tcW w:w="7501" w:type="dxa"/>
            <w:shd w:val="clear" w:color="auto" w:fill="auto"/>
            <w:tcMar>
              <w:left w:w="0" w:type="dxa"/>
            </w:tcMar>
          </w:tcPr>
          <w:p w:rsidR="004B305C" w:rsidRPr="009110F7" w:rsidRDefault="004B305C" w:rsidP="008458BD">
            <w:pPr>
              <w:spacing w:after="0"/>
              <w:rPr>
                <w:sz w:val="14"/>
                <w:szCs w:val="14"/>
              </w:rPr>
            </w:pPr>
            <w:r>
              <w:rPr>
                <w:sz w:val="14"/>
                <w:szCs w:val="14"/>
              </w:rPr>
              <w:t>Zdroj: ČNB</w:t>
            </w:r>
          </w:p>
        </w:tc>
      </w:tr>
    </w:tbl>
    <w:p w:rsidR="00965797" w:rsidRDefault="00965797" w:rsidP="00965797">
      <w:pPr>
        <w:pStyle w:val="Nadpis11"/>
      </w:pPr>
      <w:bookmarkStart w:id="12" w:name="_Toc532558288"/>
      <w:r w:rsidRPr="009110F7">
        <w:lastRenderedPageBreak/>
        <w:t>8. Státní rozpočet</w:t>
      </w:r>
      <w:bookmarkEnd w:id="12"/>
    </w:p>
    <w:tbl>
      <w:tblPr>
        <w:tblW w:w="9644" w:type="dxa"/>
        <w:tblInd w:w="-20" w:type="dxa"/>
        <w:tblCellMar>
          <w:left w:w="0" w:type="dxa"/>
          <w:right w:w="0" w:type="dxa"/>
        </w:tblCellMar>
        <w:tblLook w:val="00A0"/>
      </w:tblPr>
      <w:tblGrid>
        <w:gridCol w:w="1868"/>
        <w:gridCol w:w="245"/>
        <w:gridCol w:w="7531"/>
      </w:tblGrid>
      <w:tr w:rsidR="0083630F" w:rsidRPr="00B0323B" w:rsidTr="0083630F">
        <w:trPr>
          <w:trHeight w:val="145"/>
        </w:trPr>
        <w:tc>
          <w:tcPr>
            <w:tcW w:w="1868" w:type="dxa"/>
            <w:shd w:val="clear" w:color="auto" w:fill="auto"/>
            <w:tcMar>
              <w:left w:w="0" w:type="dxa"/>
            </w:tcMar>
          </w:tcPr>
          <w:p w:rsidR="0083630F" w:rsidRDefault="0083630F" w:rsidP="0083630F">
            <w:pPr>
              <w:pStyle w:val="Marginlie"/>
            </w:pPr>
            <w:r>
              <w:t>Státní rozpočet dosáhl přebytku již třetím rokem v řadě.</w:t>
            </w:r>
          </w:p>
        </w:tc>
        <w:tc>
          <w:tcPr>
            <w:tcW w:w="245" w:type="dxa"/>
            <w:shd w:val="clear" w:color="auto" w:fill="auto"/>
            <w:tcMar>
              <w:left w:w="0" w:type="dxa"/>
            </w:tcMar>
          </w:tcPr>
          <w:p w:rsidR="0083630F" w:rsidRDefault="0083630F" w:rsidP="0083630F">
            <w:pPr>
              <w:pStyle w:val="Textpoznpodarou"/>
              <w:jc w:val="both"/>
              <w:rPr>
                <w:spacing w:val="-4"/>
              </w:rPr>
            </w:pPr>
          </w:p>
        </w:tc>
        <w:tc>
          <w:tcPr>
            <w:tcW w:w="7531" w:type="dxa"/>
            <w:shd w:val="clear" w:color="auto" w:fill="auto"/>
            <w:tcMar>
              <w:left w:w="0" w:type="dxa"/>
            </w:tcMar>
          </w:tcPr>
          <w:p w:rsidR="0083630F" w:rsidRPr="00B0323B" w:rsidRDefault="0083630F" w:rsidP="0083630F">
            <w:pPr>
              <w:spacing w:after="200"/>
              <w:rPr>
                <w:spacing w:val="-2"/>
              </w:rPr>
            </w:pPr>
            <w:r>
              <w:rPr>
                <w:spacing w:val="-2"/>
              </w:rPr>
              <w:t>Za tři čtvrtletí roku</w:t>
            </w:r>
            <w:r w:rsidRPr="000C638B">
              <w:rPr>
                <w:spacing w:val="-2"/>
              </w:rPr>
              <w:t xml:space="preserve"> </w:t>
            </w:r>
            <w:r>
              <w:rPr>
                <w:spacing w:val="-2"/>
              </w:rPr>
              <w:t xml:space="preserve">2018 dosáhlo saldo </w:t>
            </w:r>
            <w:r w:rsidRPr="000C638B">
              <w:rPr>
                <w:spacing w:val="-2"/>
              </w:rPr>
              <w:t>státní</w:t>
            </w:r>
            <w:r>
              <w:rPr>
                <w:spacing w:val="-2"/>
              </w:rPr>
              <w:t>ho rozpoč</w:t>
            </w:r>
            <w:r w:rsidRPr="000C638B">
              <w:rPr>
                <w:spacing w:val="-2"/>
              </w:rPr>
              <w:t>t</w:t>
            </w:r>
            <w:r>
              <w:rPr>
                <w:spacing w:val="-2"/>
              </w:rPr>
              <w:t>u</w:t>
            </w:r>
            <w:r w:rsidRPr="000C638B">
              <w:rPr>
                <w:spacing w:val="-2"/>
              </w:rPr>
              <w:t xml:space="preserve"> (SR)</w:t>
            </w:r>
            <w:r w:rsidRPr="000C638B">
              <w:rPr>
                <w:rStyle w:val="Znakapoznpodarou"/>
                <w:spacing w:val="-2"/>
              </w:rPr>
              <w:footnoteReference w:id="40"/>
            </w:r>
            <w:r>
              <w:rPr>
                <w:spacing w:val="-2"/>
              </w:rPr>
              <w:t xml:space="preserve"> +16,8</w:t>
            </w:r>
            <w:r w:rsidRPr="000C638B">
              <w:rPr>
                <w:spacing w:val="-2"/>
              </w:rPr>
              <w:t> </w:t>
            </w:r>
            <w:r>
              <w:rPr>
                <w:spacing w:val="-2"/>
              </w:rPr>
              <w:t>mld. korun, v přebytku skončilo během tohoto období roku již potřetí v řadě. Letošní saldo zároveň představovalo třetí nejlepší výsledek po roce 2007. Na hospodaření státu měl i</w:t>
            </w:r>
            <w:r w:rsidRPr="000C638B">
              <w:rPr>
                <w:spacing w:val="-2"/>
              </w:rPr>
              <w:t xml:space="preserve"> přes náznaky zpomalování </w:t>
            </w:r>
            <w:r>
              <w:rPr>
                <w:spacing w:val="-2"/>
              </w:rPr>
              <w:t xml:space="preserve">stále </w:t>
            </w:r>
            <w:r w:rsidRPr="000C638B">
              <w:rPr>
                <w:spacing w:val="-2"/>
              </w:rPr>
              <w:t xml:space="preserve">klíčový vliv </w:t>
            </w:r>
            <w:r>
              <w:rPr>
                <w:spacing w:val="-2"/>
              </w:rPr>
              <w:t>ekonomický růst. Výrazněji působilo i</w:t>
            </w:r>
            <w:r w:rsidRPr="000C638B">
              <w:rPr>
                <w:spacing w:val="-2"/>
              </w:rPr>
              <w:t> </w:t>
            </w:r>
            <w:r>
              <w:rPr>
                <w:spacing w:val="-2"/>
              </w:rPr>
              <w:t>oživení investic (nejen na evropské, ale i národní projekty). V meziročním srovnání se projevoval efekt nepravidelného čerpání</w:t>
            </w:r>
            <w:r w:rsidRPr="000C638B">
              <w:rPr>
                <w:spacing w:val="-2"/>
              </w:rPr>
              <w:t xml:space="preserve"> prostředků z evropských fondů</w:t>
            </w:r>
            <w:r>
              <w:rPr>
                <w:spacing w:val="-2"/>
              </w:rPr>
              <w:t>, byť v menším rozsahu než v předešlých letech</w:t>
            </w:r>
            <w:r w:rsidRPr="000C638B">
              <w:rPr>
                <w:rStyle w:val="Znakapoznpodarou"/>
                <w:spacing w:val="-2"/>
              </w:rPr>
              <w:footnoteReference w:id="41"/>
            </w:r>
            <w:r w:rsidRPr="000C638B">
              <w:rPr>
                <w:spacing w:val="-2"/>
              </w:rPr>
              <w:t xml:space="preserve">. </w:t>
            </w:r>
            <w:r>
              <w:rPr>
                <w:rFonts w:cs="Arial"/>
                <w:color w:val="0D0D0D" w:themeColor="text1" w:themeTint="F2"/>
                <w:spacing w:val="-2"/>
              </w:rPr>
              <w:t>Saldo SR, jež představuje dominantní pol</w:t>
            </w:r>
            <w:r w:rsidRPr="000C638B">
              <w:rPr>
                <w:rFonts w:cs="Arial"/>
                <w:color w:val="0D0D0D" w:themeColor="text1" w:themeTint="F2"/>
                <w:spacing w:val="-2"/>
              </w:rPr>
              <w:t>ožku deficitu či přebytku hospodaření sektoru</w:t>
            </w:r>
            <w:r>
              <w:rPr>
                <w:rFonts w:cs="Arial"/>
                <w:color w:val="0D0D0D" w:themeColor="text1" w:themeTint="F2"/>
                <w:spacing w:val="-2"/>
              </w:rPr>
              <w:t xml:space="preserve"> vládních institucí, čítalo v</w:t>
            </w:r>
            <w:r w:rsidRPr="000C638B">
              <w:rPr>
                <w:color w:val="0D0D0D" w:themeColor="text1" w:themeTint="F2"/>
                <w:spacing w:val="-2"/>
              </w:rPr>
              <w:t> </w:t>
            </w:r>
            <w:r w:rsidRPr="000C638B">
              <w:rPr>
                <w:rFonts w:cs="Arial"/>
                <w:color w:val="0D0D0D" w:themeColor="text1" w:themeTint="F2"/>
                <w:spacing w:val="-2"/>
              </w:rPr>
              <w:t>relaci k</w:t>
            </w:r>
            <w:r w:rsidRPr="000C638B">
              <w:rPr>
                <w:color w:val="0D0D0D" w:themeColor="text1" w:themeTint="F2"/>
                <w:spacing w:val="-2"/>
              </w:rPr>
              <w:t> </w:t>
            </w:r>
            <w:r w:rsidRPr="000C638B">
              <w:rPr>
                <w:rFonts w:cs="Arial"/>
                <w:color w:val="000000" w:themeColor="text1"/>
                <w:spacing w:val="-2"/>
              </w:rPr>
              <w:t xml:space="preserve">nominálnímu </w:t>
            </w:r>
            <w:r>
              <w:rPr>
                <w:rFonts w:cs="Arial"/>
                <w:color w:val="000000" w:themeColor="text1"/>
                <w:spacing w:val="-2"/>
              </w:rPr>
              <w:t>HDP za první tři letošní čtvrtletí</w:t>
            </w:r>
            <w:r w:rsidRPr="000C638B">
              <w:rPr>
                <w:rFonts w:cs="Arial"/>
                <w:color w:val="000000" w:themeColor="text1"/>
                <w:spacing w:val="-2"/>
              </w:rPr>
              <w:t xml:space="preserve"> </w:t>
            </w:r>
            <w:r>
              <w:rPr>
                <w:rFonts w:cs="Arial"/>
                <w:color w:val="000000" w:themeColor="text1"/>
                <w:spacing w:val="-2"/>
              </w:rPr>
              <w:t>+0,4</w:t>
            </w:r>
            <w:r w:rsidRPr="000C638B">
              <w:rPr>
                <w:rFonts w:cs="Arial"/>
                <w:color w:val="000000" w:themeColor="text1"/>
                <w:spacing w:val="-2"/>
              </w:rPr>
              <w:t> %</w:t>
            </w:r>
            <w:r>
              <w:rPr>
                <w:rFonts w:cs="Arial"/>
                <w:color w:val="000000" w:themeColor="text1"/>
                <w:spacing w:val="-2"/>
              </w:rPr>
              <w:t>.</w:t>
            </w:r>
          </w:p>
        </w:tc>
      </w:tr>
      <w:tr w:rsidR="0083630F" w:rsidRPr="00B4411A" w:rsidTr="0083630F">
        <w:trPr>
          <w:trHeight w:val="145"/>
        </w:trPr>
        <w:tc>
          <w:tcPr>
            <w:tcW w:w="1868" w:type="dxa"/>
            <w:shd w:val="clear" w:color="auto" w:fill="auto"/>
            <w:tcMar>
              <w:left w:w="0" w:type="dxa"/>
            </w:tcMar>
          </w:tcPr>
          <w:p w:rsidR="0083630F" w:rsidRDefault="0083630F" w:rsidP="0083630F">
            <w:pPr>
              <w:pStyle w:val="Marginlie"/>
            </w:pPr>
            <w:r>
              <w:t>Výrazný růst příjmů SR nad úroveň rozpočtových očekávání byl způsoben zejména dobíhajícími platbami z rozpočtu EU.</w:t>
            </w:r>
          </w:p>
        </w:tc>
        <w:tc>
          <w:tcPr>
            <w:tcW w:w="245" w:type="dxa"/>
            <w:shd w:val="clear" w:color="auto" w:fill="auto"/>
            <w:tcMar>
              <w:left w:w="0" w:type="dxa"/>
            </w:tcMar>
          </w:tcPr>
          <w:p w:rsidR="0083630F" w:rsidRDefault="0083630F" w:rsidP="0083630F">
            <w:pPr>
              <w:pStyle w:val="Textpoznpodarou"/>
              <w:jc w:val="both"/>
              <w:rPr>
                <w:spacing w:val="-4"/>
              </w:rPr>
            </w:pPr>
          </w:p>
        </w:tc>
        <w:tc>
          <w:tcPr>
            <w:tcW w:w="7531" w:type="dxa"/>
            <w:shd w:val="clear" w:color="auto" w:fill="auto"/>
            <w:tcMar>
              <w:left w:w="0" w:type="dxa"/>
            </w:tcMar>
          </w:tcPr>
          <w:p w:rsidR="0083630F" w:rsidRPr="00B4411A" w:rsidRDefault="0083630F" w:rsidP="0083630F">
            <w:pPr>
              <w:spacing w:after="200"/>
              <w:rPr>
                <w:spacing w:val="-4"/>
              </w:rPr>
            </w:pPr>
            <w:r>
              <w:rPr>
                <w:spacing w:val="-4"/>
              </w:rPr>
              <w:t xml:space="preserve">Celkové příjmy SR se za tři čtvrtletí meziročně navýšily o 8,9 %, bezmála trojnásobným tempem oproti celoročnímu rozpočtovému očekávání. Zatímco dynamika daňových příjmů (bez pojistného na sociální zabezpečení </w:t>
            </w:r>
            <w:r w:rsidR="00DB657E">
              <w:rPr>
                <w:spacing w:val="-4"/>
              </w:rPr>
              <w:t>–</w:t>
            </w:r>
            <w:r>
              <w:rPr>
                <w:spacing w:val="-4"/>
              </w:rPr>
              <w:t xml:space="preserve"> SZ) těmto očekáváním v zásadě odpovídala, u nedaňových a ostatních příjmů byla celoroční očekávaná výše dosažena již během července. Stály za tím především </w:t>
            </w:r>
            <w:r w:rsidRPr="000C638B">
              <w:rPr>
                <w:spacing w:val="-2"/>
              </w:rPr>
              <w:t xml:space="preserve">dobíhající </w:t>
            </w:r>
            <w:r>
              <w:rPr>
                <w:spacing w:val="-2"/>
              </w:rPr>
              <w:t xml:space="preserve">závěrečné </w:t>
            </w:r>
            <w:r w:rsidRPr="000C638B">
              <w:rPr>
                <w:spacing w:val="-2"/>
              </w:rPr>
              <w:t>platby vztahující se k již skončenému programovému období</w:t>
            </w:r>
            <w:r>
              <w:rPr>
                <w:spacing w:val="-2"/>
              </w:rPr>
              <w:t xml:space="preserve"> 2007 až 2013 (ve výši 20,7 mld. korun), zčásti k růstu přispělo i oživení čerpání v předchozích měsících navázané na současné programové období (vliv 4,3 mld.). Rozpočtová očekávání výrazněji předčilo také tempo výběru pojistného na SZ (o 3,7 p. b.). </w:t>
            </w:r>
          </w:p>
        </w:tc>
      </w:tr>
      <w:tr w:rsidR="0083630F" w:rsidRPr="00F704D2" w:rsidTr="0083630F">
        <w:trPr>
          <w:trHeight w:val="170"/>
        </w:trPr>
        <w:tc>
          <w:tcPr>
            <w:tcW w:w="1868" w:type="dxa"/>
            <w:vMerge w:val="restart"/>
            <w:shd w:val="clear" w:color="auto" w:fill="auto"/>
            <w:tcMar>
              <w:left w:w="0" w:type="dxa"/>
            </w:tcMar>
          </w:tcPr>
          <w:p w:rsidR="0083630F" w:rsidRDefault="0083630F" w:rsidP="0083630F">
            <w:pPr>
              <w:pStyle w:val="Marginlie"/>
            </w:pPr>
          </w:p>
        </w:tc>
        <w:tc>
          <w:tcPr>
            <w:tcW w:w="245" w:type="dxa"/>
            <w:vMerge w:val="restart"/>
            <w:shd w:val="clear" w:color="auto" w:fill="auto"/>
            <w:tcMar>
              <w:left w:w="0" w:type="dxa"/>
            </w:tcMar>
          </w:tcPr>
          <w:p w:rsidR="0083630F" w:rsidRDefault="0083630F" w:rsidP="0083630F">
            <w:pPr>
              <w:pStyle w:val="Textpoznpodarou"/>
              <w:jc w:val="both"/>
              <w:rPr>
                <w:spacing w:val="-4"/>
              </w:rPr>
            </w:pPr>
          </w:p>
        </w:tc>
        <w:tc>
          <w:tcPr>
            <w:tcW w:w="7531" w:type="dxa"/>
            <w:shd w:val="clear" w:color="auto" w:fill="auto"/>
            <w:tcMar>
              <w:left w:w="0" w:type="dxa"/>
            </w:tcMar>
          </w:tcPr>
          <w:p w:rsidR="00D922A1" w:rsidRDefault="0083630F" w:rsidP="0083630F">
            <w:pPr>
              <w:spacing w:after="0" w:line="240" w:lineRule="auto"/>
              <w:rPr>
                <w:rFonts w:cs="Arial"/>
                <w:bCs/>
              </w:rPr>
            </w:pPr>
            <w:r w:rsidRPr="00C06323">
              <w:rPr>
                <w:rFonts w:cs="Arial"/>
                <w:b/>
                <w:bCs/>
                <w:color w:val="000000"/>
                <w:szCs w:val="20"/>
              </w:rPr>
              <w:t xml:space="preserve">Graf č. </w:t>
            </w:r>
            <w:r w:rsidR="00A925B1">
              <w:rPr>
                <w:rFonts w:cs="Arial"/>
                <w:b/>
                <w:bCs/>
                <w:color w:val="000000"/>
                <w:szCs w:val="20"/>
              </w:rPr>
              <w:t>19</w:t>
            </w:r>
            <w:r w:rsidRPr="00631BC9">
              <w:rPr>
                <w:rFonts w:cs="Arial"/>
                <w:b/>
                <w:bCs/>
                <w:color w:val="000000"/>
                <w:sz w:val="18"/>
                <w:szCs w:val="18"/>
              </w:rPr>
              <w:t xml:space="preserve"> </w:t>
            </w:r>
            <w:r>
              <w:rPr>
                <w:rFonts w:cs="Arial"/>
                <w:b/>
                <w:bCs/>
                <w:color w:val="000000"/>
                <w:sz w:val="18"/>
                <w:szCs w:val="18"/>
              </w:rPr>
              <w:t xml:space="preserve"> </w:t>
            </w:r>
            <w:r>
              <w:rPr>
                <w:rFonts w:cs="Arial"/>
                <w:b/>
                <w:bCs/>
              </w:rPr>
              <w:t xml:space="preserve">Celostátní inkasa vybraných daňových příjmů </w:t>
            </w:r>
            <w:r>
              <w:rPr>
                <w:rFonts w:cs="Arial"/>
                <w:bCs/>
              </w:rPr>
              <w:t>(</w:t>
            </w:r>
            <w:r w:rsidRPr="00E62A33">
              <w:rPr>
                <w:spacing w:val="-2"/>
              </w:rPr>
              <w:t>meziročně</w:t>
            </w:r>
            <w:r w:rsidRPr="00E62A33">
              <w:rPr>
                <w:bCs/>
                <w:spacing w:val="-2"/>
              </w:rPr>
              <w:t xml:space="preserve"> v</w:t>
            </w:r>
            <w:r>
              <w:rPr>
                <w:bCs/>
                <w:spacing w:val="-2"/>
              </w:rPr>
              <w:t> %</w:t>
            </w:r>
            <w:r w:rsidRPr="00E62A33">
              <w:rPr>
                <w:bCs/>
                <w:spacing w:val="-2"/>
              </w:rPr>
              <w:t>)</w:t>
            </w:r>
          </w:p>
          <w:p w:rsidR="0083630F" w:rsidRPr="00F704D2" w:rsidRDefault="0083630F" w:rsidP="0083630F">
            <w:pPr>
              <w:spacing w:after="0" w:line="240" w:lineRule="auto"/>
              <w:jc w:val="left"/>
              <w:rPr>
                <w:rFonts w:cs="Arial"/>
                <w:bCs/>
              </w:rPr>
            </w:pPr>
            <w:r>
              <w:rPr>
                <w:rFonts w:cs="Arial"/>
                <w:b/>
                <w:bCs/>
              </w:rPr>
              <w:t>a saldo státního rozpočtu</w:t>
            </w:r>
            <w:r>
              <w:t xml:space="preserve"> </w:t>
            </w:r>
            <w:r>
              <w:rPr>
                <w:rFonts w:cs="Arial"/>
                <w:bCs/>
              </w:rPr>
              <w:t>(v mld. korun)</w:t>
            </w:r>
            <w:r w:rsidRPr="00EC1C49">
              <w:rPr>
                <w:rFonts w:cs="Arial"/>
                <w:b/>
                <w:bCs/>
              </w:rPr>
              <w:t xml:space="preserve"> v rámci 1.</w:t>
            </w:r>
            <w:r>
              <w:rPr>
                <w:rFonts w:cs="Arial"/>
                <w:b/>
                <w:bCs/>
              </w:rPr>
              <w:t xml:space="preserve"> až 3.</w:t>
            </w:r>
            <w:r w:rsidRPr="00EC1C49">
              <w:rPr>
                <w:rFonts w:cs="Arial"/>
                <w:b/>
                <w:bCs/>
              </w:rPr>
              <w:t xml:space="preserve"> </w:t>
            </w:r>
            <w:r>
              <w:rPr>
                <w:rFonts w:cs="Arial"/>
                <w:b/>
                <w:bCs/>
              </w:rPr>
              <w:t>čtvrtletí</w:t>
            </w:r>
          </w:p>
        </w:tc>
      </w:tr>
      <w:tr w:rsidR="0083630F" w:rsidTr="0083630F">
        <w:trPr>
          <w:trHeight w:val="170"/>
        </w:trPr>
        <w:tc>
          <w:tcPr>
            <w:tcW w:w="1868" w:type="dxa"/>
            <w:vMerge/>
            <w:shd w:val="clear" w:color="auto" w:fill="auto"/>
            <w:tcMar>
              <w:left w:w="0" w:type="dxa"/>
            </w:tcMar>
          </w:tcPr>
          <w:p w:rsidR="0083630F" w:rsidRDefault="0083630F" w:rsidP="0083630F">
            <w:pPr>
              <w:pStyle w:val="Marginlie"/>
            </w:pPr>
          </w:p>
        </w:tc>
        <w:tc>
          <w:tcPr>
            <w:tcW w:w="245" w:type="dxa"/>
            <w:vMerge/>
            <w:shd w:val="clear" w:color="auto" w:fill="auto"/>
            <w:tcMar>
              <w:left w:w="0" w:type="dxa"/>
            </w:tcMar>
          </w:tcPr>
          <w:p w:rsidR="0083630F" w:rsidRDefault="0083630F" w:rsidP="0083630F">
            <w:pPr>
              <w:pStyle w:val="Textpoznpodarou"/>
              <w:jc w:val="both"/>
              <w:rPr>
                <w:spacing w:val="-4"/>
              </w:rPr>
            </w:pPr>
          </w:p>
        </w:tc>
        <w:tc>
          <w:tcPr>
            <w:tcW w:w="7531" w:type="dxa"/>
            <w:shd w:val="clear" w:color="auto" w:fill="auto"/>
            <w:tcMar>
              <w:left w:w="0" w:type="dxa"/>
            </w:tcMar>
          </w:tcPr>
          <w:p w:rsidR="0083630F" w:rsidRDefault="0083630F" w:rsidP="0083630F">
            <w:pPr>
              <w:spacing w:after="0"/>
            </w:pPr>
            <w:r w:rsidRPr="00DF179D">
              <w:rPr>
                <w:noProof/>
              </w:rPr>
              <w:drawing>
                <wp:inline distT="0" distB="0" distL="0" distR="0">
                  <wp:extent cx="4742061" cy="3526757"/>
                  <wp:effectExtent l="19050" t="0" r="0" b="0"/>
                  <wp:docPr id="2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83630F" w:rsidRPr="007B3A78" w:rsidTr="0083630F">
        <w:trPr>
          <w:trHeight w:val="170"/>
        </w:trPr>
        <w:tc>
          <w:tcPr>
            <w:tcW w:w="1868" w:type="dxa"/>
            <w:vMerge/>
            <w:shd w:val="clear" w:color="auto" w:fill="auto"/>
            <w:tcMar>
              <w:left w:w="0" w:type="dxa"/>
            </w:tcMar>
          </w:tcPr>
          <w:p w:rsidR="0083630F" w:rsidRDefault="0083630F" w:rsidP="0083630F">
            <w:pPr>
              <w:pStyle w:val="Marginlie"/>
            </w:pPr>
          </w:p>
        </w:tc>
        <w:tc>
          <w:tcPr>
            <w:tcW w:w="245" w:type="dxa"/>
            <w:vMerge/>
            <w:shd w:val="clear" w:color="auto" w:fill="auto"/>
            <w:tcMar>
              <w:left w:w="0" w:type="dxa"/>
            </w:tcMar>
          </w:tcPr>
          <w:p w:rsidR="0083630F" w:rsidRDefault="0083630F" w:rsidP="0083630F">
            <w:pPr>
              <w:pStyle w:val="Textpoznpodarou"/>
              <w:jc w:val="both"/>
              <w:rPr>
                <w:spacing w:val="-4"/>
              </w:rPr>
            </w:pPr>
          </w:p>
        </w:tc>
        <w:tc>
          <w:tcPr>
            <w:tcW w:w="7531" w:type="dxa"/>
            <w:shd w:val="clear" w:color="auto" w:fill="auto"/>
            <w:tcMar>
              <w:left w:w="0" w:type="dxa"/>
            </w:tcMar>
          </w:tcPr>
          <w:p w:rsidR="0083630F" w:rsidRPr="007B3A78" w:rsidRDefault="0083630F" w:rsidP="0083630F">
            <w:pPr>
              <w:spacing w:line="240" w:lineRule="auto"/>
              <w:jc w:val="left"/>
              <w:rPr>
                <w:rFonts w:cs="Arial"/>
                <w:sz w:val="14"/>
                <w:szCs w:val="14"/>
              </w:rPr>
            </w:pPr>
            <w:r>
              <w:rPr>
                <w:sz w:val="14"/>
                <w:szCs w:val="14"/>
              </w:rPr>
              <w:t>Zdroj: MF ČR</w:t>
            </w:r>
          </w:p>
        </w:tc>
      </w:tr>
      <w:tr w:rsidR="0083630F" w:rsidRPr="00DF56DC" w:rsidTr="0083630F">
        <w:trPr>
          <w:trHeight w:val="145"/>
        </w:trPr>
        <w:tc>
          <w:tcPr>
            <w:tcW w:w="1868" w:type="dxa"/>
            <w:shd w:val="clear" w:color="auto" w:fill="auto"/>
            <w:tcMar>
              <w:left w:w="0" w:type="dxa"/>
            </w:tcMar>
          </w:tcPr>
          <w:p w:rsidR="0083630F" w:rsidRDefault="0083630F" w:rsidP="0083630F">
            <w:pPr>
              <w:pStyle w:val="Marginlie"/>
            </w:pPr>
            <w:r>
              <w:t xml:space="preserve">Celostátní daňové inkaso vzrostlo o 8,4 %, nejrychleji v současném konjunkturním období. </w:t>
            </w:r>
          </w:p>
        </w:tc>
        <w:tc>
          <w:tcPr>
            <w:tcW w:w="245" w:type="dxa"/>
            <w:shd w:val="clear" w:color="auto" w:fill="auto"/>
            <w:tcMar>
              <w:left w:w="0" w:type="dxa"/>
            </w:tcMar>
          </w:tcPr>
          <w:p w:rsidR="0083630F" w:rsidRDefault="0083630F" w:rsidP="0083630F">
            <w:pPr>
              <w:pStyle w:val="Textpoznpodarou"/>
              <w:jc w:val="both"/>
              <w:rPr>
                <w:spacing w:val="-4"/>
              </w:rPr>
            </w:pPr>
          </w:p>
        </w:tc>
        <w:tc>
          <w:tcPr>
            <w:tcW w:w="7531" w:type="dxa"/>
            <w:shd w:val="clear" w:color="auto" w:fill="auto"/>
            <w:tcMar>
              <w:left w:w="0" w:type="dxa"/>
            </w:tcMar>
          </w:tcPr>
          <w:p w:rsidR="0083630F" w:rsidRPr="00DF56DC" w:rsidRDefault="0083630F" w:rsidP="0083630F">
            <w:pPr>
              <w:spacing w:after="220"/>
              <w:rPr>
                <w:spacing w:val="-4"/>
              </w:rPr>
            </w:pPr>
            <w:r>
              <w:rPr>
                <w:spacing w:val="-4"/>
              </w:rPr>
              <w:t>I přes posílení významu evropských zdrojů</w:t>
            </w:r>
            <w:r w:rsidRPr="00DF56DC">
              <w:rPr>
                <w:spacing w:val="-4"/>
              </w:rPr>
              <w:t xml:space="preserve"> si klíčový vliv na růst všech příjmů SR nadále udržují daňové příjmy</w:t>
            </w:r>
            <w:r>
              <w:rPr>
                <w:spacing w:val="-4"/>
              </w:rPr>
              <w:t>, jež vypovídají</w:t>
            </w:r>
            <w:r w:rsidRPr="00DF56DC">
              <w:rPr>
                <w:spacing w:val="-4"/>
              </w:rPr>
              <w:t xml:space="preserve"> o kondici ekonomiky i efektivitě výběru daní. Celkové daňové příjmy SR vzrostly za tři čtvrtletí meziročně o 7,0 % (bez zahrnutí pojistného na SZ </w:t>
            </w:r>
            <w:r>
              <w:rPr>
                <w:spacing w:val="-4"/>
              </w:rPr>
              <w:t>o 4,8 %).</w:t>
            </w:r>
            <w:r w:rsidRPr="00DF56DC">
              <w:rPr>
                <w:spacing w:val="-4"/>
              </w:rPr>
              <w:t xml:space="preserve"> Vzhledem ke změně rozpočtového určení daní, je</w:t>
            </w:r>
            <w:r>
              <w:rPr>
                <w:spacing w:val="-4"/>
              </w:rPr>
              <w:t>ž</w:t>
            </w:r>
            <w:r w:rsidRPr="00DF56DC">
              <w:rPr>
                <w:spacing w:val="-4"/>
              </w:rPr>
              <w:t xml:space="preserve"> od ledna </w:t>
            </w:r>
            <w:r>
              <w:rPr>
                <w:spacing w:val="-4"/>
              </w:rPr>
              <w:lastRenderedPageBreak/>
              <w:t xml:space="preserve">2018 </w:t>
            </w:r>
            <w:r w:rsidRPr="00272095">
              <w:rPr>
                <w:spacing w:val="-4"/>
              </w:rPr>
              <w:t xml:space="preserve">přesměrovala </w:t>
            </w:r>
            <w:r>
              <w:rPr>
                <w:spacing w:val="-4"/>
              </w:rPr>
              <w:t xml:space="preserve">další </w:t>
            </w:r>
            <w:r w:rsidRPr="00272095">
              <w:rPr>
                <w:spacing w:val="-4"/>
              </w:rPr>
              <w:t>část celkového</w:t>
            </w:r>
            <w:r w:rsidRPr="00DF56DC">
              <w:rPr>
                <w:spacing w:val="-4"/>
              </w:rPr>
              <w:t xml:space="preserve"> inkasa (u DPH) místním rozpočtům na úkor SR, vypovídá o skutečné dynamice výb</w:t>
            </w:r>
            <w:r>
              <w:rPr>
                <w:spacing w:val="-4"/>
              </w:rPr>
              <w:t>ěru daní lépe</w:t>
            </w:r>
            <w:r w:rsidRPr="00DF56DC">
              <w:rPr>
                <w:spacing w:val="-4"/>
              </w:rPr>
              <w:t xml:space="preserve"> jeho celostátní tempo. Dle něj vzrostlo </w:t>
            </w:r>
            <w:r>
              <w:rPr>
                <w:spacing w:val="-4"/>
              </w:rPr>
              <w:t xml:space="preserve">za tři </w:t>
            </w:r>
            <w:r w:rsidRPr="00DF56DC">
              <w:rPr>
                <w:spacing w:val="-4"/>
              </w:rPr>
              <w:t xml:space="preserve">čtvrtletí celkové daňové inkaso o 8,4 %, </w:t>
            </w:r>
            <w:r w:rsidR="00412DFA">
              <w:rPr>
                <w:spacing w:val="-4"/>
              </w:rPr>
              <w:t>nejrychlejším</w:t>
            </w:r>
            <w:r w:rsidR="00412DFA" w:rsidRPr="00DF56DC">
              <w:rPr>
                <w:spacing w:val="-4"/>
              </w:rPr>
              <w:t xml:space="preserve"> </w:t>
            </w:r>
            <w:r w:rsidRPr="00DF56DC">
              <w:rPr>
                <w:spacing w:val="-4"/>
              </w:rPr>
              <w:t>te</w:t>
            </w:r>
            <w:r>
              <w:rPr>
                <w:spacing w:val="-4"/>
              </w:rPr>
              <w:t>m</w:t>
            </w:r>
            <w:r w:rsidRPr="0075583A">
              <w:rPr>
                <w:spacing w:val="-4"/>
              </w:rPr>
              <w:t>pem v současném konjunkturním období</w:t>
            </w:r>
            <w:r>
              <w:rPr>
                <w:spacing w:val="-4"/>
              </w:rPr>
              <w:t xml:space="preserve">. </w:t>
            </w:r>
            <w:r w:rsidRPr="00DF56DC">
              <w:rPr>
                <w:spacing w:val="-4"/>
              </w:rPr>
              <w:t>K</w:t>
            </w:r>
            <w:r>
              <w:rPr>
                <w:spacing w:val="-4"/>
              </w:rPr>
              <w:t xml:space="preserve"> meziročnímu </w:t>
            </w:r>
            <w:r w:rsidRPr="00DF56DC">
              <w:rPr>
                <w:spacing w:val="-4"/>
              </w:rPr>
              <w:t>růstu nejvíce přispěly vyšší výběr pojistnéh</w:t>
            </w:r>
            <w:r>
              <w:rPr>
                <w:spacing w:val="-4"/>
              </w:rPr>
              <w:t>o na SZ (+</w:t>
            </w:r>
            <w:r w:rsidRPr="00DF56DC">
              <w:rPr>
                <w:spacing w:val="-4"/>
              </w:rPr>
              <w:t>35,5 mld. korun), DPH (+20,2 mld.) a daň z příjmů fyzických osob (+19,8 mld.).</w:t>
            </w:r>
          </w:p>
        </w:tc>
      </w:tr>
      <w:tr w:rsidR="0083630F" w:rsidRPr="00B4411A" w:rsidTr="0083630F">
        <w:trPr>
          <w:trHeight w:val="145"/>
        </w:trPr>
        <w:tc>
          <w:tcPr>
            <w:tcW w:w="1868" w:type="dxa"/>
            <w:shd w:val="clear" w:color="auto" w:fill="auto"/>
            <w:tcMar>
              <w:left w:w="0" w:type="dxa"/>
            </w:tcMar>
          </w:tcPr>
          <w:p w:rsidR="0083630F" w:rsidRDefault="0083630F" w:rsidP="0083630F">
            <w:pPr>
              <w:pStyle w:val="Marginlie"/>
            </w:pPr>
            <w:r>
              <w:lastRenderedPageBreak/>
              <w:t>Tempo výběru DPH za loňským vývojem i letošním rozpočtovým očekáváním zaostalo.</w:t>
            </w:r>
          </w:p>
        </w:tc>
        <w:tc>
          <w:tcPr>
            <w:tcW w:w="245" w:type="dxa"/>
            <w:shd w:val="clear" w:color="auto" w:fill="auto"/>
            <w:tcMar>
              <w:left w:w="0" w:type="dxa"/>
            </w:tcMar>
          </w:tcPr>
          <w:p w:rsidR="0083630F" w:rsidRDefault="0083630F" w:rsidP="0083630F">
            <w:pPr>
              <w:pStyle w:val="Textpoznpodarou"/>
              <w:jc w:val="both"/>
              <w:rPr>
                <w:spacing w:val="-4"/>
              </w:rPr>
            </w:pPr>
          </w:p>
        </w:tc>
        <w:tc>
          <w:tcPr>
            <w:tcW w:w="7531" w:type="dxa"/>
            <w:shd w:val="clear" w:color="auto" w:fill="auto"/>
            <w:tcMar>
              <w:left w:w="0" w:type="dxa"/>
            </w:tcMar>
          </w:tcPr>
          <w:p w:rsidR="0083630F" w:rsidRPr="00B4411A" w:rsidRDefault="0083630F" w:rsidP="0083630F">
            <w:pPr>
              <w:spacing w:after="220"/>
              <w:rPr>
                <w:spacing w:val="-4"/>
              </w:rPr>
            </w:pPr>
            <w:r>
              <w:rPr>
                <w:spacing w:val="-4"/>
              </w:rPr>
              <w:t xml:space="preserve">Meziroční růst celostátního výběru váhově dominantní daně – DPH – činil za tři čtvrtletí 7,4 %. Zaostal tak nejen za loňským vývojem, ale i za celoročním tempem očekávaným letos dle schváleného rozpočtu (9,0 %). </w:t>
            </w:r>
            <w:r>
              <w:rPr>
                <w:rFonts w:cs="Arial"/>
                <w:color w:val="000000" w:themeColor="text1"/>
                <w:spacing w:val="-4"/>
              </w:rPr>
              <w:t>Dynamika výběru DPH se stále výrazněji sbližovala</w:t>
            </w:r>
            <w:r w:rsidRPr="006D18B3">
              <w:rPr>
                <w:rFonts w:cs="Arial"/>
                <w:color w:val="000000" w:themeColor="text1"/>
                <w:spacing w:val="-4"/>
              </w:rPr>
              <w:t xml:space="preserve"> s vývojem výdajů na konečnou</w:t>
            </w:r>
            <w:r>
              <w:rPr>
                <w:rFonts w:cs="Arial"/>
                <w:color w:val="000000" w:themeColor="text1"/>
                <w:spacing w:val="-4"/>
              </w:rPr>
              <w:t xml:space="preserve"> spotřebu domácností či</w:t>
            </w:r>
            <w:r w:rsidRPr="006D18B3">
              <w:rPr>
                <w:rFonts w:cs="Arial"/>
                <w:color w:val="000000" w:themeColor="text1"/>
                <w:spacing w:val="-4"/>
              </w:rPr>
              <w:t xml:space="preserve"> vlády</w:t>
            </w:r>
            <w:r>
              <w:rPr>
                <w:rFonts w:cs="Arial"/>
                <w:color w:val="000000" w:themeColor="text1"/>
                <w:spacing w:val="-4"/>
              </w:rPr>
              <w:t xml:space="preserve"> (ty oproti prvním třem čtvrtletím loňského roku vzrostly nominálně o 6,3 %, resp. 10,4 %)</w:t>
            </w:r>
            <w:r w:rsidRPr="006D18B3">
              <w:rPr>
                <w:rFonts w:cs="Arial"/>
                <w:color w:val="000000" w:themeColor="text1"/>
                <w:spacing w:val="-4"/>
              </w:rPr>
              <w:t>.</w:t>
            </w:r>
          </w:p>
        </w:tc>
      </w:tr>
      <w:tr w:rsidR="0083630F" w:rsidRPr="009D4D1C" w:rsidTr="0083630F">
        <w:trPr>
          <w:trHeight w:val="145"/>
        </w:trPr>
        <w:tc>
          <w:tcPr>
            <w:tcW w:w="1868" w:type="dxa"/>
            <w:shd w:val="clear" w:color="auto" w:fill="auto"/>
            <w:tcMar>
              <w:left w:w="0" w:type="dxa"/>
            </w:tcMar>
          </w:tcPr>
          <w:p w:rsidR="0083630F" w:rsidRDefault="0083630F" w:rsidP="0083630F">
            <w:pPr>
              <w:pStyle w:val="Marginlie"/>
            </w:pPr>
            <w:r>
              <w:t>Růst inkasa spotřebních daní oproti tempu z loňského roku zmírnil.</w:t>
            </w:r>
          </w:p>
          <w:p w:rsidR="0083630F" w:rsidRDefault="0083630F" w:rsidP="0083630F">
            <w:pPr>
              <w:pStyle w:val="Marginlie"/>
            </w:pPr>
            <w:r>
              <w:t xml:space="preserve">Pozitivně se projevil vliv vyšších výkonů v dopravě, jakož i růst sazeb daně u tabákových výrobků. </w:t>
            </w:r>
          </w:p>
        </w:tc>
        <w:tc>
          <w:tcPr>
            <w:tcW w:w="245" w:type="dxa"/>
            <w:shd w:val="clear" w:color="auto" w:fill="auto"/>
            <w:tcMar>
              <w:left w:w="0" w:type="dxa"/>
            </w:tcMar>
          </w:tcPr>
          <w:p w:rsidR="0083630F" w:rsidRDefault="0083630F" w:rsidP="0083630F">
            <w:pPr>
              <w:pStyle w:val="Textpoznpodarou"/>
              <w:jc w:val="both"/>
              <w:rPr>
                <w:spacing w:val="-4"/>
              </w:rPr>
            </w:pPr>
          </w:p>
        </w:tc>
        <w:tc>
          <w:tcPr>
            <w:tcW w:w="7531" w:type="dxa"/>
            <w:shd w:val="clear" w:color="auto" w:fill="auto"/>
            <w:tcMar>
              <w:left w:w="0" w:type="dxa"/>
            </w:tcMar>
          </w:tcPr>
          <w:p w:rsidR="0083630F" w:rsidRPr="009D4D1C" w:rsidRDefault="0083630F" w:rsidP="0083630F">
            <w:pPr>
              <w:spacing w:after="220"/>
              <w:rPr>
                <w:rFonts w:cs="Arial"/>
                <w:color w:val="000000" w:themeColor="text1"/>
                <w:spacing w:val="-4"/>
              </w:rPr>
            </w:pPr>
            <w:r w:rsidRPr="009D4D1C">
              <w:rPr>
                <w:rFonts w:cs="Arial"/>
                <w:color w:val="000000" w:themeColor="text1"/>
                <w:spacing w:val="-4"/>
              </w:rPr>
              <w:t xml:space="preserve">Z inkasa všech </w:t>
            </w:r>
            <w:r>
              <w:rPr>
                <w:rFonts w:cs="Arial"/>
                <w:color w:val="000000" w:themeColor="text1"/>
                <w:spacing w:val="-4"/>
              </w:rPr>
              <w:t>druhů spotřební daně</w:t>
            </w:r>
            <w:r w:rsidRPr="009D4D1C">
              <w:rPr>
                <w:rFonts w:cs="Arial"/>
                <w:color w:val="000000" w:themeColor="text1"/>
                <w:spacing w:val="-4"/>
              </w:rPr>
              <w:t xml:space="preserve"> získal SR za tři čtvrtletí meziročně o 1,5 % více (ve stejném období loňského roku bylo tempo dvojnásobné)</w:t>
            </w:r>
            <w:r w:rsidRPr="009D4D1C">
              <w:rPr>
                <w:rStyle w:val="Znakapoznpodarou"/>
                <w:color w:val="000000" w:themeColor="text1"/>
                <w:spacing w:val="-4"/>
              </w:rPr>
              <w:footnoteReference w:id="42"/>
            </w:r>
            <w:r w:rsidRPr="009D4D1C">
              <w:rPr>
                <w:rFonts w:cs="Arial"/>
                <w:color w:val="000000" w:themeColor="text1"/>
                <w:spacing w:val="-4"/>
              </w:rPr>
              <w:t>. Mírný růst letos zaznamenaly všechny hlavní druhy daně. Výběr váhově nejvýznamnější skupiny – daně z minerálních ole</w:t>
            </w:r>
            <w:r>
              <w:rPr>
                <w:rFonts w:cs="Arial"/>
                <w:color w:val="000000" w:themeColor="text1"/>
                <w:spacing w:val="-4"/>
              </w:rPr>
              <w:t>jů – se navýšil o 1,6 %. V</w:t>
            </w:r>
            <w:r w:rsidRPr="009D4D1C">
              <w:rPr>
                <w:rFonts w:cs="Arial"/>
                <w:color w:val="000000" w:themeColor="text1"/>
                <w:spacing w:val="-4"/>
              </w:rPr>
              <w:t xml:space="preserve">liv pozitivního dopadu hospodářského růstu na osobní </w:t>
            </w:r>
            <w:r>
              <w:rPr>
                <w:rFonts w:cs="Arial"/>
                <w:color w:val="000000" w:themeColor="text1"/>
                <w:spacing w:val="-4"/>
              </w:rPr>
              <w:t>i</w:t>
            </w:r>
            <w:r w:rsidRPr="009D4D1C">
              <w:rPr>
                <w:rFonts w:cs="Arial"/>
                <w:color w:val="000000" w:themeColor="text1"/>
                <w:spacing w:val="-4"/>
              </w:rPr>
              <w:t> </w:t>
            </w:r>
            <w:r>
              <w:rPr>
                <w:rFonts w:cs="Arial"/>
                <w:color w:val="000000" w:themeColor="text1"/>
                <w:spacing w:val="-4"/>
              </w:rPr>
              <w:t xml:space="preserve">nákladní dopravu tak </w:t>
            </w:r>
            <w:r w:rsidRPr="009D4D1C">
              <w:rPr>
                <w:rFonts w:cs="Arial"/>
                <w:color w:val="000000" w:themeColor="text1"/>
                <w:spacing w:val="-4"/>
              </w:rPr>
              <w:t>převýšil negativní efekt spojený s administrativními a cenovými vlivy</w:t>
            </w:r>
            <w:r w:rsidRPr="009D4D1C">
              <w:rPr>
                <w:rStyle w:val="Znakapoznpodarou"/>
                <w:color w:val="000000" w:themeColor="text1"/>
                <w:spacing w:val="-4"/>
              </w:rPr>
              <w:footnoteReference w:id="43"/>
            </w:r>
            <w:r w:rsidRPr="009D4D1C">
              <w:rPr>
                <w:rFonts w:cs="Arial"/>
                <w:color w:val="000000" w:themeColor="text1"/>
                <w:spacing w:val="-4"/>
              </w:rPr>
              <w:t>. K rozpočtově očekávanému mírnému výpadku příjmů u daně z tabákových výrobků letos zatím nedošlo, neboť inkaso vzrostlo o 0,7 %.</w:t>
            </w:r>
            <w:r w:rsidRPr="009D4D1C">
              <w:rPr>
                <w:rFonts w:cs="Arial"/>
                <w:color w:val="000000" w:themeColor="text1"/>
                <w:spacing w:val="-4"/>
                <w:szCs w:val="20"/>
              </w:rPr>
              <w:t xml:space="preserve"> Dopad přijetí protikuřáckého zákona (platného od června 2017) v podobě omezení spotřeby cigaret, popř. přesunu spotřeby k</w:t>
            </w:r>
            <w:r>
              <w:rPr>
                <w:rFonts w:cs="Arial"/>
                <w:color w:val="0D0D0D" w:themeColor="text1" w:themeTint="F2"/>
                <w:spacing w:val="-4"/>
              </w:rPr>
              <w:t> </w:t>
            </w:r>
            <w:r w:rsidRPr="009D4D1C">
              <w:rPr>
                <w:rFonts w:cs="Arial"/>
                <w:color w:val="000000" w:themeColor="text1"/>
                <w:spacing w:val="-4"/>
                <w:szCs w:val="20"/>
              </w:rPr>
              <w:t xml:space="preserve">alternativním produktům </w:t>
            </w:r>
            <w:r>
              <w:rPr>
                <w:spacing w:val="-4"/>
                <w:szCs w:val="20"/>
              </w:rPr>
              <w:t>(</w:t>
            </w:r>
            <w:r w:rsidRPr="009D4D1C">
              <w:rPr>
                <w:rFonts w:cs="Arial"/>
                <w:color w:val="000000" w:themeColor="text1"/>
                <w:spacing w:val="-4"/>
                <w:szCs w:val="20"/>
              </w:rPr>
              <w:t>např. elektronickým cig</w:t>
            </w:r>
            <w:r>
              <w:rPr>
                <w:rFonts w:cs="Arial"/>
                <w:color w:val="000000" w:themeColor="text1"/>
                <w:spacing w:val="-4"/>
                <w:szCs w:val="20"/>
              </w:rPr>
              <w:t>aretám)</w:t>
            </w:r>
            <w:r w:rsidRPr="009D4D1C">
              <w:rPr>
                <w:rFonts w:cs="Arial"/>
                <w:color w:val="000000" w:themeColor="text1"/>
                <w:spacing w:val="-4"/>
                <w:szCs w:val="20"/>
              </w:rPr>
              <w:t xml:space="preserve"> se tak prozatím ukázal jako rozpočtově méně </w:t>
            </w:r>
            <w:r>
              <w:rPr>
                <w:rFonts w:cs="Arial"/>
                <w:color w:val="000000" w:themeColor="text1"/>
                <w:spacing w:val="-4"/>
                <w:szCs w:val="20"/>
              </w:rPr>
              <w:t>významný</w:t>
            </w:r>
            <w:r w:rsidRPr="009D4D1C">
              <w:rPr>
                <w:rFonts w:cs="Arial"/>
                <w:color w:val="000000" w:themeColor="text1"/>
                <w:spacing w:val="-4"/>
                <w:szCs w:val="20"/>
              </w:rPr>
              <w:t xml:space="preserve"> nežli vliv opětovného navýšení sazeb </w:t>
            </w:r>
            <w:r>
              <w:rPr>
                <w:rFonts w:cs="Arial"/>
                <w:color w:val="000000" w:themeColor="text1"/>
                <w:spacing w:val="-4"/>
                <w:szCs w:val="20"/>
              </w:rPr>
              <w:t>u</w:t>
            </w:r>
            <w:r w:rsidRPr="009D4D1C">
              <w:rPr>
                <w:rFonts w:cs="Arial"/>
                <w:color w:val="000000" w:themeColor="text1"/>
                <w:spacing w:val="-4"/>
                <w:szCs w:val="20"/>
              </w:rPr>
              <w:t> tabákových výrobků (platného od ledna 2018).</w:t>
            </w:r>
            <w:r w:rsidRPr="009D4D1C">
              <w:rPr>
                <w:rFonts w:cs="Arial"/>
                <w:color w:val="000000" w:themeColor="text1"/>
                <w:spacing w:val="-4"/>
              </w:rPr>
              <w:t xml:space="preserve"> Z ostatních váhově spíše okrajových kategorií spotřební daně vzrostlo inkaso</w:t>
            </w:r>
            <w:r>
              <w:rPr>
                <w:rFonts w:cs="Arial"/>
                <w:color w:val="000000" w:themeColor="text1"/>
                <w:spacing w:val="-4"/>
              </w:rPr>
              <w:t xml:space="preserve"> daně z lihu (o 6 %, re</w:t>
            </w:r>
            <w:r w:rsidRPr="009D4D1C">
              <w:rPr>
                <w:rFonts w:cs="Arial"/>
                <w:color w:val="000000" w:themeColor="text1"/>
                <w:spacing w:val="-4"/>
              </w:rPr>
              <w:t>s</w:t>
            </w:r>
            <w:r>
              <w:rPr>
                <w:rFonts w:cs="Arial"/>
                <w:color w:val="000000" w:themeColor="text1"/>
                <w:spacing w:val="-4"/>
              </w:rPr>
              <w:t>p</w:t>
            </w:r>
            <w:r w:rsidRPr="009D4D1C">
              <w:rPr>
                <w:rFonts w:cs="Arial"/>
                <w:color w:val="000000" w:themeColor="text1"/>
                <w:spacing w:val="-4"/>
              </w:rPr>
              <w:t xml:space="preserve">. 0,3 mld. korun), u daně z piva meziročně stagnovalo. </w:t>
            </w:r>
          </w:p>
        </w:tc>
      </w:tr>
      <w:tr w:rsidR="0083630F" w:rsidRPr="00090609" w:rsidTr="0083630F">
        <w:trPr>
          <w:trHeight w:val="145"/>
        </w:trPr>
        <w:tc>
          <w:tcPr>
            <w:tcW w:w="1868" w:type="dxa"/>
            <w:shd w:val="clear" w:color="auto" w:fill="auto"/>
            <w:tcMar>
              <w:left w:w="0" w:type="dxa"/>
            </w:tcMar>
          </w:tcPr>
          <w:p w:rsidR="0083630F" w:rsidRDefault="0083630F" w:rsidP="0083630F">
            <w:pPr>
              <w:pStyle w:val="Marginlie"/>
            </w:pPr>
            <w:r>
              <w:t>Výběr daně z příjmů fyzických osob ze závislé činnosti nadále posiloval a dokládal výborné postavení zaměstnanců na pracovním trhu. Naopak daňové příjmy plynoucí s podnikatelské činnosti pokračovaly ve stagnaci.</w:t>
            </w:r>
          </w:p>
        </w:tc>
        <w:tc>
          <w:tcPr>
            <w:tcW w:w="245" w:type="dxa"/>
            <w:shd w:val="clear" w:color="auto" w:fill="auto"/>
            <w:tcMar>
              <w:left w:w="0" w:type="dxa"/>
            </w:tcMar>
          </w:tcPr>
          <w:p w:rsidR="0083630F" w:rsidRDefault="0083630F" w:rsidP="0083630F">
            <w:pPr>
              <w:pStyle w:val="Textpoznpodarou"/>
              <w:jc w:val="both"/>
              <w:rPr>
                <w:spacing w:val="-4"/>
              </w:rPr>
            </w:pPr>
          </w:p>
        </w:tc>
        <w:tc>
          <w:tcPr>
            <w:tcW w:w="7531" w:type="dxa"/>
            <w:shd w:val="clear" w:color="auto" w:fill="auto"/>
            <w:tcMar>
              <w:left w:w="0" w:type="dxa"/>
            </w:tcMar>
          </w:tcPr>
          <w:p w:rsidR="0083630F" w:rsidRPr="00090609" w:rsidRDefault="0083630F" w:rsidP="0083630F">
            <w:pPr>
              <w:spacing w:after="220"/>
              <w:rPr>
                <w:szCs w:val="20"/>
              </w:rPr>
            </w:pPr>
            <w:r>
              <w:rPr>
                <w:rFonts w:cs="Arial"/>
                <w:color w:val="000000" w:themeColor="text1"/>
                <w:spacing w:val="-4"/>
              </w:rPr>
              <w:t xml:space="preserve">K růstu výběru přímých daní nejvíce přispělo inkaso </w:t>
            </w:r>
            <w:r w:rsidRPr="00E12BB3">
              <w:rPr>
                <w:rFonts w:cs="Arial"/>
                <w:color w:val="0D0D0D" w:themeColor="text1" w:themeTint="F2"/>
                <w:spacing w:val="-4"/>
              </w:rPr>
              <w:t>daně z příjmů fyzických osob (DPFO) ze závislé činnosti</w:t>
            </w:r>
            <w:r>
              <w:rPr>
                <w:rFonts w:cs="Arial"/>
                <w:color w:val="0D0D0D" w:themeColor="text1" w:themeTint="F2"/>
                <w:spacing w:val="-4"/>
              </w:rPr>
              <w:t xml:space="preserve">. Jeho meziroční tempo sílilo již třetím rokem v řadě, když dosáhlo rekordních 15,1 %. V inkasu se pozitivně projevil dopad rekordního počtu pracujících i akcelerující průměrné mzdy (vlivem tržních faktorů i navyšování minimální mzdy), v opačném směru pak působila daňová politika státu (zvýšená podpora rodin s dětmi). Inkaso </w:t>
            </w:r>
            <w:r w:rsidRPr="00E12BB3">
              <w:rPr>
                <w:rFonts w:cs="Arial"/>
                <w:spacing w:val="-4"/>
              </w:rPr>
              <w:t>DPFO ze sam</w:t>
            </w:r>
            <w:r>
              <w:rPr>
                <w:rFonts w:cs="Arial"/>
                <w:spacing w:val="-4"/>
              </w:rPr>
              <w:t>ostatné výdělečné činnosti zůstalo na konci pololetí kladné již třetím rokem v řadě (letos +3,8 mld. korun). Jeho výše se v posledních třech letech ale výrazně neměnila</w:t>
            </w:r>
            <w:r>
              <w:rPr>
                <w:rStyle w:val="Znakapoznpodarou"/>
                <w:spacing w:val="-4"/>
              </w:rPr>
              <w:footnoteReference w:id="44"/>
            </w:r>
            <w:r>
              <w:rPr>
                <w:rFonts w:cs="Arial"/>
                <w:spacing w:val="-4"/>
              </w:rPr>
              <w:t xml:space="preserve">. </w:t>
            </w:r>
            <w:r w:rsidRPr="00BF16D4">
              <w:rPr>
                <w:szCs w:val="20"/>
              </w:rPr>
              <w:t xml:space="preserve">Navzdory </w:t>
            </w:r>
            <w:r w:rsidRPr="00F9009F">
              <w:rPr>
                <w:szCs w:val="20"/>
              </w:rPr>
              <w:t>dlouhodobějšímu růst</w:t>
            </w:r>
            <w:r>
              <w:rPr>
                <w:szCs w:val="20"/>
              </w:rPr>
              <w:t xml:space="preserve">u ekonomiky i mírnému rozšiřování </w:t>
            </w:r>
            <w:r w:rsidR="00E50D2E">
              <w:rPr>
                <w:szCs w:val="20"/>
              </w:rPr>
              <w:t xml:space="preserve">počtu </w:t>
            </w:r>
            <w:r w:rsidRPr="00F9009F">
              <w:rPr>
                <w:szCs w:val="20"/>
              </w:rPr>
              <w:t xml:space="preserve">podnikajících osob zatím zůstává výběr této </w:t>
            </w:r>
            <w:r>
              <w:rPr>
                <w:szCs w:val="20"/>
              </w:rPr>
              <w:t>daně za rozpočtovým očekáváním. Příznivě se naopak vyvíjelo i</w:t>
            </w:r>
            <w:r w:rsidRPr="00F9009F">
              <w:rPr>
                <w:szCs w:val="20"/>
              </w:rPr>
              <w:t xml:space="preserve">nkaso DPFO z kapitálových výnosů </w:t>
            </w:r>
            <w:r>
              <w:rPr>
                <w:szCs w:val="20"/>
              </w:rPr>
              <w:t>(vybírané srážkou), jež za tři čtvrtletí vzrostlo o 13,2 %, nejvyšším tempem za poslední čtyři roky.</w:t>
            </w:r>
          </w:p>
        </w:tc>
      </w:tr>
      <w:tr w:rsidR="0083630F" w:rsidRPr="00DF56DC" w:rsidTr="0083630F">
        <w:trPr>
          <w:trHeight w:val="145"/>
        </w:trPr>
        <w:tc>
          <w:tcPr>
            <w:tcW w:w="1868" w:type="dxa"/>
            <w:shd w:val="clear" w:color="auto" w:fill="auto"/>
            <w:tcMar>
              <w:left w:w="0" w:type="dxa"/>
            </w:tcMar>
          </w:tcPr>
          <w:p w:rsidR="0083630F" w:rsidRDefault="0083630F" w:rsidP="0083630F">
            <w:pPr>
              <w:pStyle w:val="Marginlie"/>
            </w:pPr>
            <w:r>
              <w:t>Tempo celkových výdajů SR se meziročně zdvojnásobilo a dosáhlo desetiletého maxima.</w:t>
            </w:r>
          </w:p>
        </w:tc>
        <w:tc>
          <w:tcPr>
            <w:tcW w:w="245" w:type="dxa"/>
            <w:shd w:val="clear" w:color="auto" w:fill="auto"/>
            <w:tcMar>
              <w:left w:w="0" w:type="dxa"/>
            </w:tcMar>
          </w:tcPr>
          <w:p w:rsidR="0083630F" w:rsidRDefault="0083630F" w:rsidP="0083630F">
            <w:pPr>
              <w:pStyle w:val="Textpoznpodarou"/>
              <w:jc w:val="both"/>
              <w:rPr>
                <w:spacing w:val="-4"/>
              </w:rPr>
            </w:pPr>
          </w:p>
        </w:tc>
        <w:tc>
          <w:tcPr>
            <w:tcW w:w="7531" w:type="dxa"/>
            <w:shd w:val="clear" w:color="auto" w:fill="auto"/>
            <w:tcMar>
              <w:left w:w="0" w:type="dxa"/>
            </w:tcMar>
          </w:tcPr>
          <w:p w:rsidR="0083630F" w:rsidRPr="00DF56DC" w:rsidRDefault="0083630F" w:rsidP="0083630F">
            <w:pPr>
              <w:spacing w:after="0"/>
              <w:rPr>
                <w:rFonts w:cs="Arial"/>
                <w:color w:val="0D0D0D" w:themeColor="text1" w:themeTint="F2"/>
                <w:spacing w:val="-4"/>
              </w:rPr>
            </w:pPr>
            <w:r>
              <w:rPr>
                <w:rFonts w:cs="Arial"/>
                <w:color w:val="0D0D0D" w:themeColor="text1" w:themeTint="F2"/>
                <w:spacing w:val="-4"/>
              </w:rPr>
              <w:t>Celkové výdaje SR stouply za tři čtvrtletí meziročně o 9,2 %, jejich tempo se ve srovnání se stejným obdobím loňského roku zdvojnásobilo a zároveň dosáhlo desetiletého maxima. Zatímco v předchozích dvou letech přispívaly k jejich růstu jen běžné výdaje, letos se bezmála čtvrtinou podílely rovněž kapitálové výdaje. Za tři čtvrtletí „proinvestoval“ SR 60,9 mld. korun, meziročně o téměř polovinu více. Přesto zůstávala na konci září výše plnění investic pod dvěma třetinami celoročně rozpočtované částky</w:t>
            </w:r>
            <w:r>
              <w:rPr>
                <w:rStyle w:val="Znakapoznpodarou"/>
                <w:color w:val="0D0D0D" w:themeColor="text1" w:themeTint="F2"/>
                <w:spacing w:val="-4"/>
              </w:rPr>
              <w:footnoteReference w:id="45"/>
            </w:r>
            <w:r>
              <w:rPr>
                <w:rFonts w:cs="Arial"/>
                <w:color w:val="0D0D0D" w:themeColor="text1" w:themeTint="F2"/>
                <w:spacing w:val="-4"/>
              </w:rPr>
              <w:t>.</w:t>
            </w:r>
          </w:p>
        </w:tc>
      </w:tr>
      <w:tr w:rsidR="0083630F" w:rsidRPr="006D18B3" w:rsidTr="0083630F">
        <w:trPr>
          <w:trHeight w:val="145"/>
        </w:trPr>
        <w:tc>
          <w:tcPr>
            <w:tcW w:w="1868" w:type="dxa"/>
            <w:shd w:val="clear" w:color="auto" w:fill="auto"/>
            <w:tcMar>
              <w:left w:w="0" w:type="dxa"/>
            </w:tcMar>
          </w:tcPr>
          <w:p w:rsidR="0083630F" w:rsidRDefault="0083630F" w:rsidP="0083630F">
            <w:pPr>
              <w:pStyle w:val="Marginlie"/>
            </w:pPr>
            <w:r>
              <w:lastRenderedPageBreak/>
              <w:t>Ke zrychlení investiční aktivity státu přispěly ve 3. čtvrtletí i vyšší výdaje na výhradně národní projekty.</w:t>
            </w:r>
          </w:p>
        </w:tc>
        <w:tc>
          <w:tcPr>
            <w:tcW w:w="245" w:type="dxa"/>
            <w:shd w:val="clear" w:color="auto" w:fill="auto"/>
            <w:tcMar>
              <w:left w:w="0" w:type="dxa"/>
            </w:tcMar>
          </w:tcPr>
          <w:p w:rsidR="0083630F" w:rsidRDefault="0083630F" w:rsidP="0083630F">
            <w:pPr>
              <w:pStyle w:val="Textpoznpodarou"/>
              <w:jc w:val="both"/>
              <w:rPr>
                <w:spacing w:val="-4"/>
              </w:rPr>
            </w:pPr>
          </w:p>
        </w:tc>
        <w:tc>
          <w:tcPr>
            <w:tcW w:w="7531" w:type="dxa"/>
            <w:shd w:val="clear" w:color="auto" w:fill="auto"/>
            <w:tcMar>
              <w:left w:w="0" w:type="dxa"/>
            </w:tcMar>
          </w:tcPr>
          <w:p w:rsidR="0083630F" w:rsidRPr="006D18B3" w:rsidRDefault="0083630F" w:rsidP="0083630F">
            <w:pPr>
              <w:pStyle w:val="Textpoznpodarou"/>
              <w:spacing w:after="240" w:line="276" w:lineRule="auto"/>
              <w:jc w:val="both"/>
              <w:rPr>
                <w:spacing w:val="-4"/>
              </w:rPr>
            </w:pPr>
            <w:r>
              <w:rPr>
                <w:rFonts w:cs="Arial"/>
                <w:color w:val="0D0D0D" w:themeColor="text1" w:themeTint="F2"/>
                <w:spacing w:val="-4"/>
              </w:rPr>
              <w:t xml:space="preserve">Zatímco v první polovině roku byl růst investic tažen oživením čerpání prostředků z evropských fondů, ve 3. čtvrtletí výrazněji přispěly i vyšší výdaje na </w:t>
            </w:r>
            <w:r w:rsidRPr="006D18B3">
              <w:rPr>
                <w:spacing w:val="-4"/>
              </w:rPr>
              <w:t>výhradně národní projekty (bez vztahu k EU)</w:t>
            </w:r>
            <w:r w:rsidRPr="006D18B3">
              <w:rPr>
                <w:rStyle w:val="Znakapoznpodarou"/>
                <w:spacing w:val="-4"/>
              </w:rPr>
              <w:footnoteReference w:id="46"/>
            </w:r>
            <w:r>
              <w:rPr>
                <w:spacing w:val="-4"/>
              </w:rPr>
              <w:t xml:space="preserve">. </w:t>
            </w:r>
            <w:r>
              <w:rPr>
                <w:rFonts w:cs="Arial"/>
                <w:color w:val="000000" w:themeColor="text1"/>
                <w:spacing w:val="-4"/>
              </w:rPr>
              <w:t xml:space="preserve">Na </w:t>
            </w:r>
            <w:r w:rsidRPr="006D18B3">
              <w:rPr>
                <w:rFonts w:cs="Arial"/>
                <w:color w:val="000000" w:themeColor="text1"/>
                <w:spacing w:val="-4"/>
              </w:rPr>
              <w:t xml:space="preserve">celkových výdajích SR </w:t>
            </w:r>
            <w:r>
              <w:rPr>
                <w:rFonts w:cs="Arial"/>
                <w:color w:val="000000" w:themeColor="text1"/>
                <w:spacing w:val="-4"/>
              </w:rPr>
              <w:t>se investice za tři letošní čtvrtletí podílely 6,0</w:t>
            </w:r>
            <w:r w:rsidRPr="006D18B3">
              <w:rPr>
                <w:rFonts w:cs="Arial"/>
                <w:color w:val="000000" w:themeColor="text1"/>
                <w:spacing w:val="-4"/>
              </w:rPr>
              <w:t> %</w:t>
            </w:r>
            <w:r>
              <w:rPr>
                <w:rFonts w:cs="Arial"/>
                <w:color w:val="000000" w:themeColor="text1"/>
                <w:spacing w:val="-4"/>
              </w:rPr>
              <w:t>, šlo však stále o třetí nejnižší hodnotu za posledních třináct let.</w:t>
            </w:r>
          </w:p>
        </w:tc>
      </w:tr>
      <w:tr w:rsidR="0083630F" w:rsidRPr="00DC43A2" w:rsidTr="0083630F">
        <w:trPr>
          <w:trHeight w:val="145"/>
        </w:trPr>
        <w:tc>
          <w:tcPr>
            <w:tcW w:w="1868" w:type="dxa"/>
            <w:shd w:val="clear" w:color="auto" w:fill="auto"/>
            <w:tcMar>
              <w:left w:w="0" w:type="dxa"/>
            </w:tcMar>
          </w:tcPr>
          <w:p w:rsidR="0083630F" w:rsidRDefault="0083630F" w:rsidP="0083630F">
            <w:pPr>
              <w:pStyle w:val="Marginlie"/>
            </w:pPr>
          </w:p>
        </w:tc>
        <w:tc>
          <w:tcPr>
            <w:tcW w:w="245" w:type="dxa"/>
            <w:shd w:val="clear" w:color="auto" w:fill="auto"/>
            <w:tcMar>
              <w:left w:w="0" w:type="dxa"/>
            </w:tcMar>
          </w:tcPr>
          <w:p w:rsidR="0083630F" w:rsidRDefault="0083630F" w:rsidP="0083630F">
            <w:pPr>
              <w:pStyle w:val="Textpoznpodarou"/>
              <w:jc w:val="both"/>
              <w:rPr>
                <w:spacing w:val="-4"/>
              </w:rPr>
            </w:pPr>
          </w:p>
        </w:tc>
        <w:tc>
          <w:tcPr>
            <w:tcW w:w="7531" w:type="dxa"/>
            <w:shd w:val="clear" w:color="auto" w:fill="auto"/>
            <w:tcMar>
              <w:left w:w="0" w:type="dxa"/>
            </w:tcMar>
          </w:tcPr>
          <w:p w:rsidR="0083630F" w:rsidRPr="00DC43A2" w:rsidRDefault="00A925B1" w:rsidP="0083630F">
            <w:pPr>
              <w:pStyle w:val="Textpoznpodarou"/>
              <w:rPr>
                <w:spacing w:val="-2"/>
              </w:rPr>
            </w:pPr>
            <w:r>
              <w:rPr>
                <w:b/>
                <w:spacing w:val="-2"/>
              </w:rPr>
              <w:t>Graf č. 20</w:t>
            </w:r>
            <w:r w:rsidR="0083630F" w:rsidRPr="00DC43A2">
              <w:rPr>
                <w:b/>
                <w:spacing w:val="-2"/>
              </w:rPr>
              <w:t xml:space="preserve"> </w:t>
            </w:r>
            <w:r w:rsidR="0083630F" w:rsidRPr="00DC43A2">
              <w:rPr>
                <w:rFonts w:cs="Arial"/>
                <w:b/>
                <w:bCs/>
                <w:spacing w:val="-2"/>
              </w:rPr>
              <w:t>Vybrané výdaje státního rozpočtu v rámci 1. až 3. čtvrtletí</w:t>
            </w:r>
            <w:r w:rsidR="0083630F" w:rsidRPr="00DC43A2">
              <w:rPr>
                <w:rFonts w:cs="Arial"/>
                <w:bCs/>
                <w:spacing w:val="-2"/>
              </w:rPr>
              <w:t xml:space="preserve"> (v mld. korun)</w:t>
            </w:r>
          </w:p>
        </w:tc>
      </w:tr>
      <w:tr w:rsidR="0083630F" w:rsidRPr="00970E6F" w:rsidTr="0083630F">
        <w:trPr>
          <w:trHeight w:val="145"/>
        </w:trPr>
        <w:tc>
          <w:tcPr>
            <w:tcW w:w="1868" w:type="dxa"/>
            <w:shd w:val="clear" w:color="auto" w:fill="auto"/>
            <w:tcMar>
              <w:left w:w="0" w:type="dxa"/>
            </w:tcMar>
          </w:tcPr>
          <w:p w:rsidR="0083630F" w:rsidRDefault="0083630F" w:rsidP="0083630F">
            <w:pPr>
              <w:pStyle w:val="Marginlie"/>
            </w:pPr>
          </w:p>
        </w:tc>
        <w:tc>
          <w:tcPr>
            <w:tcW w:w="245" w:type="dxa"/>
            <w:shd w:val="clear" w:color="auto" w:fill="auto"/>
            <w:tcMar>
              <w:left w:w="0" w:type="dxa"/>
            </w:tcMar>
          </w:tcPr>
          <w:p w:rsidR="0083630F" w:rsidRDefault="0083630F" w:rsidP="0083630F">
            <w:pPr>
              <w:pStyle w:val="Textpoznpodarou"/>
              <w:jc w:val="both"/>
              <w:rPr>
                <w:spacing w:val="-4"/>
              </w:rPr>
            </w:pPr>
          </w:p>
        </w:tc>
        <w:tc>
          <w:tcPr>
            <w:tcW w:w="7531" w:type="dxa"/>
            <w:shd w:val="clear" w:color="auto" w:fill="auto"/>
            <w:tcMar>
              <w:left w:w="0" w:type="dxa"/>
            </w:tcMar>
          </w:tcPr>
          <w:p w:rsidR="0083630F" w:rsidRPr="00970E6F" w:rsidRDefault="0083630F" w:rsidP="0083630F">
            <w:pPr>
              <w:spacing w:after="0" w:line="240" w:lineRule="auto"/>
              <w:rPr>
                <w:spacing w:val="-2"/>
                <w:szCs w:val="20"/>
              </w:rPr>
            </w:pPr>
            <w:r w:rsidRPr="00BB6C03">
              <w:rPr>
                <w:noProof/>
                <w:spacing w:val="-2"/>
                <w:szCs w:val="20"/>
              </w:rPr>
              <w:drawing>
                <wp:inline distT="0" distB="0" distL="0" distR="0">
                  <wp:extent cx="4760919" cy="3412044"/>
                  <wp:effectExtent l="19050" t="0" r="0" b="0"/>
                  <wp:docPr id="3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83630F" w:rsidRPr="00343AC1" w:rsidTr="0083630F">
        <w:trPr>
          <w:trHeight w:val="145"/>
        </w:trPr>
        <w:tc>
          <w:tcPr>
            <w:tcW w:w="1868" w:type="dxa"/>
            <w:shd w:val="clear" w:color="auto" w:fill="auto"/>
            <w:tcMar>
              <w:left w:w="0" w:type="dxa"/>
            </w:tcMar>
          </w:tcPr>
          <w:p w:rsidR="0083630F" w:rsidRDefault="0083630F" w:rsidP="0083630F">
            <w:pPr>
              <w:pStyle w:val="Marginlie"/>
            </w:pPr>
          </w:p>
        </w:tc>
        <w:tc>
          <w:tcPr>
            <w:tcW w:w="245" w:type="dxa"/>
            <w:shd w:val="clear" w:color="auto" w:fill="auto"/>
            <w:tcMar>
              <w:left w:w="0" w:type="dxa"/>
            </w:tcMar>
          </w:tcPr>
          <w:p w:rsidR="0083630F" w:rsidRDefault="0083630F" w:rsidP="0083630F">
            <w:pPr>
              <w:pStyle w:val="Textpoznpodarou"/>
              <w:jc w:val="both"/>
              <w:rPr>
                <w:spacing w:val="-4"/>
              </w:rPr>
            </w:pPr>
          </w:p>
        </w:tc>
        <w:tc>
          <w:tcPr>
            <w:tcW w:w="7531" w:type="dxa"/>
            <w:shd w:val="clear" w:color="auto" w:fill="auto"/>
            <w:tcMar>
              <w:left w:w="0" w:type="dxa"/>
            </w:tcMar>
          </w:tcPr>
          <w:p w:rsidR="00D922A1" w:rsidRDefault="0083630F" w:rsidP="0083630F">
            <w:pPr>
              <w:pStyle w:val="Textpoznpodarou"/>
              <w:rPr>
                <w:sz w:val="14"/>
                <w:szCs w:val="14"/>
              </w:rPr>
            </w:pPr>
            <w:r>
              <w:rPr>
                <w:sz w:val="14"/>
                <w:szCs w:val="14"/>
              </w:rPr>
              <w:t>*Zahrnuje i dávky pěstounské péče.</w:t>
            </w:r>
          </w:p>
          <w:p w:rsidR="00D922A1" w:rsidRDefault="0083630F" w:rsidP="0083630F">
            <w:pPr>
              <w:pStyle w:val="Textpoznpodarou"/>
              <w:rPr>
                <w:sz w:val="14"/>
                <w:szCs w:val="14"/>
              </w:rPr>
            </w:pPr>
            <w:r>
              <w:rPr>
                <w:sz w:val="14"/>
                <w:szCs w:val="14"/>
              </w:rPr>
              <w:t>**Zahrnuje d</w:t>
            </w:r>
            <w:r w:rsidRPr="007E5880">
              <w:rPr>
                <w:sz w:val="14"/>
                <w:szCs w:val="14"/>
              </w:rPr>
              <w:t>ávky pomoci</w:t>
            </w:r>
            <w:r>
              <w:rPr>
                <w:sz w:val="14"/>
                <w:szCs w:val="14"/>
              </w:rPr>
              <w:t xml:space="preserve"> v hmotné</w:t>
            </w:r>
            <w:r w:rsidRPr="007E5880">
              <w:rPr>
                <w:sz w:val="14"/>
                <w:szCs w:val="14"/>
              </w:rPr>
              <w:t xml:space="preserve"> </w:t>
            </w:r>
            <w:r>
              <w:rPr>
                <w:sz w:val="14"/>
                <w:szCs w:val="14"/>
              </w:rPr>
              <w:t>n</w:t>
            </w:r>
            <w:r w:rsidRPr="007E5880">
              <w:rPr>
                <w:sz w:val="14"/>
                <w:szCs w:val="14"/>
              </w:rPr>
              <w:t>ouzi,</w:t>
            </w:r>
            <w:r>
              <w:rPr>
                <w:sz w:val="14"/>
                <w:szCs w:val="14"/>
              </w:rPr>
              <w:t xml:space="preserve"> dávky osobám se zdravotním</w:t>
            </w:r>
            <w:r w:rsidRPr="007E5880">
              <w:rPr>
                <w:sz w:val="14"/>
                <w:szCs w:val="14"/>
              </w:rPr>
              <w:t xml:space="preserve"> </w:t>
            </w:r>
            <w:r>
              <w:rPr>
                <w:sz w:val="14"/>
                <w:szCs w:val="14"/>
              </w:rPr>
              <w:t>p</w:t>
            </w:r>
            <w:r w:rsidRPr="007E5880">
              <w:rPr>
                <w:sz w:val="14"/>
                <w:szCs w:val="14"/>
              </w:rPr>
              <w:t>ostižením, pří</w:t>
            </w:r>
            <w:r>
              <w:rPr>
                <w:sz w:val="14"/>
                <w:szCs w:val="14"/>
              </w:rPr>
              <w:t>spěvek na péči dle zákona o sociálních službách.</w:t>
            </w:r>
          </w:p>
          <w:p w:rsidR="0083630F" w:rsidRDefault="0083630F" w:rsidP="0083630F">
            <w:pPr>
              <w:pStyle w:val="Textpoznpodarou"/>
              <w:rPr>
                <w:sz w:val="14"/>
                <w:szCs w:val="14"/>
              </w:rPr>
            </w:pPr>
            <w:r>
              <w:rPr>
                <w:sz w:val="14"/>
                <w:szCs w:val="14"/>
              </w:rPr>
              <w:t>***Bez výdajů na obsluhu státního dluhu a výdajů na realizaci záruk.</w:t>
            </w:r>
          </w:p>
          <w:p w:rsidR="0083630F" w:rsidRPr="00E7331D" w:rsidRDefault="0083630F" w:rsidP="0083630F">
            <w:pPr>
              <w:pStyle w:val="Textpoznpodarou"/>
              <w:rPr>
                <w:sz w:val="14"/>
                <w:szCs w:val="14"/>
              </w:rPr>
            </w:pPr>
            <w:r>
              <w:rPr>
                <w:sz w:val="14"/>
                <w:szCs w:val="14"/>
              </w:rPr>
              <w:t>****V čistých výdajích jsou započítány i příjmy kapitoly Státní dluh.</w:t>
            </w:r>
          </w:p>
          <w:p w:rsidR="0083630F" w:rsidRPr="00343AC1" w:rsidRDefault="0083630F" w:rsidP="0083630F">
            <w:pPr>
              <w:spacing w:after="200" w:line="240" w:lineRule="auto"/>
              <w:rPr>
                <w:rFonts w:cs="Arial"/>
                <w:color w:val="0D0D0D" w:themeColor="text1" w:themeTint="F2"/>
                <w:sz w:val="14"/>
                <w:szCs w:val="14"/>
              </w:rPr>
            </w:pPr>
            <w:r>
              <w:rPr>
                <w:sz w:val="14"/>
                <w:szCs w:val="14"/>
              </w:rPr>
              <w:t>Zdroj: MF ČR</w:t>
            </w:r>
          </w:p>
        </w:tc>
      </w:tr>
      <w:tr w:rsidR="0083630F" w:rsidRPr="00D95458" w:rsidTr="0083630F">
        <w:trPr>
          <w:trHeight w:val="145"/>
        </w:trPr>
        <w:tc>
          <w:tcPr>
            <w:tcW w:w="1868" w:type="dxa"/>
            <w:shd w:val="clear" w:color="auto" w:fill="auto"/>
            <w:tcMar>
              <w:left w:w="0" w:type="dxa"/>
            </w:tcMar>
          </w:tcPr>
          <w:p w:rsidR="0083630F" w:rsidRDefault="0083630F" w:rsidP="0083630F">
            <w:pPr>
              <w:pStyle w:val="Marginlie"/>
            </w:pPr>
            <w:r>
              <w:t>K navýšení běžných výdajů přispěly nejvíce transfery územním rozpočtům.</w:t>
            </w:r>
          </w:p>
        </w:tc>
        <w:tc>
          <w:tcPr>
            <w:tcW w:w="245" w:type="dxa"/>
            <w:shd w:val="clear" w:color="auto" w:fill="auto"/>
            <w:tcMar>
              <w:left w:w="0" w:type="dxa"/>
            </w:tcMar>
          </w:tcPr>
          <w:p w:rsidR="0083630F" w:rsidRDefault="0083630F" w:rsidP="0083630F">
            <w:pPr>
              <w:pStyle w:val="Textpoznpodarou"/>
              <w:jc w:val="both"/>
              <w:rPr>
                <w:spacing w:val="-4"/>
              </w:rPr>
            </w:pPr>
          </w:p>
        </w:tc>
        <w:tc>
          <w:tcPr>
            <w:tcW w:w="7531" w:type="dxa"/>
            <w:shd w:val="clear" w:color="auto" w:fill="auto"/>
            <w:tcMar>
              <w:left w:w="0" w:type="dxa"/>
            </w:tcMar>
          </w:tcPr>
          <w:p w:rsidR="0083630F" w:rsidRPr="00D95458" w:rsidRDefault="0083630F" w:rsidP="0083630F">
            <w:pPr>
              <w:rPr>
                <w:spacing w:val="-3"/>
              </w:rPr>
            </w:pPr>
            <w:r>
              <w:rPr>
                <w:spacing w:val="-3"/>
              </w:rPr>
              <w:t xml:space="preserve">Růst běžných výdajů SR sílil </w:t>
            </w:r>
            <w:r w:rsidRPr="00D35F87">
              <w:rPr>
                <w:spacing w:val="-2"/>
              </w:rPr>
              <w:t>druhým rokem v řadě.</w:t>
            </w:r>
            <w:r>
              <w:rPr>
                <w:spacing w:val="-2"/>
              </w:rPr>
              <w:t xml:space="preserve"> Za tři čtvrtletí byl meziročně vyšší o</w:t>
            </w:r>
            <w:r w:rsidRPr="00D35F87">
              <w:rPr>
                <w:spacing w:val="-2"/>
              </w:rPr>
              <w:t> </w:t>
            </w:r>
            <w:r>
              <w:rPr>
                <w:spacing w:val="-2"/>
              </w:rPr>
              <w:t xml:space="preserve">7,4 % (o 1 p. b. nad úrovní </w:t>
            </w:r>
            <w:r>
              <w:rPr>
                <w:spacing w:val="-4"/>
              </w:rPr>
              <w:t xml:space="preserve">rozpočtového očekávání). Navýšení běžných výdajů bývá tradičně taženo váhově dominantní položkou výdajů na důchody. Letos ale tuto roli převzaly </w:t>
            </w:r>
            <w:r w:rsidRPr="00D35F87">
              <w:rPr>
                <w:spacing w:val="-2"/>
              </w:rPr>
              <w:t>neinvestiční transfery územním rozpočtům</w:t>
            </w:r>
            <w:r>
              <w:rPr>
                <w:spacing w:val="-2"/>
              </w:rPr>
              <w:t>, jež byly meziročně vyšší o</w:t>
            </w:r>
            <w:r w:rsidRPr="00D35F87">
              <w:rPr>
                <w:spacing w:val="-2"/>
              </w:rPr>
              <w:t> </w:t>
            </w:r>
            <w:r>
              <w:rPr>
                <w:spacing w:val="-2"/>
              </w:rPr>
              <w:t>18,1</w:t>
            </w:r>
            <w:r w:rsidRPr="00D35F87">
              <w:rPr>
                <w:spacing w:val="-2"/>
              </w:rPr>
              <w:t> </w:t>
            </w:r>
            <w:r>
              <w:rPr>
                <w:spacing w:val="-2"/>
              </w:rPr>
              <w:t xml:space="preserve">mld. korun (16,2 %). Stály </w:t>
            </w:r>
            <w:r w:rsidRPr="00734E37">
              <w:rPr>
                <w:spacing w:val="-2"/>
                <w:szCs w:val="20"/>
              </w:rPr>
              <w:t xml:space="preserve">za tím především vyšší </w:t>
            </w:r>
            <w:r w:rsidRPr="00734E37">
              <w:rPr>
                <w:szCs w:val="20"/>
              </w:rPr>
              <w:t>výdaje na přímé náklady zákl</w:t>
            </w:r>
            <w:r>
              <w:rPr>
                <w:szCs w:val="20"/>
              </w:rPr>
              <w:t>adních a</w:t>
            </w:r>
            <w:r w:rsidRPr="00D35F87">
              <w:rPr>
                <w:spacing w:val="-2"/>
              </w:rPr>
              <w:t> </w:t>
            </w:r>
            <w:r w:rsidRPr="00734E37">
              <w:rPr>
                <w:szCs w:val="20"/>
              </w:rPr>
              <w:t>středních škol a také transfery obcím a krajům dle z</w:t>
            </w:r>
            <w:r>
              <w:rPr>
                <w:szCs w:val="20"/>
              </w:rPr>
              <w:t>ákona o</w:t>
            </w:r>
            <w:r w:rsidRPr="00D35F87">
              <w:rPr>
                <w:spacing w:val="-2"/>
              </w:rPr>
              <w:t> </w:t>
            </w:r>
            <w:r w:rsidRPr="00734E37">
              <w:rPr>
                <w:szCs w:val="20"/>
              </w:rPr>
              <w:t>sociálních službách (</w:t>
            </w:r>
            <w:r>
              <w:rPr>
                <w:szCs w:val="20"/>
              </w:rPr>
              <w:t>ty v</w:t>
            </w:r>
            <w:r w:rsidRPr="00D35F87">
              <w:rPr>
                <w:spacing w:val="-2"/>
              </w:rPr>
              <w:t> </w:t>
            </w:r>
            <w:r>
              <w:rPr>
                <w:szCs w:val="20"/>
              </w:rPr>
              <w:t>obou případech souvisely hlavně</w:t>
            </w:r>
            <w:r w:rsidRPr="00734E37">
              <w:rPr>
                <w:szCs w:val="20"/>
              </w:rPr>
              <w:t xml:space="preserve"> s navýšením mzdových prostředků).</w:t>
            </w:r>
            <w:r>
              <w:rPr>
                <w:szCs w:val="20"/>
              </w:rPr>
              <w:t xml:space="preserve"> O více </w:t>
            </w:r>
            <w:r w:rsidR="0032058C">
              <w:rPr>
                <w:szCs w:val="20"/>
              </w:rPr>
              <w:t>než</w:t>
            </w:r>
            <w:r w:rsidRPr="00D35F87">
              <w:rPr>
                <w:spacing w:val="-2"/>
              </w:rPr>
              <w:t> </w:t>
            </w:r>
            <w:r>
              <w:rPr>
                <w:szCs w:val="20"/>
              </w:rPr>
              <w:t xml:space="preserve">osminu posílily i </w:t>
            </w:r>
            <w:r>
              <w:t>výdaje na platy v ústředních orgánech státní správy (</w:t>
            </w:r>
            <w:r>
              <w:rPr>
                <w:spacing w:val="-2"/>
              </w:rPr>
              <w:t>byly primárně vázány na</w:t>
            </w:r>
            <w:r w:rsidRPr="00D35F87">
              <w:rPr>
                <w:spacing w:val="-2"/>
              </w:rPr>
              <w:t xml:space="preserve"> </w:t>
            </w:r>
            <w:r>
              <w:rPr>
                <w:bCs/>
                <w:spacing w:val="-2"/>
              </w:rPr>
              <w:t>navýšení</w:t>
            </w:r>
            <w:r w:rsidRPr="00D35F87">
              <w:rPr>
                <w:bCs/>
                <w:spacing w:val="-2"/>
              </w:rPr>
              <w:t xml:space="preserve"> platových tarifů</w:t>
            </w:r>
            <w:r>
              <w:rPr>
                <w:bCs/>
                <w:spacing w:val="-2"/>
              </w:rPr>
              <w:t>, nikoliv na rostoucí zaměstnanost). O</w:t>
            </w:r>
            <w:r w:rsidRPr="00D35F87">
              <w:rPr>
                <w:spacing w:val="-2"/>
              </w:rPr>
              <w:t> </w:t>
            </w:r>
            <w:r>
              <w:rPr>
                <w:bCs/>
                <w:spacing w:val="-2"/>
              </w:rPr>
              <w:t>více jak pětinu (přes 7 mld. korun) vzrostly také neinvestiční transfery podnikatelským subjektům, kde šlo především o prostředky na podporu obnovitelných zdrojů energie.</w:t>
            </w:r>
          </w:p>
        </w:tc>
      </w:tr>
      <w:tr w:rsidR="0083630F" w:rsidTr="0083630F">
        <w:trPr>
          <w:trHeight w:val="145"/>
        </w:trPr>
        <w:tc>
          <w:tcPr>
            <w:tcW w:w="1868" w:type="dxa"/>
            <w:shd w:val="clear" w:color="auto" w:fill="auto"/>
            <w:tcMar>
              <w:left w:w="0" w:type="dxa"/>
            </w:tcMar>
          </w:tcPr>
          <w:p w:rsidR="0083630F" w:rsidRDefault="0083630F" w:rsidP="0083630F">
            <w:pPr>
              <w:pStyle w:val="Marginlie"/>
            </w:pPr>
            <w:r>
              <w:t>Tempo růstu výdajů na sociální dávky se zvyšovalo již třetím rokem v řadě. Letos k tomu přispěly hlavně nedůchodové dávky.</w:t>
            </w:r>
          </w:p>
        </w:tc>
        <w:tc>
          <w:tcPr>
            <w:tcW w:w="245" w:type="dxa"/>
            <w:shd w:val="clear" w:color="auto" w:fill="auto"/>
            <w:tcMar>
              <w:left w:w="0" w:type="dxa"/>
            </w:tcMar>
          </w:tcPr>
          <w:p w:rsidR="0083630F" w:rsidRDefault="0083630F" w:rsidP="0083630F">
            <w:pPr>
              <w:pStyle w:val="Textpoznpodarou"/>
              <w:jc w:val="both"/>
              <w:rPr>
                <w:spacing w:val="-4"/>
              </w:rPr>
            </w:pPr>
          </w:p>
        </w:tc>
        <w:tc>
          <w:tcPr>
            <w:tcW w:w="7531" w:type="dxa"/>
            <w:shd w:val="clear" w:color="auto" w:fill="auto"/>
            <w:tcMar>
              <w:left w:w="0" w:type="dxa"/>
            </w:tcMar>
          </w:tcPr>
          <w:p w:rsidR="0083630F" w:rsidRDefault="0083630F" w:rsidP="0083630F">
            <w:pPr>
              <w:spacing w:after="220"/>
              <w:rPr>
                <w:rFonts w:cs="Arial"/>
                <w:color w:val="0D0D0D" w:themeColor="text1" w:themeTint="F2"/>
                <w:spacing w:val="-4"/>
              </w:rPr>
            </w:pPr>
            <w:r>
              <w:rPr>
                <w:rFonts w:cs="Arial"/>
                <w:color w:val="0D0D0D" w:themeColor="text1" w:themeTint="F2"/>
                <w:spacing w:val="-4"/>
              </w:rPr>
              <w:t>Rozhodující část běžných výdajů SR tvoří tradičně prostředky na sociální dávky. Za tři čtvrtletí bylo takto alokováno 414,9 mld. korun (41,2 % všech výdajů SR, nejnižší podíl za poslední tři roky). Výdaje na sociální dávky vzrostly o 4,6 %, meziroční tempo se zvýšilo již třetím rokem v řadě. Zatímco loni k tomuto zrychlení přispěly zejména vyšší výdaje na důchody, letos šlo primárně o nedůchodové dávky (tažené hlavně svižným růstem výdajů na nemocenské dávky, z menší části i dávkami státní sociální podpory</w:t>
            </w:r>
            <w:r w:rsidR="00F27EE5">
              <w:rPr>
                <w:rFonts w:cs="Arial"/>
                <w:color w:val="0D0D0D" w:themeColor="text1" w:themeTint="F2"/>
                <w:spacing w:val="-4"/>
              </w:rPr>
              <w:t xml:space="preserve">; </w:t>
            </w:r>
            <w:r>
              <w:rPr>
                <w:rFonts w:cs="Arial"/>
                <w:color w:val="0D0D0D" w:themeColor="text1" w:themeTint="F2"/>
                <w:spacing w:val="-4"/>
              </w:rPr>
              <w:lastRenderedPageBreak/>
              <w:t>v opačném směru působily nižší výdaje na podporu nezaměstnaných a také dávky pomoci v hmotné nouzi</w:t>
            </w:r>
            <w:r>
              <w:rPr>
                <w:rStyle w:val="Znakapoznpodarou"/>
                <w:color w:val="0D0D0D" w:themeColor="text1" w:themeTint="F2"/>
                <w:spacing w:val="-4"/>
              </w:rPr>
              <w:footnoteReference w:id="47"/>
            </w:r>
            <w:r>
              <w:rPr>
                <w:rFonts w:cs="Arial"/>
                <w:color w:val="0D0D0D" w:themeColor="text1" w:themeTint="F2"/>
                <w:spacing w:val="-4"/>
              </w:rPr>
              <w:t>).</w:t>
            </w:r>
          </w:p>
        </w:tc>
      </w:tr>
      <w:tr w:rsidR="0083630F" w:rsidTr="00836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868" w:type="dxa"/>
            <w:tcBorders>
              <w:top w:val="nil"/>
              <w:left w:val="nil"/>
              <w:bottom w:val="nil"/>
              <w:right w:val="nil"/>
            </w:tcBorders>
            <w:shd w:val="clear" w:color="auto" w:fill="auto"/>
            <w:tcMar>
              <w:left w:w="0" w:type="dxa"/>
            </w:tcMar>
          </w:tcPr>
          <w:p w:rsidR="0083630F" w:rsidRDefault="0083630F" w:rsidP="0083630F">
            <w:pPr>
              <w:pStyle w:val="Marginlie"/>
            </w:pPr>
          </w:p>
        </w:tc>
        <w:tc>
          <w:tcPr>
            <w:tcW w:w="245" w:type="dxa"/>
            <w:tcBorders>
              <w:top w:val="nil"/>
              <w:left w:val="nil"/>
              <w:bottom w:val="nil"/>
              <w:right w:val="nil"/>
            </w:tcBorders>
            <w:shd w:val="clear" w:color="auto" w:fill="auto"/>
            <w:tcMar>
              <w:left w:w="0" w:type="dxa"/>
            </w:tcMar>
          </w:tcPr>
          <w:p w:rsidR="0083630F" w:rsidRDefault="0083630F" w:rsidP="0083630F">
            <w:pPr>
              <w:pStyle w:val="Textpoznpodarou"/>
              <w:jc w:val="both"/>
              <w:rPr>
                <w:spacing w:val="-4"/>
              </w:rPr>
            </w:pPr>
          </w:p>
        </w:tc>
        <w:tc>
          <w:tcPr>
            <w:tcW w:w="7531" w:type="dxa"/>
            <w:tcBorders>
              <w:top w:val="nil"/>
              <w:left w:val="nil"/>
              <w:bottom w:val="nil"/>
              <w:right w:val="nil"/>
            </w:tcBorders>
            <w:shd w:val="clear" w:color="auto" w:fill="auto"/>
            <w:tcMar>
              <w:left w:w="0" w:type="dxa"/>
            </w:tcMar>
          </w:tcPr>
          <w:p w:rsidR="00D922A1" w:rsidRDefault="00A925B1" w:rsidP="0083630F">
            <w:pPr>
              <w:spacing w:after="0" w:line="240" w:lineRule="auto"/>
              <w:rPr>
                <w:rFonts w:cs="Arial"/>
                <w:bCs/>
                <w:spacing w:val="-4"/>
              </w:rPr>
            </w:pPr>
            <w:r>
              <w:rPr>
                <w:b/>
              </w:rPr>
              <w:t>Graf č. 21</w:t>
            </w:r>
            <w:r w:rsidR="0083630F" w:rsidRPr="00F704D2">
              <w:rPr>
                <w:b/>
              </w:rPr>
              <w:t xml:space="preserve">: </w:t>
            </w:r>
            <w:r w:rsidR="0083630F" w:rsidRPr="00F704D2">
              <w:rPr>
                <w:rFonts w:cs="Arial"/>
                <w:b/>
                <w:bCs/>
                <w:spacing w:val="-4"/>
              </w:rPr>
              <w:t>Příjemci</w:t>
            </w:r>
            <w:r w:rsidR="0083630F" w:rsidRPr="001356FC">
              <w:rPr>
                <w:rFonts w:cs="Arial"/>
                <w:b/>
                <w:bCs/>
                <w:spacing w:val="-4"/>
              </w:rPr>
              <w:t xml:space="preserve"> důchodů</w:t>
            </w:r>
            <w:r w:rsidR="0083630F" w:rsidRPr="001356FC">
              <w:rPr>
                <w:rFonts w:cs="Arial"/>
                <w:bCs/>
                <w:spacing w:val="-4"/>
              </w:rPr>
              <w:t>,</w:t>
            </w:r>
            <w:r w:rsidR="0083630F" w:rsidRPr="001356FC">
              <w:rPr>
                <w:rFonts w:cs="Arial"/>
                <w:b/>
                <w:bCs/>
                <w:spacing w:val="-4"/>
              </w:rPr>
              <w:t xml:space="preserve"> příjmy i výdaje na důchody ze SR </w:t>
            </w:r>
            <w:r w:rsidR="0083630F" w:rsidRPr="001356FC">
              <w:rPr>
                <w:rFonts w:cs="Arial"/>
                <w:bCs/>
                <w:spacing w:val="-4"/>
              </w:rPr>
              <w:t>(</w:t>
            </w:r>
            <w:r w:rsidR="0083630F" w:rsidRPr="001356FC">
              <w:rPr>
                <w:spacing w:val="-4"/>
              </w:rPr>
              <w:t>meziročně</w:t>
            </w:r>
            <w:r w:rsidR="0083630F" w:rsidRPr="001356FC">
              <w:rPr>
                <w:bCs/>
                <w:spacing w:val="-4"/>
              </w:rPr>
              <w:t xml:space="preserve"> v %)</w:t>
            </w:r>
          </w:p>
          <w:p w:rsidR="0083630F" w:rsidRDefault="0083630F" w:rsidP="0083630F">
            <w:pPr>
              <w:pStyle w:val="Textpoznpodarou"/>
              <w:jc w:val="both"/>
            </w:pPr>
            <w:r>
              <w:rPr>
                <w:rFonts w:cs="Arial"/>
                <w:b/>
                <w:bCs/>
                <w:spacing w:val="-4"/>
              </w:rPr>
              <w:t>a jejich saldo</w:t>
            </w:r>
            <w:r w:rsidRPr="001356FC">
              <w:rPr>
                <w:rFonts w:cs="Arial"/>
                <w:b/>
                <w:bCs/>
                <w:spacing w:val="-4"/>
              </w:rPr>
              <w:t xml:space="preserve"> </w:t>
            </w:r>
            <w:r w:rsidRPr="001356FC">
              <w:rPr>
                <w:rFonts w:cs="Arial"/>
                <w:bCs/>
                <w:spacing w:val="-4"/>
              </w:rPr>
              <w:t>(v mld. korun)</w:t>
            </w:r>
            <w:r>
              <w:rPr>
                <w:rFonts w:cs="Arial"/>
                <w:bCs/>
                <w:spacing w:val="-4"/>
              </w:rPr>
              <w:t xml:space="preserve"> </w:t>
            </w:r>
            <w:r>
              <w:rPr>
                <w:rFonts w:cs="Arial"/>
                <w:b/>
                <w:bCs/>
              </w:rPr>
              <w:t>v rámci 1. až 3. čtvrtletí</w:t>
            </w:r>
          </w:p>
        </w:tc>
      </w:tr>
      <w:tr w:rsidR="0083630F" w:rsidTr="00836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868" w:type="dxa"/>
            <w:tcBorders>
              <w:top w:val="nil"/>
              <w:left w:val="nil"/>
              <w:bottom w:val="nil"/>
              <w:right w:val="nil"/>
            </w:tcBorders>
            <w:shd w:val="clear" w:color="auto" w:fill="auto"/>
            <w:tcMar>
              <w:left w:w="0" w:type="dxa"/>
            </w:tcMar>
          </w:tcPr>
          <w:p w:rsidR="0083630F" w:rsidRDefault="0083630F" w:rsidP="0083630F">
            <w:pPr>
              <w:pStyle w:val="Marginlie"/>
            </w:pPr>
          </w:p>
        </w:tc>
        <w:tc>
          <w:tcPr>
            <w:tcW w:w="245" w:type="dxa"/>
            <w:tcBorders>
              <w:top w:val="nil"/>
              <w:left w:val="nil"/>
              <w:bottom w:val="nil"/>
              <w:right w:val="nil"/>
            </w:tcBorders>
            <w:shd w:val="clear" w:color="auto" w:fill="auto"/>
            <w:tcMar>
              <w:left w:w="0" w:type="dxa"/>
            </w:tcMar>
          </w:tcPr>
          <w:p w:rsidR="0083630F" w:rsidRDefault="0083630F" w:rsidP="0083630F">
            <w:pPr>
              <w:pStyle w:val="Textpoznpodarou"/>
              <w:jc w:val="both"/>
              <w:rPr>
                <w:spacing w:val="-4"/>
              </w:rPr>
            </w:pPr>
          </w:p>
        </w:tc>
        <w:tc>
          <w:tcPr>
            <w:tcW w:w="7531" w:type="dxa"/>
            <w:tcBorders>
              <w:top w:val="nil"/>
              <w:left w:val="nil"/>
              <w:bottom w:val="nil"/>
              <w:right w:val="nil"/>
            </w:tcBorders>
            <w:shd w:val="clear" w:color="auto" w:fill="auto"/>
            <w:tcMar>
              <w:left w:w="0" w:type="dxa"/>
            </w:tcMar>
          </w:tcPr>
          <w:p w:rsidR="0083630F" w:rsidRDefault="0083630F" w:rsidP="0083630F">
            <w:pPr>
              <w:pStyle w:val="Textpoznpodarou"/>
              <w:jc w:val="both"/>
            </w:pPr>
            <w:r w:rsidRPr="00B979A8">
              <w:rPr>
                <w:noProof/>
              </w:rPr>
              <w:drawing>
                <wp:inline distT="0" distB="0" distL="0" distR="0">
                  <wp:extent cx="4752000" cy="3528000"/>
                  <wp:effectExtent l="19050" t="0" r="0" b="0"/>
                  <wp:docPr id="3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83630F" w:rsidTr="00836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868" w:type="dxa"/>
            <w:tcBorders>
              <w:top w:val="nil"/>
              <w:left w:val="nil"/>
              <w:bottom w:val="nil"/>
              <w:right w:val="nil"/>
            </w:tcBorders>
            <w:shd w:val="clear" w:color="auto" w:fill="auto"/>
            <w:tcMar>
              <w:left w:w="0" w:type="dxa"/>
            </w:tcMar>
          </w:tcPr>
          <w:p w:rsidR="0083630F" w:rsidRDefault="0083630F" w:rsidP="0083630F">
            <w:pPr>
              <w:pStyle w:val="Marginlie"/>
            </w:pPr>
          </w:p>
        </w:tc>
        <w:tc>
          <w:tcPr>
            <w:tcW w:w="245" w:type="dxa"/>
            <w:tcBorders>
              <w:top w:val="nil"/>
              <w:left w:val="nil"/>
              <w:bottom w:val="nil"/>
              <w:right w:val="nil"/>
            </w:tcBorders>
            <w:shd w:val="clear" w:color="auto" w:fill="auto"/>
            <w:tcMar>
              <w:left w:w="0" w:type="dxa"/>
            </w:tcMar>
          </w:tcPr>
          <w:p w:rsidR="0083630F" w:rsidRDefault="0083630F" w:rsidP="0083630F">
            <w:pPr>
              <w:pStyle w:val="Textpoznpodarou"/>
              <w:jc w:val="both"/>
              <w:rPr>
                <w:spacing w:val="-4"/>
              </w:rPr>
            </w:pPr>
          </w:p>
        </w:tc>
        <w:tc>
          <w:tcPr>
            <w:tcW w:w="7531" w:type="dxa"/>
            <w:tcBorders>
              <w:top w:val="nil"/>
              <w:left w:val="nil"/>
              <w:bottom w:val="nil"/>
              <w:right w:val="nil"/>
            </w:tcBorders>
            <w:shd w:val="clear" w:color="auto" w:fill="auto"/>
            <w:tcMar>
              <w:left w:w="0" w:type="dxa"/>
            </w:tcMar>
          </w:tcPr>
          <w:p w:rsidR="0083630F" w:rsidRPr="0038786D" w:rsidRDefault="0083630F" w:rsidP="0083630F">
            <w:pPr>
              <w:spacing w:after="0" w:line="240" w:lineRule="auto"/>
              <w:rPr>
                <w:sz w:val="14"/>
                <w:szCs w:val="14"/>
              </w:rPr>
            </w:pPr>
            <w:r w:rsidRPr="0038786D">
              <w:rPr>
                <w:sz w:val="14"/>
                <w:szCs w:val="14"/>
              </w:rPr>
              <w:t xml:space="preserve">* Vyjadřuje </w:t>
            </w:r>
            <w:r w:rsidRPr="0038786D">
              <w:rPr>
                <w:rFonts w:cs="Arial"/>
                <w:color w:val="000000" w:themeColor="text1"/>
                <w:spacing w:val="-4"/>
                <w:sz w:val="14"/>
                <w:szCs w:val="14"/>
              </w:rPr>
              <w:t xml:space="preserve">rozdíl mezi příjmy a výdaji na důchody ze státního rozpočtu (z předběžných údajů). Nejsou zahrnuty výdaje na správu </w:t>
            </w:r>
            <w:r>
              <w:rPr>
                <w:rFonts w:cs="Arial"/>
                <w:color w:val="000000" w:themeColor="text1"/>
                <w:spacing w:val="-4"/>
                <w:sz w:val="14"/>
                <w:szCs w:val="14"/>
              </w:rPr>
              <w:t xml:space="preserve">systému </w:t>
            </w:r>
            <w:r w:rsidRPr="0038786D">
              <w:rPr>
                <w:rFonts w:cs="Arial"/>
                <w:color w:val="000000" w:themeColor="text1"/>
                <w:spacing w:val="-4"/>
                <w:sz w:val="14"/>
                <w:szCs w:val="14"/>
              </w:rPr>
              <w:t>důchodového pojištění.</w:t>
            </w:r>
          </w:p>
          <w:p w:rsidR="00D922A1" w:rsidRDefault="0083630F" w:rsidP="0083630F">
            <w:pPr>
              <w:spacing w:after="0" w:line="240" w:lineRule="auto"/>
              <w:rPr>
                <w:sz w:val="14"/>
                <w:szCs w:val="14"/>
              </w:rPr>
            </w:pPr>
            <w:r w:rsidRPr="00B3757E">
              <w:rPr>
                <w:sz w:val="14"/>
                <w:szCs w:val="14"/>
              </w:rPr>
              <w:t>*</w:t>
            </w:r>
            <w:r>
              <w:rPr>
                <w:sz w:val="14"/>
                <w:szCs w:val="14"/>
              </w:rPr>
              <w:t>*</w:t>
            </w:r>
            <w:r w:rsidRPr="00B3757E">
              <w:rPr>
                <w:sz w:val="14"/>
                <w:szCs w:val="14"/>
              </w:rPr>
              <w:t>Jde o starobní důchod přiznaný před dosažením důchodového věku a krácený za předčasnost po celou dobu</w:t>
            </w:r>
          </w:p>
          <w:p w:rsidR="0083630F" w:rsidRDefault="0083630F" w:rsidP="0083630F">
            <w:pPr>
              <w:pStyle w:val="Textpoznpodarou"/>
              <w:spacing w:line="276" w:lineRule="auto"/>
              <w:jc w:val="both"/>
              <w:rPr>
                <w:sz w:val="14"/>
                <w:szCs w:val="14"/>
              </w:rPr>
            </w:pPr>
            <w:r w:rsidRPr="00B3757E">
              <w:rPr>
                <w:sz w:val="14"/>
                <w:szCs w:val="14"/>
              </w:rPr>
              <w:t xml:space="preserve">pobírání </w:t>
            </w:r>
            <w:r>
              <w:rPr>
                <w:sz w:val="14"/>
                <w:szCs w:val="14"/>
              </w:rPr>
              <w:t>důchodu.</w:t>
            </w:r>
          </w:p>
          <w:p w:rsidR="0083630F" w:rsidRDefault="0083630F" w:rsidP="0083630F">
            <w:pPr>
              <w:pStyle w:val="Textpoznpodarou"/>
              <w:spacing w:after="200" w:line="276" w:lineRule="auto"/>
              <w:jc w:val="both"/>
            </w:pPr>
            <w:r w:rsidRPr="007E5880">
              <w:rPr>
                <w:sz w:val="14"/>
                <w:szCs w:val="14"/>
              </w:rPr>
              <w:t>Zdroj: MF, ČSSZ</w:t>
            </w:r>
          </w:p>
        </w:tc>
      </w:tr>
      <w:tr w:rsidR="0083630F" w:rsidRPr="00860240" w:rsidTr="00836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868" w:type="dxa"/>
            <w:tcBorders>
              <w:top w:val="nil"/>
              <w:left w:val="nil"/>
              <w:bottom w:val="nil"/>
              <w:right w:val="nil"/>
            </w:tcBorders>
            <w:shd w:val="clear" w:color="auto" w:fill="auto"/>
            <w:tcMar>
              <w:left w:w="0" w:type="dxa"/>
            </w:tcMar>
          </w:tcPr>
          <w:p w:rsidR="0083630F" w:rsidRDefault="0083630F" w:rsidP="0083630F">
            <w:pPr>
              <w:pStyle w:val="Marginlie"/>
            </w:pPr>
            <w:r>
              <w:t>Tempo růstu výdajů na důchody zůstalo podobně jako loni mírně nad 4 %.</w:t>
            </w: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r>
              <w:t>Rozdíl mezi příjmy a výdaji na důchody se poprvé po roce 2008 dostal do kladných hodnot.</w:t>
            </w:r>
          </w:p>
          <w:p w:rsidR="0083630F" w:rsidRDefault="0083630F" w:rsidP="0083630F">
            <w:pPr>
              <w:pStyle w:val="Marginlie"/>
            </w:pPr>
          </w:p>
        </w:tc>
        <w:tc>
          <w:tcPr>
            <w:tcW w:w="245" w:type="dxa"/>
            <w:tcBorders>
              <w:top w:val="nil"/>
              <w:left w:val="nil"/>
              <w:bottom w:val="nil"/>
              <w:right w:val="nil"/>
            </w:tcBorders>
            <w:shd w:val="clear" w:color="auto" w:fill="auto"/>
            <w:tcMar>
              <w:left w:w="0" w:type="dxa"/>
            </w:tcMar>
          </w:tcPr>
          <w:p w:rsidR="0083630F" w:rsidRDefault="0083630F" w:rsidP="0083630F">
            <w:pPr>
              <w:pStyle w:val="Textpoznpodarou"/>
              <w:jc w:val="both"/>
              <w:rPr>
                <w:spacing w:val="-4"/>
              </w:rPr>
            </w:pPr>
          </w:p>
        </w:tc>
        <w:tc>
          <w:tcPr>
            <w:tcW w:w="7531" w:type="dxa"/>
            <w:tcBorders>
              <w:top w:val="nil"/>
              <w:left w:val="nil"/>
              <w:bottom w:val="nil"/>
              <w:right w:val="nil"/>
            </w:tcBorders>
            <w:shd w:val="clear" w:color="auto" w:fill="auto"/>
            <w:tcMar>
              <w:left w:w="0" w:type="dxa"/>
            </w:tcMar>
          </w:tcPr>
          <w:p w:rsidR="0083630F" w:rsidRPr="00271D7D" w:rsidRDefault="0083630F" w:rsidP="0083630F">
            <w:pPr>
              <w:spacing w:after="0"/>
              <w:rPr>
                <w:szCs w:val="20"/>
              </w:rPr>
            </w:pPr>
            <w:r w:rsidRPr="00271D7D">
              <w:rPr>
                <w:szCs w:val="20"/>
              </w:rPr>
              <w:t>Výdaje na důchody</w:t>
            </w:r>
            <w:r>
              <w:rPr>
                <w:szCs w:val="20"/>
              </w:rPr>
              <w:t xml:space="preserve"> meziročně posílily o 4,3 %, podobným tempem jako ve stejném období loňského roku.</w:t>
            </w:r>
            <w:r w:rsidRPr="00271D7D">
              <w:rPr>
                <w:szCs w:val="20"/>
              </w:rPr>
              <w:t xml:space="preserve"> </w:t>
            </w:r>
            <w:r>
              <w:rPr>
                <w:szCs w:val="20"/>
              </w:rPr>
              <w:t>Klíčovým faktorem růstu bylo nové nastavení valorizace důchodů</w:t>
            </w:r>
            <w:r w:rsidRPr="00BD1D97">
              <w:rPr>
                <w:rStyle w:val="Znakapoznpodarou"/>
                <w:color w:val="0D0D0D" w:themeColor="text1" w:themeTint="F2"/>
                <w:spacing w:val="-2"/>
              </w:rPr>
              <w:footnoteReference w:id="48"/>
            </w:r>
            <w:r>
              <w:rPr>
                <w:szCs w:val="20"/>
              </w:rPr>
              <w:t xml:space="preserve">, neboť počet lidí pobírajících důchod meziročně stagnoval na 2,893 mil. (mírné navýšení četnosti starobních důchodců – o 0,4 % </w:t>
            </w:r>
            <w:r w:rsidR="00A662D9">
              <w:rPr>
                <w:szCs w:val="20"/>
              </w:rPr>
              <w:t xml:space="preserve">– </w:t>
            </w:r>
            <w:r>
              <w:rPr>
                <w:szCs w:val="20"/>
              </w:rPr>
              <w:t>bylo kompenzováno poklesem ve všech ostatních kategoriích).</w:t>
            </w:r>
            <w:r>
              <w:rPr>
                <w:rFonts w:cs="Arial"/>
                <w:color w:val="0D0D0D" w:themeColor="text1" w:themeTint="F2"/>
                <w:spacing w:val="-2"/>
              </w:rPr>
              <w:t xml:space="preserve"> Příznivá situace na pracovním trhu stimulovala růst výběru pojistného na důchody. Jeho meziroční tempo letos vyšplhalo těsně pod 10 % a prakticky vyrovnalo dosud rekordní hodnotu z roku 2007. Saldo důchodového účtu</w:t>
            </w:r>
            <w:r>
              <w:rPr>
                <w:rStyle w:val="Znakapoznpodarou"/>
                <w:color w:val="0D0D0D" w:themeColor="text1" w:themeTint="F2"/>
                <w:spacing w:val="-2"/>
              </w:rPr>
              <w:footnoteReference w:id="49"/>
            </w:r>
            <w:r w:rsidR="00457490">
              <w:rPr>
                <w:rFonts w:cs="Arial"/>
                <w:color w:val="0D0D0D" w:themeColor="text1" w:themeTint="F2"/>
                <w:spacing w:val="-2"/>
              </w:rPr>
              <w:t xml:space="preserve"> tak poprvé za posledních deset </w:t>
            </w:r>
            <w:r>
              <w:rPr>
                <w:rFonts w:cs="Arial"/>
                <w:color w:val="0D0D0D" w:themeColor="text1" w:themeTint="F2"/>
                <w:spacing w:val="-2"/>
              </w:rPr>
              <w:t>let skončilo přebytkem (v rekordní výši 14,6 mld. korun).</w:t>
            </w:r>
          </w:p>
          <w:p w:rsidR="0083630F" w:rsidRPr="00860240" w:rsidRDefault="0083630F" w:rsidP="0083630F">
            <w:pPr>
              <w:spacing w:after="0" w:line="240" w:lineRule="auto"/>
              <w:rPr>
                <w:sz w:val="14"/>
                <w:szCs w:val="14"/>
              </w:rPr>
            </w:pPr>
          </w:p>
        </w:tc>
      </w:tr>
      <w:tr w:rsidR="0083630F" w:rsidRPr="0075583A" w:rsidTr="00836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868" w:type="dxa"/>
            <w:tcBorders>
              <w:top w:val="nil"/>
              <w:left w:val="nil"/>
              <w:bottom w:val="nil"/>
              <w:right w:val="nil"/>
            </w:tcBorders>
            <w:shd w:val="clear" w:color="auto" w:fill="auto"/>
            <w:tcMar>
              <w:left w:w="0" w:type="dxa"/>
            </w:tcMar>
          </w:tcPr>
          <w:p w:rsidR="0083630F" w:rsidRDefault="0083630F" w:rsidP="0083630F">
            <w:pPr>
              <w:pStyle w:val="Marginlie"/>
            </w:pPr>
            <w:r>
              <w:t>Snižování výdajů na státní dluh pokračovalo již pátým rokem v řadě.</w:t>
            </w: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E66062" w:rsidRDefault="00E66062"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p>
          <w:p w:rsidR="0083630F" w:rsidRDefault="0083630F" w:rsidP="0083630F">
            <w:pPr>
              <w:pStyle w:val="Marginlie"/>
            </w:pPr>
            <w:r>
              <w:t>Vnitřní zadluženost rostla, zahraniční nadále klesala.</w:t>
            </w:r>
          </w:p>
        </w:tc>
        <w:tc>
          <w:tcPr>
            <w:tcW w:w="245" w:type="dxa"/>
            <w:tcBorders>
              <w:top w:val="nil"/>
              <w:left w:val="nil"/>
              <w:bottom w:val="nil"/>
              <w:right w:val="nil"/>
            </w:tcBorders>
            <w:shd w:val="clear" w:color="auto" w:fill="auto"/>
            <w:tcMar>
              <w:left w:w="0" w:type="dxa"/>
            </w:tcMar>
          </w:tcPr>
          <w:p w:rsidR="0083630F" w:rsidRDefault="0083630F" w:rsidP="0083630F">
            <w:pPr>
              <w:pStyle w:val="Textpoznpodarou"/>
              <w:jc w:val="both"/>
              <w:rPr>
                <w:spacing w:val="-4"/>
              </w:rPr>
            </w:pPr>
          </w:p>
        </w:tc>
        <w:tc>
          <w:tcPr>
            <w:tcW w:w="7531" w:type="dxa"/>
            <w:tcBorders>
              <w:top w:val="nil"/>
              <w:left w:val="nil"/>
              <w:bottom w:val="nil"/>
              <w:right w:val="nil"/>
            </w:tcBorders>
            <w:shd w:val="clear" w:color="auto" w:fill="auto"/>
            <w:tcMar>
              <w:left w:w="0" w:type="dxa"/>
            </w:tcMar>
          </w:tcPr>
          <w:p w:rsidR="0083630F" w:rsidRPr="0075583A" w:rsidRDefault="0083630F" w:rsidP="0083630F">
            <w:pPr>
              <w:rPr>
                <w:spacing w:val="-2"/>
                <w:szCs w:val="20"/>
              </w:rPr>
            </w:pPr>
            <w:r w:rsidRPr="0075583A">
              <w:rPr>
                <w:szCs w:val="20"/>
              </w:rPr>
              <w:t>Čisté výdaje na státní dluh</w:t>
            </w:r>
            <w:r w:rsidRPr="0075583A">
              <w:rPr>
                <w:rStyle w:val="Znakapoznpodarou"/>
                <w:szCs w:val="20"/>
              </w:rPr>
              <w:footnoteReference w:id="50"/>
            </w:r>
            <w:r w:rsidRPr="0075583A">
              <w:rPr>
                <w:szCs w:val="20"/>
              </w:rPr>
              <w:t xml:space="preserve"> dosáhly za tři čtvrtletí 32,6 mld. korun. Jejich pokles pokračoval v rámci tohoto období roku již popáté v řadě. Oproti loňskému tempu</w:t>
            </w:r>
            <w:r w:rsidR="00D922A1">
              <w:rPr>
                <w:szCs w:val="20"/>
              </w:rPr>
              <w:br/>
            </w:r>
            <w:r w:rsidR="00A662D9" w:rsidRPr="0075583A">
              <w:rPr>
                <w:szCs w:val="20"/>
              </w:rPr>
              <w:t>(</w:t>
            </w:r>
            <w:r w:rsidR="00A662D9">
              <w:rPr>
                <w:szCs w:val="20"/>
              </w:rPr>
              <w:t>–</w:t>
            </w:r>
            <w:r w:rsidRPr="0075583A">
              <w:rPr>
                <w:szCs w:val="20"/>
              </w:rPr>
              <w:t>11,2 %)</w:t>
            </w:r>
            <w:r w:rsidRPr="0075583A">
              <w:rPr>
                <w:spacing w:val="-2"/>
                <w:szCs w:val="20"/>
              </w:rPr>
              <w:t xml:space="preserve"> však citelně zmírnil </w:t>
            </w:r>
            <w:r w:rsidR="00A662D9" w:rsidRPr="0075583A">
              <w:rPr>
                <w:spacing w:val="-2"/>
                <w:szCs w:val="20"/>
              </w:rPr>
              <w:t>(</w:t>
            </w:r>
            <w:r w:rsidR="00A662D9">
              <w:rPr>
                <w:spacing w:val="-2"/>
                <w:szCs w:val="20"/>
              </w:rPr>
              <w:t>–</w:t>
            </w:r>
            <w:r w:rsidRPr="0075583A">
              <w:rPr>
                <w:spacing w:val="-2"/>
                <w:szCs w:val="20"/>
              </w:rPr>
              <w:t>3,6 %). Stály za tím mj. i svižně rostoucí úrokové sazby u státních dluhopisů. Státní dluh činil na konci 3. čtvrtletí 2018 1</w:t>
            </w:r>
            <w:r w:rsidR="00A662D9">
              <w:rPr>
                <w:spacing w:val="-2"/>
                <w:szCs w:val="20"/>
              </w:rPr>
              <w:t> </w:t>
            </w:r>
            <w:r w:rsidRPr="0075583A">
              <w:rPr>
                <w:spacing w:val="-2"/>
                <w:szCs w:val="20"/>
              </w:rPr>
              <w:t>671</w:t>
            </w:r>
            <w:r w:rsidR="00A662D9">
              <w:rPr>
                <w:spacing w:val="-2"/>
                <w:szCs w:val="20"/>
              </w:rPr>
              <w:t> </w:t>
            </w:r>
            <w:r w:rsidRPr="0075583A">
              <w:rPr>
                <w:spacing w:val="-2"/>
                <w:szCs w:val="20"/>
              </w:rPr>
              <w:t xml:space="preserve">mld. korun, </w:t>
            </w:r>
            <w:proofErr w:type="spellStart"/>
            <w:r w:rsidRPr="0075583A">
              <w:rPr>
                <w:spacing w:val="-2"/>
                <w:szCs w:val="20"/>
              </w:rPr>
              <w:t>mezičtvrtletně</w:t>
            </w:r>
            <w:proofErr w:type="spellEnd"/>
            <w:r w:rsidRPr="0075583A">
              <w:rPr>
                <w:spacing w:val="-2"/>
                <w:szCs w:val="20"/>
              </w:rPr>
              <w:t xml:space="preserve"> mírně klesl </w:t>
            </w:r>
            <w:r w:rsidR="00A662D9" w:rsidRPr="0075583A">
              <w:rPr>
                <w:spacing w:val="-2"/>
                <w:szCs w:val="20"/>
              </w:rPr>
              <w:t>(</w:t>
            </w:r>
            <w:r w:rsidR="00A662D9">
              <w:rPr>
                <w:spacing w:val="-2"/>
                <w:szCs w:val="20"/>
              </w:rPr>
              <w:t>–</w:t>
            </w:r>
            <w:r w:rsidRPr="0075583A">
              <w:rPr>
                <w:spacing w:val="-2"/>
                <w:szCs w:val="20"/>
              </w:rPr>
              <w:t xml:space="preserve">2,5 %), meziročně naopak posílil (+3,8 %). Výše dluhu je v posledních šesti letech stabilizovaná, její krátkodobé fluktuace </w:t>
            </w:r>
            <w:r w:rsidR="00A662D9">
              <w:rPr>
                <w:spacing w:val="-2"/>
                <w:szCs w:val="20"/>
              </w:rPr>
              <w:t>souvisejí</w:t>
            </w:r>
            <w:r w:rsidR="00A662D9" w:rsidRPr="0075583A">
              <w:rPr>
                <w:spacing w:val="-2"/>
                <w:szCs w:val="20"/>
              </w:rPr>
              <w:t xml:space="preserve"> </w:t>
            </w:r>
            <w:r w:rsidRPr="0075583A">
              <w:rPr>
                <w:spacing w:val="-2"/>
                <w:szCs w:val="20"/>
              </w:rPr>
              <w:t xml:space="preserve">se situací na dluhopisovém trhu i </w:t>
            </w:r>
            <w:r w:rsidR="00DA5F8E">
              <w:rPr>
                <w:spacing w:val="-2"/>
                <w:szCs w:val="20"/>
              </w:rPr>
              <w:t xml:space="preserve">s </w:t>
            </w:r>
            <w:r w:rsidRPr="0075583A">
              <w:rPr>
                <w:spacing w:val="-2"/>
                <w:szCs w:val="20"/>
              </w:rPr>
              <w:t xml:space="preserve">nepravidelnostmi v rozložení splátek dluhu vzniklého </w:t>
            </w:r>
            <w:r w:rsidRPr="0075583A">
              <w:rPr>
                <w:spacing w:val="-2"/>
                <w:szCs w:val="20"/>
              </w:rPr>
              <w:lastRenderedPageBreak/>
              <w:t xml:space="preserve">v předchozích letech. </w:t>
            </w:r>
            <w:r w:rsidRPr="0075583A">
              <w:rPr>
                <w:spacing w:val="-2"/>
              </w:rPr>
              <w:t>Výpůjční potřeba státu byla nadále soustředěna na domácí trh. Zatímco vnitřní dluh se tak navyšoval (meziročně o</w:t>
            </w:r>
            <w:r w:rsidRPr="0075583A">
              <w:rPr>
                <w:rFonts w:cs="Arial"/>
                <w:color w:val="0D0D0D" w:themeColor="text1" w:themeTint="F2"/>
                <w:spacing w:val="-2"/>
              </w:rPr>
              <w:t> </w:t>
            </w:r>
            <w:r w:rsidRPr="0075583A">
              <w:rPr>
                <w:spacing w:val="-2"/>
              </w:rPr>
              <w:t>5,2 %), korunová hodnota vnějšího dluhu dále kles</w:t>
            </w:r>
            <w:r w:rsidR="00A662D9">
              <w:rPr>
                <w:spacing w:val="-2"/>
              </w:rPr>
              <w:t>a</w:t>
            </w:r>
            <w:r w:rsidRPr="0075583A">
              <w:rPr>
                <w:spacing w:val="-2"/>
              </w:rPr>
              <w:t xml:space="preserve">la. Vnější dluh se na celkové zadluženosti státu podílel necelými 15 %. </w:t>
            </w:r>
          </w:p>
        </w:tc>
      </w:tr>
      <w:tr w:rsidR="0083630F" w:rsidTr="00836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868" w:type="dxa"/>
            <w:tcBorders>
              <w:top w:val="nil"/>
              <w:left w:val="nil"/>
              <w:bottom w:val="nil"/>
              <w:right w:val="nil"/>
            </w:tcBorders>
            <w:shd w:val="clear" w:color="auto" w:fill="auto"/>
            <w:tcMar>
              <w:left w:w="0" w:type="dxa"/>
            </w:tcMar>
          </w:tcPr>
          <w:p w:rsidR="0083630F" w:rsidRDefault="0083630F" w:rsidP="0083630F">
            <w:pPr>
              <w:pStyle w:val="Marginlie"/>
            </w:pPr>
            <w:r>
              <w:lastRenderedPageBreak/>
              <w:t>Míra zadlužení sektoru vládních institucí se meziročně snížila o více než desetinu. Přispěly k tomu hlavně přebytkové místní rozpočty.</w:t>
            </w:r>
          </w:p>
        </w:tc>
        <w:tc>
          <w:tcPr>
            <w:tcW w:w="245" w:type="dxa"/>
            <w:tcBorders>
              <w:top w:val="nil"/>
              <w:left w:val="nil"/>
              <w:bottom w:val="nil"/>
              <w:right w:val="nil"/>
            </w:tcBorders>
            <w:shd w:val="clear" w:color="auto" w:fill="auto"/>
            <w:tcMar>
              <w:left w:w="0" w:type="dxa"/>
            </w:tcMar>
          </w:tcPr>
          <w:p w:rsidR="0083630F" w:rsidRDefault="0083630F" w:rsidP="0083630F">
            <w:pPr>
              <w:pStyle w:val="Textpoznpodarou"/>
              <w:jc w:val="both"/>
              <w:rPr>
                <w:spacing w:val="-4"/>
              </w:rPr>
            </w:pPr>
          </w:p>
        </w:tc>
        <w:tc>
          <w:tcPr>
            <w:tcW w:w="7531" w:type="dxa"/>
            <w:tcBorders>
              <w:top w:val="nil"/>
              <w:left w:val="nil"/>
              <w:bottom w:val="nil"/>
              <w:right w:val="nil"/>
            </w:tcBorders>
            <w:shd w:val="clear" w:color="auto" w:fill="auto"/>
            <w:tcMar>
              <w:left w:w="0" w:type="dxa"/>
            </w:tcMar>
          </w:tcPr>
          <w:p w:rsidR="0083630F" w:rsidRDefault="0083630F" w:rsidP="0083630F">
            <w:pPr>
              <w:rPr>
                <w:szCs w:val="20"/>
              </w:rPr>
            </w:pPr>
            <w:r>
              <w:rPr>
                <w:color w:val="000000" w:themeColor="text1"/>
                <w:spacing w:val="-4"/>
              </w:rPr>
              <w:t>D</w:t>
            </w:r>
            <w:r w:rsidRPr="004739FE">
              <w:rPr>
                <w:color w:val="000000" w:themeColor="text1"/>
                <w:spacing w:val="-4"/>
              </w:rPr>
              <w:t>luh</w:t>
            </w:r>
            <w:r w:rsidRPr="004739FE">
              <w:rPr>
                <w:color w:val="0D0D0D" w:themeColor="text1" w:themeTint="F2"/>
                <w:spacing w:val="-4"/>
              </w:rPr>
              <w:t xml:space="preserve"> </w:t>
            </w:r>
            <w:r>
              <w:rPr>
                <w:color w:val="0D0D0D" w:themeColor="text1" w:themeTint="F2"/>
                <w:spacing w:val="-4"/>
              </w:rPr>
              <w:t xml:space="preserve">celého </w:t>
            </w:r>
            <w:r w:rsidRPr="004739FE">
              <w:rPr>
                <w:color w:val="0D0D0D" w:themeColor="text1" w:themeTint="F2"/>
                <w:spacing w:val="-4"/>
              </w:rPr>
              <w:t>sektoru vládních institucí</w:t>
            </w:r>
            <w:r>
              <w:rPr>
                <w:rStyle w:val="Znakapoznpodarou"/>
                <w:color w:val="0D0D0D" w:themeColor="text1" w:themeTint="F2"/>
                <w:spacing w:val="-4"/>
              </w:rPr>
              <w:footnoteReference w:id="51"/>
            </w:r>
            <w:r w:rsidRPr="004739FE">
              <w:rPr>
                <w:color w:val="0D0D0D" w:themeColor="text1" w:themeTint="F2"/>
                <w:spacing w:val="-4"/>
              </w:rPr>
              <w:t xml:space="preserve"> </w:t>
            </w:r>
            <w:r w:rsidRPr="0043535F">
              <w:rPr>
                <w:color w:val="000000" w:themeColor="text1"/>
                <w:spacing w:val="-4"/>
              </w:rPr>
              <w:t>dosáhl d</w:t>
            </w:r>
            <w:r>
              <w:rPr>
                <w:color w:val="000000" w:themeColor="text1"/>
                <w:spacing w:val="-4"/>
              </w:rPr>
              <w:t>le aktuálních dat ČSÚ na konci 1</w:t>
            </w:r>
            <w:r w:rsidRPr="0043535F">
              <w:rPr>
                <w:color w:val="000000" w:themeColor="text1"/>
                <w:spacing w:val="-4"/>
              </w:rPr>
              <w:t>.</w:t>
            </w:r>
            <w:r>
              <w:rPr>
                <w:color w:val="000000" w:themeColor="text1"/>
                <w:spacing w:val="-4"/>
              </w:rPr>
              <w:t> polol</w:t>
            </w:r>
            <w:r w:rsidRPr="0043535F">
              <w:rPr>
                <w:color w:val="000000" w:themeColor="text1"/>
                <w:spacing w:val="-4"/>
              </w:rPr>
              <w:t>etí 201</w:t>
            </w:r>
            <w:r>
              <w:rPr>
                <w:color w:val="000000" w:themeColor="text1"/>
                <w:spacing w:val="-4"/>
              </w:rPr>
              <w:t>8</w:t>
            </w:r>
            <w:r w:rsidRPr="0043535F">
              <w:rPr>
                <w:rStyle w:val="Znakapoznpodarou"/>
                <w:color w:val="000000" w:themeColor="text1"/>
                <w:spacing w:val="-4"/>
              </w:rPr>
              <w:footnoteReference w:id="52"/>
            </w:r>
            <w:r>
              <w:rPr>
                <w:color w:val="000000" w:themeColor="text1"/>
                <w:spacing w:val="-4"/>
              </w:rPr>
              <w:t xml:space="preserve"> výše 1 829 mld.</w:t>
            </w:r>
            <w:r w:rsidRPr="0043535F">
              <w:rPr>
                <w:color w:val="000000" w:themeColor="text1"/>
                <w:spacing w:val="-4"/>
              </w:rPr>
              <w:t xml:space="preserve"> </w:t>
            </w:r>
            <w:r>
              <w:rPr>
                <w:color w:val="000000" w:themeColor="text1"/>
                <w:spacing w:val="-4"/>
              </w:rPr>
              <w:t>korun. Míra zadlužení dosáhla 35,3 % HDP, meziročně se snížila o 4,2 p. b. K tomuto vývoji podobným vlivem přispělo jak snížení absolutní výše dluhu, tak růst nominálního HDP. Za celé 1. pololetí vykázal sektor vládních institucí přebytek 1,9 % HDP (o rok dříve 1,8 %)</w:t>
            </w:r>
            <w:r>
              <w:rPr>
                <w:rStyle w:val="Znakapoznpodarou"/>
                <w:color w:val="000000" w:themeColor="text1"/>
                <w:spacing w:val="-4"/>
              </w:rPr>
              <w:footnoteReference w:id="53"/>
            </w:r>
            <w:r>
              <w:rPr>
                <w:color w:val="000000" w:themeColor="text1"/>
                <w:spacing w:val="-4"/>
              </w:rPr>
              <w:t>. Podobně jako v loňském roce k tomu přispěl především vysoký přebytek místní</w:t>
            </w:r>
            <w:r w:rsidR="00167485">
              <w:rPr>
                <w:color w:val="000000" w:themeColor="text1"/>
                <w:spacing w:val="-4"/>
              </w:rPr>
              <w:t>ch</w:t>
            </w:r>
            <w:r>
              <w:rPr>
                <w:color w:val="000000" w:themeColor="text1"/>
                <w:spacing w:val="-4"/>
              </w:rPr>
              <w:t xml:space="preserve"> vládních institucí (letos 1,7 % HDP) doplněný kladným saldem hospodaření zdravotních pojišťoven. Naopak ústřední vládní instituce (v jejichž výsledcích se promítá primárně hospodaření státního rozpočtu) zaznamenaly v 1. pololetí mírný deficit </w:t>
            </w:r>
            <w:r w:rsidR="00167485">
              <w:rPr>
                <w:color w:val="000000" w:themeColor="text1"/>
                <w:spacing w:val="-4"/>
              </w:rPr>
              <w:t>(–</w:t>
            </w:r>
            <w:bookmarkStart w:id="13" w:name="_GoBack"/>
            <w:bookmarkEnd w:id="13"/>
            <w:r>
              <w:rPr>
                <w:color w:val="000000" w:themeColor="text1"/>
                <w:spacing w:val="-4"/>
              </w:rPr>
              <w:t>0,2 % HDP).</w:t>
            </w:r>
          </w:p>
        </w:tc>
      </w:tr>
    </w:tbl>
    <w:p w:rsidR="0083630F" w:rsidRPr="0083630F" w:rsidRDefault="0083630F" w:rsidP="00965797">
      <w:pPr>
        <w:pStyle w:val="Nadpis11"/>
        <w:rPr>
          <w:sz w:val="2"/>
          <w:szCs w:val="2"/>
        </w:rPr>
      </w:pPr>
    </w:p>
    <w:p w:rsidR="00A50D73" w:rsidRPr="009110F7" w:rsidRDefault="00A50D73" w:rsidP="00E1444C">
      <w:pPr>
        <w:rPr>
          <w:sz w:val="2"/>
          <w:szCs w:val="2"/>
        </w:rPr>
      </w:pPr>
    </w:p>
    <w:sectPr w:rsidR="00A50D73" w:rsidRPr="009110F7" w:rsidSect="00A03B10">
      <w:pgSz w:w="11906" w:h="16838" w:code="9"/>
      <w:pgMar w:top="1134" w:right="1134" w:bottom="1418" w:left="1134" w:header="680" w:footer="73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12CEEF" w15:done="0"/>
  <w15:commentEx w15:paraId="510EBE5F" w15:done="0"/>
  <w15:commentEx w15:paraId="2BBC27AD" w15:done="0"/>
  <w15:commentEx w15:paraId="64F0BE47" w15:done="0"/>
  <w15:commentEx w15:paraId="061FEE45" w15:done="0"/>
  <w15:commentEx w15:paraId="180AB565" w15:done="0"/>
  <w15:commentEx w15:paraId="4FDB8EDF" w15:done="0"/>
  <w15:commentEx w15:paraId="6709F746" w15:done="0"/>
  <w15:commentEx w15:paraId="2323FC13" w15:done="0"/>
  <w15:commentEx w15:paraId="28C26757" w15:done="0"/>
  <w15:commentEx w15:paraId="28F690F6" w15:done="0"/>
  <w15:commentEx w15:paraId="72A0F35B" w15:done="0"/>
  <w15:commentEx w15:paraId="17D51B1D" w15:done="0"/>
  <w15:commentEx w15:paraId="1905EDB9" w15:done="0"/>
  <w15:commentEx w15:paraId="769B3E23" w15:done="0"/>
  <w15:commentEx w15:paraId="4941CE09" w15:done="0"/>
  <w15:commentEx w15:paraId="3F6235A8" w15:done="0"/>
  <w15:commentEx w15:paraId="57663E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2CEEF" w16cid:durableId="1FBE60B2"/>
  <w16cid:commentId w16cid:paraId="510EBE5F" w16cid:durableId="1FBE6564"/>
  <w16cid:commentId w16cid:paraId="2BBC27AD" w16cid:durableId="1FBE6E48"/>
  <w16cid:commentId w16cid:paraId="64F0BE47" w16cid:durableId="1FBE7339"/>
  <w16cid:commentId w16cid:paraId="061FEE45" w16cid:durableId="1FBE868D"/>
  <w16cid:commentId w16cid:paraId="180AB565" w16cid:durableId="1FBE8A4D"/>
  <w16cid:commentId w16cid:paraId="4FDB8EDF" w16cid:durableId="1FBE88D5"/>
  <w16cid:commentId w16cid:paraId="6709F746" w16cid:durableId="1FBE975B"/>
  <w16cid:commentId w16cid:paraId="2323FC13" w16cid:durableId="1FBE984D"/>
  <w16cid:commentId w16cid:paraId="28C26757" w16cid:durableId="1FBE9A64"/>
  <w16cid:commentId w16cid:paraId="28F690F6" w16cid:durableId="1FBEA05F"/>
  <w16cid:commentId w16cid:paraId="72A0F35B" w16cid:durableId="1FBF3BF8"/>
  <w16cid:commentId w16cid:paraId="17D51B1D" w16cid:durableId="1FBF3D1F"/>
  <w16cid:commentId w16cid:paraId="1905EDB9" w16cid:durableId="1FBFAD59"/>
  <w16cid:commentId w16cid:paraId="769B3E23" w16cid:durableId="1FBFC02F"/>
  <w16cid:commentId w16cid:paraId="4941CE09" w16cid:durableId="1FBFC811"/>
  <w16cid:commentId w16cid:paraId="3F6235A8" w16cid:durableId="1FC0B704"/>
  <w16cid:commentId w16cid:paraId="57663EE7" w16cid:durableId="1FC114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7E9" w:rsidRDefault="008967E9" w:rsidP="00E71A58">
      <w:r>
        <w:separator/>
      </w:r>
    </w:p>
  </w:endnote>
  <w:endnote w:type="continuationSeparator" w:id="0">
    <w:p w:rsidR="008967E9" w:rsidRDefault="008967E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9" w:rsidRPr="00932443" w:rsidRDefault="00157CC9"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00347DD4" w:rsidRPr="00932443">
      <w:rPr>
        <w:szCs w:val="16"/>
      </w:rPr>
      <w:fldChar w:fldCharType="begin"/>
    </w:r>
    <w:r w:rsidRPr="00932443">
      <w:rPr>
        <w:szCs w:val="16"/>
      </w:rPr>
      <w:instrText>PAGE   \* MERGEFORMAT</w:instrText>
    </w:r>
    <w:r w:rsidR="00347DD4" w:rsidRPr="00932443">
      <w:rPr>
        <w:szCs w:val="16"/>
      </w:rPr>
      <w:fldChar w:fldCharType="separate"/>
    </w:r>
    <w:r w:rsidR="00185C22">
      <w:rPr>
        <w:szCs w:val="16"/>
      </w:rPr>
      <w:t>4</w:t>
    </w:r>
    <w:r w:rsidR="00347DD4" w:rsidRPr="00932443">
      <w:rPr>
        <w:szCs w:val="16"/>
      </w:rPr>
      <w:fldChar w:fldCharType="end"/>
    </w:r>
    <w:r w:rsidRPr="00932443">
      <w:rPr>
        <w:szCs w:val="16"/>
      </w:rPr>
      <w:tab/>
    </w:r>
    <w:r>
      <w:t>1. až 3. čtvrtletí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9" w:rsidRPr="00932443" w:rsidRDefault="00157CC9"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6"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t>1. až 3. čtvrtletí 2018</w:t>
    </w:r>
    <w:r w:rsidRPr="00932443">
      <w:rPr>
        <w:szCs w:val="16"/>
      </w:rPr>
      <w:tab/>
    </w:r>
    <w:r w:rsidR="00347DD4" w:rsidRPr="00932443">
      <w:rPr>
        <w:rStyle w:val="ZpatChar"/>
        <w:szCs w:val="16"/>
      </w:rPr>
      <w:fldChar w:fldCharType="begin"/>
    </w:r>
    <w:r w:rsidRPr="00932443">
      <w:rPr>
        <w:rStyle w:val="ZpatChar"/>
        <w:szCs w:val="16"/>
      </w:rPr>
      <w:instrText>PAGE   \* MERGEFORMAT</w:instrText>
    </w:r>
    <w:r w:rsidR="00347DD4" w:rsidRPr="00932443">
      <w:rPr>
        <w:rStyle w:val="ZpatChar"/>
        <w:szCs w:val="16"/>
      </w:rPr>
      <w:fldChar w:fldCharType="separate"/>
    </w:r>
    <w:r w:rsidR="00185C22">
      <w:rPr>
        <w:rStyle w:val="ZpatChar"/>
        <w:szCs w:val="16"/>
      </w:rPr>
      <w:t>5</w:t>
    </w:r>
    <w:r w:rsidR="00347DD4"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7E9" w:rsidRDefault="008967E9" w:rsidP="00E71A58">
      <w:r>
        <w:separator/>
      </w:r>
    </w:p>
  </w:footnote>
  <w:footnote w:type="continuationSeparator" w:id="0">
    <w:p w:rsidR="008967E9" w:rsidRDefault="008967E9" w:rsidP="00E71A58">
      <w:r>
        <w:continuationSeparator/>
      </w:r>
    </w:p>
  </w:footnote>
  <w:footnote w:id="1">
    <w:p w:rsidR="00157CC9" w:rsidRPr="0021507A" w:rsidRDefault="00157CC9" w:rsidP="00670489">
      <w:pPr>
        <w:pStyle w:val="Textpoznpodarou"/>
        <w:rPr>
          <w:sz w:val="16"/>
          <w:szCs w:val="16"/>
        </w:rPr>
      </w:pPr>
      <w:r w:rsidRPr="0021507A">
        <w:rPr>
          <w:rStyle w:val="Znakapoznpodarou"/>
          <w:sz w:val="16"/>
          <w:szCs w:val="16"/>
        </w:rPr>
        <w:footnoteRef/>
      </w:r>
      <w:r w:rsidRPr="0021507A">
        <w:rPr>
          <w:sz w:val="16"/>
          <w:szCs w:val="16"/>
        </w:rPr>
        <w:t xml:space="preserve"> Data o</w:t>
      </w:r>
      <w:r>
        <w:rPr>
          <w:sz w:val="16"/>
          <w:szCs w:val="16"/>
        </w:rPr>
        <w:t> </w:t>
      </w:r>
      <w:r w:rsidRPr="0021507A">
        <w:rPr>
          <w:sz w:val="16"/>
          <w:szCs w:val="16"/>
        </w:rPr>
        <w:t>HDP, hrubé přidané hodnotě a</w:t>
      </w:r>
      <w:r>
        <w:rPr>
          <w:sz w:val="16"/>
          <w:szCs w:val="16"/>
        </w:rPr>
        <w:t> </w:t>
      </w:r>
      <w:r w:rsidRPr="0021507A">
        <w:rPr>
          <w:sz w:val="16"/>
          <w:szCs w:val="16"/>
        </w:rPr>
        <w:t>jejich složkách jsou vyjádřena ve stálých cenách a</w:t>
      </w:r>
      <w:r>
        <w:rPr>
          <w:sz w:val="16"/>
          <w:szCs w:val="16"/>
        </w:rPr>
        <w:t> </w:t>
      </w:r>
      <w:r w:rsidRPr="0021507A">
        <w:rPr>
          <w:sz w:val="16"/>
          <w:szCs w:val="16"/>
        </w:rPr>
        <w:t>v očištění o</w:t>
      </w:r>
      <w:r>
        <w:rPr>
          <w:sz w:val="16"/>
          <w:szCs w:val="16"/>
        </w:rPr>
        <w:t> </w:t>
      </w:r>
      <w:r w:rsidRPr="0021507A">
        <w:rPr>
          <w:sz w:val="16"/>
          <w:szCs w:val="16"/>
        </w:rPr>
        <w:t>sezónní a kalendářní vlivy.</w:t>
      </w:r>
    </w:p>
  </w:footnote>
  <w:footnote w:id="2">
    <w:p w:rsidR="00157CC9" w:rsidRPr="00B4223A" w:rsidRDefault="00157CC9" w:rsidP="00FB7DBB">
      <w:pPr>
        <w:pStyle w:val="Textpoznpodarou"/>
        <w:jc w:val="both"/>
        <w:rPr>
          <w:sz w:val="16"/>
          <w:szCs w:val="16"/>
        </w:rPr>
      </w:pPr>
      <w:r w:rsidRPr="00B4223A">
        <w:rPr>
          <w:rStyle w:val="Znakapoznpodarou"/>
          <w:sz w:val="16"/>
          <w:szCs w:val="16"/>
        </w:rPr>
        <w:footnoteRef/>
      </w:r>
      <w:r w:rsidRPr="00B4223A">
        <w:rPr>
          <w:sz w:val="16"/>
          <w:szCs w:val="16"/>
        </w:rPr>
        <w:t xml:space="preserve"> </w:t>
      </w:r>
      <w:r>
        <w:rPr>
          <w:sz w:val="16"/>
          <w:szCs w:val="16"/>
        </w:rPr>
        <w:t>Údaje o zaměstnanosti</w:t>
      </w:r>
      <w:r w:rsidRPr="00B4223A">
        <w:rPr>
          <w:sz w:val="16"/>
          <w:szCs w:val="16"/>
        </w:rPr>
        <w:t xml:space="preserve"> </w:t>
      </w:r>
      <w:r>
        <w:rPr>
          <w:sz w:val="16"/>
          <w:szCs w:val="16"/>
        </w:rPr>
        <w:t xml:space="preserve">uvedeny </w:t>
      </w:r>
      <w:r w:rsidRPr="00B4223A">
        <w:rPr>
          <w:sz w:val="16"/>
          <w:szCs w:val="16"/>
        </w:rPr>
        <w:t>v pojetí národních účtů v očištění o sezónní vlivy.</w:t>
      </w:r>
    </w:p>
  </w:footnote>
  <w:footnote w:id="3">
    <w:p w:rsidR="00157CC9" w:rsidRPr="00EF1EE3" w:rsidRDefault="00157CC9" w:rsidP="009A24F1">
      <w:pPr>
        <w:pStyle w:val="Textpoznpodarou"/>
        <w:rPr>
          <w:sz w:val="16"/>
          <w:szCs w:val="16"/>
        </w:rPr>
      </w:pPr>
      <w:r w:rsidRPr="00EF1EE3">
        <w:rPr>
          <w:rStyle w:val="Znakapoznpodarou"/>
          <w:sz w:val="16"/>
          <w:szCs w:val="16"/>
        </w:rPr>
        <w:footnoteRef/>
      </w:r>
      <w:r w:rsidRPr="00EF1EE3">
        <w:rPr>
          <w:sz w:val="16"/>
          <w:szCs w:val="16"/>
        </w:rPr>
        <w:t xml:space="preserve"> </w:t>
      </w:r>
      <w:r>
        <w:rPr>
          <w:sz w:val="16"/>
          <w:szCs w:val="16"/>
        </w:rPr>
        <w:t>Vývoj</w:t>
      </w:r>
      <w:r w:rsidRPr="00EF1EE3">
        <w:rPr>
          <w:sz w:val="16"/>
          <w:szCs w:val="16"/>
        </w:rPr>
        <w:t xml:space="preserve"> HDP, hrubé přidané hodnot</w:t>
      </w:r>
      <w:r>
        <w:rPr>
          <w:sz w:val="16"/>
          <w:szCs w:val="16"/>
        </w:rPr>
        <w:t>y</w:t>
      </w:r>
      <w:r w:rsidRPr="00EF1EE3">
        <w:rPr>
          <w:sz w:val="16"/>
          <w:szCs w:val="16"/>
        </w:rPr>
        <w:t xml:space="preserve"> a</w:t>
      </w:r>
      <w:r>
        <w:rPr>
          <w:sz w:val="16"/>
          <w:szCs w:val="16"/>
        </w:rPr>
        <w:t> </w:t>
      </w:r>
      <w:r w:rsidRPr="00EF1EE3">
        <w:rPr>
          <w:sz w:val="16"/>
          <w:szCs w:val="16"/>
        </w:rPr>
        <w:t>jejich slož</w:t>
      </w:r>
      <w:r>
        <w:rPr>
          <w:sz w:val="16"/>
          <w:szCs w:val="16"/>
        </w:rPr>
        <w:t>e</w:t>
      </w:r>
      <w:r w:rsidRPr="00EF1EE3">
        <w:rPr>
          <w:sz w:val="16"/>
          <w:szCs w:val="16"/>
        </w:rPr>
        <w:t xml:space="preserve">k </w:t>
      </w:r>
      <w:r>
        <w:rPr>
          <w:sz w:val="16"/>
          <w:szCs w:val="16"/>
        </w:rPr>
        <w:t xml:space="preserve">je </w:t>
      </w:r>
      <w:r w:rsidRPr="00EF1EE3">
        <w:rPr>
          <w:sz w:val="16"/>
          <w:szCs w:val="16"/>
        </w:rPr>
        <w:t>vyjádřen</w:t>
      </w:r>
      <w:r>
        <w:rPr>
          <w:sz w:val="16"/>
          <w:szCs w:val="16"/>
        </w:rPr>
        <w:t xml:space="preserve"> prostřednictvím objemových indexů (tj. očištěn o vliv cen)</w:t>
      </w:r>
      <w:r w:rsidRPr="00EF1EE3">
        <w:rPr>
          <w:sz w:val="16"/>
          <w:szCs w:val="16"/>
        </w:rPr>
        <w:t xml:space="preserve"> a</w:t>
      </w:r>
      <w:r>
        <w:rPr>
          <w:sz w:val="16"/>
          <w:szCs w:val="16"/>
        </w:rPr>
        <w:t> po</w:t>
      </w:r>
      <w:r w:rsidRPr="00EF1EE3">
        <w:rPr>
          <w:sz w:val="16"/>
          <w:szCs w:val="16"/>
        </w:rPr>
        <w:t> očištění o</w:t>
      </w:r>
      <w:r>
        <w:rPr>
          <w:sz w:val="16"/>
          <w:szCs w:val="16"/>
        </w:rPr>
        <w:t> </w:t>
      </w:r>
      <w:r w:rsidRPr="00EF1EE3">
        <w:rPr>
          <w:sz w:val="16"/>
          <w:szCs w:val="16"/>
        </w:rPr>
        <w:t>sezónní a kalendářn</w:t>
      </w:r>
      <w:r>
        <w:rPr>
          <w:sz w:val="16"/>
          <w:szCs w:val="16"/>
        </w:rPr>
        <w:t>í vlivy. Údaje byly zveřejněny 30. 11. </w:t>
      </w:r>
      <w:r w:rsidRPr="00EF1EE3">
        <w:rPr>
          <w:sz w:val="16"/>
          <w:szCs w:val="16"/>
        </w:rPr>
        <w:t>2018 a</w:t>
      </w:r>
      <w:r>
        <w:rPr>
          <w:sz w:val="16"/>
          <w:szCs w:val="16"/>
        </w:rPr>
        <w:t> </w:t>
      </w:r>
      <w:r w:rsidRPr="00EF1EE3">
        <w:rPr>
          <w:sz w:val="16"/>
          <w:szCs w:val="16"/>
        </w:rPr>
        <w:t>z</w:t>
      </w:r>
      <w:r>
        <w:rPr>
          <w:sz w:val="16"/>
          <w:szCs w:val="16"/>
        </w:rPr>
        <w:t xml:space="preserve">revidované údaje </w:t>
      </w:r>
      <w:r w:rsidRPr="00EF1EE3">
        <w:rPr>
          <w:sz w:val="16"/>
          <w:szCs w:val="16"/>
        </w:rPr>
        <w:t>bud</w:t>
      </w:r>
      <w:r>
        <w:rPr>
          <w:sz w:val="16"/>
          <w:szCs w:val="16"/>
        </w:rPr>
        <w:t>ou</w:t>
      </w:r>
      <w:r w:rsidRPr="00EF1EE3">
        <w:rPr>
          <w:sz w:val="16"/>
          <w:szCs w:val="16"/>
        </w:rPr>
        <w:t xml:space="preserve"> publikován</w:t>
      </w:r>
      <w:r>
        <w:rPr>
          <w:sz w:val="16"/>
          <w:szCs w:val="16"/>
        </w:rPr>
        <w:t>y</w:t>
      </w:r>
      <w:r w:rsidRPr="00EF1EE3">
        <w:rPr>
          <w:sz w:val="16"/>
          <w:szCs w:val="16"/>
        </w:rPr>
        <w:t xml:space="preserve"> </w:t>
      </w:r>
      <w:r>
        <w:rPr>
          <w:sz w:val="16"/>
          <w:szCs w:val="16"/>
        </w:rPr>
        <w:t>11. 1. 2019</w:t>
      </w:r>
      <w:r w:rsidRPr="00EF1EE3">
        <w:rPr>
          <w:sz w:val="16"/>
          <w:szCs w:val="16"/>
        </w:rPr>
        <w:t>.</w:t>
      </w:r>
    </w:p>
  </w:footnote>
  <w:footnote w:id="4">
    <w:p w:rsidR="00157CC9" w:rsidRPr="00BB319F" w:rsidRDefault="00157CC9" w:rsidP="009A24F1">
      <w:pPr>
        <w:pStyle w:val="Textpoznpodarou"/>
        <w:rPr>
          <w:sz w:val="16"/>
          <w:szCs w:val="16"/>
        </w:rPr>
      </w:pPr>
      <w:r w:rsidRPr="00AF6B7C">
        <w:rPr>
          <w:rStyle w:val="Znakapoznpodarou"/>
          <w:sz w:val="16"/>
          <w:szCs w:val="16"/>
        </w:rPr>
        <w:footnoteRef/>
      </w:r>
      <w:r w:rsidRPr="00AF6B7C">
        <w:rPr>
          <w:sz w:val="16"/>
          <w:szCs w:val="16"/>
        </w:rPr>
        <w:t xml:space="preserve"> </w:t>
      </w:r>
      <w:r w:rsidRPr="00BB319F">
        <w:rPr>
          <w:sz w:val="16"/>
          <w:szCs w:val="16"/>
        </w:rPr>
        <w:t>Nedostupná data za</w:t>
      </w:r>
      <w:r>
        <w:rPr>
          <w:sz w:val="16"/>
          <w:szCs w:val="16"/>
        </w:rPr>
        <w:t xml:space="preserve"> Bulharsko,</w:t>
      </w:r>
      <w:r w:rsidRPr="00BB319F">
        <w:rPr>
          <w:sz w:val="16"/>
          <w:szCs w:val="16"/>
        </w:rPr>
        <w:t xml:space="preserve"> Irsko</w:t>
      </w:r>
      <w:r>
        <w:rPr>
          <w:sz w:val="16"/>
          <w:szCs w:val="16"/>
        </w:rPr>
        <w:t xml:space="preserve"> </w:t>
      </w:r>
      <w:r w:rsidRPr="00BB319F">
        <w:rPr>
          <w:sz w:val="16"/>
          <w:szCs w:val="16"/>
        </w:rPr>
        <w:t>a</w:t>
      </w:r>
      <w:r>
        <w:rPr>
          <w:sz w:val="16"/>
          <w:szCs w:val="16"/>
        </w:rPr>
        <w:t> </w:t>
      </w:r>
      <w:r w:rsidRPr="00BB319F">
        <w:rPr>
          <w:sz w:val="16"/>
          <w:szCs w:val="16"/>
        </w:rPr>
        <w:t>Lucembursko.</w:t>
      </w:r>
      <w:r>
        <w:rPr>
          <w:sz w:val="16"/>
          <w:szCs w:val="16"/>
        </w:rPr>
        <w:t xml:space="preserve"> Data za Slovensko nejsou očištěna o kalendářní vlivy.</w:t>
      </w:r>
    </w:p>
  </w:footnote>
  <w:footnote w:id="5">
    <w:p w:rsidR="00157CC9" w:rsidRPr="00892258" w:rsidRDefault="00157CC9">
      <w:pPr>
        <w:pStyle w:val="Textpoznpodarou"/>
        <w:rPr>
          <w:sz w:val="16"/>
          <w:szCs w:val="16"/>
        </w:rPr>
      </w:pPr>
      <w:r w:rsidRPr="00892258">
        <w:rPr>
          <w:rStyle w:val="Znakapoznpodarou"/>
          <w:sz w:val="16"/>
          <w:szCs w:val="16"/>
        </w:rPr>
        <w:footnoteRef/>
      </w:r>
      <w:r w:rsidRPr="00892258">
        <w:rPr>
          <w:sz w:val="16"/>
          <w:szCs w:val="16"/>
        </w:rPr>
        <w:t xml:space="preserve"> Vzhledem k vývoji v 1. pololetí</w:t>
      </w:r>
      <w:r>
        <w:rPr>
          <w:sz w:val="16"/>
          <w:szCs w:val="16"/>
        </w:rPr>
        <w:t xml:space="preserve"> (10,2 %, 9,1 %)</w:t>
      </w:r>
      <w:r w:rsidRPr="00892258">
        <w:rPr>
          <w:sz w:val="16"/>
          <w:szCs w:val="16"/>
        </w:rPr>
        <w:t xml:space="preserve"> se dá předpokládat, že po zveřejnění příslušných údajů dosáhne nejvyššího meziročního nárůstu ve 3. čtvrtletí HDP v Irsku.</w:t>
      </w:r>
    </w:p>
  </w:footnote>
  <w:footnote w:id="6">
    <w:p w:rsidR="00157CC9" w:rsidRPr="009C6EA8" w:rsidRDefault="00157CC9" w:rsidP="009A24F1">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7">
    <w:p w:rsidR="00157CC9" w:rsidRPr="007933CD" w:rsidRDefault="00157CC9" w:rsidP="009A24F1">
      <w:pPr>
        <w:pStyle w:val="Textpoznpodarou"/>
        <w:rPr>
          <w:sz w:val="16"/>
          <w:szCs w:val="16"/>
        </w:rPr>
      </w:pPr>
      <w:r w:rsidRPr="007933CD">
        <w:rPr>
          <w:rStyle w:val="Znakapoznpodarou"/>
          <w:sz w:val="16"/>
          <w:szCs w:val="16"/>
        </w:rPr>
        <w:footnoteRef/>
      </w:r>
      <w:r w:rsidRPr="007933CD">
        <w:rPr>
          <w:sz w:val="16"/>
          <w:szCs w:val="16"/>
        </w:rPr>
        <w:t xml:space="preserve"> Údaje o</w:t>
      </w:r>
      <w:r>
        <w:rPr>
          <w:sz w:val="16"/>
          <w:szCs w:val="16"/>
        </w:rPr>
        <w:t> </w:t>
      </w:r>
      <w:r w:rsidRPr="007933CD">
        <w:rPr>
          <w:sz w:val="16"/>
          <w:szCs w:val="16"/>
        </w:rPr>
        <w:t>spotřebě domácností podle trvanlivosti statků nejsou sezónně očištěny.</w:t>
      </w:r>
    </w:p>
  </w:footnote>
  <w:footnote w:id="8">
    <w:p w:rsidR="00157CC9" w:rsidRDefault="00157CC9" w:rsidP="009A24F1">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xml:space="preserve"> pojetí národních účtů, </w:t>
      </w:r>
      <w:r>
        <w:rPr>
          <w:sz w:val="16"/>
          <w:szCs w:val="16"/>
        </w:rPr>
        <w:t xml:space="preserve">údaj o osobách i odpracovaných hodinách je </w:t>
      </w:r>
      <w:r w:rsidRPr="009C6EA8">
        <w:rPr>
          <w:sz w:val="16"/>
          <w:szCs w:val="16"/>
        </w:rPr>
        <w:t>sezónně očištěn</w:t>
      </w:r>
      <w:r w:rsidRPr="00004BA8">
        <w:rPr>
          <w:sz w:val="16"/>
        </w:rPr>
        <w:t>.</w:t>
      </w:r>
    </w:p>
  </w:footnote>
  <w:footnote w:id="9">
    <w:p w:rsidR="00157CC9" w:rsidRPr="009C6EA8" w:rsidRDefault="00157CC9" w:rsidP="009A24F1">
      <w:pPr>
        <w:pStyle w:val="Textpoznpodarou"/>
        <w:rPr>
          <w:sz w:val="16"/>
          <w:szCs w:val="16"/>
        </w:rPr>
      </w:pPr>
      <w:r w:rsidRPr="009C6EA8">
        <w:rPr>
          <w:rStyle w:val="Znakapoznpodarou"/>
          <w:sz w:val="16"/>
          <w:szCs w:val="16"/>
        </w:rPr>
        <w:footnoteRef/>
      </w:r>
      <w:r w:rsidRPr="009C6EA8">
        <w:rPr>
          <w:sz w:val="16"/>
          <w:szCs w:val="16"/>
        </w:rPr>
        <w:t xml:space="preserve"> Do reálného vyjádření převedeno s využitím deflátoru výdajů na konečnou spotřebu domácností.</w:t>
      </w:r>
    </w:p>
  </w:footnote>
  <w:footnote w:id="10">
    <w:p w:rsidR="00157CC9" w:rsidRPr="00771972" w:rsidRDefault="00157CC9" w:rsidP="009A24F1">
      <w:pPr>
        <w:pStyle w:val="Textpoznpodarou"/>
        <w:rPr>
          <w:sz w:val="16"/>
          <w:szCs w:val="16"/>
        </w:rPr>
      </w:pPr>
      <w:r w:rsidRPr="00771972">
        <w:rPr>
          <w:rStyle w:val="Znakapoznpodarou"/>
          <w:sz w:val="16"/>
          <w:szCs w:val="16"/>
        </w:rPr>
        <w:footnoteRef/>
      </w:r>
      <w:r w:rsidRPr="00771972">
        <w:rPr>
          <w:sz w:val="16"/>
          <w:szCs w:val="16"/>
        </w:rPr>
        <w:t xml:space="preserve"> Veřejná správa a obrana, vzdělávání, zdravotní a sociální péče.</w:t>
      </w:r>
    </w:p>
  </w:footnote>
  <w:footnote w:id="11">
    <w:p w:rsidR="00157CC9" w:rsidRPr="00457568" w:rsidRDefault="00157CC9">
      <w:pPr>
        <w:pStyle w:val="Textpoznpodarou"/>
        <w:rPr>
          <w:sz w:val="16"/>
          <w:szCs w:val="16"/>
        </w:rPr>
      </w:pPr>
      <w:r w:rsidRPr="00457568">
        <w:rPr>
          <w:rStyle w:val="Znakapoznpodarou"/>
          <w:sz w:val="16"/>
          <w:szCs w:val="16"/>
        </w:rPr>
        <w:footnoteRef/>
      </w:r>
      <w:r w:rsidRPr="00457568">
        <w:rPr>
          <w:sz w:val="16"/>
          <w:szCs w:val="16"/>
        </w:rPr>
        <w:t xml:space="preserve"> Po celý loňský rok zásoby výrazně </w:t>
      </w:r>
      <w:r>
        <w:rPr>
          <w:sz w:val="16"/>
          <w:szCs w:val="16"/>
        </w:rPr>
        <w:t xml:space="preserve">meziročně </w:t>
      </w:r>
      <w:r w:rsidRPr="00457568">
        <w:rPr>
          <w:sz w:val="16"/>
          <w:szCs w:val="16"/>
        </w:rPr>
        <w:t>rostly. Ve 3. čtvrtletí roku 2017 dosáhla položka změny zásob více než +14 mld. korun, zatímco letos ve stejném období zásoby mírně poklesly.</w:t>
      </w:r>
    </w:p>
  </w:footnote>
  <w:footnote w:id="12">
    <w:p w:rsidR="00157CC9" w:rsidRPr="0021552C" w:rsidRDefault="00157CC9" w:rsidP="009A24F1">
      <w:pPr>
        <w:pStyle w:val="Textpoznpodarou"/>
        <w:rPr>
          <w:sz w:val="16"/>
          <w:szCs w:val="16"/>
        </w:rPr>
      </w:pPr>
      <w:r w:rsidRPr="0021552C">
        <w:rPr>
          <w:rStyle w:val="Znakapoznpodarou"/>
          <w:sz w:val="16"/>
          <w:szCs w:val="16"/>
        </w:rPr>
        <w:footnoteRef/>
      </w:r>
      <w:r w:rsidRPr="0021552C">
        <w:rPr>
          <w:sz w:val="16"/>
          <w:szCs w:val="16"/>
        </w:rPr>
        <w:t xml:space="preserve"> </w:t>
      </w:r>
      <w:r>
        <w:rPr>
          <w:rFonts w:cs="Arial"/>
          <w:sz w:val="16"/>
          <w:szCs w:val="16"/>
        </w:rPr>
        <w:t>D</w:t>
      </w:r>
      <w:r w:rsidRPr="0021552C">
        <w:rPr>
          <w:rFonts w:cs="Arial"/>
          <w:sz w:val="16"/>
          <w:szCs w:val="16"/>
        </w:rPr>
        <w:t>ata o</w:t>
      </w:r>
      <w:r>
        <w:rPr>
          <w:rFonts w:cs="Arial"/>
          <w:sz w:val="16"/>
          <w:szCs w:val="16"/>
        </w:rPr>
        <w:t> </w:t>
      </w:r>
      <w:r w:rsidRPr="0021552C">
        <w:rPr>
          <w:rFonts w:cs="Arial"/>
          <w:sz w:val="16"/>
          <w:szCs w:val="16"/>
        </w:rPr>
        <w:t xml:space="preserve">věcném členění tvorby </w:t>
      </w:r>
      <w:r>
        <w:rPr>
          <w:rFonts w:cs="Arial"/>
          <w:sz w:val="16"/>
          <w:szCs w:val="16"/>
        </w:rPr>
        <w:t>hrubého fixního kapitálu</w:t>
      </w:r>
      <w:r w:rsidRPr="0021552C">
        <w:rPr>
          <w:rFonts w:cs="Arial"/>
          <w:sz w:val="16"/>
          <w:szCs w:val="16"/>
        </w:rPr>
        <w:t xml:space="preserve"> nejsou sezónně očištěna</w:t>
      </w:r>
      <w:r>
        <w:rPr>
          <w:rFonts w:cs="Arial"/>
          <w:sz w:val="16"/>
          <w:szCs w:val="16"/>
        </w:rPr>
        <w:t>.</w:t>
      </w:r>
    </w:p>
  </w:footnote>
  <w:footnote w:id="13">
    <w:p w:rsidR="00157CC9" w:rsidRPr="00167B30" w:rsidRDefault="00157CC9" w:rsidP="009A24F1">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w:t>
      </w:r>
    </w:p>
  </w:footnote>
  <w:footnote w:id="14">
    <w:p w:rsidR="00157CC9" w:rsidRPr="00FB58F4" w:rsidRDefault="00157CC9" w:rsidP="0083630F">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Údaje o HPH jsou vyjádřeny ve stálých cenách a v očištění o sezónní a kalendářní vlivy.</w:t>
      </w:r>
    </w:p>
  </w:footnote>
  <w:footnote w:id="15">
    <w:p w:rsidR="00157CC9" w:rsidRPr="00FB58F4" w:rsidRDefault="00157CC9" w:rsidP="0083630F">
      <w:pPr>
        <w:pStyle w:val="Textpoznpodarou"/>
        <w:jc w:val="both"/>
        <w:rPr>
          <w:rFonts w:cs="Arial"/>
          <w:color w:val="0D0D0D" w:themeColor="text1" w:themeTint="F2"/>
          <w:sz w:val="16"/>
          <w:szCs w:val="16"/>
        </w:rPr>
      </w:pPr>
      <w:r w:rsidRPr="00FB58F4">
        <w:rPr>
          <w:rStyle w:val="Znakapoznpodarou"/>
          <w:rFonts w:cs="Arial"/>
          <w:color w:val="0D0D0D" w:themeColor="text1" w:themeTint="F2"/>
          <w:sz w:val="16"/>
          <w:szCs w:val="16"/>
        </w:rPr>
        <w:footnoteRef/>
      </w:r>
      <w:r w:rsidRPr="00FB58F4">
        <w:rPr>
          <w:rFonts w:cs="Arial"/>
          <w:color w:val="0D0D0D" w:themeColor="text1" w:themeTint="F2"/>
          <w:sz w:val="16"/>
          <w:szCs w:val="16"/>
        </w:rPr>
        <w:t xml:space="preserve"> Méně příznivý vývoj byl z pohledu tuzemského hospodářství patrný především v některých klíčových exportních destinacích. Tempo HPH v německé ekonomice oslabovalo již od konce loňského roku a ve 3. čtvrtletí docílilo </w:t>
      </w:r>
      <w:r>
        <w:rPr>
          <w:rFonts w:cs="Arial"/>
          <w:color w:val="0D0D0D" w:themeColor="text1" w:themeTint="F2"/>
          <w:sz w:val="16"/>
          <w:szCs w:val="16"/>
        </w:rPr>
        <w:t xml:space="preserve">nejslabšího </w:t>
      </w:r>
      <w:proofErr w:type="spellStart"/>
      <w:r>
        <w:rPr>
          <w:rFonts w:cs="Arial"/>
          <w:color w:val="0D0D0D" w:themeColor="text1" w:themeTint="F2"/>
          <w:sz w:val="16"/>
          <w:szCs w:val="16"/>
        </w:rPr>
        <w:t>mezikvartálního</w:t>
      </w:r>
      <w:proofErr w:type="spellEnd"/>
      <w:r>
        <w:rPr>
          <w:rFonts w:cs="Arial"/>
          <w:color w:val="0D0D0D" w:themeColor="text1" w:themeTint="F2"/>
          <w:sz w:val="16"/>
          <w:szCs w:val="16"/>
        </w:rPr>
        <w:t xml:space="preserve"> výsledku</w:t>
      </w:r>
      <w:r>
        <w:rPr>
          <w:rFonts w:cs="Arial"/>
          <w:color w:val="0D0D0D" w:themeColor="text1" w:themeTint="F2"/>
          <w:sz w:val="16"/>
          <w:szCs w:val="16"/>
        </w:rPr>
        <w:br/>
      </w:r>
      <w:r w:rsidRPr="00FB58F4">
        <w:rPr>
          <w:rFonts w:cs="Arial"/>
          <w:color w:val="0D0D0D" w:themeColor="text1" w:themeTint="F2"/>
          <w:sz w:val="16"/>
          <w:szCs w:val="16"/>
        </w:rPr>
        <w:t>(</w:t>
      </w:r>
      <w:r>
        <w:rPr>
          <w:rFonts w:cs="Arial"/>
          <w:color w:val="0D0D0D" w:themeColor="text1" w:themeTint="F2"/>
          <w:sz w:val="16"/>
          <w:szCs w:val="16"/>
        </w:rPr>
        <w:t>–</w:t>
      </w:r>
      <w:r w:rsidRPr="00FB58F4">
        <w:rPr>
          <w:rFonts w:cs="Arial"/>
          <w:color w:val="0D0D0D" w:themeColor="text1" w:themeTint="F2"/>
          <w:sz w:val="16"/>
          <w:szCs w:val="16"/>
        </w:rPr>
        <w:t>0,1</w:t>
      </w:r>
      <w:r>
        <w:rPr>
          <w:rFonts w:cs="Arial"/>
          <w:color w:val="0D0D0D" w:themeColor="text1" w:themeTint="F2"/>
          <w:sz w:val="16"/>
          <w:szCs w:val="16"/>
        </w:rPr>
        <w:t> </w:t>
      </w:r>
      <w:r w:rsidRPr="00FB58F4">
        <w:rPr>
          <w:rFonts w:cs="Arial"/>
          <w:color w:val="0D0D0D" w:themeColor="text1" w:themeTint="F2"/>
          <w:sz w:val="16"/>
          <w:szCs w:val="16"/>
        </w:rPr>
        <w:t>%) za tři a půl roku. Stejného tempa růstu HPH dosáhla v tomto období také italská ekonomika. Zvolnění růstu bylo patrné v</w:t>
      </w:r>
      <w:r>
        <w:rPr>
          <w:rFonts w:cs="Arial"/>
          <w:color w:val="0D0D0D" w:themeColor="text1" w:themeTint="F2"/>
          <w:sz w:val="16"/>
          <w:szCs w:val="16"/>
        </w:rPr>
        <w:t> </w:t>
      </w:r>
      <w:r w:rsidRPr="00FB58F4">
        <w:rPr>
          <w:rFonts w:cs="Arial"/>
          <w:color w:val="0D0D0D" w:themeColor="text1" w:themeTint="F2"/>
          <w:sz w:val="16"/>
          <w:szCs w:val="16"/>
        </w:rPr>
        <w:t>celé</w:t>
      </w:r>
      <w:r>
        <w:rPr>
          <w:rFonts w:cs="Arial"/>
          <w:color w:val="0D0D0D" w:themeColor="text1" w:themeTint="F2"/>
          <w:sz w:val="16"/>
          <w:szCs w:val="16"/>
        </w:rPr>
        <w:t> </w:t>
      </w:r>
      <w:r w:rsidRPr="00FB58F4">
        <w:rPr>
          <w:rFonts w:cs="Arial"/>
          <w:color w:val="0D0D0D" w:themeColor="text1" w:themeTint="F2"/>
          <w:sz w:val="16"/>
          <w:szCs w:val="16"/>
        </w:rPr>
        <w:t>EU.</w:t>
      </w:r>
    </w:p>
  </w:footnote>
  <w:footnote w:id="16">
    <w:p w:rsidR="00157CC9" w:rsidRPr="00FB58F4" w:rsidRDefault="00157CC9" w:rsidP="0083630F">
      <w:pPr>
        <w:pStyle w:val="Textpoznpodarou"/>
        <w:jc w:val="both"/>
        <w:rPr>
          <w:rFonts w:cs="Arial"/>
          <w:color w:val="0D0D0D" w:themeColor="text1" w:themeTint="F2"/>
          <w:sz w:val="16"/>
          <w:szCs w:val="16"/>
        </w:rPr>
      </w:pPr>
      <w:r w:rsidRPr="00FB58F4">
        <w:rPr>
          <w:rStyle w:val="Znakapoznpodarou"/>
          <w:rFonts w:cs="Arial"/>
          <w:color w:val="0D0D0D" w:themeColor="text1" w:themeTint="F2"/>
          <w:sz w:val="16"/>
          <w:szCs w:val="16"/>
        </w:rPr>
        <w:footnoteRef/>
      </w:r>
      <w:r w:rsidRPr="00FB58F4">
        <w:rPr>
          <w:rFonts w:cs="Arial"/>
          <w:color w:val="0D0D0D" w:themeColor="text1" w:themeTint="F2"/>
          <w:sz w:val="16"/>
          <w:szCs w:val="16"/>
        </w:rPr>
        <w:t xml:space="preserve"> Vedle toho signalizoval letos (i vloni) mírný pokles </w:t>
      </w:r>
      <w:r>
        <w:rPr>
          <w:rFonts w:cs="Arial"/>
          <w:color w:val="0D0D0D" w:themeColor="text1" w:themeTint="F2"/>
          <w:sz w:val="16"/>
          <w:szCs w:val="16"/>
        </w:rPr>
        <w:t xml:space="preserve">hrubé </w:t>
      </w:r>
      <w:r w:rsidRPr="00FB58F4">
        <w:rPr>
          <w:rFonts w:cs="Arial"/>
          <w:color w:val="0D0D0D" w:themeColor="text1" w:themeTint="F2"/>
          <w:sz w:val="16"/>
          <w:szCs w:val="16"/>
        </w:rPr>
        <w:t>přidané hodnoty váhově okrajový segment služeb – ostatní činnosti. Zahrnuje hlavně kulturní, zábavní a rekreační činnosti, ale také např. i opravy počítačů a výrobků pro osobní potřebu a převážně pro domácnost.</w:t>
      </w:r>
    </w:p>
  </w:footnote>
  <w:footnote w:id="17">
    <w:p w:rsidR="00157CC9" w:rsidRPr="00FB58F4" w:rsidRDefault="00157CC9" w:rsidP="0083630F">
      <w:pPr>
        <w:pStyle w:val="Textpoznpodarou"/>
        <w:jc w:val="both"/>
        <w:rPr>
          <w:rFonts w:cs="Arial"/>
          <w:color w:val="0D0D0D" w:themeColor="text1" w:themeTint="F2"/>
          <w:sz w:val="16"/>
          <w:szCs w:val="16"/>
        </w:rPr>
      </w:pPr>
      <w:r w:rsidRPr="00FB58F4">
        <w:rPr>
          <w:rStyle w:val="Znakapoznpodarou"/>
          <w:rFonts w:cs="Arial"/>
          <w:color w:val="0D0D0D" w:themeColor="text1" w:themeTint="F2"/>
          <w:sz w:val="16"/>
          <w:szCs w:val="16"/>
        </w:rPr>
        <w:footnoteRef/>
      </w:r>
      <w:r w:rsidRPr="00FB58F4">
        <w:rPr>
          <w:rFonts w:cs="Arial"/>
          <w:color w:val="0D0D0D" w:themeColor="text1" w:themeTint="F2"/>
          <w:sz w:val="16"/>
          <w:szCs w:val="16"/>
        </w:rPr>
        <w:t xml:space="preserve"> Celková letošní sklizeň obilovin (dle odhadu z 15. září) činila 6,86 mil. tun. Meziročně klesla o 8 %, oproti průměru let 2008 </w:t>
      </w:r>
      <w:r>
        <w:rPr>
          <w:rFonts w:cs="Arial"/>
          <w:color w:val="0D0D0D" w:themeColor="text1" w:themeTint="F2"/>
          <w:sz w:val="16"/>
          <w:szCs w:val="16"/>
        </w:rPr>
        <w:t>až</w:t>
      </w:r>
      <w:r w:rsidRPr="00FB58F4">
        <w:rPr>
          <w:rFonts w:cs="Arial"/>
          <w:color w:val="0D0D0D" w:themeColor="text1" w:themeTint="F2"/>
          <w:sz w:val="16"/>
          <w:szCs w:val="16"/>
        </w:rPr>
        <w:t xml:space="preserve"> 2017 pak o 13 %. Naopak sklizeň některých druhů ovoce patřila v historii samostatné ČR k rekordním (švestky, vlašské ořechy).</w:t>
      </w:r>
    </w:p>
  </w:footnote>
  <w:footnote w:id="18">
    <w:p w:rsidR="00157CC9" w:rsidRPr="00FB58F4" w:rsidRDefault="00157CC9" w:rsidP="0083630F">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Zahrnutá odvětví: </w:t>
      </w:r>
      <w:r>
        <w:rPr>
          <w:rFonts w:cs="Arial"/>
          <w:color w:val="0D0D0D" w:themeColor="text1" w:themeTint="F2"/>
          <w:spacing w:val="-2"/>
          <w:sz w:val="16"/>
          <w:szCs w:val="16"/>
        </w:rPr>
        <w:t>t</w:t>
      </w:r>
      <w:r w:rsidRPr="00FB58F4">
        <w:rPr>
          <w:rFonts w:cs="Arial"/>
          <w:color w:val="0D0D0D" w:themeColor="text1" w:themeTint="F2"/>
          <w:spacing w:val="-2"/>
          <w:sz w:val="16"/>
          <w:szCs w:val="16"/>
        </w:rPr>
        <w:t xml:space="preserve">ěžba a dobývání, </w:t>
      </w:r>
      <w:r>
        <w:rPr>
          <w:rFonts w:cs="Arial"/>
          <w:color w:val="0D0D0D" w:themeColor="text1" w:themeTint="F2"/>
          <w:spacing w:val="-2"/>
          <w:sz w:val="16"/>
          <w:szCs w:val="16"/>
        </w:rPr>
        <w:t>z</w:t>
      </w:r>
      <w:r w:rsidRPr="00FB58F4">
        <w:rPr>
          <w:rFonts w:cs="Arial"/>
          <w:color w:val="0D0D0D" w:themeColor="text1" w:themeTint="F2"/>
          <w:spacing w:val="-2"/>
          <w:sz w:val="16"/>
          <w:szCs w:val="16"/>
        </w:rPr>
        <w:t xml:space="preserve">pracovatelský průmysl, </w:t>
      </w:r>
      <w:r>
        <w:rPr>
          <w:rFonts w:cs="Arial"/>
          <w:color w:val="0D0D0D" w:themeColor="text1" w:themeTint="F2"/>
          <w:spacing w:val="-2"/>
          <w:sz w:val="16"/>
          <w:szCs w:val="16"/>
        </w:rPr>
        <w:t>e</w:t>
      </w:r>
      <w:r w:rsidRPr="00FB58F4">
        <w:rPr>
          <w:rFonts w:cs="Arial"/>
          <w:color w:val="0D0D0D" w:themeColor="text1" w:themeTint="F2"/>
          <w:spacing w:val="-2"/>
          <w:sz w:val="16"/>
          <w:szCs w:val="16"/>
        </w:rPr>
        <w:t>nergetika. Všechna meziroční tempa produkce (na úrovni odvětvových sekcí i oddílů) jsou očištěna o kalendářní vlivy. Mezičtvrtletní tempa pak kromě toho také o vliv sezónnosti.</w:t>
      </w:r>
    </w:p>
  </w:footnote>
  <w:footnote w:id="19">
    <w:p w:rsidR="00157CC9" w:rsidRPr="00FB58F4" w:rsidRDefault="00157CC9" w:rsidP="0083630F">
      <w:pPr>
        <w:pStyle w:val="Textpoznpodarou"/>
        <w:jc w:val="both"/>
        <w:rPr>
          <w:rFonts w:cs="Arial"/>
          <w:color w:val="0D0D0D" w:themeColor="text1" w:themeTint="F2"/>
          <w:spacing w:val="-3"/>
          <w:sz w:val="16"/>
          <w:szCs w:val="16"/>
        </w:rPr>
      </w:pPr>
      <w:r w:rsidRPr="00FB58F4">
        <w:rPr>
          <w:rStyle w:val="Znakapoznpodarou"/>
          <w:rFonts w:cs="Arial"/>
          <w:color w:val="0D0D0D" w:themeColor="text1" w:themeTint="F2"/>
          <w:sz w:val="16"/>
          <w:szCs w:val="16"/>
        </w:rPr>
        <w:footnoteRef/>
      </w:r>
      <w:r w:rsidRPr="00FB58F4">
        <w:rPr>
          <w:rFonts w:cs="Arial"/>
          <w:color w:val="0D0D0D" w:themeColor="text1" w:themeTint="F2"/>
          <w:sz w:val="16"/>
          <w:szCs w:val="16"/>
        </w:rPr>
        <w:t xml:space="preserve"> </w:t>
      </w:r>
      <w:r w:rsidRPr="00FB58F4">
        <w:rPr>
          <w:rFonts w:cs="Arial"/>
          <w:color w:val="0D0D0D" w:themeColor="text1" w:themeTint="F2"/>
          <w:spacing w:val="-3"/>
          <w:sz w:val="16"/>
          <w:szCs w:val="16"/>
        </w:rPr>
        <w:t>V 1. až 3. čtvrtletí 2018 bylo ve srovnání se stejným obdobím roku 2017 o jeden pracovní den méně. Bez očištění o tento vliv či</w:t>
      </w:r>
      <w:r>
        <w:rPr>
          <w:rFonts w:cs="Arial"/>
          <w:color w:val="0D0D0D" w:themeColor="text1" w:themeTint="F2"/>
          <w:spacing w:val="-3"/>
          <w:sz w:val="16"/>
          <w:szCs w:val="16"/>
        </w:rPr>
        <w:t>nil letos meziroční růst jen 2,8</w:t>
      </w:r>
      <w:r w:rsidRPr="00FB58F4">
        <w:rPr>
          <w:rFonts w:cs="Arial"/>
          <w:color w:val="0D0D0D" w:themeColor="text1" w:themeTint="F2"/>
          <w:spacing w:val="-3"/>
          <w:sz w:val="16"/>
          <w:szCs w:val="16"/>
        </w:rPr>
        <w:t xml:space="preserve"> %</w:t>
      </w:r>
      <w:r>
        <w:rPr>
          <w:rFonts w:cs="Arial"/>
          <w:color w:val="0D0D0D" w:themeColor="text1" w:themeTint="F2"/>
          <w:spacing w:val="-3"/>
          <w:sz w:val="16"/>
          <w:szCs w:val="16"/>
        </w:rPr>
        <w:t>.</w:t>
      </w:r>
    </w:p>
  </w:footnote>
  <w:footnote w:id="20">
    <w:p w:rsidR="00157CC9" w:rsidRPr="0000313D" w:rsidRDefault="00157CC9" w:rsidP="0083630F">
      <w:pPr>
        <w:pStyle w:val="Textpoznpodarou"/>
        <w:jc w:val="both"/>
        <w:rPr>
          <w:sz w:val="16"/>
          <w:szCs w:val="16"/>
        </w:rPr>
      </w:pPr>
      <w:r w:rsidRPr="00FB58F4">
        <w:rPr>
          <w:rStyle w:val="Znakapoznpodarou"/>
          <w:rFonts w:cs="Arial"/>
          <w:color w:val="0D0D0D" w:themeColor="text1" w:themeTint="F2"/>
          <w:sz w:val="16"/>
          <w:szCs w:val="16"/>
        </w:rPr>
        <w:footnoteRef/>
      </w:r>
      <w:r w:rsidRPr="00FB58F4">
        <w:rPr>
          <w:rFonts w:cs="Arial"/>
          <w:color w:val="0D0D0D" w:themeColor="text1" w:themeTint="F2"/>
          <w:sz w:val="16"/>
          <w:szCs w:val="16"/>
        </w:rPr>
        <w:t xml:space="preserve"> Produkce v tomto odvětví v 1. až 3. čtvrtle</w:t>
      </w:r>
      <w:r>
        <w:rPr>
          <w:rFonts w:cs="Arial"/>
          <w:color w:val="0D0D0D" w:themeColor="text1" w:themeTint="F2"/>
          <w:sz w:val="16"/>
          <w:szCs w:val="16"/>
        </w:rPr>
        <w:t>tí 2018 meziročně posílila o 1,7</w:t>
      </w:r>
      <w:r w:rsidRPr="00FB58F4">
        <w:rPr>
          <w:rFonts w:cs="Arial"/>
          <w:color w:val="0D0D0D" w:themeColor="text1" w:themeTint="F2"/>
          <w:sz w:val="16"/>
          <w:szCs w:val="16"/>
        </w:rPr>
        <w:t xml:space="preserve"> %, ve stejném období loňského roku pak </w:t>
      </w:r>
      <w:r>
        <w:rPr>
          <w:rFonts w:cs="Arial"/>
          <w:color w:val="0D0D0D" w:themeColor="text1" w:themeTint="F2"/>
          <w:sz w:val="16"/>
          <w:szCs w:val="16"/>
        </w:rPr>
        <w:t>o </w:t>
      </w:r>
      <w:r w:rsidRPr="00FB58F4">
        <w:rPr>
          <w:rFonts w:cs="Arial"/>
          <w:color w:val="0D0D0D" w:themeColor="text1" w:themeTint="F2"/>
          <w:sz w:val="16"/>
          <w:szCs w:val="16"/>
        </w:rPr>
        <w:t>20,1 %. Nebývale vysoké loňské růstové tempo souviselo s plným obnovením výrobních kapacit (po haváriích, jež omezily výkon celého odvětví v letech 2015 i 2016). Produkce v chemickém průmyslu překonala úroveň před haváriemi (2. čtvrtletí 2015) již na počátku roku 2017. Do nižšího letošního růstu vedle efektu vysoké loňské základny promluvily také odstávky výrobních zařízení na konci letního období. Ve 3.</w:t>
      </w:r>
      <w:r>
        <w:rPr>
          <w:rFonts w:cs="Arial"/>
          <w:color w:val="0D0D0D" w:themeColor="text1" w:themeTint="F2"/>
          <w:sz w:val="16"/>
          <w:szCs w:val="16"/>
        </w:rPr>
        <w:t> </w:t>
      </w:r>
      <w:r w:rsidRPr="00FB58F4">
        <w:rPr>
          <w:rFonts w:cs="Arial"/>
          <w:color w:val="0D0D0D" w:themeColor="text1" w:themeTint="F2"/>
          <w:sz w:val="16"/>
          <w:szCs w:val="16"/>
        </w:rPr>
        <w:t>čtvrtletí klesla mezik</w:t>
      </w:r>
      <w:r>
        <w:rPr>
          <w:rFonts w:cs="Arial"/>
          <w:color w:val="0D0D0D" w:themeColor="text1" w:themeTint="F2"/>
          <w:sz w:val="16"/>
          <w:szCs w:val="16"/>
        </w:rPr>
        <w:t>vartálně produkce o 4,7</w:t>
      </w:r>
      <w:r w:rsidRPr="00FB58F4">
        <w:rPr>
          <w:rFonts w:cs="Arial"/>
          <w:color w:val="0D0D0D" w:themeColor="text1" w:themeTint="F2"/>
          <w:sz w:val="16"/>
          <w:szCs w:val="16"/>
        </w:rPr>
        <w:t xml:space="preserve"> %, nejvíce od konce roku 2015.</w:t>
      </w:r>
    </w:p>
  </w:footnote>
  <w:footnote w:id="21">
    <w:p w:rsidR="00157CC9" w:rsidRPr="005813A9" w:rsidRDefault="00157CC9" w:rsidP="0083630F">
      <w:pPr>
        <w:pStyle w:val="Textpoznpodarou"/>
        <w:jc w:val="both"/>
        <w:rPr>
          <w:rFonts w:cs="Arial"/>
          <w:color w:val="0D0D0D" w:themeColor="text1" w:themeTint="F2"/>
          <w:sz w:val="16"/>
          <w:szCs w:val="16"/>
        </w:rPr>
      </w:pPr>
      <w:r w:rsidRPr="005813A9">
        <w:rPr>
          <w:rStyle w:val="Znakapoznpodarou"/>
          <w:rFonts w:cs="Arial"/>
          <w:color w:val="0D0D0D" w:themeColor="text1" w:themeTint="F2"/>
          <w:sz w:val="16"/>
          <w:szCs w:val="16"/>
        </w:rPr>
        <w:footnoteRef/>
      </w:r>
      <w:r w:rsidRPr="005813A9">
        <w:rPr>
          <w:rFonts w:cs="Arial"/>
          <w:color w:val="0D0D0D" w:themeColor="text1" w:themeTint="F2"/>
          <w:sz w:val="16"/>
          <w:szCs w:val="16"/>
        </w:rPr>
        <w:t xml:space="preserve"> Z téměř 30 hodnocených odvětvových oddílů průmyslu vykázaly za tři letošní čtvrtletí meziroční pokles produkce jen tři – těžba černého a hnědého uhlí (</w:t>
      </w:r>
      <w:r>
        <w:rPr>
          <w:rFonts w:cs="Arial"/>
          <w:color w:val="0D0D0D" w:themeColor="text1" w:themeTint="F2"/>
          <w:sz w:val="16"/>
          <w:szCs w:val="16"/>
        </w:rPr>
        <w:t xml:space="preserve">–3 %), </w:t>
      </w:r>
      <w:r w:rsidRPr="005813A9">
        <w:rPr>
          <w:rFonts w:cs="Arial"/>
          <w:color w:val="0D0D0D" w:themeColor="text1" w:themeTint="F2"/>
          <w:sz w:val="16"/>
          <w:szCs w:val="16"/>
        </w:rPr>
        <w:t>kožedělný průmysl (</w:t>
      </w:r>
      <w:r>
        <w:rPr>
          <w:rFonts w:cs="Arial"/>
          <w:color w:val="0D0D0D" w:themeColor="text1" w:themeTint="F2"/>
          <w:sz w:val="16"/>
          <w:szCs w:val="16"/>
        </w:rPr>
        <w:t>–22</w:t>
      </w:r>
      <w:r w:rsidRPr="005813A9">
        <w:rPr>
          <w:rFonts w:cs="Arial"/>
          <w:color w:val="0D0D0D" w:themeColor="text1" w:themeTint="F2"/>
          <w:sz w:val="16"/>
          <w:szCs w:val="16"/>
        </w:rPr>
        <w:t xml:space="preserve"> %) a oprava a instalace strojů a zařízení (</w:t>
      </w:r>
      <w:r>
        <w:rPr>
          <w:rFonts w:cs="Arial"/>
          <w:color w:val="0D0D0D" w:themeColor="text1" w:themeTint="F2"/>
          <w:sz w:val="16"/>
          <w:szCs w:val="16"/>
        </w:rPr>
        <w:t>–2</w:t>
      </w:r>
      <w:r w:rsidRPr="005813A9">
        <w:rPr>
          <w:rFonts w:cs="Arial"/>
          <w:color w:val="0D0D0D" w:themeColor="text1" w:themeTint="F2"/>
          <w:sz w:val="16"/>
          <w:szCs w:val="16"/>
        </w:rPr>
        <w:t xml:space="preserve"> %). Tyto obory se na celkové produkci průmyslu podílely pouze 3 % (dle údajů národních účtů z roku 2017).</w:t>
      </w:r>
    </w:p>
  </w:footnote>
  <w:footnote w:id="22">
    <w:p w:rsidR="00157CC9" w:rsidRPr="005813A9" w:rsidRDefault="00157CC9" w:rsidP="0083630F">
      <w:pPr>
        <w:pStyle w:val="Textpoznpodarou"/>
        <w:jc w:val="both"/>
        <w:rPr>
          <w:rFonts w:cs="Arial"/>
          <w:color w:val="0D0D0D" w:themeColor="text1" w:themeTint="F2"/>
          <w:spacing w:val="-2"/>
          <w:sz w:val="16"/>
          <w:szCs w:val="16"/>
        </w:rPr>
      </w:pPr>
      <w:r w:rsidRPr="005813A9">
        <w:rPr>
          <w:rStyle w:val="Znakapoznpodarou"/>
          <w:rFonts w:cs="Arial"/>
          <w:color w:val="0D0D0D" w:themeColor="text1" w:themeTint="F2"/>
          <w:spacing w:val="-2"/>
          <w:sz w:val="16"/>
          <w:szCs w:val="16"/>
        </w:rPr>
        <w:footnoteRef/>
      </w:r>
      <w:r w:rsidRPr="005813A9">
        <w:rPr>
          <w:rFonts w:cs="Arial"/>
          <w:color w:val="0D0D0D" w:themeColor="text1" w:themeTint="F2"/>
          <w:spacing w:val="-2"/>
          <w:sz w:val="16"/>
          <w:szCs w:val="16"/>
        </w:rPr>
        <w:t xml:space="preserve"> Nový přísnější systém měření emisí a spotřeby paliva, který je v Evropské unii povinný od 1. září, zvýšil časové nároky na testování. Vozidla, která nezískala homologaci dle nových norem, zaplnila výrobní sklady a narušila plynulost odbytu produkce.</w:t>
      </w:r>
    </w:p>
  </w:footnote>
  <w:footnote w:id="23">
    <w:p w:rsidR="00157CC9" w:rsidRPr="00A608B0" w:rsidRDefault="00157CC9" w:rsidP="0083630F">
      <w:pPr>
        <w:pStyle w:val="Textpoznpodarou"/>
        <w:jc w:val="both"/>
        <w:rPr>
          <w:sz w:val="16"/>
          <w:szCs w:val="16"/>
        </w:rPr>
      </w:pPr>
      <w:r w:rsidRPr="005813A9">
        <w:rPr>
          <w:rStyle w:val="Znakapoznpodarou"/>
          <w:rFonts w:cs="Arial"/>
          <w:color w:val="0D0D0D" w:themeColor="text1" w:themeTint="F2"/>
          <w:sz w:val="16"/>
          <w:szCs w:val="16"/>
        </w:rPr>
        <w:footnoteRef/>
      </w:r>
      <w:r w:rsidRPr="005813A9">
        <w:rPr>
          <w:rFonts w:cs="Arial"/>
          <w:color w:val="0D0D0D" w:themeColor="text1" w:themeTint="F2"/>
          <w:sz w:val="16"/>
          <w:szCs w:val="16"/>
        </w:rPr>
        <w:t xml:space="preserve"> Dle údajů Sdružení automobilového průmyslu vzrostl od ledna do září 2018 počet vyrobených osobních automobilů v Česku meziročně o 0,6 % (při dosaženém počtu 1,060 mil. vozů). Jejich prodej na tuzemském trhu i export fakticky stagnoval</w:t>
      </w:r>
      <w:r>
        <w:rPr>
          <w:rFonts w:cs="Arial"/>
          <w:color w:val="0D0D0D" w:themeColor="text1" w:themeTint="F2"/>
          <w:sz w:val="16"/>
          <w:szCs w:val="16"/>
        </w:rPr>
        <w:t>y</w:t>
      </w:r>
      <w:r w:rsidRPr="005813A9">
        <w:rPr>
          <w:rFonts w:cs="Arial"/>
          <w:color w:val="0D0D0D" w:themeColor="text1" w:themeTint="F2"/>
          <w:sz w:val="16"/>
          <w:szCs w:val="16"/>
        </w:rPr>
        <w:t>. Více se letos dařilo výrobě většiny ostatních druhů motorových vozidel.</w:t>
      </w:r>
    </w:p>
  </w:footnote>
  <w:footnote w:id="24">
    <w:p w:rsidR="00157CC9" w:rsidRPr="005813A9" w:rsidRDefault="00157CC9" w:rsidP="0083630F">
      <w:pPr>
        <w:pStyle w:val="Textpoznpodarou"/>
        <w:rPr>
          <w:color w:val="0D0D0D" w:themeColor="text1" w:themeTint="F2"/>
          <w:sz w:val="16"/>
          <w:szCs w:val="16"/>
        </w:rPr>
      </w:pPr>
      <w:r w:rsidRPr="005813A9">
        <w:rPr>
          <w:rStyle w:val="Znakapoznpodarou"/>
          <w:color w:val="0D0D0D" w:themeColor="text1" w:themeTint="F2"/>
          <w:sz w:val="16"/>
          <w:szCs w:val="16"/>
        </w:rPr>
        <w:footnoteRef/>
      </w:r>
      <w:r w:rsidRPr="005813A9">
        <w:rPr>
          <w:color w:val="0D0D0D" w:themeColor="text1" w:themeTint="F2"/>
          <w:sz w:val="16"/>
          <w:szCs w:val="16"/>
        </w:rPr>
        <w:t xml:space="preserve"> Tržby odvětví těžby a úpravy uhlí se díky rostoucím cenám surovin zvyšovaly již druhým rokem v řadě. Nadále ale pokračoval (byť s mírnější intenzitou) útlum zaměstnanosti.</w:t>
      </w:r>
    </w:p>
  </w:footnote>
  <w:footnote w:id="25">
    <w:p w:rsidR="00157CC9" w:rsidRPr="005813A9" w:rsidRDefault="00157CC9" w:rsidP="00157CC9">
      <w:pPr>
        <w:pStyle w:val="Textpoznpodarou"/>
        <w:jc w:val="both"/>
        <w:rPr>
          <w:rFonts w:cs="Arial"/>
          <w:color w:val="0D0D0D" w:themeColor="text1" w:themeTint="F2"/>
          <w:spacing w:val="-2"/>
          <w:sz w:val="16"/>
          <w:szCs w:val="16"/>
        </w:rPr>
      </w:pPr>
      <w:r w:rsidRPr="005813A9">
        <w:rPr>
          <w:rStyle w:val="Znakapoznpodarou"/>
          <w:rFonts w:cs="Arial"/>
          <w:color w:val="0D0D0D" w:themeColor="text1" w:themeTint="F2"/>
          <w:spacing w:val="-2"/>
          <w:sz w:val="16"/>
          <w:szCs w:val="16"/>
        </w:rPr>
        <w:footnoteRef/>
      </w:r>
      <w:r w:rsidRPr="005813A9">
        <w:rPr>
          <w:rFonts w:cs="Arial"/>
          <w:color w:val="0D0D0D" w:themeColor="text1" w:themeTint="F2"/>
          <w:spacing w:val="-2"/>
          <w:sz w:val="16"/>
          <w:szCs w:val="16"/>
        </w:rPr>
        <w:t xml:space="preserve"> Příznivější vývoj naznačují aktuálnější měsíční data. V říjnu vzrostla hodnota zakázek </w:t>
      </w:r>
      <w:r>
        <w:rPr>
          <w:rFonts w:cs="Arial"/>
          <w:color w:val="0D0D0D" w:themeColor="text1" w:themeTint="F2"/>
          <w:spacing w:val="-2"/>
          <w:sz w:val="16"/>
          <w:szCs w:val="16"/>
        </w:rPr>
        <w:t xml:space="preserve">ve výrobě motorových vozidel </w:t>
      </w:r>
      <w:r w:rsidRPr="005813A9">
        <w:rPr>
          <w:rFonts w:cs="Arial"/>
          <w:color w:val="0D0D0D" w:themeColor="text1" w:themeTint="F2"/>
          <w:spacing w:val="-2"/>
          <w:sz w:val="16"/>
          <w:szCs w:val="16"/>
        </w:rPr>
        <w:t>o 14 %, druhým nejvyšším tempem v roce 2018.</w:t>
      </w:r>
    </w:p>
  </w:footnote>
  <w:footnote w:id="26">
    <w:p w:rsidR="00157CC9" w:rsidRPr="00D85B50" w:rsidRDefault="00157CC9" w:rsidP="0083630F">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sidRPr="005813A9">
        <w:rPr>
          <w:rFonts w:cs="Arial"/>
          <w:color w:val="0D0D0D" w:themeColor="text1" w:themeTint="F2"/>
          <w:spacing w:val="-2"/>
          <w:sz w:val="16"/>
          <w:szCs w:val="16"/>
        </w:rPr>
        <w:t xml:space="preserve"> Všechny meziroční údaje o stavební produkci jsou očištěny o kalendářní vlivy, mezičtvrtletní tempa pak kromě toho také o vliv sezónnosti.</w:t>
      </w:r>
    </w:p>
  </w:footnote>
  <w:footnote w:id="27">
    <w:p w:rsidR="00157CC9" w:rsidRPr="00AF37C3" w:rsidRDefault="00157CC9" w:rsidP="0083630F">
      <w:pPr>
        <w:pStyle w:val="Textpoznpodarou"/>
        <w:rPr>
          <w:sz w:val="16"/>
          <w:szCs w:val="16"/>
        </w:rPr>
      </w:pPr>
      <w:r w:rsidRPr="00AF37C3">
        <w:rPr>
          <w:rStyle w:val="Znakapoznpodarou"/>
          <w:sz w:val="16"/>
          <w:szCs w:val="16"/>
        </w:rPr>
        <w:footnoteRef/>
      </w:r>
      <w:r w:rsidRPr="00AF37C3">
        <w:rPr>
          <w:sz w:val="16"/>
          <w:szCs w:val="16"/>
        </w:rPr>
        <w:t xml:space="preserve"> Ve 3. čtvrtletí 2018 činil meziroční růst nájemného z bytů </w:t>
      </w:r>
      <w:r>
        <w:rPr>
          <w:sz w:val="16"/>
          <w:szCs w:val="16"/>
        </w:rPr>
        <w:t xml:space="preserve">v Praze </w:t>
      </w:r>
      <w:r w:rsidRPr="00AF37C3">
        <w:rPr>
          <w:sz w:val="16"/>
          <w:szCs w:val="16"/>
        </w:rPr>
        <w:t>6,3 %, téměř dvojnásobek tempa zaznamenaného v celé ČR.</w:t>
      </w:r>
    </w:p>
  </w:footnote>
  <w:footnote w:id="28">
    <w:p w:rsidR="00157CC9" w:rsidRPr="00DE38E6" w:rsidRDefault="00157CC9" w:rsidP="0083630F">
      <w:pPr>
        <w:spacing w:after="0" w:line="240" w:lineRule="auto"/>
      </w:pPr>
      <w:r w:rsidRPr="004A26AF">
        <w:rPr>
          <w:rStyle w:val="Znakapoznpodarou"/>
          <w:color w:val="0D0D0D" w:themeColor="text1" w:themeTint="F2"/>
          <w:sz w:val="16"/>
          <w:szCs w:val="16"/>
        </w:rPr>
        <w:footnoteRef/>
      </w:r>
      <w:r w:rsidRPr="004A26AF">
        <w:rPr>
          <w:color w:val="0D0D0D" w:themeColor="text1" w:themeTint="F2"/>
          <w:sz w:val="16"/>
          <w:szCs w:val="16"/>
        </w:rPr>
        <w:t>Bez obchodu, peněžnictví, poji</w:t>
      </w:r>
      <w:r>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služby jsou </w:t>
      </w:r>
      <w:r>
        <w:rPr>
          <w:color w:val="0D0D0D" w:themeColor="text1" w:themeTint="F2"/>
          <w:sz w:val="16"/>
          <w:szCs w:val="16"/>
        </w:rPr>
        <w:t xml:space="preserve">ve stálých cenách, meziroční údaje jsou </w:t>
      </w:r>
      <w:r w:rsidRPr="004A26AF">
        <w:rPr>
          <w:color w:val="0D0D0D" w:themeColor="text1" w:themeTint="F2"/>
          <w:sz w:val="16"/>
          <w:szCs w:val="16"/>
        </w:rPr>
        <w:t>očištěny o kal</w:t>
      </w:r>
      <w:r>
        <w:rPr>
          <w:color w:val="0D0D0D" w:themeColor="text1" w:themeTint="F2"/>
          <w:sz w:val="16"/>
          <w:szCs w:val="16"/>
        </w:rPr>
        <w:t>endářní vlivy, mezičtvrtletní jsou očištěny o sezónní vlivy (včetně vlivu počtu pracovních dnů)</w:t>
      </w:r>
      <w:r w:rsidRPr="004A26AF">
        <w:rPr>
          <w:color w:val="0D0D0D" w:themeColor="text1" w:themeTint="F2"/>
          <w:sz w:val="16"/>
          <w:szCs w:val="16"/>
        </w:rPr>
        <w:t>.</w:t>
      </w:r>
    </w:p>
  </w:footnote>
  <w:footnote w:id="29">
    <w:p w:rsidR="00157CC9" w:rsidRPr="00BA047C" w:rsidRDefault="00157CC9" w:rsidP="00D726A9">
      <w:pPr>
        <w:pStyle w:val="Textpoznpodarou"/>
        <w:rPr>
          <w:sz w:val="16"/>
          <w:szCs w:val="16"/>
        </w:rPr>
      </w:pPr>
      <w:r w:rsidRPr="00BA047C">
        <w:rPr>
          <w:rStyle w:val="Znakapoznpodarou"/>
          <w:sz w:val="16"/>
          <w:szCs w:val="16"/>
        </w:rPr>
        <w:footnoteRef/>
      </w:r>
      <w:r w:rsidRPr="00BA047C">
        <w:rPr>
          <w:sz w:val="16"/>
          <w:szCs w:val="16"/>
        </w:rPr>
        <w:t xml:space="preserve"> Dynamický růst tržeb zde letos souvisel s rozvojem dopravy provozované tuzemskými podniky mimo území ČR. </w:t>
      </w:r>
    </w:p>
  </w:footnote>
  <w:footnote w:id="30">
    <w:p w:rsidR="00157CC9" w:rsidRPr="003D0F48" w:rsidRDefault="00157CC9" w:rsidP="00D726A9">
      <w:pPr>
        <w:pStyle w:val="Textpoznpodarou"/>
        <w:jc w:val="both"/>
        <w:rPr>
          <w:sz w:val="16"/>
          <w:szCs w:val="16"/>
        </w:rPr>
      </w:pPr>
      <w:r w:rsidRPr="003D0F48">
        <w:rPr>
          <w:rStyle w:val="Znakapoznpodarou"/>
          <w:sz w:val="16"/>
          <w:szCs w:val="16"/>
        </w:rPr>
        <w:footnoteRef/>
      </w:r>
      <w:r w:rsidRPr="003D0F48">
        <w:rPr>
          <w:sz w:val="16"/>
          <w:szCs w:val="16"/>
        </w:rPr>
        <w:t xml:space="preserve"> Nižší tržby ve fi</w:t>
      </w:r>
      <w:r>
        <w:rPr>
          <w:sz w:val="16"/>
          <w:szCs w:val="16"/>
        </w:rPr>
        <w:t>lmovém a hudebním p</w:t>
      </w:r>
      <w:r w:rsidR="00116D3F">
        <w:rPr>
          <w:sz w:val="16"/>
          <w:szCs w:val="16"/>
        </w:rPr>
        <w:t>růmyslu (</w:t>
      </w:r>
      <w:r w:rsidR="00116D3F">
        <w:rPr>
          <w:rFonts w:cs="Arial"/>
          <w:color w:val="0D0D0D" w:themeColor="text1" w:themeTint="F2"/>
          <w:sz w:val="16"/>
          <w:szCs w:val="16"/>
        </w:rPr>
        <w:t>–</w:t>
      </w:r>
      <w:r w:rsidR="00116D3F">
        <w:rPr>
          <w:sz w:val="16"/>
          <w:szCs w:val="16"/>
        </w:rPr>
        <w:t xml:space="preserve">3,6 %, o rok dříve </w:t>
      </w:r>
      <w:r w:rsidR="00116D3F">
        <w:rPr>
          <w:rFonts w:cs="Arial"/>
          <w:color w:val="0D0D0D" w:themeColor="text1" w:themeTint="F2"/>
          <w:sz w:val="16"/>
          <w:szCs w:val="16"/>
        </w:rPr>
        <w:t>–</w:t>
      </w:r>
      <w:r w:rsidR="00116D3F">
        <w:rPr>
          <w:sz w:val="16"/>
          <w:szCs w:val="16"/>
        </w:rPr>
        <w:t>16,5</w:t>
      </w:r>
      <w:r>
        <w:rPr>
          <w:sz w:val="16"/>
          <w:szCs w:val="16"/>
        </w:rPr>
        <w:t xml:space="preserve"> %) souvisely</w:t>
      </w:r>
      <w:r w:rsidRPr="003D0F48">
        <w:rPr>
          <w:sz w:val="16"/>
          <w:szCs w:val="16"/>
        </w:rPr>
        <w:t xml:space="preserve"> s větší nepravidelnosti v zakázkách a ve fakturacích. </w:t>
      </w:r>
      <w:r>
        <w:rPr>
          <w:sz w:val="16"/>
          <w:szCs w:val="16"/>
        </w:rPr>
        <w:t>Samotnému segmentu filmové distribuce se dařilo lépe. Dle údajů Unie filmových distributorů vzrostly tržby ze vstupného v tuzemských kinech v 1. až 3. čtvrtletí meziročně o 3,3 %, počet návštěvníků se ale o 1,8 % snížil.</w:t>
      </w:r>
    </w:p>
  </w:footnote>
  <w:footnote w:id="31">
    <w:p w:rsidR="00157CC9" w:rsidRPr="00FE48E4" w:rsidRDefault="00157CC9" w:rsidP="00D726A9">
      <w:pPr>
        <w:pStyle w:val="Textpoznpodarou"/>
        <w:jc w:val="both"/>
        <w:rPr>
          <w:sz w:val="16"/>
          <w:szCs w:val="16"/>
        </w:rPr>
      </w:pPr>
      <w:r w:rsidRPr="00FE48E4">
        <w:rPr>
          <w:rStyle w:val="Znakapoznpodarou"/>
          <w:sz w:val="16"/>
          <w:szCs w:val="16"/>
        </w:rPr>
        <w:footnoteRef/>
      </w:r>
      <w:r w:rsidRPr="00FE48E4">
        <w:rPr>
          <w:sz w:val="16"/>
          <w:szCs w:val="16"/>
        </w:rPr>
        <w:t xml:space="preserve"> To bylo patrné i v naturálních ukazatelích. Počet přenocování hostů v hromadných ubytovacích zařízeních </w:t>
      </w:r>
      <w:r>
        <w:rPr>
          <w:sz w:val="16"/>
          <w:szCs w:val="16"/>
        </w:rPr>
        <w:t>v ČR rostl ve 2. čtvrtletí 2018 meziročně již jen o 2,2 %. Ve stejném období loňského roku přitom dosahoval růst mimořádných 12,7 %. V úhrnu za tři letošní čtvrtletí vzrostla přenocování o 4,8 %, svižnější tempo vykázala u domácích hostů. Průměrná doba pobytu hostů se nadále zkracovala.</w:t>
      </w:r>
    </w:p>
  </w:footnote>
  <w:footnote w:id="32">
    <w:p w:rsidR="00157CC9" w:rsidRPr="003279A7" w:rsidRDefault="00157CC9" w:rsidP="008458BD">
      <w:pPr>
        <w:pStyle w:val="Textpoznpodarou"/>
        <w:rPr>
          <w:sz w:val="16"/>
          <w:szCs w:val="16"/>
        </w:rPr>
      </w:pPr>
      <w:r w:rsidRPr="003279A7">
        <w:rPr>
          <w:rStyle w:val="Znakapoznpodarou"/>
          <w:sz w:val="16"/>
          <w:szCs w:val="16"/>
        </w:rPr>
        <w:footnoteRef/>
      </w:r>
      <w:r w:rsidRPr="003279A7">
        <w:rPr>
          <w:sz w:val="16"/>
          <w:szCs w:val="16"/>
        </w:rPr>
        <w:t xml:space="preserve"> Údaje </w:t>
      </w:r>
      <w:r>
        <w:rPr>
          <w:sz w:val="16"/>
          <w:szCs w:val="16"/>
        </w:rPr>
        <w:t xml:space="preserve">statistiky zahraničního obchodu </w:t>
      </w:r>
      <w:r w:rsidRPr="003279A7">
        <w:rPr>
          <w:sz w:val="16"/>
          <w:szCs w:val="16"/>
        </w:rPr>
        <w:t>v národním pojetí v nominálním vyjádření zahrnující pouze obchod se zbožím. Hodnota vývozu je zachycena v cenách FOB, tj. včetně nákladů souvisejících s dopravou na hranice ČR. Dovoz</w:t>
      </w:r>
      <w:r>
        <w:rPr>
          <w:sz w:val="16"/>
          <w:szCs w:val="16"/>
        </w:rPr>
        <w:t xml:space="preserve"> uvedený níže v této kapitole</w:t>
      </w:r>
      <w:r w:rsidRPr="003279A7">
        <w:rPr>
          <w:sz w:val="16"/>
          <w:szCs w:val="16"/>
        </w:rPr>
        <w:t xml:space="preserve"> je v cenách CIF, tj. včetně nákladů souvisejících s dopravou v zahraničí na hranice ČR. Data jsou platná k </w:t>
      </w:r>
      <w:r>
        <w:rPr>
          <w:sz w:val="16"/>
          <w:szCs w:val="16"/>
        </w:rPr>
        <w:t>7. 12. 2018.</w:t>
      </w:r>
    </w:p>
  </w:footnote>
  <w:footnote w:id="33">
    <w:p w:rsidR="00157CC9" w:rsidRDefault="00157CC9">
      <w:pPr>
        <w:pStyle w:val="Textpoznpodarou"/>
        <w:rPr>
          <w:sz w:val="16"/>
          <w:szCs w:val="16"/>
        </w:rPr>
      </w:pPr>
      <w:r w:rsidRPr="00087519">
        <w:rPr>
          <w:rStyle w:val="Znakapoznpodarou"/>
          <w:sz w:val="16"/>
          <w:szCs w:val="16"/>
        </w:rPr>
        <w:footnoteRef/>
      </w:r>
      <w:r w:rsidRPr="00087519">
        <w:rPr>
          <w:sz w:val="16"/>
          <w:szCs w:val="16"/>
        </w:rPr>
        <w:t xml:space="preserve"> Podle údajů U.S</w:t>
      </w:r>
      <w:r>
        <w:rPr>
          <w:sz w:val="16"/>
          <w:szCs w:val="16"/>
        </w:rPr>
        <w:t>.</w:t>
      </w:r>
      <w:r w:rsidRPr="00087519">
        <w:rPr>
          <w:sz w:val="16"/>
          <w:szCs w:val="16"/>
        </w:rPr>
        <w:t xml:space="preserve"> </w:t>
      </w:r>
      <w:proofErr w:type="spellStart"/>
      <w:r w:rsidRPr="00087519">
        <w:rPr>
          <w:sz w:val="16"/>
          <w:szCs w:val="16"/>
        </w:rPr>
        <w:t>Energy</w:t>
      </w:r>
      <w:proofErr w:type="spellEnd"/>
      <w:r w:rsidRPr="00087519">
        <w:rPr>
          <w:sz w:val="16"/>
          <w:szCs w:val="16"/>
        </w:rPr>
        <w:t xml:space="preserve"> </w:t>
      </w:r>
      <w:proofErr w:type="spellStart"/>
      <w:r w:rsidRPr="00087519">
        <w:rPr>
          <w:sz w:val="16"/>
          <w:szCs w:val="16"/>
        </w:rPr>
        <w:t>Information</w:t>
      </w:r>
      <w:proofErr w:type="spellEnd"/>
      <w:r w:rsidRPr="00087519">
        <w:rPr>
          <w:sz w:val="16"/>
          <w:szCs w:val="16"/>
        </w:rPr>
        <w:t xml:space="preserve"> </w:t>
      </w:r>
      <w:proofErr w:type="spellStart"/>
      <w:r>
        <w:rPr>
          <w:sz w:val="16"/>
          <w:szCs w:val="16"/>
        </w:rPr>
        <w:t>A</w:t>
      </w:r>
      <w:r w:rsidRPr="00087519">
        <w:rPr>
          <w:sz w:val="16"/>
          <w:szCs w:val="16"/>
        </w:rPr>
        <w:t>dministration</w:t>
      </w:r>
      <w:proofErr w:type="spellEnd"/>
      <w:r w:rsidRPr="00087519">
        <w:rPr>
          <w:sz w:val="16"/>
          <w:szCs w:val="16"/>
        </w:rPr>
        <w:t xml:space="preserve"> dosáhla 78,89 dolar</w:t>
      </w:r>
      <w:r>
        <w:rPr>
          <w:sz w:val="16"/>
          <w:szCs w:val="16"/>
        </w:rPr>
        <w:t>u</w:t>
      </w:r>
      <w:r w:rsidRPr="00087519">
        <w:rPr>
          <w:sz w:val="16"/>
          <w:szCs w:val="16"/>
        </w:rPr>
        <w:t xml:space="preserve"> za barel.</w:t>
      </w:r>
    </w:p>
    <w:p w:rsidR="00157CC9" w:rsidRPr="00087519" w:rsidRDefault="00157CC9">
      <w:pPr>
        <w:pStyle w:val="Textpoznpodarou"/>
        <w:rPr>
          <w:sz w:val="16"/>
          <w:szCs w:val="16"/>
        </w:rPr>
      </w:pPr>
      <w:r w:rsidRPr="00087519">
        <w:rPr>
          <w:sz w:val="16"/>
          <w:szCs w:val="16"/>
        </w:rPr>
        <w:t xml:space="preserve"> </w:t>
      </w:r>
    </w:p>
  </w:footnote>
  <w:footnote w:id="34">
    <w:p w:rsidR="00157CC9" w:rsidRPr="00B4223A" w:rsidRDefault="00157CC9" w:rsidP="0083630F">
      <w:pPr>
        <w:pStyle w:val="Textpoznpodarou"/>
        <w:jc w:val="both"/>
        <w:rPr>
          <w:sz w:val="16"/>
          <w:szCs w:val="16"/>
        </w:rPr>
      </w:pPr>
      <w:r w:rsidRPr="00B4223A">
        <w:rPr>
          <w:rStyle w:val="Znakapoznpodarou"/>
          <w:sz w:val="16"/>
          <w:szCs w:val="16"/>
        </w:rPr>
        <w:footnoteRef/>
      </w:r>
      <w:r w:rsidRPr="00B4223A">
        <w:rPr>
          <w:sz w:val="16"/>
          <w:szCs w:val="16"/>
        </w:rPr>
        <w:t xml:space="preserve"> Pok</w:t>
      </w:r>
      <w:r>
        <w:rPr>
          <w:sz w:val="16"/>
          <w:szCs w:val="16"/>
        </w:rPr>
        <w:t xml:space="preserve">ud není uvedeno jinak, jsou </w:t>
      </w:r>
      <w:r w:rsidRPr="00B4223A">
        <w:rPr>
          <w:sz w:val="16"/>
          <w:szCs w:val="16"/>
        </w:rPr>
        <w:t xml:space="preserve">v této kapitole </w:t>
      </w:r>
      <w:r>
        <w:rPr>
          <w:sz w:val="16"/>
          <w:szCs w:val="16"/>
        </w:rPr>
        <w:t>údaje o zaměstnanosti</w:t>
      </w:r>
      <w:r w:rsidRPr="00B4223A">
        <w:rPr>
          <w:sz w:val="16"/>
          <w:szCs w:val="16"/>
        </w:rPr>
        <w:t xml:space="preserve"> </w:t>
      </w:r>
      <w:r>
        <w:rPr>
          <w:sz w:val="16"/>
          <w:szCs w:val="16"/>
        </w:rPr>
        <w:t xml:space="preserve">uvedeny </w:t>
      </w:r>
      <w:r w:rsidRPr="00B4223A">
        <w:rPr>
          <w:sz w:val="16"/>
          <w:szCs w:val="16"/>
        </w:rPr>
        <w:t>v pojetí národních účtů v očištění o sezónní vlivy.</w:t>
      </w:r>
    </w:p>
  </w:footnote>
  <w:footnote w:id="35">
    <w:p w:rsidR="00157CC9" w:rsidRPr="0045263E" w:rsidRDefault="00157CC9" w:rsidP="0083630F">
      <w:pPr>
        <w:pStyle w:val="Textpoznpodarou"/>
        <w:jc w:val="both"/>
        <w:rPr>
          <w:sz w:val="16"/>
          <w:szCs w:val="16"/>
        </w:rPr>
      </w:pPr>
      <w:r w:rsidRPr="0045263E">
        <w:rPr>
          <w:rStyle w:val="Znakapoznpodarou"/>
          <w:sz w:val="16"/>
          <w:szCs w:val="16"/>
        </w:rPr>
        <w:footnoteRef/>
      </w:r>
      <w:r w:rsidRPr="0045263E">
        <w:rPr>
          <w:sz w:val="16"/>
          <w:szCs w:val="16"/>
        </w:rPr>
        <w:t xml:space="preserve"> Počet zaměstnaných se ve 3. čtvrtletí </w:t>
      </w:r>
      <w:r>
        <w:rPr>
          <w:sz w:val="16"/>
          <w:szCs w:val="16"/>
        </w:rPr>
        <w:t xml:space="preserve">2018 </w:t>
      </w:r>
      <w:r w:rsidRPr="0045263E">
        <w:rPr>
          <w:sz w:val="16"/>
          <w:szCs w:val="16"/>
        </w:rPr>
        <w:t>ve srovnání s předešlým kvartálem v EU navýšil o 0,2 %. Jednalo se o nejslabší mezičtv</w:t>
      </w:r>
      <w:r>
        <w:rPr>
          <w:sz w:val="16"/>
          <w:szCs w:val="16"/>
        </w:rPr>
        <w:t>r</w:t>
      </w:r>
      <w:r w:rsidRPr="0045263E">
        <w:rPr>
          <w:sz w:val="16"/>
          <w:szCs w:val="16"/>
        </w:rPr>
        <w:t xml:space="preserve">tletní tempo od konce roku 2014. </w:t>
      </w:r>
      <w:r>
        <w:rPr>
          <w:sz w:val="16"/>
          <w:szCs w:val="16"/>
        </w:rPr>
        <w:t xml:space="preserve">Podobné tendence byly patrné i v uskupení </w:t>
      </w:r>
      <w:proofErr w:type="spellStart"/>
      <w:r>
        <w:rPr>
          <w:sz w:val="16"/>
          <w:szCs w:val="16"/>
        </w:rPr>
        <w:t>eurozóny</w:t>
      </w:r>
      <w:proofErr w:type="spellEnd"/>
      <w:r>
        <w:rPr>
          <w:sz w:val="16"/>
          <w:szCs w:val="16"/>
        </w:rPr>
        <w:t>.</w:t>
      </w:r>
    </w:p>
  </w:footnote>
  <w:footnote w:id="36">
    <w:p w:rsidR="00157CC9" w:rsidRPr="008F54FC" w:rsidRDefault="00157CC9" w:rsidP="0083630F">
      <w:pPr>
        <w:pStyle w:val="Textpoznpodarou"/>
        <w:rPr>
          <w:sz w:val="16"/>
          <w:szCs w:val="16"/>
        </w:rPr>
      </w:pPr>
      <w:r w:rsidRPr="008F54FC">
        <w:rPr>
          <w:rStyle w:val="Znakapoznpodarou"/>
          <w:sz w:val="16"/>
          <w:szCs w:val="16"/>
        </w:rPr>
        <w:footnoteRef/>
      </w:r>
      <w:r w:rsidRPr="008F54FC">
        <w:rPr>
          <w:sz w:val="16"/>
          <w:szCs w:val="16"/>
        </w:rPr>
        <w:t xml:space="preserve"> Mimo obchod</w:t>
      </w:r>
      <w:r>
        <w:rPr>
          <w:sz w:val="16"/>
          <w:szCs w:val="16"/>
        </w:rPr>
        <w:t xml:space="preserve"> a</w:t>
      </w:r>
      <w:r w:rsidRPr="008F54FC">
        <w:rPr>
          <w:sz w:val="16"/>
          <w:szCs w:val="16"/>
        </w:rPr>
        <w:t xml:space="preserve"> veřejné služby (veřejná správa, obrana, školství, zdravotnictví, kultura).</w:t>
      </w:r>
    </w:p>
  </w:footnote>
  <w:footnote w:id="37">
    <w:p w:rsidR="00157CC9" w:rsidRPr="00E624EB" w:rsidRDefault="00157CC9" w:rsidP="0083630F">
      <w:pPr>
        <w:pStyle w:val="Textpoznpodarou"/>
        <w:jc w:val="both"/>
        <w:rPr>
          <w:sz w:val="16"/>
          <w:szCs w:val="16"/>
        </w:rPr>
      </w:pPr>
      <w:r w:rsidRPr="00E624EB">
        <w:rPr>
          <w:rStyle w:val="Znakapoznpodarou"/>
          <w:sz w:val="16"/>
          <w:szCs w:val="16"/>
        </w:rPr>
        <w:footnoteRef/>
      </w:r>
      <w:r w:rsidRPr="00E624EB">
        <w:rPr>
          <w:sz w:val="16"/>
          <w:szCs w:val="16"/>
        </w:rPr>
        <w:t xml:space="preserve"> Zatímco na konci dubna 201</w:t>
      </w:r>
      <w:r>
        <w:rPr>
          <w:sz w:val="16"/>
          <w:szCs w:val="16"/>
        </w:rPr>
        <w:t>8</w:t>
      </w:r>
      <w:r w:rsidRPr="00E624EB">
        <w:rPr>
          <w:sz w:val="16"/>
          <w:szCs w:val="16"/>
        </w:rPr>
        <w:t xml:space="preserve"> činil dle sezónně neočištěných údajů podíl registrovaných uchazečů o práci na obyvatelstvu ve věku 15 až 64 let 3,2 %, na konci září 3,0 %. Ve stejném období roku</w:t>
      </w:r>
      <w:r>
        <w:rPr>
          <w:sz w:val="16"/>
          <w:szCs w:val="16"/>
        </w:rPr>
        <w:t xml:space="preserve"> 2017</w:t>
      </w:r>
      <w:r w:rsidRPr="00E624EB">
        <w:rPr>
          <w:sz w:val="16"/>
          <w:szCs w:val="16"/>
        </w:rPr>
        <w:t xml:space="preserve"> ale tento podíl klesl ze 4,4 % na 3,8 %.</w:t>
      </w:r>
      <w:r>
        <w:rPr>
          <w:sz w:val="16"/>
          <w:szCs w:val="16"/>
        </w:rPr>
        <w:t xml:space="preserve"> Počet uchazečů v evidenci ÚP není zcela srovnatelný s četností nezaměstnaných dle výsledků výběrového šetření pracovních sil. Uchazeči v evidenci ÚP mohou zahrnovat i osoby pracující (legálně – vykovávající tzv. nekolidující zaměstnání malého rozsahu, popř. i osoby pohybující se v zóně šedé ekonomiky) či osoby, které nemohou do zaměstnání okamžitě nastoupit (např. účastníci rekvalifikačních kurzů, osoby na mateřské či rodičovské dovolené, osoby dočasně práce neschopné).</w:t>
      </w:r>
    </w:p>
  </w:footnote>
  <w:footnote w:id="38">
    <w:p w:rsidR="00157CC9" w:rsidRPr="0089409B" w:rsidRDefault="00157CC9" w:rsidP="0083630F">
      <w:pPr>
        <w:pStyle w:val="Textpoznpodarou"/>
        <w:jc w:val="both"/>
        <w:rPr>
          <w:sz w:val="16"/>
          <w:szCs w:val="16"/>
        </w:rPr>
      </w:pPr>
      <w:r w:rsidRPr="0089409B">
        <w:rPr>
          <w:rStyle w:val="Znakapoznpodarou"/>
          <w:sz w:val="16"/>
          <w:szCs w:val="16"/>
        </w:rPr>
        <w:footnoteRef/>
      </w:r>
      <w:r w:rsidRPr="0089409B">
        <w:rPr>
          <w:sz w:val="16"/>
          <w:szCs w:val="16"/>
        </w:rPr>
        <w:t xml:space="preserve"> Nižšího podílu bylo v historii samostatné ČR dosaženo jen v letech recese 1997 a 2009, kdy řady nezaměstnaných výrazně posílili čerstvě propuštění pracovníci.</w:t>
      </w:r>
    </w:p>
  </w:footnote>
  <w:footnote w:id="39">
    <w:p w:rsidR="00157CC9" w:rsidRDefault="00157CC9" w:rsidP="008458BD">
      <w:pPr>
        <w:pStyle w:val="Textpoznpodarou"/>
        <w:rPr>
          <w:sz w:val="16"/>
          <w:szCs w:val="16"/>
        </w:rPr>
      </w:pPr>
      <w:r w:rsidRPr="00E83936">
        <w:rPr>
          <w:rStyle w:val="Znakapoznpodarou"/>
          <w:sz w:val="16"/>
          <w:szCs w:val="16"/>
        </w:rPr>
        <w:footnoteRef/>
      </w:r>
      <w:r w:rsidRPr="00E83936">
        <w:rPr>
          <w:sz w:val="16"/>
          <w:szCs w:val="16"/>
        </w:rPr>
        <w:t xml:space="preserve"> Kurzy devizového trhu vyhlašované ČNB</w:t>
      </w:r>
      <w:r>
        <w:rPr>
          <w:sz w:val="16"/>
          <w:szCs w:val="16"/>
        </w:rPr>
        <w:t xml:space="preserve"> v pracovních dnech</w:t>
      </w:r>
      <w:r w:rsidRPr="00E83936">
        <w:rPr>
          <w:sz w:val="16"/>
          <w:szCs w:val="16"/>
        </w:rPr>
        <w:t>.</w:t>
      </w:r>
      <w:r>
        <w:rPr>
          <w:sz w:val="16"/>
          <w:szCs w:val="16"/>
        </w:rPr>
        <w:t xml:space="preserve"> Není-li uvedeno jinak, jsou veškeré údaje převzaty z databáze ARAD České národní banky.</w:t>
      </w:r>
    </w:p>
    <w:p w:rsidR="00157CC9" w:rsidRPr="00E83936" w:rsidRDefault="00157CC9" w:rsidP="008458BD">
      <w:pPr>
        <w:pStyle w:val="Textpoznpodarou"/>
        <w:rPr>
          <w:sz w:val="16"/>
          <w:szCs w:val="16"/>
        </w:rPr>
      </w:pPr>
      <w:r w:rsidRPr="00E83936">
        <w:rPr>
          <w:sz w:val="16"/>
          <w:szCs w:val="16"/>
        </w:rPr>
        <w:t xml:space="preserve"> </w:t>
      </w:r>
    </w:p>
  </w:footnote>
  <w:footnote w:id="40">
    <w:p w:rsidR="00157CC9" w:rsidRPr="00795437" w:rsidRDefault="00157CC9" w:rsidP="0083630F">
      <w:pPr>
        <w:pStyle w:val="Textpoznpodarou"/>
        <w:jc w:val="both"/>
        <w:rPr>
          <w:sz w:val="16"/>
          <w:szCs w:val="16"/>
        </w:rPr>
      </w:pPr>
      <w:r w:rsidRPr="00795437">
        <w:rPr>
          <w:rStyle w:val="Znakapoznpodarou"/>
          <w:sz w:val="16"/>
          <w:szCs w:val="16"/>
        </w:rPr>
        <w:footnoteRef/>
      </w:r>
      <w:r w:rsidRPr="00795437">
        <w:rPr>
          <w:sz w:val="16"/>
          <w:szCs w:val="16"/>
        </w:rPr>
        <w:t xml:space="preserve"> </w:t>
      </w:r>
      <w:r w:rsidRPr="00795437">
        <w:rPr>
          <w:color w:val="0D0D0D" w:themeColor="text1" w:themeTint="F2"/>
          <w:spacing w:val="-2"/>
          <w:sz w:val="16"/>
          <w:szCs w:val="16"/>
        </w:rPr>
        <w:t xml:space="preserve">Pokud není uvedeno jinak, vycházejí všechny údaje týkající se státního rozpočtu </w:t>
      </w:r>
      <w:r w:rsidRPr="00795437">
        <w:rPr>
          <w:rFonts w:cs="Arial"/>
          <w:color w:val="0D0D0D" w:themeColor="text1" w:themeTint="F2"/>
          <w:spacing w:val="-2"/>
          <w:sz w:val="16"/>
          <w:szCs w:val="16"/>
        </w:rPr>
        <w:t>z dat Ministerstva financí o pokladním plnění.</w:t>
      </w:r>
    </w:p>
  </w:footnote>
  <w:footnote w:id="41">
    <w:p w:rsidR="00157CC9" w:rsidRPr="008E292B" w:rsidRDefault="00157CC9" w:rsidP="0083630F">
      <w:pPr>
        <w:pStyle w:val="Textpoznpodarou"/>
        <w:jc w:val="both"/>
        <w:rPr>
          <w:i/>
          <w:sz w:val="16"/>
          <w:szCs w:val="16"/>
        </w:rPr>
      </w:pPr>
      <w:r w:rsidRPr="00795437">
        <w:rPr>
          <w:rStyle w:val="Znakapoznpodarou"/>
          <w:sz w:val="16"/>
          <w:szCs w:val="16"/>
        </w:rPr>
        <w:footnoteRef/>
      </w:r>
      <w:r w:rsidRPr="00795437">
        <w:rPr>
          <w:sz w:val="16"/>
          <w:szCs w:val="16"/>
        </w:rPr>
        <w:t xml:space="preserve"> </w:t>
      </w:r>
      <w:r>
        <w:rPr>
          <w:sz w:val="16"/>
          <w:szCs w:val="16"/>
        </w:rPr>
        <w:t>Dle propočtů MF ČR dosáhlo saldo</w:t>
      </w:r>
      <w:r w:rsidRPr="00795437">
        <w:rPr>
          <w:sz w:val="16"/>
          <w:szCs w:val="16"/>
        </w:rPr>
        <w:t xml:space="preserve"> </w:t>
      </w:r>
      <w:r>
        <w:rPr>
          <w:color w:val="0D0D0D" w:themeColor="text1" w:themeTint="F2"/>
          <w:spacing w:val="-2"/>
          <w:sz w:val="16"/>
          <w:szCs w:val="16"/>
        </w:rPr>
        <w:t>SR očištěné</w:t>
      </w:r>
      <w:r w:rsidRPr="00795437">
        <w:rPr>
          <w:color w:val="0D0D0D" w:themeColor="text1" w:themeTint="F2"/>
          <w:spacing w:val="-2"/>
          <w:sz w:val="16"/>
          <w:szCs w:val="16"/>
        </w:rPr>
        <w:t xml:space="preserve"> na příjmové i výdajové straně</w:t>
      </w:r>
      <w:r w:rsidRPr="00795437">
        <w:rPr>
          <w:rStyle w:val="Zvraznn"/>
          <w:color w:val="0D0D0D" w:themeColor="text1" w:themeTint="F2"/>
          <w:spacing w:val="-2"/>
          <w:sz w:val="16"/>
          <w:szCs w:val="16"/>
        </w:rPr>
        <w:t xml:space="preserve"> </w:t>
      </w:r>
      <w:r w:rsidRPr="00477820">
        <w:rPr>
          <w:rStyle w:val="Zvraznn"/>
          <w:i w:val="0"/>
          <w:color w:val="0D0D0D" w:themeColor="text1" w:themeTint="F2"/>
          <w:spacing w:val="-2"/>
          <w:sz w:val="16"/>
          <w:szCs w:val="16"/>
        </w:rPr>
        <w:t>o prostředky na programy z rozpočtu EU a Finančních mechanismů (EHP a Norské fondy, Program šv</w:t>
      </w:r>
      <w:r>
        <w:rPr>
          <w:rStyle w:val="Zvraznn"/>
          <w:i w:val="0"/>
          <w:color w:val="0D0D0D" w:themeColor="text1" w:themeTint="F2"/>
          <w:spacing w:val="-2"/>
          <w:sz w:val="16"/>
          <w:szCs w:val="16"/>
        </w:rPr>
        <w:t>ýcarsko-české spolupráce) v 1. až 3. čtvrtletí 2018 –5,2 mld. korun (o rok dříve +0,9</w:t>
      </w:r>
      <w:r w:rsidRPr="00477820">
        <w:rPr>
          <w:rStyle w:val="Zvraznn"/>
          <w:i w:val="0"/>
          <w:color w:val="0D0D0D" w:themeColor="text1" w:themeTint="F2"/>
          <w:spacing w:val="-2"/>
          <w:sz w:val="16"/>
          <w:szCs w:val="16"/>
        </w:rPr>
        <w:t> mld.).</w:t>
      </w:r>
    </w:p>
  </w:footnote>
  <w:footnote w:id="42">
    <w:p w:rsidR="00157CC9" w:rsidRPr="007A0E74" w:rsidRDefault="00157CC9" w:rsidP="0083630F">
      <w:pPr>
        <w:pStyle w:val="Textpoznpodarou"/>
        <w:jc w:val="both"/>
        <w:rPr>
          <w:sz w:val="16"/>
          <w:szCs w:val="16"/>
        </w:rPr>
      </w:pPr>
      <w:r w:rsidRPr="007A0E74">
        <w:rPr>
          <w:rStyle w:val="Znakapoznpodarou"/>
          <w:sz w:val="16"/>
          <w:szCs w:val="16"/>
        </w:rPr>
        <w:footnoteRef/>
      </w:r>
      <w:r w:rsidRPr="007A0E74">
        <w:rPr>
          <w:sz w:val="16"/>
          <w:szCs w:val="16"/>
        </w:rPr>
        <w:t xml:space="preserve"> Zvolnění meziročního tempa ilustrují i data ČSÚ. Ve váhově dominantní kategorii – motorová nafta – klesla spotřeba od ledna do srpna 2018 o 0,2 %, ve stejném období roku 2017 rostla o 4</w:t>
      </w:r>
      <w:r>
        <w:rPr>
          <w:sz w:val="16"/>
          <w:szCs w:val="16"/>
        </w:rPr>
        <w:t>,0</w:t>
      </w:r>
      <w:r w:rsidRPr="007A0E74">
        <w:rPr>
          <w:sz w:val="16"/>
          <w:szCs w:val="16"/>
        </w:rPr>
        <w:t xml:space="preserve"> %.</w:t>
      </w:r>
      <w:r>
        <w:rPr>
          <w:sz w:val="16"/>
          <w:szCs w:val="16"/>
        </w:rPr>
        <w:t xml:space="preserve"> Nižší tempa vykázala letos i spotřeba motorového benzinu (–2,2 % oproti +0,7 %) i leteckého petroleje (+9,3 %, resp. +15,7 %).</w:t>
      </w:r>
    </w:p>
  </w:footnote>
  <w:footnote w:id="43">
    <w:p w:rsidR="00157CC9" w:rsidRPr="002101D5" w:rsidRDefault="00157CC9" w:rsidP="0083630F">
      <w:pPr>
        <w:pStyle w:val="Textpoznpodarou"/>
        <w:jc w:val="both"/>
        <w:rPr>
          <w:rFonts w:cs="Arial"/>
          <w:color w:val="0D0D0D" w:themeColor="text1" w:themeTint="F2"/>
          <w:sz w:val="16"/>
          <w:szCs w:val="16"/>
        </w:rPr>
      </w:pPr>
      <w:r w:rsidRPr="002101D5">
        <w:rPr>
          <w:rStyle w:val="Znakapoznpodarou"/>
          <w:rFonts w:cs="Arial"/>
          <w:color w:val="0D0D0D" w:themeColor="text1" w:themeTint="F2"/>
          <w:sz w:val="16"/>
          <w:szCs w:val="16"/>
        </w:rPr>
        <w:footnoteRef/>
      </w:r>
      <w:r w:rsidRPr="002101D5">
        <w:rPr>
          <w:rFonts w:cs="Arial"/>
          <w:color w:val="0D0D0D" w:themeColor="text1" w:themeTint="F2"/>
          <w:sz w:val="16"/>
          <w:szCs w:val="16"/>
        </w:rPr>
        <w:t xml:space="preserve"> Jde </w:t>
      </w:r>
      <w:r>
        <w:rPr>
          <w:rFonts w:cs="Arial"/>
          <w:color w:val="0D0D0D" w:themeColor="text1" w:themeTint="F2"/>
          <w:sz w:val="16"/>
          <w:szCs w:val="16"/>
        </w:rPr>
        <w:t xml:space="preserve">hlavně </w:t>
      </w:r>
      <w:r w:rsidRPr="002101D5">
        <w:rPr>
          <w:rFonts w:cs="Arial"/>
          <w:color w:val="0D0D0D" w:themeColor="text1" w:themeTint="F2"/>
          <w:sz w:val="16"/>
          <w:szCs w:val="16"/>
        </w:rPr>
        <w:t xml:space="preserve">o tzv. zelenou naftu umožňující vrácení této daně </w:t>
      </w:r>
      <w:r>
        <w:rPr>
          <w:rFonts w:cs="Arial"/>
          <w:color w:val="0D0D0D" w:themeColor="text1" w:themeTint="F2"/>
          <w:sz w:val="16"/>
          <w:szCs w:val="16"/>
        </w:rPr>
        <w:t xml:space="preserve">subjektům působícím </w:t>
      </w:r>
      <w:r w:rsidRPr="002101D5">
        <w:rPr>
          <w:rFonts w:cs="Arial"/>
          <w:color w:val="0D0D0D" w:themeColor="text1" w:themeTint="F2"/>
          <w:sz w:val="16"/>
          <w:szCs w:val="16"/>
        </w:rPr>
        <w:t>v oblasti živočišné prvovýroby. Tento odpočet se v letošním roce (na rozdíl od loňska) projevuje již v plné výši. Na spotřebu benz</w:t>
      </w:r>
      <w:r>
        <w:rPr>
          <w:rFonts w:cs="Arial"/>
          <w:color w:val="0D0D0D" w:themeColor="text1" w:themeTint="F2"/>
          <w:sz w:val="16"/>
          <w:szCs w:val="16"/>
        </w:rPr>
        <w:t>i</w:t>
      </w:r>
      <w:r w:rsidRPr="002101D5">
        <w:rPr>
          <w:rFonts w:cs="Arial"/>
          <w:color w:val="0D0D0D" w:themeColor="text1" w:themeTint="F2"/>
          <w:sz w:val="16"/>
          <w:szCs w:val="16"/>
        </w:rPr>
        <w:t xml:space="preserve">nu a motorové nafty mohly mít zčásti </w:t>
      </w:r>
      <w:r w:rsidRPr="002C2D2F">
        <w:rPr>
          <w:rFonts w:cs="Arial"/>
          <w:color w:val="0D0D0D" w:themeColor="text1" w:themeTint="F2"/>
          <w:sz w:val="16"/>
          <w:szCs w:val="16"/>
        </w:rPr>
        <w:t>negativní vliv i</w:t>
      </w:r>
      <w:r>
        <w:rPr>
          <w:rFonts w:cs="Arial"/>
          <w:color w:val="0D0D0D" w:themeColor="text1" w:themeTint="F2"/>
          <w:sz w:val="16"/>
          <w:szCs w:val="16"/>
        </w:rPr>
        <w:t> </w:t>
      </w:r>
      <w:r w:rsidRPr="002C2D2F">
        <w:rPr>
          <w:rFonts w:cs="Arial"/>
          <w:color w:val="0D0D0D" w:themeColor="text1" w:themeTint="F2"/>
          <w:sz w:val="16"/>
          <w:szCs w:val="16"/>
        </w:rPr>
        <w:t>rostoucí ceny. Zatímco v první polovině roku 2017 spotřebitelské ceny PHM klesaly (a ve 3. čtvrtletí spíše stagnovaly), letos tomu bylo naopak. P</w:t>
      </w:r>
      <w:r w:rsidRPr="002C2D2F">
        <w:rPr>
          <w:rFonts w:cs="Arial"/>
          <w:color w:val="0D0D0D" w:themeColor="text1" w:themeTint="F2"/>
          <w:sz w:val="16"/>
          <w:szCs w:val="16"/>
          <w:shd w:val="clear" w:color="auto" w:fill="FFFFFF"/>
        </w:rPr>
        <w:t>růměrná cena motorové nafty na konci září 2018 byla, podobně jako u benzinu </w:t>
      </w:r>
      <w:r w:rsidRPr="002C2D2F">
        <w:rPr>
          <w:rStyle w:val="spelle"/>
          <w:rFonts w:cs="Arial"/>
          <w:color w:val="0D0D0D" w:themeColor="text1" w:themeTint="F2"/>
          <w:sz w:val="16"/>
          <w:szCs w:val="16"/>
          <w:bdr w:val="none" w:sz="0" w:space="0" w:color="auto" w:frame="1"/>
          <w:shd w:val="clear" w:color="auto" w:fill="FFFFFF"/>
        </w:rPr>
        <w:t>Natural</w:t>
      </w:r>
      <w:r>
        <w:rPr>
          <w:rFonts w:cs="Arial"/>
          <w:color w:val="0D0D0D" w:themeColor="text1" w:themeTint="F2"/>
          <w:sz w:val="16"/>
          <w:szCs w:val="16"/>
          <w:shd w:val="clear" w:color="auto" w:fill="FFFFFF"/>
        </w:rPr>
        <w:t xml:space="preserve"> 95, </w:t>
      </w:r>
      <w:r w:rsidRPr="002C2D2F">
        <w:rPr>
          <w:rFonts w:cs="Arial"/>
          <w:color w:val="0D0D0D" w:themeColor="text1" w:themeTint="F2"/>
          <w:sz w:val="16"/>
          <w:szCs w:val="16"/>
          <w:shd w:val="clear" w:color="auto" w:fill="FFFFFF"/>
        </w:rPr>
        <w:t>nejvyšší od prosince 2014.</w:t>
      </w:r>
    </w:p>
  </w:footnote>
  <w:footnote w:id="44">
    <w:p w:rsidR="00157CC9" w:rsidRPr="00E50D2E" w:rsidRDefault="00157CC9" w:rsidP="0083630F">
      <w:pPr>
        <w:pStyle w:val="Textpoznpodarou"/>
        <w:rPr>
          <w:sz w:val="16"/>
          <w:szCs w:val="16"/>
          <w:u w:val="words"/>
        </w:rPr>
      </w:pPr>
      <w:r w:rsidRPr="00BF16D4">
        <w:rPr>
          <w:rStyle w:val="Znakapoznpodarou"/>
          <w:sz w:val="16"/>
          <w:szCs w:val="16"/>
        </w:rPr>
        <w:footnoteRef/>
      </w:r>
      <w:r w:rsidRPr="00BF16D4">
        <w:rPr>
          <w:sz w:val="16"/>
          <w:szCs w:val="16"/>
        </w:rPr>
        <w:t xml:space="preserve"> </w:t>
      </w:r>
      <w:r w:rsidRPr="00BF16D4">
        <w:rPr>
          <w:rFonts w:cs="Arial"/>
          <w:spacing w:val="-4"/>
          <w:sz w:val="16"/>
          <w:szCs w:val="16"/>
        </w:rPr>
        <w:t>Vzhledem k relativně nízkému objemu této daně je její meziročn</w:t>
      </w:r>
      <w:r>
        <w:rPr>
          <w:rFonts w:cs="Arial"/>
          <w:spacing w:val="-4"/>
          <w:sz w:val="16"/>
          <w:szCs w:val="16"/>
        </w:rPr>
        <w:t>í</w:t>
      </w:r>
      <w:r w:rsidRPr="00BF16D4">
        <w:rPr>
          <w:rFonts w:cs="Arial"/>
          <w:spacing w:val="-4"/>
          <w:sz w:val="16"/>
          <w:szCs w:val="16"/>
        </w:rPr>
        <w:t xml:space="preserve"> srovn</w:t>
      </w:r>
      <w:r>
        <w:rPr>
          <w:rFonts w:cs="Arial"/>
          <w:spacing w:val="-4"/>
          <w:sz w:val="16"/>
          <w:szCs w:val="16"/>
        </w:rPr>
        <w:t>ání velmi citlivé na změny v mož</w:t>
      </w:r>
      <w:r w:rsidRPr="00BF16D4">
        <w:rPr>
          <w:rFonts w:cs="Arial"/>
          <w:spacing w:val="-4"/>
          <w:sz w:val="16"/>
          <w:szCs w:val="16"/>
        </w:rPr>
        <w:t>nostech daňových odpočtů (</w:t>
      </w:r>
      <w:r w:rsidRPr="00BF16D4">
        <w:rPr>
          <w:sz w:val="16"/>
          <w:szCs w:val="16"/>
        </w:rPr>
        <w:t>slev</w:t>
      </w:r>
      <w:r>
        <w:rPr>
          <w:sz w:val="16"/>
          <w:szCs w:val="16"/>
        </w:rPr>
        <w:t>y</w:t>
      </w:r>
      <w:r w:rsidRPr="00BF16D4">
        <w:rPr>
          <w:sz w:val="16"/>
          <w:szCs w:val="16"/>
        </w:rPr>
        <w:t xml:space="preserve"> na druhého z</w:t>
      </w:r>
      <w:r w:rsidRPr="00BF16D4">
        <w:rPr>
          <w:rFonts w:cs="Arial"/>
          <w:color w:val="0D0D0D" w:themeColor="text1" w:themeTint="F2"/>
          <w:spacing w:val="-4"/>
          <w:sz w:val="16"/>
          <w:szCs w:val="16"/>
        </w:rPr>
        <w:t> </w:t>
      </w:r>
      <w:r w:rsidRPr="00BF16D4">
        <w:rPr>
          <w:sz w:val="16"/>
          <w:szCs w:val="16"/>
        </w:rPr>
        <w:t>manželů a</w:t>
      </w:r>
      <w:r w:rsidRPr="00BF16D4">
        <w:rPr>
          <w:rFonts w:cs="Arial"/>
          <w:color w:val="0D0D0D" w:themeColor="text1" w:themeTint="F2"/>
          <w:spacing w:val="-4"/>
          <w:sz w:val="16"/>
          <w:szCs w:val="16"/>
        </w:rPr>
        <w:t> </w:t>
      </w:r>
      <w:r w:rsidRPr="00BF16D4">
        <w:rPr>
          <w:sz w:val="16"/>
          <w:szCs w:val="16"/>
        </w:rPr>
        <w:t>daňového zvýhodnění na děti).</w:t>
      </w:r>
    </w:p>
  </w:footnote>
  <w:footnote w:id="45">
    <w:p w:rsidR="00157CC9" w:rsidRPr="0004689A" w:rsidRDefault="00157CC9" w:rsidP="0083630F">
      <w:pPr>
        <w:pStyle w:val="Textpoznpodarou"/>
        <w:rPr>
          <w:sz w:val="16"/>
          <w:szCs w:val="16"/>
        </w:rPr>
      </w:pPr>
      <w:r w:rsidRPr="0004689A">
        <w:rPr>
          <w:rStyle w:val="Znakapoznpodarou"/>
          <w:sz w:val="16"/>
          <w:szCs w:val="16"/>
        </w:rPr>
        <w:footnoteRef/>
      </w:r>
      <w:r w:rsidRPr="0004689A">
        <w:rPr>
          <w:sz w:val="16"/>
          <w:szCs w:val="16"/>
        </w:rPr>
        <w:t xml:space="preserve"> Investiční akt</w:t>
      </w:r>
      <w:r>
        <w:rPr>
          <w:sz w:val="16"/>
          <w:szCs w:val="16"/>
        </w:rPr>
        <w:t>ivita státu dále zrychlovala i</w:t>
      </w:r>
      <w:r w:rsidRPr="0004689A">
        <w:rPr>
          <w:sz w:val="16"/>
          <w:szCs w:val="16"/>
        </w:rPr>
        <w:t> na počátku 4. čtvrtletí 2018. Za deset měsíců roku se objem investic přiblížil</w:t>
      </w:r>
      <w:r>
        <w:rPr>
          <w:sz w:val="16"/>
          <w:szCs w:val="16"/>
        </w:rPr>
        <w:t xml:space="preserve"> 80 </w:t>
      </w:r>
      <w:r w:rsidRPr="0004689A">
        <w:rPr>
          <w:sz w:val="16"/>
          <w:szCs w:val="16"/>
        </w:rPr>
        <w:t>mld. korun a</w:t>
      </w:r>
      <w:r>
        <w:rPr>
          <w:sz w:val="16"/>
          <w:szCs w:val="16"/>
        </w:rPr>
        <w:t> </w:t>
      </w:r>
      <w:r w:rsidRPr="0004689A">
        <w:rPr>
          <w:sz w:val="16"/>
          <w:szCs w:val="16"/>
        </w:rPr>
        <w:t xml:space="preserve">dosáhl již 86 % </w:t>
      </w:r>
      <w:r w:rsidRPr="0004689A">
        <w:rPr>
          <w:rFonts w:cs="Arial"/>
          <w:color w:val="0D0D0D" w:themeColor="text1" w:themeTint="F2"/>
          <w:spacing w:val="-4"/>
          <w:sz w:val="16"/>
          <w:szCs w:val="16"/>
        </w:rPr>
        <w:t>celoročně rozpočtované částky.</w:t>
      </w:r>
    </w:p>
  </w:footnote>
  <w:footnote w:id="46">
    <w:p w:rsidR="00157CC9" w:rsidRPr="00580700" w:rsidRDefault="00157CC9" w:rsidP="0083630F">
      <w:pPr>
        <w:pStyle w:val="Textpoznpodarou"/>
        <w:jc w:val="both"/>
        <w:rPr>
          <w:sz w:val="16"/>
          <w:szCs w:val="16"/>
        </w:rPr>
      </w:pPr>
      <w:r w:rsidRPr="00580700">
        <w:rPr>
          <w:rStyle w:val="Znakapoznpodarou"/>
          <w:spacing w:val="-2"/>
          <w:sz w:val="16"/>
          <w:szCs w:val="16"/>
        </w:rPr>
        <w:footnoteRef/>
      </w:r>
      <w:r w:rsidRPr="00580700">
        <w:rPr>
          <w:spacing w:val="-2"/>
          <w:sz w:val="16"/>
          <w:szCs w:val="16"/>
        </w:rPr>
        <w:t xml:space="preserve"> </w:t>
      </w:r>
      <w:r w:rsidRPr="00580700">
        <w:rPr>
          <w:sz w:val="16"/>
          <w:szCs w:val="16"/>
        </w:rPr>
        <w:t>Investice realizované prostřednictvím národních zdrojů</w:t>
      </w:r>
      <w:r w:rsidRPr="00580700">
        <w:rPr>
          <w:spacing w:val="-2"/>
          <w:sz w:val="16"/>
          <w:szCs w:val="16"/>
        </w:rPr>
        <w:t xml:space="preserve"> činily za tři čtvrtletí 23,2 mld. korun (mírně přes 40 % celoročn</w:t>
      </w:r>
      <w:r>
        <w:rPr>
          <w:spacing w:val="-2"/>
          <w:sz w:val="16"/>
          <w:szCs w:val="16"/>
        </w:rPr>
        <w:t xml:space="preserve">ě rozpočtem očekávané částky). </w:t>
      </w:r>
      <w:r w:rsidRPr="00580700">
        <w:rPr>
          <w:spacing w:val="-2"/>
          <w:sz w:val="16"/>
          <w:szCs w:val="16"/>
        </w:rPr>
        <w:t xml:space="preserve">Na </w:t>
      </w:r>
      <w:r w:rsidRPr="00580700">
        <w:rPr>
          <w:sz w:val="16"/>
          <w:szCs w:val="16"/>
        </w:rPr>
        <w:t xml:space="preserve">financování společných programů EU a ČR (vč. společné zemědělské politiky) pak směřovalo 37,7 mld. </w:t>
      </w:r>
      <w:r>
        <w:rPr>
          <w:sz w:val="16"/>
          <w:szCs w:val="16"/>
        </w:rPr>
        <w:t xml:space="preserve">korun </w:t>
      </w:r>
      <w:r w:rsidRPr="00580700">
        <w:rPr>
          <w:sz w:val="16"/>
          <w:szCs w:val="16"/>
        </w:rPr>
        <w:t xml:space="preserve">(meziročně </w:t>
      </w:r>
      <w:r>
        <w:rPr>
          <w:sz w:val="16"/>
          <w:szCs w:val="16"/>
        </w:rPr>
        <w:t>téměř o dvojnásobek</w:t>
      </w:r>
      <w:r w:rsidRPr="00580700">
        <w:rPr>
          <w:sz w:val="16"/>
          <w:szCs w:val="16"/>
        </w:rPr>
        <w:t xml:space="preserve"> více).</w:t>
      </w:r>
    </w:p>
  </w:footnote>
  <w:footnote w:id="47">
    <w:p w:rsidR="00157CC9" w:rsidRPr="00670A16" w:rsidRDefault="00157CC9" w:rsidP="0083630F">
      <w:pPr>
        <w:pStyle w:val="Textpoznpodarou"/>
        <w:jc w:val="both"/>
        <w:rPr>
          <w:sz w:val="16"/>
          <w:szCs w:val="16"/>
        </w:rPr>
      </w:pPr>
      <w:r w:rsidRPr="00670A16">
        <w:rPr>
          <w:rStyle w:val="Znakapoznpodarou"/>
          <w:sz w:val="16"/>
          <w:szCs w:val="16"/>
        </w:rPr>
        <w:footnoteRef/>
      </w:r>
      <w:r w:rsidRPr="00670A16">
        <w:rPr>
          <w:sz w:val="16"/>
          <w:szCs w:val="16"/>
        </w:rPr>
        <w:t xml:space="preserve"> Čerpání pomoci v hmotné nouzi se vlivem příznivější finanční situace domácností za poslední čtyři roky snížilo o 52 % (na 4,1 mld. korun v</w:t>
      </w:r>
      <w:r>
        <w:rPr>
          <w:sz w:val="16"/>
          <w:szCs w:val="16"/>
        </w:rPr>
        <w:t> </w:t>
      </w:r>
      <w:r w:rsidRPr="00670A16">
        <w:rPr>
          <w:sz w:val="16"/>
          <w:szCs w:val="16"/>
        </w:rPr>
        <w:t>1. až 3. čtvrtletí 2018).</w:t>
      </w:r>
    </w:p>
  </w:footnote>
  <w:footnote w:id="48">
    <w:p w:rsidR="00157CC9" w:rsidRPr="000315DB" w:rsidRDefault="00157CC9" w:rsidP="00EE5FBA">
      <w:pPr>
        <w:pStyle w:val="Textpoznpodarou"/>
        <w:jc w:val="both"/>
        <w:rPr>
          <w:sz w:val="16"/>
          <w:szCs w:val="16"/>
        </w:rPr>
      </w:pPr>
      <w:r w:rsidRPr="000315DB">
        <w:rPr>
          <w:rStyle w:val="Znakapoznpodarou"/>
          <w:sz w:val="16"/>
          <w:szCs w:val="16"/>
        </w:rPr>
        <w:footnoteRef/>
      </w:r>
      <w:r w:rsidRPr="000315DB">
        <w:rPr>
          <w:sz w:val="16"/>
          <w:szCs w:val="16"/>
        </w:rPr>
        <w:t xml:space="preserve"> Od ledna 2018 došlo ke zvýšení základní výměry důchodu o 150 Kč a procentní výměry o 3,5</w:t>
      </w:r>
      <w:r>
        <w:rPr>
          <w:sz w:val="16"/>
          <w:szCs w:val="16"/>
        </w:rPr>
        <w:t> %</w:t>
      </w:r>
      <w:r w:rsidRPr="000315DB">
        <w:rPr>
          <w:sz w:val="16"/>
          <w:szCs w:val="16"/>
        </w:rPr>
        <w:t xml:space="preserve"> (tj. v průměru o 475 Kč měsíčně).</w:t>
      </w:r>
      <w:r>
        <w:rPr>
          <w:sz w:val="16"/>
          <w:szCs w:val="16"/>
        </w:rPr>
        <w:t xml:space="preserve"> </w:t>
      </w:r>
      <w:r w:rsidR="00EE5FBA">
        <w:rPr>
          <w:sz w:val="16"/>
          <w:szCs w:val="16"/>
        </w:rPr>
        <w:t>Průměrná výše starobního důchodu (sólo) činila dle údajů České správy sociálního zabezpečení ve 3. čtvrtletí 2018 výše 12 395 korun, meziročně o 4,8 % více. Šlo o nejsilnější růstové tempo (v rámci stejného období roku) z posledních deset let.</w:t>
      </w:r>
    </w:p>
  </w:footnote>
  <w:footnote w:id="49">
    <w:p w:rsidR="00157CC9" w:rsidRDefault="00157CC9" w:rsidP="0083630F">
      <w:pPr>
        <w:pStyle w:val="Textpoznpodarou"/>
        <w:jc w:val="both"/>
      </w:pPr>
      <w:r w:rsidRPr="000315DB">
        <w:rPr>
          <w:sz w:val="16"/>
          <w:szCs w:val="16"/>
        </w:rPr>
        <w:t xml:space="preserve"> </w:t>
      </w:r>
      <w:r w:rsidRPr="000315DB">
        <w:rPr>
          <w:rStyle w:val="Znakapoznpodarou"/>
          <w:sz w:val="16"/>
          <w:szCs w:val="16"/>
        </w:rPr>
        <w:footnoteRef/>
      </w:r>
      <w:r w:rsidRPr="000315DB">
        <w:rPr>
          <w:sz w:val="16"/>
          <w:szCs w:val="16"/>
        </w:rPr>
        <w:t xml:space="preserve"> Je vyjádřeno jako </w:t>
      </w:r>
      <w:r w:rsidRPr="000315DB">
        <w:rPr>
          <w:rFonts w:cs="Arial"/>
          <w:color w:val="000000" w:themeColor="text1"/>
          <w:spacing w:val="-4"/>
          <w:sz w:val="16"/>
          <w:szCs w:val="16"/>
        </w:rPr>
        <w:t>rozdíl mezi příjmy a výdaji na důchody ze SR (z předběžných údajů).</w:t>
      </w:r>
      <w:r>
        <w:rPr>
          <w:rFonts w:cs="Arial"/>
          <w:color w:val="000000" w:themeColor="text1"/>
          <w:spacing w:val="-4"/>
          <w:sz w:val="16"/>
          <w:szCs w:val="16"/>
        </w:rPr>
        <w:t xml:space="preserve"> Nejsou zahrnuty výdaje na správu systému důchodového pojištění (ty za 1. až 3. čtvrtletí dosáhly 4,8 mld. korun).</w:t>
      </w:r>
    </w:p>
  </w:footnote>
  <w:footnote w:id="50">
    <w:p w:rsidR="00157CC9" w:rsidRPr="00810B5B" w:rsidRDefault="00157CC9" w:rsidP="0083630F">
      <w:pPr>
        <w:pStyle w:val="Textpoznpodarou"/>
        <w:rPr>
          <w:sz w:val="16"/>
          <w:szCs w:val="16"/>
        </w:rPr>
      </w:pPr>
      <w:r w:rsidRPr="00810B5B">
        <w:rPr>
          <w:rStyle w:val="Znakapoznpodarou"/>
          <w:sz w:val="16"/>
          <w:szCs w:val="16"/>
        </w:rPr>
        <w:footnoteRef/>
      </w:r>
      <w:r w:rsidRPr="00810B5B">
        <w:rPr>
          <w:sz w:val="16"/>
          <w:szCs w:val="16"/>
        </w:rPr>
        <w:t xml:space="preserve"> Jde o </w:t>
      </w:r>
      <w:r w:rsidRPr="00810B5B">
        <w:rPr>
          <w:rFonts w:cs="Verdana"/>
          <w:iCs/>
          <w:color w:val="000000"/>
          <w:sz w:val="16"/>
          <w:szCs w:val="16"/>
        </w:rPr>
        <w:t>saldo rozpočtové kapitoly 396 – Státní dluh.</w:t>
      </w:r>
    </w:p>
  </w:footnote>
  <w:footnote w:id="51">
    <w:p w:rsidR="00157CC9" w:rsidRDefault="00157CC9">
      <w:pPr>
        <w:pStyle w:val="Textpoznpodarou"/>
        <w:jc w:val="both"/>
        <w:rPr>
          <w:spacing w:val="-3"/>
          <w:sz w:val="16"/>
          <w:szCs w:val="16"/>
        </w:rPr>
      </w:pPr>
      <w:r w:rsidRPr="001E2294">
        <w:rPr>
          <w:rStyle w:val="Znakapoznpodarou"/>
          <w:spacing w:val="-3"/>
          <w:sz w:val="16"/>
          <w:szCs w:val="16"/>
        </w:rPr>
        <w:footnoteRef/>
      </w:r>
      <w:r w:rsidRPr="001E2294">
        <w:rPr>
          <w:spacing w:val="-3"/>
          <w:sz w:val="16"/>
          <w:szCs w:val="16"/>
        </w:rPr>
        <w:t xml:space="preserve"> </w:t>
      </w:r>
      <w:r w:rsidRPr="001E2294">
        <w:rPr>
          <w:color w:val="0D0D0D" w:themeColor="text1" w:themeTint="F2"/>
          <w:spacing w:val="-3"/>
          <w:sz w:val="16"/>
          <w:szCs w:val="16"/>
        </w:rPr>
        <w:t>Zohledňuje</w:t>
      </w:r>
      <w:r w:rsidRPr="001E2294">
        <w:rPr>
          <w:color w:val="000000" w:themeColor="text1"/>
          <w:spacing w:val="-3"/>
          <w:sz w:val="16"/>
          <w:szCs w:val="16"/>
        </w:rPr>
        <w:t xml:space="preserve"> kromě státního rozpočtu i hospodaření ost</w:t>
      </w:r>
      <w:r>
        <w:rPr>
          <w:color w:val="000000" w:themeColor="text1"/>
          <w:spacing w:val="-3"/>
          <w:sz w:val="16"/>
          <w:szCs w:val="16"/>
        </w:rPr>
        <w:t>atních</w:t>
      </w:r>
      <w:r w:rsidRPr="001E2294">
        <w:rPr>
          <w:color w:val="000000" w:themeColor="text1"/>
          <w:spacing w:val="-3"/>
          <w:sz w:val="16"/>
          <w:szCs w:val="16"/>
        </w:rPr>
        <w:t xml:space="preserve"> ústředních vládních institucí a též územně správních celků i zdravotních pojišťoven.</w:t>
      </w:r>
    </w:p>
  </w:footnote>
  <w:footnote w:id="52">
    <w:p w:rsidR="00157CC9" w:rsidRPr="00803A9F" w:rsidRDefault="00157CC9" w:rsidP="0083630F">
      <w:pPr>
        <w:pStyle w:val="Textpoznpodarou"/>
        <w:rPr>
          <w:color w:val="0D0D0D" w:themeColor="text1" w:themeTint="F2"/>
          <w:spacing w:val="-3"/>
          <w:sz w:val="16"/>
          <w:szCs w:val="16"/>
        </w:rPr>
      </w:pPr>
      <w:r w:rsidRPr="00803A9F">
        <w:rPr>
          <w:rStyle w:val="Znakapoznpodarou"/>
          <w:color w:val="0D0D0D" w:themeColor="text1" w:themeTint="F2"/>
          <w:spacing w:val="-3"/>
          <w:sz w:val="16"/>
          <w:szCs w:val="16"/>
        </w:rPr>
        <w:footnoteRef/>
      </w:r>
      <w:r w:rsidRPr="00803A9F">
        <w:rPr>
          <w:color w:val="0D0D0D" w:themeColor="text1" w:themeTint="F2"/>
          <w:spacing w:val="-3"/>
          <w:sz w:val="16"/>
          <w:szCs w:val="16"/>
        </w:rPr>
        <w:t xml:space="preserve"> Předběžné údaje o dluhu i deficitu sektoru vládních institucí za 3. čtvrtletí 2018 zveřejní ČSÚ 14. ledna 2019, </w:t>
      </w:r>
      <w:proofErr w:type="spellStart"/>
      <w:r w:rsidRPr="00803A9F">
        <w:rPr>
          <w:color w:val="0D0D0D" w:themeColor="text1" w:themeTint="F2"/>
          <w:spacing w:val="-3"/>
          <w:sz w:val="16"/>
          <w:szCs w:val="16"/>
        </w:rPr>
        <w:t>Eurostat</w:t>
      </w:r>
      <w:proofErr w:type="spellEnd"/>
      <w:r w:rsidRPr="00803A9F">
        <w:rPr>
          <w:color w:val="0D0D0D" w:themeColor="text1" w:themeTint="F2"/>
          <w:spacing w:val="-3"/>
          <w:sz w:val="16"/>
          <w:szCs w:val="16"/>
        </w:rPr>
        <w:t xml:space="preserve"> pak 21. ledna </w:t>
      </w:r>
      <w:r>
        <w:rPr>
          <w:color w:val="0D0D0D" w:themeColor="text1" w:themeTint="F2"/>
          <w:spacing w:val="-3"/>
          <w:sz w:val="16"/>
          <w:szCs w:val="16"/>
        </w:rPr>
        <w:t>2019</w:t>
      </w:r>
      <w:r w:rsidRPr="00803A9F">
        <w:rPr>
          <w:color w:val="0D0D0D" w:themeColor="text1" w:themeTint="F2"/>
          <w:spacing w:val="-3"/>
          <w:sz w:val="16"/>
          <w:szCs w:val="16"/>
        </w:rPr>
        <w:t>.</w:t>
      </w:r>
    </w:p>
  </w:footnote>
  <w:footnote w:id="53">
    <w:p w:rsidR="00157CC9" w:rsidRPr="00A87A8B" w:rsidRDefault="00157CC9" w:rsidP="0083630F">
      <w:pPr>
        <w:pStyle w:val="Textpoznpodarou"/>
        <w:rPr>
          <w:sz w:val="16"/>
          <w:szCs w:val="16"/>
        </w:rPr>
      </w:pPr>
      <w:r w:rsidRPr="00A87A8B">
        <w:rPr>
          <w:rStyle w:val="Znakapoznpodarou"/>
          <w:sz w:val="16"/>
          <w:szCs w:val="16"/>
        </w:rPr>
        <w:footnoteRef/>
      </w:r>
      <w:r w:rsidRPr="00A87A8B">
        <w:rPr>
          <w:sz w:val="16"/>
          <w:szCs w:val="16"/>
        </w:rPr>
        <w:t xml:space="preserve"> Údaje bez sezónního očištění. Po očištění činil letošní přebytek 1,6 % HDP, za 1. pololetí 2017 pak 1,4 % HDP.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9" w:rsidRDefault="00157CC9" w:rsidP="00937AE2">
    <w:pPr>
      <w:pStyle w:val="Zhlav"/>
    </w:pPr>
    <w:r>
      <w:t>Vývoj ekonomiky České republiky</w:t>
    </w:r>
  </w:p>
  <w:p w:rsidR="00157CC9" w:rsidRPr="006F5416" w:rsidRDefault="00157CC9" w:rsidP="00937AE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9" w:rsidRDefault="00157CC9" w:rsidP="00937AE2">
    <w:pPr>
      <w:pStyle w:val="Zhlav"/>
    </w:pPr>
    <w:r>
      <w:t>Vývoj ekonomiky České republiky</w:t>
    </w:r>
  </w:p>
  <w:p w:rsidR="00157CC9" w:rsidRPr="006F5416" w:rsidRDefault="00157CC9" w:rsidP="00937AE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1"/>
  </w:num>
  <w:num w:numId="15">
    <w:abstractNumId w:val="17"/>
  </w:num>
  <w:num w:numId="16">
    <w:abstractNumId w:val="13"/>
  </w:num>
  <w:num w:numId="17">
    <w:abstractNumId w:val="22"/>
  </w:num>
  <w:num w:numId="18">
    <w:abstractNumId w:val="18"/>
  </w:num>
  <w:num w:numId="19">
    <w:abstractNumId w:val="23"/>
  </w:num>
  <w:num w:numId="20">
    <w:abstractNumId w:val="24"/>
  </w:num>
  <w:num w:numId="21">
    <w:abstractNumId w:val="20"/>
  </w:num>
  <w:num w:numId="22">
    <w:abstractNumId w:val="16"/>
  </w:num>
  <w:num w:numId="23">
    <w:abstractNumId w:val="14"/>
  </w:num>
  <w:num w:numId="24">
    <w:abstractNumId w:val="15"/>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a">
    <w15:presenceInfo w15:providerId="None" w15:userId="Vla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10242">
      <o:colormru v:ext="edit" colors="#ecf4dd,#eaecee,#fcec0a,#fcecdb,#f1daf5"/>
    </o:shapedefaults>
  </w:hdrShapeDefaults>
  <w:footnotePr>
    <w:footnote w:id="-1"/>
    <w:footnote w:id="0"/>
  </w:footnotePr>
  <w:endnotePr>
    <w:endnote w:id="-1"/>
    <w:endnote w:id="0"/>
  </w:endnotePr>
  <w:compat/>
  <w:rsids>
    <w:rsidRoot w:val="00C62828"/>
    <w:rsid w:val="000005AF"/>
    <w:rsid w:val="0000209D"/>
    <w:rsid w:val="00003F5C"/>
    <w:rsid w:val="00004D5A"/>
    <w:rsid w:val="000056D5"/>
    <w:rsid w:val="000063D5"/>
    <w:rsid w:val="00006ABD"/>
    <w:rsid w:val="000073A0"/>
    <w:rsid w:val="0000767A"/>
    <w:rsid w:val="00010256"/>
    <w:rsid w:val="00010702"/>
    <w:rsid w:val="0001128E"/>
    <w:rsid w:val="00011912"/>
    <w:rsid w:val="00016420"/>
    <w:rsid w:val="00017B01"/>
    <w:rsid w:val="00020F22"/>
    <w:rsid w:val="0002195D"/>
    <w:rsid w:val="000233D1"/>
    <w:rsid w:val="000234D6"/>
    <w:rsid w:val="00023D29"/>
    <w:rsid w:val="00024348"/>
    <w:rsid w:val="00026389"/>
    <w:rsid w:val="00031AE0"/>
    <w:rsid w:val="000322EF"/>
    <w:rsid w:val="00033FCD"/>
    <w:rsid w:val="00034DF7"/>
    <w:rsid w:val="00034E68"/>
    <w:rsid w:val="000350C8"/>
    <w:rsid w:val="00036195"/>
    <w:rsid w:val="000376C0"/>
    <w:rsid w:val="000403A7"/>
    <w:rsid w:val="00040632"/>
    <w:rsid w:val="00041CEC"/>
    <w:rsid w:val="00044183"/>
    <w:rsid w:val="0004694F"/>
    <w:rsid w:val="00047D54"/>
    <w:rsid w:val="000522E4"/>
    <w:rsid w:val="00053713"/>
    <w:rsid w:val="0005434E"/>
    <w:rsid w:val="00055CB6"/>
    <w:rsid w:val="000572DD"/>
    <w:rsid w:val="00057B1E"/>
    <w:rsid w:val="000610E1"/>
    <w:rsid w:val="00062EC5"/>
    <w:rsid w:val="00062F22"/>
    <w:rsid w:val="00063975"/>
    <w:rsid w:val="000645FC"/>
    <w:rsid w:val="0006533F"/>
    <w:rsid w:val="00065348"/>
    <w:rsid w:val="00065A75"/>
    <w:rsid w:val="00070A87"/>
    <w:rsid w:val="000712B3"/>
    <w:rsid w:val="0007474E"/>
    <w:rsid w:val="0007512B"/>
    <w:rsid w:val="00075551"/>
    <w:rsid w:val="00077FF0"/>
    <w:rsid w:val="00081A55"/>
    <w:rsid w:val="0008263E"/>
    <w:rsid w:val="00082C19"/>
    <w:rsid w:val="000837CD"/>
    <w:rsid w:val="00084BFF"/>
    <w:rsid w:val="00085395"/>
    <w:rsid w:val="00086AC1"/>
    <w:rsid w:val="00086D19"/>
    <w:rsid w:val="00087634"/>
    <w:rsid w:val="00087F2B"/>
    <w:rsid w:val="00090694"/>
    <w:rsid w:val="000913B1"/>
    <w:rsid w:val="00094A84"/>
    <w:rsid w:val="00095025"/>
    <w:rsid w:val="00095135"/>
    <w:rsid w:val="0009626E"/>
    <w:rsid w:val="00097191"/>
    <w:rsid w:val="000974D1"/>
    <w:rsid w:val="0009799E"/>
    <w:rsid w:val="000A1183"/>
    <w:rsid w:val="000A256D"/>
    <w:rsid w:val="000A3A2C"/>
    <w:rsid w:val="000A4A54"/>
    <w:rsid w:val="000A4ED9"/>
    <w:rsid w:val="000A7377"/>
    <w:rsid w:val="000B03CC"/>
    <w:rsid w:val="000B4212"/>
    <w:rsid w:val="000C0EA8"/>
    <w:rsid w:val="000C13A2"/>
    <w:rsid w:val="000C3408"/>
    <w:rsid w:val="000C35AB"/>
    <w:rsid w:val="000C6AFD"/>
    <w:rsid w:val="000D3058"/>
    <w:rsid w:val="000D310A"/>
    <w:rsid w:val="000D5637"/>
    <w:rsid w:val="000E0E96"/>
    <w:rsid w:val="000E2C7D"/>
    <w:rsid w:val="000E440D"/>
    <w:rsid w:val="000E4AC5"/>
    <w:rsid w:val="000E6253"/>
    <w:rsid w:val="000E6E4D"/>
    <w:rsid w:val="000E6FBD"/>
    <w:rsid w:val="000E6FCB"/>
    <w:rsid w:val="00100F5C"/>
    <w:rsid w:val="00101CDA"/>
    <w:rsid w:val="00102037"/>
    <w:rsid w:val="00103DCB"/>
    <w:rsid w:val="00104C4C"/>
    <w:rsid w:val="001057C2"/>
    <w:rsid w:val="00112CAB"/>
    <w:rsid w:val="00116D3F"/>
    <w:rsid w:val="00117623"/>
    <w:rsid w:val="001200CF"/>
    <w:rsid w:val="0012192F"/>
    <w:rsid w:val="00122994"/>
    <w:rsid w:val="00124B46"/>
    <w:rsid w:val="00125D69"/>
    <w:rsid w:val="0012799C"/>
    <w:rsid w:val="00130ADC"/>
    <w:rsid w:val="00130D9F"/>
    <w:rsid w:val="00132C4D"/>
    <w:rsid w:val="00133FC1"/>
    <w:rsid w:val="00134659"/>
    <w:rsid w:val="001405FA"/>
    <w:rsid w:val="00140D1A"/>
    <w:rsid w:val="00141315"/>
    <w:rsid w:val="001425C3"/>
    <w:rsid w:val="0014262D"/>
    <w:rsid w:val="001459BC"/>
    <w:rsid w:val="001554C2"/>
    <w:rsid w:val="001571C0"/>
    <w:rsid w:val="0015753D"/>
    <w:rsid w:val="00157CC9"/>
    <w:rsid w:val="001612F4"/>
    <w:rsid w:val="00161553"/>
    <w:rsid w:val="0016256B"/>
    <w:rsid w:val="00163793"/>
    <w:rsid w:val="00167485"/>
    <w:rsid w:val="00167CB9"/>
    <w:rsid w:val="00167DD8"/>
    <w:rsid w:val="001705AD"/>
    <w:rsid w:val="001706D6"/>
    <w:rsid w:val="001714F2"/>
    <w:rsid w:val="00171FEA"/>
    <w:rsid w:val="00175B9F"/>
    <w:rsid w:val="001762F4"/>
    <w:rsid w:val="00181BBC"/>
    <w:rsid w:val="0018385F"/>
    <w:rsid w:val="00184017"/>
    <w:rsid w:val="00184B08"/>
    <w:rsid w:val="00185010"/>
    <w:rsid w:val="00185C22"/>
    <w:rsid w:val="00192F05"/>
    <w:rsid w:val="00194729"/>
    <w:rsid w:val="00195234"/>
    <w:rsid w:val="00196016"/>
    <w:rsid w:val="00197A70"/>
    <w:rsid w:val="00197C0F"/>
    <w:rsid w:val="001A0487"/>
    <w:rsid w:val="001A1F68"/>
    <w:rsid w:val="001A4EF0"/>
    <w:rsid w:val="001A552F"/>
    <w:rsid w:val="001B2CA9"/>
    <w:rsid w:val="001B3110"/>
    <w:rsid w:val="001B3E38"/>
    <w:rsid w:val="001B4729"/>
    <w:rsid w:val="001B4F0E"/>
    <w:rsid w:val="001B6310"/>
    <w:rsid w:val="001B6C09"/>
    <w:rsid w:val="001C05CD"/>
    <w:rsid w:val="001C0F17"/>
    <w:rsid w:val="001C1B66"/>
    <w:rsid w:val="001C31A2"/>
    <w:rsid w:val="001D22C2"/>
    <w:rsid w:val="001D54C1"/>
    <w:rsid w:val="001D556E"/>
    <w:rsid w:val="001D5DF2"/>
    <w:rsid w:val="001D68B2"/>
    <w:rsid w:val="001D7F60"/>
    <w:rsid w:val="001E504C"/>
    <w:rsid w:val="001E5A17"/>
    <w:rsid w:val="001F2F90"/>
    <w:rsid w:val="001F4597"/>
    <w:rsid w:val="001F7CE0"/>
    <w:rsid w:val="00200085"/>
    <w:rsid w:val="00203332"/>
    <w:rsid w:val="00203CD5"/>
    <w:rsid w:val="00203D8F"/>
    <w:rsid w:val="00203DA4"/>
    <w:rsid w:val="00205186"/>
    <w:rsid w:val="002071D5"/>
    <w:rsid w:val="002118B9"/>
    <w:rsid w:val="002142C0"/>
    <w:rsid w:val="00217C5B"/>
    <w:rsid w:val="00220A43"/>
    <w:rsid w:val="0022139E"/>
    <w:rsid w:val="00222729"/>
    <w:rsid w:val="0022441D"/>
    <w:rsid w:val="002252E0"/>
    <w:rsid w:val="002255F6"/>
    <w:rsid w:val="00227605"/>
    <w:rsid w:val="00227850"/>
    <w:rsid w:val="00227A53"/>
    <w:rsid w:val="00227E2E"/>
    <w:rsid w:val="00227F53"/>
    <w:rsid w:val="00230C6E"/>
    <w:rsid w:val="00233603"/>
    <w:rsid w:val="002340EF"/>
    <w:rsid w:val="00236443"/>
    <w:rsid w:val="00240AF3"/>
    <w:rsid w:val="002418D5"/>
    <w:rsid w:val="00241B06"/>
    <w:rsid w:val="002436BA"/>
    <w:rsid w:val="00244A15"/>
    <w:rsid w:val="002452D9"/>
    <w:rsid w:val="00247319"/>
    <w:rsid w:val="0024799E"/>
    <w:rsid w:val="00247E60"/>
    <w:rsid w:val="00252AB9"/>
    <w:rsid w:val="00253C0F"/>
    <w:rsid w:val="002558C1"/>
    <w:rsid w:val="00256207"/>
    <w:rsid w:val="002603E1"/>
    <w:rsid w:val="0026120E"/>
    <w:rsid w:val="0026291D"/>
    <w:rsid w:val="00267B49"/>
    <w:rsid w:val="0027025F"/>
    <w:rsid w:val="002709CC"/>
    <w:rsid w:val="00271022"/>
    <w:rsid w:val="00271465"/>
    <w:rsid w:val="00272DF4"/>
    <w:rsid w:val="0027583D"/>
    <w:rsid w:val="00275DEF"/>
    <w:rsid w:val="00276B33"/>
    <w:rsid w:val="002812E3"/>
    <w:rsid w:val="002837AE"/>
    <w:rsid w:val="002853FA"/>
    <w:rsid w:val="00285412"/>
    <w:rsid w:val="00291640"/>
    <w:rsid w:val="0029237E"/>
    <w:rsid w:val="00292997"/>
    <w:rsid w:val="0029588F"/>
    <w:rsid w:val="00297256"/>
    <w:rsid w:val="00297D51"/>
    <w:rsid w:val="002A0122"/>
    <w:rsid w:val="002A016B"/>
    <w:rsid w:val="002A16D4"/>
    <w:rsid w:val="002A1E4F"/>
    <w:rsid w:val="002A230C"/>
    <w:rsid w:val="002A2AF7"/>
    <w:rsid w:val="002A3EA2"/>
    <w:rsid w:val="002A532A"/>
    <w:rsid w:val="002A5846"/>
    <w:rsid w:val="002A5D97"/>
    <w:rsid w:val="002A603E"/>
    <w:rsid w:val="002A63B9"/>
    <w:rsid w:val="002B4845"/>
    <w:rsid w:val="002C27A6"/>
    <w:rsid w:val="002C40D2"/>
    <w:rsid w:val="002C43BD"/>
    <w:rsid w:val="002D0E59"/>
    <w:rsid w:val="002E02A1"/>
    <w:rsid w:val="002E196A"/>
    <w:rsid w:val="002E20C7"/>
    <w:rsid w:val="002E222E"/>
    <w:rsid w:val="002E37D1"/>
    <w:rsid w:val="002E3BEE"/>
    <w:rsid w:val="002E4E4C"/>
    <w:rsid w:val="002E4EA7"/>
    <w:rsid w:val="002E5846"/>
    <w:rsid w:val="002F333D"/>
    <w:rsid w:val="002F351A"/>
    <w:rsid w:val="002F498A"/>
    <w:rsid w:val="002F4AD8"/>
    <w:rsid w:val="002F5820"/>
    <w:rsid w:val="00304771"/>
    <w:rsid w:val="003052D4"/>
    <w:rsid w:val="00306C5B"/>
    <w:rsid w:val="00307DB3"/>
    <w:rsid w:val="00307ED2"/>
    <w:rsid w:val="0031076D"/>
    <w:rsid w:val="00311AA6"/>
    <w:rsid w:val="00311C4D"/>
    <w:rsid w:val="003121AB"/>
    <w:rsid w:val="003153C8"/>
    <w:rsid w:val="00315524"/>
    <w:rsid w:val="0032058C"/>
    <w:rsid w:val="003209D6"/>
    <w:rsid w:val="003217B9"/>
    <w:rsid w:val="00321924"/>
    <w:rsid w:val="00321EB6"/>
    <w:rsid w:val="003220A5"/>
    <w:rsid w:val="0032656E"/>
    <w:rsid w:val="00332190"/>
    <w:rsid w:val="00333CD0"/>
    <w:rsid w:val="0033448D"/>
    <w:rsid w:val="00334AD2"/>
    <w:rsid w:val="003370C5"/>
    <w:rsid w:val="00341D26"/>
    <w:rsid w:val="00341F05"/>
    <w:rsid w:val="0034335E"/>
    <w:rsid w:val="00344668"/>
    <w:rsid w:val="003462D9"/>
    <w:rsid w:val="00347DD4"/>
    <w:rsid w:val="00352B43"/>
    <w:rsid w:val="00352C28"/>
    <w:rsid w:val="0036077F"/>
    <w:rsid w:val="00360C86"/>
    <w:rsid w:val="00360FBC"/>
    <w:rsid w:val="00361537"/>
    <w:rsid w:val="0036242A"/>
    <w:rsid w:val="00362E90"/>
    <w:rsid w:val="00364FA0"/>
    <w:rsid w:val="003657F3"/>
    <w:rsid w:val="00367F84"/>
    <w:rsid w:val="003712BC"/>
    <w:rsid w:val="003738BD"/>
    <w:rsid w:val="003746F0"/>
    <w:rsid w:val="00374A20"/>
    <w:rsid w:val="00374E21"/>
    <w:rsid w:val="003818DC"/>
    <w:rsid w:val="00383388"/>
    <w:rsid w:val="003834F8"/>
    <w:rsid w:val="003838D0"/>
    <w:rsid w:val="00384327"/>
    <w:rsid w:val="00385086"/>
    <w:rsid w:val="00385D98"/>
    <w:rsid w:val="003908A6"/>
    <w:rsid w:val="003927F6"/>
    <w:rsid w:val="003A04F6"/>
    <w:rsid w:val="003A2B4D"/>
    <w:rsid w:val="003A2D12"/>
    <w:rsid w:val="003A45E3"/>
    <w:rsid w:val="003A478C"/>
    <w:rsid w:val="003A5525"/>
    <w:rsid w:val="003A5889"/>
    <w:rsid w:val="003A6B38"/>
    <w:rsid w:val="003A6B83"/>
    <w:rsid w:val="003A722F"/>
    <w:rsid w:val="003B0DF4"/>
    <w:rsid w:val="003B1F9D"/>
    <w:rsid w:val="003B461F"/>
    <w:rsid w:val="003B4998"/>
    <w:rsid w:val="003B5A32"/>
    <w:rsid w:val="003C3490"/>
    <w:rsid w:val="003C6221"/>
    <w:rsid w:val="003C68CC"/>
    <w:rsid w:val="003C7E62"/>
    <w:rsid w:val="003D242B"/>
    <w:rsid w:val="003D2492"/>
    <w:rsid w:val="003D29AA"/>
    <w:rsid w:val="003D2A99"/>
    <w:rsid w:val="003D6920"/>
    <w:rsid w:val="003E4C91"/>
    <w:rsid w:val="003E52D8"/>
    <w:rsid w:val="003F313C"/>
    <w:rsid w:val="003F37FC"/>
    <w:rsid w:val="003F4B2C"/>
    <w:rsid w:val="003F551C"/>
    <w:rsid w:val="003F72ED"/>
    <w:rsid w:val="003F7D23"/>
    <w:rsid w:val="00400050"/>
    <w:rsid w:val="004002C8"/>
    <w:rsid w:val="00400468"/>
    <w:rsid w:val="0040099D"/>
    <w:rsid w:val="00402ADB"/>
    <w:rsid w:val="0040368D"/>
    <w:rsid w:val="004059D2"/>
    <w:rsid w:val="00406C2E"/>
    <w:rsid w:val="00406EB0"/>
    <w:rsid w:val="00407C13"/>
    <w:rsid w:val="00410638"/>
    <w:rsid w:val="00412511"/>
    <w:rsid w:val="004125C2"/>
    <w:rsid w:val="00412DFA"/>
    <w:rsid w:val="00413465"/>
    <w:rsid w:val="0041501E"/>
    <w:rsid w:val="004159C3"/>
    <w:rsid w:val="00415A57"/>
    <w:rsid w:val="00416DAC"/>
    <w:rsid w:val="00420880"/>
    <w:rsid w:val="00432A58"/>
    <w:rsid w:val="004331C3"/>
    <w:rsid w:val="00434617"/>
    <w:rsid w:val="00435051"/>
    <w:rsid w:val="00435C69"/>
    <w:rsid w:val="004360FB"/>
    <w:rsid w:val="00437CED"/>
    <w:rsid w:val="00440900"/>
    <w:rsid w:val="0044121D"/>
    <w:rsid w:val="00441BF6"/>
    <w:rsid w:val="004441A0"/>
    <w:rsid w:val="00445861"/>
    <w:rsid w:val="00445A8E"/>
    <w:rsid w:val="00446D44"/>
    <w:rsid w:val="0045078A"/>
    <w:rsid w:val="0045086D"/>
    <w:rsid w:val="00451EF1"/>
    <w:rsid w:val="00452E60"/>
    <w:rsid w:val="00457490"/>
    <w:rsid w:val="00457953"/>
    <w:rsid w:val="00460FB3"/>
    <w:rsid w:val="00464851"/>
    <w:rsid w:val="00467B14"/>
    <w:rsid w:val="004707FE"/>
    <w:rsid w:val="0047276D"/>
    <w:rsid w:val="00472AF6"/>
    <w:rsid w:val="00474A04"/>
    <w:rsid w:val="00476240"/>
    <w:rsid w:val="00476439"/>
    <w:rsid w:val="0047735C"/>
    <w:rsid w:val="004776BC"/>
    <w:rsid w:val="00477820"/>
    <w:rsid w:val="00477B96"/>
    <w:rsid w:val="0048139F"/>
    <w:rsid w:val="00481E40"/>
    <w:rsid w:val="00482405"/>
    <w:rsid w:val="004826A7"/>
    <w:rsid w:val="0048368C"/>
    <w:rsid w:val="00484ECE"/>
    <w:rsid w:val="00486A4D"/>
    <w:rsid w:val="004915CB"/>
    <w:rsid w:val="004924DC"/>
    <w:rsid w:val="00492879"/>
    <w:rsid w:val="004A14E4"/>
    <w:rsid w:val="004A26A5"/>
    <w:rsid w:val="004A27F0"/>
    <w:rsid w:val="004A3212"/>
    <w:rsid w:val="004A40D9"/>
    <w:rsid w:val="004A4F8A"/>
    <w:rsid w:val="004A5494"/>
    <w:rsid w:val="004A61C5"/>
    <w:rsid w:val="004A62A0"/>
    <w:rsid w:val="004A77DF"/>
    <w:rsid w:val="004B1417"/>
    <w:rsid w:val="004B305C"/>
    <w:rsid w:val="004B339A"/>
    <w:rsid w:val="004B55B7"/>
    <w:rsid w:val="004B6468"/>
    <w:rsid w:val="004B6EF8"/>
    <w:rsid w:val="004B7125"/>
    <w:rsid w:val="004B756A"/>
    <w:rsid w:val="004B7FB1"/>
    <w:rsid w:val="004C384C"/>
    <w:rsid w:val="004C3867"/>
    <w:rsid w:val="004C3DB0"/>
    <w:rsid w:val="004C4720"/>
    <w:rsid w:val="004C4CD0"/>
    <w:rsid w:val="004C5165"/>
    <w:rsid w:val="004C6E0E"/>
    <w:rsid w:val="004C70DC"/>
    <w:rsid w:val="004D0211"/>
    <w:rsid w:val="004D0794"/>
    <w:rsid w:val="004D5B0F"/>
    <w:rsid w:val="004E1A40"/>
    <w:rsid w:val="004E200A"/>
    <w:rsid w:val="004E23FC"/>
    <w:rsid w:val="004E6DE6"/>
    <w:rsid w:val="004E765E"/>
    <w:rsid w:val="004F06F5"/>
    <w:rsid w:val="004F12A4"/>
    <w:rsid w:val="004F253F"/>
    <w:rsid w:val="004F33A0"/>
    <w:rsid w:val="004F3BD2"/>
    <w:rsid w:val="00506603"/>
    <w:rsid w:val="0050689D"/>
    <w:rsid w:val="005108C0"/>
    <w:rsid w:val="0051094F"/>
    <w:rsid w:val="00511873"/>
    <w:rsid w:val="00512461"/>
    <w:rsid w:val="00512A2F"/>
    <w:rsid w:val="00513B7E"/>
    <w:rsid w:val="0051475D"/>
    <w:rsid w:val="00514B11"/>
    <w:rsid w:val="00515BE9"/>
    <w:rsid w:val="00515C74"/>
    <w:rsid w:val="00517113"/>
    <w:rsid w:val="0052007E"/>
    <w:rsid w:val="00522E01"/>
    <w:rsid w:val="0052337A"/>
    <w:rsid w:val="005246BE"/>
    <w:rsid w:val="00525137"/>
    <w:rsid w:val="005251DD"/>
    <w:rsid w:val="005301A6"/>
    <w:rsid w:val="00530A68"/>
    <w:rsid w:val="00532CE7"/>
    <w:rsid w:val="00532D8B"/>
    <w:rsid w:val="0053324C"/>
    <w:rsid w:val="00534A28"/>
    <w:rsid w:val="00535018"/>
    <w:rsid w:val="00537571"/>
    <w:rsid w:val="005410E2"/>
    <w:rsid w:val="00541508"/>
    <w:rsid w:val="00541AE3"/>
    <w:rsid w:val="00543498"/>
    <w:rsid w:val="00544BE5"/>
    <w:rsid w:val="00550160"/>
    <w:rsid w:val="00552F2C"/>
    <w:rsid w:val="00553A25"/>
    <w:rsid w:val="005547EB"/>
    <w:rsid w:val="005555E0"/>
    <w:rsid w:val="0055599F"/>
    <w:rsid w:val="00556D68"/>
    <w:rsid w:val="005570D6"/>
    <w:rsid w:val="00563EB8"/>
    <w:rsid w:val="005647BF"/>
    <w:rsid w:val="00564AF1"/>
    <w:rsid w:val="005655DB"/>
    <w:rsid w:val="00570BC3"/>
    <w:rsid w:val="0057182A"/>
    <w:rsid w:val="00571E59"/>
    <w:rsid w:val="00572079"/>
    <w:rsid w:val="00573602"/>
    <w:rsid w:val="0057364B"/>
    <w:rsid w:val="00574773"/>
    <w:rsid w:val="00577C07"/>
    <w:rsid w:val="00577DB1"/>
    <w:rsid w:val="00580DE7"/>
    <w:rsid w:val="00583E52"/>
    <w:rsid w:val="00583FFD"/>
    <w:rsid w:val="0058519A"/>
    <w:rsid w:val="005856BD"/>
    <w:rsid w:val="00590B28"/>
    <w:rsid w:val="005911BE"/>
    <w:rsid w:val="00591273"/>
    <w:rsid w:val="005927A4"/>
    <w:rsid w:val="00593152"/>
    <w:rsid w:val="005956A3"/>
    <w:rsid w:val="00595CAB"/>
    <w:rsid w:val="00597BBF"/>
    <w:rsid w:val="005A10F2"/>
    <w:rsid w:val="005A21E0"/>
    <w:rsid w:val="005A28FF"/>
    <w:rsid w:val="005A2C09"/>
    <w:rsid w:val="005A3778"/>
    <w:rsid w:val="005A3DF8"/>
    <w:rsid w:val="005A5549"/>
    <w:rsid w:val="005B121D"/>
    <w:rsid w:val="005B4853"/>
    <w:rsid w:val="005B6CA1"/>
    <w:rsid w:val="005B770C"/>
    <w:rsid w:val="005C06ED"/>
    <w:rsid w:val="005C11B8"/>
    <w:rsid w:val="005C2609"/>
    <w:rsid w:val="005C45DD"/>
    <w:rsid w:val="005D3F06"/>
    <w:rsid w:val="005D4B73"/>
    <w:rsid w:val="005D5802"/>
    <w:rsid w:val="005D5AA9"/>
    <w:rsid w:val="005D66E6"/>
    <w:rsid w:val="005D7119"/>
    <w:rsid w:val="005D76C8"/>
    <w:rsid w:val="005D7890"/>
    <w:rsid w:val="005E19C1"/>
    <w:rsid w:val="005E2194"/>
    <w:rsid w:val="005E24F0"/>
    <w:rsid w:val="005E36FE"/>
    <w:rsid w:val="005E490F"/>
    <w:rsid w:val="005E4BC9"/>
    <w:rsid w:val="005E5314"/>
    <w:rsid w:val="005E7C78"/>
    <w:rsid w:val="005F04A7"/>
    <w:rsid w:val="005F114F"/>
    <w:rsid w:val="005F18C5"/>
    <w:rsid w:val="005F2A08"/>
    <w:rsid w:val="005F36CC"/>
    <w:rsid w:val="005F3EB1"/>
    <w:rsid w:val="005F466B"/>
    <w:rsid w:val="005F46D8"/>
    <w:rsid w:val="005F5469"/>
    <w:rsid w:val="005F63F3"/>
    <w:rsid w:val="005F6D7F"/>
    <w:rsid w:val="00601EEF"/>
    <w:rsid w:val="00604307"/>
    <w:rsid w:val="0060487F"/>
    <w:rsid w:val="00604EAD"/>
    <w:rsid w:val="0060513F"/>
    <w:rsid w:val="006104FB"/>
    <w:rsid w:val="00612A2F"/>
    <w:rsid w:val="00612AAE"/>
    <w:rsid w:val="006139E0"/>
    <w:rsid w:val="006156B4"/>
    <w:rsid w:val="00615DAF"/>
    <w:rsid w:val="00616E05"/>
    <w:rsid w:val="00617985"/>
    <w:rsid w:val="00624093"/>
    <w:rsid w:val="00631698"/>
    <w:rsid w:val="00631E44"/>
    <w:rsid w:val="00634C57"/>
    <w:rsid w:val="00634CE7"/>
    <w:rsid w:val="006350D5"/>
    <w:rsid w:val="0063642C"/>
    <w:rsid w:val="00637858"/>
    <w:rsid w:val="006404A7"/>
    <w:rsid w:val="00640A38"/>
    <w:rsid w:val="00644137"/>
    <w:rsid w:val="0064478C"/>
    <w:rsid w:val="006451E4"/>
    <w:rsid w:val="00645B33"/>
    <w:rsid w:val="006516CB"/>
    <w:rsid w:val="00653BD0"/>
    <w:rsid w:val="00654110"/>
    <w:rsid w:val="00656CFB"/>
    <w:rsid w:val="00657E87"/>
    <w:rsid w:val="00660D2D"/>
    <w:rsid w:val="00662469"/>
    <w:rsid w:val="00664647"/>
    <w:rsid w:val="00664803"/>
    <w:rsid w:val="00665BA4"/>
    <w:rsid w:val="00667AF2"/>
    <w:rsid w:val="00670489"/>
    <w:rsid w:val="006710C9"/>
    <w:rsid w:val="006741CD"/>
    <w:rsid w:val="00674D89"/>
    <w:rsid w:val="00675E37"/>
    <w:rsid w:val="00676736"/>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5065"/>
    <w:rsid w:val="00695BEF"/>
    <w:rsid w:val="006966C7"/>
    <w:rsid w:val="006968C1"/>
    <w:rsid w:val="006977F6"/>
    <w:rsid w:val="00697A13"/>
    <w:rsid w:val="006A109C"/>
    <w:rsid w:val="006A6565"/>
    <w:rsid w:val="006A7691"/>
    <w:rsid w:val="006A7EE2"/>
    <w:rsid w:val="006B0514"/>
    <w:rsid w:val="006B0F92"/>
    <w:rsid w:val="006B2785"/>
    <w:rsid w:val="006B344A"/>
    <w:rsid w:val="006B58C9"/>
    <w:rsid w:val="006B60ED"/>
    <w:rsid w:val="006B74AC"/>
    <w:rsid w:val="006B78D8"/>
    <w:rsid w:val="006B79EA"/>
    <w:rsid w:val="006C0C5D"/>
    <w:rsid w:val="006C113F"/>
    <w:rsid w:val="006C123E"/>
    <w:rsid w:val="006C15A1"/>
    <w:rsid w:val="006C1752"/>
    <w:rsid w:val="006C28CA"/>
    <w:rsid w:val="006C4355"/>
    <w:rsid w:val="006C469D"/>
    <w:rsid w:val="006C46B5"/>
    <w:rsid w:val="006C52EC"/>
    <w:rsid w:val="006C56D4"/>
    <w:rsid w:val="006C6681"/>
    <w:rsid w:val="006C683C"/>
    <w:rsid w:val="006C6924"/>
    <w:rsid w:val="006C6C1E"/>
    <w:rsid w:val="006C7CA6"/>
    <w:rsid w:val="006D18B3"/>
    <w:rsid w:val="006D3E8A"/>
    <w:rsid w:val="006D61F6"/>
    <w:rsid w:val="006E1332"/>
    <w:rsid w:val="006E279A"/>
    <w:rsid w:val="006E313B"/>
    <w:rsid w:val="006E3A45"/>
    <w:rsid w:val="006E53AD"/>
    <w:rsid w:val="006E7227"/>
    <w:rsid w:val="006F0741"/>
    <w:rsid w:val="006F1C27"/>
    <w:rsid w:val="006F42BB"/>
    <w:rsid w:val="006F438E"/>
    <w:rsid w:val="006F440B"/>
    <w:rsid w:val="006F5416"/>
    <w:rsid w:val="006F624B"/>
    <w:rsid w:val="0070398A"/>
    <w:rsid w:val="00705242"/>
    <w:rsid w:val="007055E0"/>
    <w:rsid w:val="007065C5"/>
    <w:rsid w:val="00706AA0"/>
    <w:rsid w:val="00706AD4"/>
    <w:rsid w:val="00707150"/>
    <w:rsid w:val="00713549"/>
    <w:rsid w:val="007140BE"/>
    <w:rsid w:val="00715E4D"/>
    <w:rsid w:val="00716F48"/>
    <w:rsid w:val="00717114"/>
    <w:rsid w:val="0071779F"/>
    <w:rsid w:val="007211F5"/>
    <w:rsid w:val="007240E2"/>
    <w:rsid w:val="0072583E"/>
    <w:rsid w:val="00725BB5"/>
    <w:rsid w:val="00727C02"/>
    <w:rsid w:val="00730AE8"/>
    <w:rsid w:val="00730F1B"/>
    <w:rsid w:val="0073186D"/>
    <w:rsid w:val="007343D9"/>
    <w:rsid w:val="00741493"/>
    <w:rsid w:val="007434E5"/>
    <w:rsid w:val="00752180"/>
    <w:rsid w:val="00752323"/>
    <w:rsid w:val="007532B7"/>
    <w:rsid w:val="00753CAB"/>
    <w:rsid w:val="00754A70"/>
    <w:rsid w:val="00755202"/>
    <w:rsid w:val="00755D3A"/>
    <w:rsid w:val="0075751D"/>
    <w:rsid w:val="007578D3"/>
    <w:rsid w:val="00760391"/>
    <w:rsid w:val="007609C6"/>
    <w:rsid w:val="007615F3"/>
    <w:rsid w:val="0076175D"/>
    <w:rsid w:val="00763B85"/>
    <w:rsid w:val="00764974"/>
    <w:rsid w:val="0076521E"/>
    <w:rsid w:val="007661E9"/>
    <w:rsid w:val="00767062"/>
    <w:rsid w:val="00771972"/>
    <w:rsid w:val="00774D2C"/>
    <w:rsid w:val="00776169"/>
    <w:rsid w:val="00776527"/>
    <w:rsid w:val="00777040"/>
    <w:rsid w:val="00777CE6"/>
    <w:rsid w:val="00780EF1"/>
    <w:rsid w:val="00781A91"/>
    <w:rsid w:val="00786C87"/>
    <w:rsid w:val="007877C9"/>
    <w:rsid w:val="00790764"/>
    <w:rsid w:val="0079085F"/>
    <w:rsid w:val="00791005"/>
    <w:rsid w:val="00793D78"/>
    <w:rsid w:val="0079453C"/>
    <w:rsid w:val="00794677"/>
    <w:rsid w:val="007A33E2"/>
    <w:rsid w:val="007A3CAF"/>
    <w:rsid w:val="007A516D"/>
    <w:rsid w:val="007A5E65"/>
    <w:rsid w:val="007A775D"/>
    <w:rsid w:val="007B0834"/>
    <w:rsid w:val="007B0E83"/>
    <w:rsid w:val="007B11FA"/>
    <w:rsid w:val="007B1396"/>
    <w:rsid w:val="007B2011"/>
    <w:rsid w:val="007B2CFE"/>
    <w:rsid w:val="007B3D5E"/>
    <w:rsid w:val="007B3DCB"/>
    <w:rsid w:val="007B5725"/>
    <w:rsid w:val="007B6689"/>
    <w:rsid w:val="007B6747"/>
    <w:rsid w:val="007B6F72"/>
    <w:rsid w:val="007C1F0C"/>
    <w:rsid w:val="007C1FFB"/>
    <w:rsid w:val="007C2D94"/>
    <w:rsid w:val="007C5F92"/>
    <w:rsid w:val="007C6227"/>
    <w:rsid w:val="007C6BBD"/>
    <w:rsid w:val="007D0382"/>
    <w:rsid w:val="007D1A1F"/>
    <w:rsid w:val="007D2E18"/>
    <w:rsid w:val="007D40DF"/>
    <w:rsid w:val="007D4458"/>
    <w:rsid w:val="007E0D4A"/>
    <w:rsid w:val="007E1788"/>
    <w:rsid w:val="007E29B4"/>
    <w:rsid w:val="007E435A"/>
    <w:rsid w:val="007E49F7"/>
    <w:rsid w:val="007E4C70"/>
    <w:rsid w:val="007E78B6"/>
    <w:rsid w:val="007E7E61"/>
    <w:rsid w:val="007F0845"/>
    <w:rsid w:val="007F20F3"/>
    <w:rsid w:val="007F2390"/>
    <w:rsid w:val="007F708D"/>
    <w:rsid w:val="008006B3"/>
    <w:rsid w:val="00801E13"/>
    <w:rsid w:val="00803069"/>
    <w:rsid w:val="0080734C"/>
    <w:rsid w:val="00807C82"/>
    <w:rsid w:val="008117CC"/>
    <w:rsid w:val="00813DCA"/>
    <w:rsid w:val="008161A6"/>
    <w:rsid w:val="00816905"/>
    <w:rsid w:val="00817A17"/>
    <w:rsid w:val="00817EC1"/>
    <w:rsid w:val="0082112D"/>
    <w:rsid w:val="00821FF6"/>
    <w:rsid w:val="00822574"/>
    <w:rsid w:val="00825C4D"/>
    <w:rsid w:val="00826A08"/>
    <w:rsid w:val="00827186"/>
    <w:rsid w:val="00827C8E"/>
    <w:rsid w:val="00830AEA"/>
    <w:rsid w:val="00830E86"/>
    <w:rsid w:val="0083143E"/>
    <w:rsid w:val="008315D5"/>
    <w:rsid w:val="00831CDE"/>
    <w:rsid w:val="00834304"/>
    <w:rsid w:val="00834FAA"/>
    <w:rsid w:val="008354FB"/>
    <w:rsid w:val="00836086"/>
    <w:rsid w:val="0083630F"/>
    <w:rsid w:val="00836A06"/>
    <w:rsid w:val="008374BC"/>
    <w:rsid w:val="00840293"/>
    <w:rsid w:val="008417B5"/>
    <w:rsid w:val="00841901"/>
    <w:rsid w:val="008458BD"/>
    <w:rsid w:val="00846121"/>
    <w:rsid w:val="008466C6"/>
    <w:rsid w:val="0084708F"/>
    <w:rsid w:val="008477C8"/>
    <w:rsid w:val="008478A6"/>
    <w:rsid w:val="0085114D"/>
    <w:rsid w:val="008520A8"/>
    <w:rsid w:val="00852217"/>
    <w:rsid w:val="00855408"/>
    <w:rsid w:val="00856D65"/>
    <w:rsid w:val="00861B41"/>
    <w:rsid w:val="00861B9F"/>
    <w:rsid w:val="00861BE3"/>
    <w:rsid w:val="008625D3"/>
    <w:rsid w:val="00863434"/>
    <w:rsid w:val="008641AC"/>
    <w:rsid w:val="00865E4C"/>
    <w:rsid w:val="00867DAB"/>
    <w:rsid w:val="008701E4"/>
    <w:rsid w:val="008734E7"/>
    <w:rsid w:val="0087368D"/>
    <w:rsid w:val="00874FE8"/>
    <w:rsid w:val="00875A32"/>
    <w:rsid w:val="00876086"/>
    <w:rsid w:val="00876E83"/>
    <w:rsid w:val="008772BC"/>
    <w:rsid w:val="00882911"/>
    <w:rsid w:val="00885D40"/>
    <w:rsid w:val="008873D4"/>
    <w:rsid w:val="00891EDF"/>
    <w:rsid w:val="00892872"/>
    <w:rsid w:val="0089296D"/>
    <w:rsid w:val="00893E85"/>
    <w:rsid w:val="00894031"/>
    <w:rsid w:val="00894C5D"/>
    <w:rsid w:val="00895508"/>
    <w:rsid w:val="008967E9"/>
    <w:rsid w:val="008972D2"/>
    <w:rsid w:val="0089754C"/>
    <w:rsid w:val="008A0ADD"/>
    <w:rsid w:val="008A37E2"/>
    <w:rsid w:val="008A388E"/>
    <w:rsid w:val="008A3CBA"/>
    <w:rsid w:val="008A4B59"/>
    <w:rsid w:val="008B3C07"/>
    <w:rsid w:val="008B3F7B"/>
    <w:rsid w:val="008B6106"/>
    <w:rsid w:val="008B7C02"/>
    <w:rsid w:val="008B7D2B"/>
    <w:rsid w:val="008B7EF9"/>
    <w:rsid w:val="008C0049"/>
    <w:rsid w:val="008C0E88"/>
    <w:rsid w:val="008C4B50"/>
    <w:rsid w:val="008C7569"/>
    <w:rsid w:val="008D0DBD"/>
    <w:rsid w:val="008D127E"/>
    <w:rsid w:val="008D1CA8"/>
    <w:rsid w:val="008D1E6A"/>
    <w:rsid w:val="008D2A16"/>
    <w:rsid w:val="008D33F5"/>
    <w:rsid w:val="008D35E4"/>
    <w:rsid w:val="008E292B"/>
    <w:rsid w:val="008E2C57"/>
    <w:rsid w:val="008E31FF"/>
    <w:rsid w:val="008E6DCB"/>
    <w:rsid w:val="008E6F06"/>
    <w:rsid w:val="008E7B8E"/>
    <w:rsid w:val="008E7FC9"/>
    <w:rsid w:val="008F029B"/>
    <w:rsid w:val="008F2A5D"/>
    <w:rsid w:val="008F3636"/>
    <w:rsid w:val="008F3FC9"/>
    <w:rsid w:val="008F585B"/>
    <w:rsid w:val="009003A8"/>
    <w:rsid w:val="009021DA"/>
    <w:rsid w:val="00902500"/>
    <w:rsid w:val="00902EFF"/>
    <w:rsid w:val="0090432C"/>
    <w:rsid w:val="00904F96"/>
    <w:rsid w:val="009052A3"/>
    <w:rsid w:val="009056D7"/>
    <w:rsid w:val="00905B8D"/>
    <w:rsid w:val="00906401"/>
    <w:rsid w:val="0090786F"/>
    <w:rsid w:val="009110F7"/>
    <w:rsid w:val="0091155E"/>
    <w:rsid w:val="00912437"/>
    <w:rsid w:val="00912A92"/>
    <w:rsid w:val="00915D07"/>
    <w:rsid w:val="009162AE"/>
    <w:rsid w:val="00917251"/>
    <w:rsid w:val="0091728D"/>
    <w:rsid w:val="00920EC4"/>
    <w:rsid w:val="0092180B"/>
    <w:rsid w:val="00921F14"/>
    <w:rsid w:val="00923CB0"/>
    <w:rsid w:val="00924871"/>
    <w:rsid w:val="00924AC8"/>
    <w:rsid w:val="00925429"/>
    <w:rsid w:val="0092597A"/>
    <w:rsid w:val="00926520"/>
    <w:rsid w:val="0093033E"/>
    <w:rsid w:val="009305FC"/>
    <w:rsid w:val="00930FB1"/>
    <w:rsid w:val="0093139F"/>
    <w:rsid w:val="00932443"/>
    <w:rsid w:val="00933F4A"/>
    <w:rsid w:val="00935BD4"/>
    <w:rsid w:val="009373B2"/>
    <w:rsid w:val="00937AE2"/>
    <w:rsid w:val="0094416B"/>
    <w:rsid w:val="0094427A"/>
    <w:rsid w:val="00944C7C"/>
    <w:rsid w:val="00945245"/>
    <w:rsid w:val="00945523"/>
    <w:rsid w:val="009568DC"/>
    <w:rsid w:val="0095759C"/>
    <w:rsid w:val="009618EE"/>
    <w:rsid w:val="009624D2"/>
    <w:rsid w:val="009628D9"/>
    <w:rsid w:val="009637AE"/>
    <w:rsid w:val="00964776"/>
    <w:rsid w:val="00964A4E"/>
    <w:rsid w:val="00964B35"/>
    <w:rsid w:val="009651C7"/>
    <w:rsid w:val="00965797"/>
    <w:rsid w:val="00965A10"/>
    <w:rsid w:val="009670A3"/>
    <w:rsid w:val="009674BE"/>
    <w:rsid w:val="00971C77"/>
    <w:rsid w:val="00972FCD"/>
    <w:rsid w:val="009741FC"/>
    <w:rsid w:val="00974923"/>
    <w:rsid w:val="00977C3D"/>
    <w:rsid w:val="00980D3D"/>
    <w:rsid w:val="00983101"/>
    <w:rsid w:val="00983E41"/>
    <w:rsid w:val="00987A30"/>
    <w:rsid w:val="0099182E"/>
    <w:rsid w:val="00992CF3"/>
    <w:rsid w:val="00994868"/>
    <w:rsid w:val="009968D6"/>
    <w:rsid w:val="009A10A0"/>
    <w:rsid w:val="009A1CAB"/>
    <w:rsid w:val="009A2359"/>
    <w:rsid w:val="009A24F1"/>
    <w:rsid w:val="009A4D57"/>
    <w:rsid w:val="009A60D1"/>
    <w:rsid w:val="009A64F5"/>
    <w:rsid w:val="009B00D2"/>
    <w:rsid w:val="009B05B3"/>
    <w:rsid w:val="009B3764"/>
    <w:rsid w:val="009B66CE"/>
    <w:rsid w:val="009B6FD3"/>
    <w:rsid w:val="009B7DB2"/>
    <w:rsid w:val="009C1750"/>
    <w:rsid w:val="009C2E29"/>
    <w:rsid w:val="009C3E8F"/>
    <w:rsid w:val="009C554B"/>
    <w:rsid w:val="009C719E"/>
    <w:rsid w:val="009C7799"/>
    <w:rsid w:val="009D07A9"/>
    <w:rsid w:val="009D3ACD"/>
    <w:rsid w:val="009D7731"/>
    <w:rsid w:val="009E1922"/>
    <w:rsid w:val="009E4715"/>
    <w:rsid w:val="009E5273"/>
    <w:rsid w:val="009E57A8"/>
    <w:rsid w:val="009E5B85"/>
    <w:rsid w:val="009E5DDB"/>
    <w:rsid w:val="009F4982"/>
    <w:rsid w:val="009F4CA7"/>
    <w:rsid w:val="009F7D36"/>
    <w:rsid w:val="00A00E71"/>
    <w:rsid w:val="00A03B10"/>
    <w:rsid w:val="00A04616"/>
    <w:rsid w:val="00A04717"/>
    <w:rsid w:val="00A05EE4"/>
    <w:rsid w:val="00A10D66"/>
    <w:rsid w:val="00A14114"/>
    <w:rsid w:val="00A16413"/>
    <w:rsid w:val="00A16545"/>
    <w:rsid w:val="00A16AED"/>
    <w:rsid w:val="00A16E1D"/>
    <w:rsid w:val="00A17A15"/>
    <w:rsid w:val="00A17D5B"/>
    <w:rsid w:val="00A23E43"/>
    <w:rsid w:val="00A24ED9"/>
    <w:rsid w:val="00A25216"/>
    <w:rsid w:val="00A2628E"/>
    <w:rsid w:val="00A2731E"/>
    <w:rsid w:val="00A309AC"/>
    <w:rsid w:val="00A30F65"/>
    <w:rsid w:val="00A3279E"/>
    <w:rsid w:val="00A35900"/>
    <w:rsid w:val="00A40EAC"/>
    <w:rsid w:val="00A418BC"/>
    <w:rsid w:val="00A41FCF"/>
    <w:rsid w:val="00A43CF8"/>
    <w:rsid w:val="00A43DF2"/>
    <w:rsid w:val="00A445A8"/>
    <w:rsid w:val="00A44B0D"/>
    <w:rsid w:val="00A45087"/>
    <w:rsid w:val="00A45489"/>
    <w:rsid w:val="00A46DE0"/>
    <w:rsid w:val="00A50D73"/>
    <w:rsid w:val="00A52A88"/>
    <w:rsid w:val="00A52CAD"/>
    <w:rsid w:val="00A53FC7"/>
    <w:rsid w:val="00A55569"/>
    <w:rsid w:val="00A626FF"/>
    <w:rsid w:val="00A62CE1"/>
    <w:rsid w:val="00A655D3"/>
    <w:rsid w:val="00A662D9"/>
    <w:rsid w:val="00A6741E"/>
    <w:rsid w:val="00A7016A"/>
    <w:rsid w:val="00A7018D"/>
    <w:rsid w:val="00A722F9"/>
    <w:rsid w:val="00A72D42"/>
    <w:rsid w:val="00A75E40"/>
    <w:rsid w:val="00A77D1D"/>
    <w:rsid w:val="00A81652"/>
    <w:rsid w:val="00A83150"/>
    <w:rsid w:val="00A83398"/>
    <w:rsid w:val="00A857C0"/>
    <w:rsid w:val="00A90FED"/>
    <w:rsid w:val="00A9189D"/>
    <w:rsid w:val="00A91E71"/>
    <w:rsid w:val="00A925B1"/>
    <w:rsid w:val="00A96116"/>
    <w:rsid w:val="00A9614E"/>
    <w:rsid w:val="00A96C0F"/>
    <w:rsid w:val="00AA212F"/>
    <w:rsid w:val="00AA2996"/>
    <w:rsid w:val="00AA2AF4"/>
    <w:rsid w:val="00AA52BF"/>
    <w:rsid w:val="00AA559A"/>
    <w:rsid w:val="00AA6C31"/>
    <w:rsid w:val="00AA7CE8"/>
    <w:rsid w:val="00AB2AF1"/>
    <w:rsid w:val="00AB5A64"/>
    <w:rsid w:val="00AB5CA1"/>
    <w:rsid w:val="00AB6456"/>
    <w:rsid w:val="00AC044E"/>
    <w:rsid w:val="00AC2395"/>
    <w:rsid w:val="00AC2960"/>
    <w:rsid w:val="00AC2AC4"/>
    <w:rsid w:val="00AC4284"/>
    <w:rsid w:val="00AC45BD"/>
    <w:rsid w:val="00AD0EE7"/>
    <w:rsid w:val="00AD168E"/>
    <w:rsid w:val="00AD306C"/>
    <w:rsid w:val="00AD5AD2"/>
    <w:rsid w:val="00AD6462"/>
    <w:rsid w:val="00AD66C5"/>
    <w:rsid w:val="00AD68C4"/>
    <w:rsid w:val="00AD71F9"/>
    <w:rsid w:val="00AE09B3"/>
    <w:rsid w:val="00AE1A83"/>
    <w:rsid w:val="00AE7CE7"/>
    <w:rsid w:val="00AE7FAB"/>
    <w:rsid w:val="00AF1E87"/>
    <w:rsid w:val="00AF436B"/>
    <w:rsid w:val="00AF5179"/>
    <w:rsid w:val="00AF5CC2"/>
    <w:rsid w:val="00AF6776"/>
    <w:rsid w:val="00AF6F98"/>
    <w:rsid w:val="00B00913"/>
    <w:rsid w:val="00B01593"/>
    <w:rsid w:val="00B01FF9"/>
    <w:rsid w:val="00B023F2"/>
    <w:rsid w:val="00B06DB4"/>
    <w:rsid w:val="00B10A4D"/>
    <w:rsid w:val="00B10C90"/>
    <w:rsid w:val="00B11002"/>
    <w:rsid w:val="00B121B2"/>
    <w:rsid w:val="00B14BC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7D3A"/>
    <w:rsid w:val="00B402FC"/>
    <w:rsid w:val="00B422E2"/>
    <w:rsid w:val="00B439DA"/>
    <w:rsid w:val="00B4411A"/>
    <w:rsid w:val="00B46604"/>
    <w:rsid w:val="00B47089"/>
    <w:rsid w:val="00B52151"/>
    <w:rsid w:val="00B530CD"/>
    <w:rsid w:val="00B53E56"/>
    <w:rsid w:val="00B55A97"/>
    <w:rsid w:val="00B55F5E"/>
    <w:rsid w:val="00B56B6F"/>
    <w:rsid w:val="00B5752E"/>
    <w:rsid w:val="00B62316"/>
    <w:rsid w:val="00B63A11"/>
    <w:rsid w:val="00B64425"/>
    <w:rsid w:val="00B64C24"/>
    <w:rsid w:val="00B65CEF"/>
    <w:rsid w:val="00B6608F"/>
    <w:rsid w:val="00B679FB"/>
    <w:rsid w:val="00B7680F"/>
    <w:rsid w:val="00B76D1E"/>
    <w:rsid w:val="00B77543"/>
    <w:rsid w:val="00B80EC6"/>
    <w:rsid w:val="00B81288"/>
    <w:rsid w:val="00B81D70"/>
    <w:rsid w:val="00B83E07"/>
    <w:rsid w:val="00B84CF6"/>
    <w:rsid w:val="00B85016"/>
    <w:rsid w:val="00B8561A"/>
    <w:rsid w:val="00B92D1D"/>
    <w:rsid w:val="00B938C5"/>
    <w:rsid w:val="00B95940"/>
    <w:rsid w:val="00B95ACA"/>
    <w:rsid w:val="00B97ACC"/>
    <w:rsid w:val="00BA3787"/>
    <w:rsid w:val="00BA46E8"/>
    <w:rsid w:val="00BA6436"/>
    <w:rsid w:val="00BA684E"/>
    <w:rsid w:val="00BA6C2B"/>
    <w:rsid w:val="00BA7B64"/>
    <w:rsid w:val="00BB02A3"/>
    <w:rsid w:val="00BB0351"/>
    <w:rsid w:val="00BB15C3"/>
    <w:rsid w:val="00BB1AF4"/>
    <w:rsid w:val="00BB46F3"/>
    <w:rsid w:val="00BB4CB1"/>
    <w:rsid w:val="00BB4F98"/>
    <w:rsid w:val="00BB5ABF"/>
    <w:rsid w:val="00BB6EA2"/>
    <w:rsid w:val="00BB7B5B"/>
    <w:rsid w:val="00BC003F"/>
    <w:rsid w:val="00BC327F"/>
    <w:rsid w:val="00BC5332"/>
    <w:rsid w:val="00BC5C12"/>
    <w:rsid w:val="00BC7154"/>
    <w:rsid w:val="00BC731E"/>
    <w:rsid w:val="00BC7614"/>
    <w:rsid w:val="00BD25BB"/>
    <w:rsid w:val="00BD2AF8"/>
    <w:rsid w:val="00BD366B"/>
    <w:rsid w:val="00BD6C75"/>
    <w:rsid w:val="00BD6D50"/>
    <w:rsid w:val="00BE0AD1"/>
    <w:rsid w:val="00BE0EF9"/>
    <w:rsid w:val="00BE18B9"/>
    <w:rsid w:val="00BE190A"/>
    <w:rsid w:val="00BE2495"/>
    <w:rsid w:val="00BE24DD"/>
    <w:rsid w:val="00BE386D"/>
    <w:rsid w:val="00BF02C8"/>
    <w:rsid w:val="00BF1578"/>
    <w:rsid w:val="00BF1D12"/>
    <w:rsid w:val="00BF1D3A"/>
    <w:rsid w:val="00BF2B5B"/>
    <w:rsid w:val="00BF32DC"/>
    <w:rsid w:val="00BF4E43"/>
    <w:rsid w:val="00BF5C4C"/>
    <w:rsid w:val="00C01410"/>
    <w:rsid w:val="00C04B78"/>
    <w:rsid w:val="00C052AA"/>
    <w:rsid w:val="00C06EE3"/>
    <w:rsid w:val="00C07749"/>
    <w:rsid w:val="00C11D48"/>
    <w:rsid w:val="00C1493E"/>
    <w:rsid w:val="00C15DBD"/>
    <w:rsid w:val="00C21430"/>
    <w:rsid w:val="00C21E61"/>
    <w:rsid w:val="00C21F94"/>
    <w:rsid w:val="00C2479A"/>
    <w:rsid w:val="00C24903"/>
    <w:rsid w:val="00C2590D"/>
    <w:rsid w:val="00C27913"/>
    <w:rsid w:val="00C31F21"/>
    <w:rsid w:val="00C33311"/>
    <w:rsid w:val="00C33B68"/>
    <w:rsid w:val="00C35570"/>
    <w:rsid w:val="00C36A79"/>
    <w:rsid w:val="00C401D2"/>
    <w:rsid w:val="00C4031A"/>
    <w:rsid w:val="00C405D4"/>
    <w:rsid w:val="00C419D5"/>
    <w:rsid w:val="00C4513B"/>
    <w:rsid w:val="00C5390B"/>
    <w:rsid w:val="00C54697"/>
    <w:rsid w:val="00C553A5"/>
    <w:rsid w:val="00C55402"/>
    <w:rsid w:val="00C5603B"/>
    <w:rsid w:val="00C61F47"/>
    <w:rsid w:val="00C62828"/>
    <w:rsid w:val="00C71D2F"/>
    <w:rsid w:val="00C72984"/>
    <w:rsid w:val="00C73885"/>
    <w:rsid w:val="00C73C93"/>
    <w:rsid w:val="00C7435A"/>
    <w:rsid w:val="00C747B1"/>
    <w:rsid w:val="00C82191"/>
    <w:rsid w:val="00C83134"/>
    <w:rsid w:val="00C832F3"/>
    <w:rsid w:val="00C85545"/>
    <w:rsid w:val="00C855B5"/>
    <w:rsid w:val="00C85F0E"/>
    <w:rsid w:val="00C90CF4"/>
    <w:rsid w:val="00C922DE"/>
    <w:rsid w:val="00C92843"/>
    <w:rsid w:val="00C92EB6"/>
    <w:rsid w:val="00C93389"/>
    <w:rsid w:val="00CA0346"/>
    <w:rsid w:val="00CA37FF"/>
    <w:rsid w:val="00CA6AB4"/>
    <w:rsid w:val="00CB2351"/>
    <w:rsid w:val="00CB4930"/>
    <w:rsid w:val="00CB5E10"/>
    <w:rsid w:val="00CC0834"/>
    <w:rsid w:val="00CC20FE"/>
    <w:rsid w:val="00CC2E7D"/>
    <w:rsid w:val="00CC655F"/>
    <w:rsid w:val="00CC6FE5"/>
    <w:rsid w:val="00CC76BD"/>
    <w:rsid w:val="00CD10A5"/>
    <w:rsid w:val="00CD1129"/>
    <w:rsid w:val="00CD1A80"/>
    <w:rsid w:val="00CD2076"/>
    <w:rsid w:val="00CD24CE"/>
    <w:rsid w:val="00CD29B5"/>
    <w:rsid w:val="00CD2B78"/>
    <w:rsid w:val="00CD5C3E"/>
    <w:rsid w:val="00CD6331"/>
    <w:rsid w:val="00CE14BE"/>
    <w:rsid w:val="00CE1BA9"/>
    <w:rsid w:val="00CE2D8F"/>
    <w:rsid w:val="00CE62FA"/>
    <w:rsid w:val="00CE670B"/>
    <w:rsid w:val="00CE6833"/>
    <w:rsid w:val="00CF4908"/>
    <w:rsid w:val="00CF51EC"/>
    <w:rsid w:val="00CF545D"/>
    <w:rsid w:val="00CF5873"/>
    <w:rsid w:val="00CF73AE"/>
    <w:rsid w:val="00D03A72"/>
    <w:rsid w:val="00D040DD"/>
    <w:rsid w:val="00D05C65"/>
    <w:rsid w:val="00D06D68"/>
    <w:rsid w:val="00D075BE"/>
    <w:rsid w:val="00D10C15"/>
    <w:rsid w:val="00D12C25"/>
    <w:rsid w:val="00D133B4"/>
    <w:rsid w:val="00D13986"/>
    <w:rsid w:val="00D14C5B"/>
    <w:rsid w:val="00D15FED"/>
    <w:rsid w:val="00D214EF"/>
    <w:rsid w:val="00D21D6D"/>
    <w:rsid w:val="00D21D83"/>
    <w:rsid w:val="00D235B7"/>
    <w:rsid w:val="00D25F28"/>
    <w:rsid w:val="00D26071"/>
    <w:rsid w:val="00D27973"/>
    <w:rsid w:val="00D31E1E"/>
    <w:rsid w:val="00D334E2"/>
    <w:rsid w:val="00D35BBB"/>
    <w:rsid w:val="00D35E1A"/>
    <w:rsid w:val="00D36DFB"/>
    <w:rsid w:val="00D36E1C"/>
    <w:rsid w:val="00D373AF"/>
    <w:rsid w:val="00D40556"/>
    <w:rsid w:val="00D41F74"/>
    <w:rsid w:val="00D43ED2"/>
    <w:rsid w:val="00D50F46"/>
    <w:rsid w:val="00D544E7"/>
    <w:rsid w:val="00D56FBF"/>
    <w:rsid w:val="00D57677"/>
    <w:rsid w:val="00D60415"/>
    <w:rsid w:val="00D63BE5"/>
    <w:rsid w:val="00D6475F"/>
    <w:rsid w:val="00D66223"/>
    <w:rsid w:val="00D70822"/>
    <w:rsid w:val="00D72076"/>
    <w:rsid w:val="00D726A9"/>
    <w:rsid w:val="00D743E0"/>
    <w:rsid w:val="00D77252"/>
    <w:rsid w:val="00D8084C"/>
    <w:rsid w:val="00D82EF1"/>
    <w:rsid w:val="00D84F43"/>
    <w:rsid w:val="00D85821"/>
    <w:rsid w:val="00D8598C"/>
    <w:rsid w:val="00D87C06"/>
    <w:rsid w:val="00D915EA"/>
    <w:rsid w:val="00D922A1"/>
    <w:rsid w:val="00D928BE"/>
    <w:rsid w:val="00D95C5D"/>
    <w:rsid w:val="00D97D00"/>
    <w:rsid w:val="00DA096C"/>
    <w:rsid w:val="00DA1AB6"/>
    <w:rsid w:val="00DA5F8E"/>
    <w:rsid w:val="00DA6364"/>
    <w:rsid w:val="00DA7114"/>
    <w:rsid w:val="00DA7C0C"/>
    <w:rsid w:val="00DB08A9"/>
    <w:rsid w:val="00DB2DFA"/>
    <w:rsid w:val="00DB2EC8"/>
    <w:rsid w:val="00DB5E9A"/>
    <w:rsid w:val="00DB657E"/>
    <w:rsid w:val="00DB7342"/>
    <w:rsid w:val="00DC17D0"/>
    <w:rsid w:val="00DC2B41"/>
    <w:rsid w:val="00DC435B"/>
    <w:rsid w:val="00DC56FE"/>
    <w:rsid w:val="00DC5B3B"/>
    <w:rsid w:val="00DC6C2D"/>
    <w:rsid w:val="00DC7B1A"/>
    <w:rsid w:val="00DD129F"/>
    <w:rsid w:val="00DD32DD"/>
    <w:rsid w:val="00DE0D8B"/>
    <w:rsid w:val="00DF3643"/>
    <w:rsid w:val="00DF42FF"/>
    <w:rsid w:val="00DF4369"/>
    <w:rsid w:val="00DF4423"/>
    <w:rsid w:val="00DF5D1E"/>
    <w:rsid w:val="00E01C0E"/>
    <w:rsid w:val="00E0368F"/>
    <w:rsid w:val="00E03D73"/>
    <w:rsid w:val="00E03F9A"/>
    <w:rsid w:val="00E04694"/>
    <w:rsid w:val="00E129E7"/>
    <w:rsid w:val="00E12ABE"/>
    <w:rsid w:val="00E12B1E"/>
    <w:rsid w:val="00E1444C"/>
    <w:rsid w:val="00E17262"/>
    <w:rsid w:val="00E20016"/>
    <w:rsid w:val="00E2009B"/>
    <w:rsid w:val="00E2251C"/>
    <w:rsid w:val="00E2363D"/>
    <w:rsid w:val="00E253A2"/>
    <w:rsid w:val="00E27127"/>
    <w:rsid w:val="00E27233"/>
    <w:rsid w:val="00E31771"/>
    <w:rsid w:val="00E32080"/>
    <w:rsid w:val="00E3309D"/>
    <w:rsid w:val="00E417BE"/>
    <w:rsid w:val="00E41CD5"/>
    <w:rsid w:val="00E43A9E"/>
    <w:rsid w:val="00E453F9"/>
    <w:rsid w:val="00E45D7D"/>
    <w:rsid w:val="00E4665D"/>
    <w:rsid w:val="00E47854"/>
    <w:rsid w:val="00E47EBA"/>
    <w:rsid w:val="00E50156"/>
    <w:rsid w:val="00E5076C"/>
    <w:rsid w:val="00E50D2E"/>
    <w:rsid w:val="00E53470"/>
    <w:rsid w:val="00E539F6"/>
    <w:rsid w:val="00E54698"/>
    <w:rsid w:val="00E55791"/>
    <w:rsid w:val="00E578A2"/>
    <w:rsid w:val="00E61740"/>
    <w:rsid w:val="00E61EB5"/>
    <w:rsid w:val="00E6519D"/>
    <w:rsid w:val="00E66062"/>
    <w:rsid w:val="00E67305"/>
    <w:rsid w:val="00E67696"/>
    <w:rsid w:val="00E71A58"/>
    <w:rsid w:val="00E72A26"/>
    <w:rsid w:val="00E72A7A"/>
    <w:rsid w:val="00E747DC"/>
    <w:rsid w:val="00E75C94"/>
    <w:rsid w:val="00E76B9B"/>
    <w:rsid w:val="00E76E61"/>
    <w:rsid w:val="00E80CA3"/>
    <w:rsid w:val="00E82618"/>
    <w:rsid w:val="00E90CA8"/>
    <w:rsid w:val="00E930A1"/>
    <w:rsid w:val="00E93820"/>
    <w:rsid w:val="00E94A86"/>
    <w:rsid w:val="00E96143"/>
    <w:rsid w:val="00E96833"/>
    <w:rsid w:val="00EA0C68"/>
    <w:rsid w:val="00EA2841"/>
    <w:rsid w:val="00EA32BC"/>
    <w:rsid w:val="00EA35A7"/>
    <w:rsid w:val="00EA3B32"/>
    <w:rsid w:val="00EA4402"/>
    <w:rsid w:val="00EA513E"/>
    <w:rsid w:val="00EB0E32"/>
    <w:rsid w:val="00EB4511"/>
    <w:rsid w:val="00EB4A8E"/>
    <w:rsid w:val="00EB5BF7"/>
    <w:rsid w:val="00EB5E79"/>
    <w:rsid w:val="00EB6FAC"/>
    <w:rsid w:val="00EC03D7"/>
    <w:rsid w:val="00EC13A7"/>
    <w:rsid w:val="00ED0EF0"/>
    <w:rsid w:val="00ED12B9"/>
    <w:rsid w:val="00ED16B8"/>
    <w:rsid w:val="00ED2EA1"/>
    <w:rsid w:val="00ED4D04"/>
    <w:rsid w:val="00ED62C6"/>
    <w:rsid w:val="00ED64C1"/>
    <w:rsid w:val="00EE3446"/>
    <w:rsid w:val="00EE3E78"/>
    <w:rsid w:val="00EE4B1B"/>
    <w:rsid w:val="00EE5FBA"/>
    <w:rsid w:val="00EE6E06"/>
    <w:rsid w:val="00EF150D"/>
    <w:rsid w:val="00EF1F5A"/>
    <w:rsid w:val="00EF47BF"/>
    <w:rsid w:val="00EF5A13"/>
    <w:rsid w:val="00EF5FF9"/>
    <w:rsid w:val="00F0160B"/>
    <w:rsid w:val="00F03F8D"/>
    <w:rsid w:val="00F04811"/>
    <w:rsid w:val="00F0488C"/>
    <w:rsid w:val="00F073ED"/>
    <w:rsid w:val="00F07C4C"/>
    <w:rsid w:val="00F10F11"/>
    <w:rsid w:val="00F12CFB"/>
    <w:rsid w:val="00F15AAA"/>
    <w:rsid w:val="00F15BEF"/>
    <w:rsid w:val="00F17898"/>
    <w:rsid w:val="00F207C2"/>
    <w:rsid w:val="00F219A1"/>
    <w:rsid w:val="00F23E20"/>
    <w:rsid w:val="00F24407"/>
    <w:rsid w:val="00F24FAA"/>
    <w:rsid w:val="00F25040"/>
    <w:rsid w:val="00F27071"/>
    <w:rsid w:val="00F27331"/>
    <w:rsid w:val="00F27EE5"/>
    <w:rsid w:val="00F30C65"/>
    <w:rsid w:val="00F3364D"/>
    <w:rsid w:val="00F349BF"/>
    <w:rsid w:val="00F437CC"/>
    <w:rsid w:val="00F44537"/>
    <w:rsid w:val="00F46185"/>
    <w:rsid w:val="00F46423"/>
    <w:rsid w:val="00F4696A"/>
    <w:rsid w:val="00F47067"/>
    <w:rsid w:val="00F525EB"/>
    <w:rsid w:val="00F52CB5"/>
    <w:rsid w:val="00F63AAE"/>
    <w:rsid w:val="00F63DDE"/>
    <w:rsid w:val="00F63FB7"/>
    <w:rsid w:val="00F6421B"/>
    <w:rsid w:val="00F649D2"/>
    <w:rsid w:val="00F6602B"/>
    <w:rsid w:val="00F7150B"/>
    <w:rsid w:val="00F73A0C"/>
    <w:rsid w:val="00F756DB"/>
    <w:rsid w:val="00F767A8"/>
    <w:rsid w:val="00F84E7D"/>
    <w:rsid w:val="00F85066"/>
    <w:rsid w:val="00F87A4D"/>
    <w:rsid w:val="00F93688"/>
    <w:rsid w:val="00F939F3"/>
    <w:rsid w:val="00FA0105"/>
    <w:rsid w:val="00FA05A0"/>
    <w:rsid w:val="00FA17CC"/>
    <w:rsid w:val="00FA1F01"/>
    <w:rsid w:val="00FA5112"/>
    <w:rsid w:val="00FA5526"/>
    <w:rsid w:val="00FA5D4D"/>
    <w:rsid w:val="00FA70D3"/>
    <w:rsid w:val="00FB0AEA"/>
    <w:rsid w:val="00FB0EE2"/>
    <w:rsid w:val="00FB1A79"/>
    <w:rsid w:val="00FB208B"/>
    <w:rsid w:val="00FB2B2D"/>
    <w:rsid w:val="00FB542E"/>
    <w:rsid w:val="00FB7DBB"/>
    <w:rsid w:val="00FC05F8"/>
    <w:rsid w:val="00FC0E5F"/>
    <w:rsid w:val="00FC1A95"/>
    <w:rsid w:val="00FC3BEC"/>
    <w:rsid w:val="00FC440B"/>
    <w:rsid w:val="00FC56DE"/>
    <w:rsid w:val="00FC64DE"/>
    <w:rsid w:val="00FC684B"/>
    <w:rsid w:val="00FC7D98"/>
    <w:rsid w:val="00FD1135"/>
    <w:rsid w:val="00FD3265"/>
    <w:rsid w:val="00FD3CF7"/>
    <w:rsid w:val="00FD4916"/>
    <w:rsid w:val="00FD4D12"/>
    <w:rsid w:val="00FE27C7"/>
    <w:rsid w:val="00FE2C7E"/>
    <w:rsid w:val="00FE2F78"/>
    <w:rsid w:val="00FE3137"/>
    <w:rsid w:val="00FE48E4"/>
    <w:rsid w:val="00FE634C"/>
    <w:rsid w:val="00FE6E69"/>
    <w:rsid w:val="00FF3D76"/>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vraznn">
    <w:name w:val="Emphasis"/>
    <w:basedOn w:val="Standardnpsmoodstavce"/>
    <w:uiPriority w:val="20"/>
    <w:qFormat/>
    <w:rsid w:val="00965797"/>
    <w:rPr>
      <w:i/>
      <w:iCs/>
    </w:rPr>
  </w:style>
  <w:style w:type="paragraph" w:styleId="Rozvrendokumentu">
    <w:name w:val="Document Map"/>
    <w:basedOn w:val="Normln"/>
    <w:link w:val="RozvrendokumentuChar"/>
    <w:uiPriority w:val="99"/>
    <w:semiHidden/>
    <w:rsid w:val="00AD5AD2"/>
    <w:pPr>
      <w:spacing w:after="0" w:line="288" w:lineRule="auto"/>
      <w:jc w:val="left"/>
    </w:pPr>
    <w:rPr>
      <w:rFonts w:ascii="Tahoma" w:eastAsia="Calibri" w:hAnsi="Tahoma" w:cs="Tahoma"/>
      <w:sz w:val="16"/>
      <w:szCs w:val="16"/>
    </w:rPr>
  </w:style>
  <w:style w:type="character" w:customStyle="1" w:styleId="RozvrendokumentuChar">
    <w:name w:val="Rozvržení dokumentu Char"/>
    <w:basedOn w:val="Standardnpsmoodstavce"/>
    <w:link w:val="Rozvr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26" Type="http://schemas.openxmlformats.org/officeDocument/2006/relationships/chart" Target="charts/chart14.xm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3.xml"/><Relationship Id="rId33" Type="http://schemas.openxmlformats.org/officeDocument/2006/relationships/chart" Target="charts/chart2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footer" Target="footer1.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2.xml"/><Relationship Id="rId32" Type="http://schemas.openxmlformats.org/officeDocument/2006/relationships/chart" Target="charts/chart20.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chart" Target="charts/chart2.xml"/><Relationship Id="rId19" Type="http://schemas.openxmlformats.org/officeDocument/2006/relationships/header" Target="header2.xml"/><Relationship Id="rId31" Type="http://schemas.openxmlformats.org/officeDocument/2006/relationships/chart" Target="charts/chart19.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Q\2018Q3\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okumenty\Anal&#253;za\Q\2018Q3\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okumenty\Anal&#253;za\Q\2018Q3\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okumenty\Anal&#253;za\Q\2018Q3\Makroanal&#253;za%20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okumenty\Anal&#253;za\Q\2018Q3\Makroanal&#253;za%20graf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okumenty\Anal&#253;za\Q\2018Q3\Makroanal&#253;za%20graf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JKAM%20CSU\PUBLIKACE\PUBLIKACE\2018\QMakro\1-3.&#269;tvrtlet&#237;\Trh%20pr&#225;ce\Grafy-trh%20pr&#225;ce-2018-3q.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JKAM%20CSU\PUBLIKACE\PUBLIKACE\2018\QMakro\1-3.&#269;tvrtlet&#237;\Grafy-trh%20pr&#225;ce-2018-3q.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JKAM%20CSU\PUBLIKACE\PUBLIKACE\2018\QMakro\1-3.&#269;tvrtlet&#237;\Trh%20pr&#225;ce\Grafy-trh%20pr&#225;ce-2018-3q.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Dokumenty\Anal&#253;za\Q\2018Q3\Makroanal&#253;za%20graf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JKAM%20CSU\PUBLIKACE\PUBLIKACE\2018\QMakro\1-3.&#269;tvrtlet&#237;\St&#225;tn&#237;%20rozpo&#269;et\Grafy-st&#225;tn&#237;%20rozpo&#269;et-1-3q-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Anal&#253;za\Q\2018Q3\Makroanal&#253;za%20graf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JKAM%20CSU\PUBLIKACE\PUBLIKACE\2018\QMakro\1-3.&#269;tvrtlet&#237;\St&#225;tn&#237;%20rozpo&#269;et\Grafy-st&#225;tn&#237;%20rozpo&#269;et-1-3q-2018.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JKAM%20CSU\PUBLIKACE\PUBLIKACE\2018\QMakro\1-3.&#269;tvrtlet&#237;\St&#225;tn&#237;%20rozpo&#269;et\Grafy-st&#225;tn&#237;%20rozpo&#269;et-1-3q-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Anal&#253;za\Q\2018Q3\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y\Anal&#253;za\Q\2018Q3\Makroanal&#253;za%20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JKAM%20CSU\PUBLIKACE\PUBLIKACE\2018\QMakro\1-3.&#269;tvrtlet&#237;\Odv&#283;tv&#237;\Odv&#283;tv&#237;%20grafy-3q-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JKAM%20CSU\PUBLIKACE\PUBLIKACE\2018\QMakro\1-3.&#269;tvrtlet&#237;\Odv&#283;tv&#237;\Odv&#283;tv&#237;%20grafy-3q-2018.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18\QMakro\1-3.&#269;tvrtlet&#237;\Odv&#283;tv&#237;\Odv&#283;tv&#237;%20grafy-3q-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JKAM%20CSU\PUBLIKACE\PUBLIKACE\2018\QMakro\1-3.&#269;tvrtlet&#237;\Odv&#283;tv&#237;\Odv&#283;tv&#237;%20grafy-3q-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JKAM%20CSU\PUBLIKACE\PUBLIKACE\2018\QMakro\1-3.&#269;tvrtlet&#237;\Odv&#283;tv&#237;\Odv&#283;tv&#237;%20grafy-3q-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2240163796014245E-2"/>
          <c:y val="2.3046636085627001E-2"/>
          <c:w val="0.93617042384329663"/>
          <c:h val="0.74192840256672143"/>
        </c:manualLayout>
      </c:layout>
      <c:barChart>
        <c:barDir val="col"/>
        <c:grouping val="clustered"/>
        <c:ser>
          <c:idx val="0"/>
          <c:order val="0"/>
          <c:tx>
            <c:strRef>
              <c:f>'souhrnná výkonnost 1'!$C$4</c:f>
              <c:strCache>
                <c:ptCount val="1"/>
                <c:pt idx="0">
                  <c:v>ČR meziroční změna</c:v>
                </c:pt>
              </c:strCache>
            </c:strRef>
          </c:tx>
          <c:spPr>
            <a:solidFill>
              <a:srgbClr val="A6A6A6"/>
            </a:solidFill>
            <a:ln>
              <a:noFill/>
            </a:ln>
          </c:spPr>
          <c:cat>
            <c:multiLvlStrRef>
              <c:f>'souhrnná výkonnost 1'!$A$9:$B$31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2013</c:v>
                  </c:pt>
                  <c:pt idx="4">
                    <c:v>2014</c:v>
                  </c:pt>
                  <c:pt idx="8">
                    <c:v>2015</c:v>
                  </c:pt>
                  <c:pt idx="12">
                    <c:v>2016</c:v>
                  </c:pt>
                  <c:pt idx="16">
                    <c:v>2017</c:v>
                  </c:pt>
                  <c:pt idx="20">
                    <c:v>2018</c:v>
                  </c:pt>
                </c:lvl>
              </c:multiLvlStrCache>
            </c:multiLvlStrRef>
          </c:cat>
          <c:val>
            <c:numRef>
              <c:f>'souhrnná výkonnost 1'!$C$9:$C$31</c:f>
              <c:numCache>
                <c:formatCode>#,##0.0</c:formatCode>
                <c:ptCount val="23"/>
                <c:pt idx="0">
                  <c:v>-1.8</c:v>
                </c:pt>
                <c:pt idx="1">
                  <c:v>-1.1000000000000001</c:v>
                </c:pt>
                <c:pt idx="2">
                  <c:v>-0.30000000000000032</c:v>
                </c:pt>
                <c:pt idx="3">
                  <c:v>1.3</c:v>
                </c:pt>
                <c:pt idx="4">
                  <c:v>1.599692644421808</c:v>
                </c:pt>
                <c:pt idx="5">
                  <c:v>2.4019552100365473</c:v>
                </c:pt>
                <c:pt idx="6">
                  <c:v>3.4030564515715742</c:v>
                </c:pt>
                <c:pt idx="7">
                  <c:v>3.4380052076485867</c:v>
                </c:pt>
                <c:pt idx="8">
                  <c:v>5.2550726107844694</c:v>
                </c:pt>
                <c:pt idx="9">
                  <c:v>5.7987847820089087</c:v>
                </c:pt>
                <c:pt idx="10">
                  <c:v>5.5707669225332523</c:v>
                </c:pt>
                <c:pt idx="11">
                  <c:v>4.9148252973919755</c:v>
                </c:pt>
                <c:pt idx="12">
                  <c:v>3.5623906099722142</c:v>
                </c:pt>
                <c:pt idx="13">
                  <c:v>2.4146777549828045</c:v>
                </c:pt>
                <c:pt idx="14">
                  <c:v>1.6940486553423995</c:v>
                </c:pt>
                <c:pt idx="15">
                  <c:v>1.803752537221833</c:v>
                </c:pt>
                <c:pt idx="16">
                  <c:v>2.8712499788678167</c:v>
                </c:pt>
                <c:pt idx="17">
                  <c:v>4.9310728663161996</c:v>
                </c:pt>
                <c:pt idx="18">
                  <c:v>5.0995207171135633</c:v>
                </c:pt>
                <c:pt idx="19">
                  <c:v>4.9881960614611103</c:v>
                </c:pt>
                <c:pt idx="20">
                  <c:v>4.0922025174160375</c:v>
                </c:pt>
                <c:pt idx="21" formatCode="General">
                  <c:v>2.3962322301197574</c:v>
                </c:pt>
                <c:pt idx="22" formatCode="General">
                  <c:v>2.4370477383683071</c:v>
                </c:pt>
              </c:numCache>
            </c:numRef>
          </c:val>
          <c:extLst xmlns:c16r2="http://schemas.microsoft.com/office/drawing/2015/06/chart">
            <c:ext xmlns:c16="http://schemas.microsoft.com/office/drawing/2014/chart" uri="{C3380CC4-5D6E-409C-BE32-E72D297353CC}">
              <c16:uniqueId val="{00000000-D1C0-40E4-8E39-F6472427424F}"/>
            </c:ext>
          </c:extLst>
        </c:ser>
        <c:ser>
          <c:idx val="1"/>
          <c:order val="1"/>
          <c:tx>
            <c:strRef>
              <c:f>'souhrnná výkonnost 1'!$D$4</c:f>
              <c:strCache>
                <c:ptCount val="1"/>
                <c:pt idx="0">
                  <c:v>EU28 meziroční změna</c:v>
                </c:pt>
              </c:strCache>
            </c:strRef>
          </c:tx>
          <c:spPr>
            <a:solidFill>
              <a:srgbClr val="808080"/>
            </a:solidFill>
            <a:ln>
              <a:noFill/>
            </a:ln>
          </c:spPr>
          <c:cat>
            <c:multiLvlStrRef>
              <c:f>'souhrnná výkonnost 1'!$A$9:$B$31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2013</c:v>
                  </c:pt>
                  <c:pt idx="4">
                    <c:v>2014</c:v>
                  </c:pt>
                  <c:pt idx="8">
                    <c:v>2015</c:v>
                  </c:pt>
                  <c:pt idx="12">
                    <c:v>2016</c:v>
                  </c:pt>
                  <c:pt idx="16">
                    <c:v>2017</c:v>
                  </c:pt>
                  <c:pt idx="20">
                    <c:v>2018</c:v>
                  </c:pt>
                </c:lvl>
              </c:multiLvlStrCache>
            </c:multiLvlStrRef>
          </c:cat>
          <c:val>
            <c:numRef>
              <c:f>'souhrnná výkonnost 1'!$D$9:$D$31</c:f>
              <c:numCache>
                <c:formatCode>#,##0.0</c:formatCode>
                <c:ptCount val="23"/>
                <c:pt idx="0">
                  <c:v>-0.60000000000000064</c:v>
                </c:pt>
                <c:pt idx="1">
                  <c:v>0.1</c:v>
                </c:pt>
                <c:pt idx="2">
                  <c:v>0.5</c:v>
                </c:pt>
                <c:pt idx="3">
                  <c:v>1.2</c:v>
                </c:pt>
                <c:pt idx="4">
                  <c:v>1.8</c:v>
                </c:pt>
                <c:pt idx="5">
                  <c:v>1.6</c:v>
                </c:pt>
                <c:pt idx="6">
                  <c:v>1.7000000000000006</c:v>
                </c:pt>
                <c:pt idx="7">
                  <c:v>1.9000000000000001</c:v>
                </c:pt>
                <c:pt idx="8">
                  <c:v>2.2000000000000002</c:v>
                </c:pt>
                <c:pt idx="9">
                  <c:v>2.2999999999999998</c:v>
                </c:pt>
                <c:pt idx="10">
                  <c:v>2.2000000000000002</c:v>
                </c:pt>
                <c:pt idx="11">
                  <c:v>2.2000000000000002</c:v>
                </c:pt>
                <c:pt idx="12">
                  <c:v>2</c:v>
                </c:pt>
                <c:pt idx="13">
                  <c:v>1.9000000000000001</c:v>
                </c:pt>
                <c:pt idx="14">
                  <c:v>1.8</c:v>
                </c:pt>
                <c:pt idx="15">
                  <c:v>2.1</c:v>
                </c:pt>
                <c:pt idx="16">
                  <c:v>2.2000000000000002</c:v>
                </c:pt>
                <c:pt idx="17">
                  <c:v>2.5</c:v>
                </c:pt>
                <c:pt idx="18">
                  <c:v>2.8</c:v>
                </c:pt>
                <c:pt idx="19">
                  <c:v>2.6</c:v>
                </c:pt>
                <c:pt idx="20">
                  <c:v>2.2999999999999998</c:v>
                </c:pt>
                <c:pt idx="21">
                  <c:v>2.1</c:v>
                </c:pt>
                <c:pt idx="22">
                  <c:v>1.9000000000000001</c:v>
                </c:pt>
              </c:numCache>
            </c:numRef>
          </c:val>
          <c:extLst xmlns:c16r2="http://schemas.microsoft.com/office/drawing/2015/06/chart">
            <c:ext xmlns:c16="http://schemas.microsoft.com/office/drawing/2014/chart" uri="{C3380CC4-5D6E-409C-BE32-E72D297353CC}">
              <c16:uniqueId val="{00000001-D1C0-40E4-8E39-F6472427424F}"/>
            </c:ext>
          </c:extLst>
        </c:ser>
        <c:gapWidth val="100"/>
        <c:axId val="77639680"/>
        <c:axId val="77641600"/>
      </c:barChart>
      <c:lineChart>
        <c:grouping val="standard"/>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1'!$A$9:$B$31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2013</c:v>
                  </c:pt>
                  <c:pt idx="4">
                    <c:v>2014</c:v>
                  </c:pt>
                  <c:pt idx="8">
                    <c:v>2015</c:v>
                  </c:pt>
                  <c:pt idx="12">
                    <c:v>2016</c:v>
                  </c:pt>
                  <c:pt idx="16">
                    <c:v>2017</c:v>
                  </c:pt>
                  <c:pt idx="20">
                    <c:v>2018</c:v>
                  </c:pt>
                </c:lvl>
              </c:multiLvlStrCache>
            </c:multiLvlStrRef>
          </c:cat>
          <c:val>
            <c:numRef>
              <c:f>'souhrnná výkonnost 1'!$E$9:$E$31</c:f>
              <c:numCache>
                <c:formatCode>#,##0.0</c:formatCode>
                <c:ptCount val="23"/>
                <c:pt idx="0">
                  <c:v>-0.5</c:v>
                </c:pt>
                <c:pt idx="1">
                  <c:v>0.2</c:v>
                </c:pt>
                <c:pt idx="2">
                  <c:v>0.30000000000000032</c:v>
                </c:pt>
                <c:pt idx="3">
                  <c:v>1.3</c:v>
                </c:pt>
                <c:pt idx="4">
                  <c:v>-0.15199361076162332</c:v>
                </c:pt>
                <c:pt idx="5">
                  <c:v>0.94354943170505123</c:v>
                </c:pt>
                <c:pt idx="6">
                  <c:v>1.3008267106148752</c:v>
                </c:pt>
                <c:pt idx="7">
                  <c:v>1.3092680104703618</c:v>
                </c:pt>
                <c:pt idx="8">
                  <c:v>1.6020092561128079</c:v>
                </c:pt>
                <c:pt idx="9">
                  <c:v>1.4649897297471739</c:v>
                </c:pt>
                <c:pt idx="10">
                  <c:v>1.0825028639160732</c:v>
                </c:pt>
                <c:pt idx="11">
                  <c:v>0.67980430723309282</c:v>
                </c:pt>
                <c:pt idx="12">
                  <c:v>0.29227937532607695</c:v>
                </c:pt>
                <c:pt idx="13">
                  <c:v>0.34052096885529076</c:v>
                </c:pt>
                <c:pt idx="14">
                  <c:v>0.37124745966146122</c:v>
                </c:pt>
                <c:pt idx="15">
                  <c:v>0.78841405879090165</c:v>
                </c:pt>
                <c:pt idx="16">
                  <c:v>1.3439277574509036</c:v>
                </c:pt>
                <c:pt idx="17">
                  <c:v>2.3496702858179792</c:v>
                </c:pt>
                <c:pt idx="18">
                  <c:v>0.53237533584331231</c:v>
                </c:pt>
                <c:pt idx="19">
                  <c:v>0.68165586034911663</c:v>
                </c:pt>
                <c:pt idx="20">
                  <c:v>0.47903524186099844</c:v>
                </c:pt>
                <c:pt idx="21" formatCode="General">
                  <c:v>0.68209100974037595</c:v>
                </c:pt>
                <c:pt idx="22" formatCode="General">
                  <c:v>0.57244790399739998</c:v>
                </c:pt>
              </c:numCache>
            </c:numRef>
          </c:val>
          <c:extLst xmlns:c16r2="http://schemas.microsoft.com/office/drawing/2015/06/chart">
            <c:ext xmlns:c16="http://schemas.microsoft.com/office/drawing/2014/chart" uri="{C3380CC4-5D6E-409C-BE32-E72D297353CC}">
              <c16:uniqueId val="{00000002-D1C0-40E4-8E39-F6472427424F}"/>
            </c:ext>
          </c:extLst>
        </c:ser>
        <c:ser>
          <c:idx val="3"/>
          <c:order val="3"/>
          <c:tx>
            <c:strRef>
              <c:f>'souhrnná výkonnost 1'!$F$4</c:f>
              <c:strCache>
                <c:ptCount val="1"/>
                <c:pt idx="0">
                  <c:v>EU28 mezičtvrtletní změna</c:v>
                </c:pt>
              </c:strCache>
            </c:strRef>
          </c:tx>
          <c:spPr>
            <a:ln w="19050">
              <a:noFill/>
            </a:ln>
          </c:spPr>
          <c:marker>
            <c:symbol val="dash"/>
            <c:size val="8"/>
            <c:spPr>
              <a:solidFill>
                <a:srgbClr val="BD1B21"/>
              </a:solidFill>
              <a:ln>
                <a:noFill/>
              </a:ln>
            </c:spPr>
          </c:marker>
          <c:cat>
            <c:multiLvlStrRef>
              <c:f>'souhrnná výkonnost 1'!$A$9:$B$31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2013</c:v>
                  </c:pt>
                  <c:pt idx="4">
                    <c:v>2014</c:v>
                  </c:pt>
                  <c:pt idx="8">
                    <c:v>2015</c:v>
                  </c:pt>
                  <c:pt idx="12">
                    <c:v>2016</c:v>
                  </c:pt>
                  <c:pt idx="16">
                    <c:v>2017</c:v>
                  </c:pt>
                  <c:pt idx="20">
                    <c:v>2018</c:v>
                  </c:pt>
                </c:lvl>
              </c:multiLvlStrCache>
            </c:multiLvlStrRef>
          </c:cat>
          <c:val>
            <c:numRef>
              <c:f>'souhrnná výkonnost 1'!$F$9:$F$31</c:f>
              <c:numCache>
                <c:formatCode>#,##0.0</c:formatCode>
                <c:ptCount val="23"/>
                <c:pt idx="0">
                  <c:v>-0.1</c:v>
                </c:pt>
                <c:pt idx="1">
                  <c:v>0.5</c:v>
                </c:pt>
                <c:pt idx="2">
                  <c:v>0.5</c:v>
                </c:pt>
                <c:pt idx="3">
                  <c:v>0.30000000000000032</c:v>
                </c:pt>
                <c:pt idx="4">
                  <c:v>0.5</c:v>
                </c:pt>
                <c:pt idx="5">
                  <c:v>0.30000000000000032</c:v>
                </c:pt>
                <c:pt idx="6">
                  <c:v>0.5</c:v>
                </c:pt>
                <c:pt idx="7">
                  <c:v>0.5</c:v>
                </c:pt>
                <c:pt idx="8">
                  <c:v>0.8</c:v>
                </c:pt>
                <c:pt idx="9">
                  <c:v>0.4</c:v>
                </c:pt>
                <c:pt idx="10">
                  <c:v>0.5</c:v>
                </c:pt>
                <c:pt idx="11">
                  <c:v>0.5</c:v>
                </c:pt>
                <c:pt idx="12">
                  <c:v>0.5</c:v>
                </c:pt>
                <c:pt idx="13">
                  <c:v>0.30000000000000032</c:v>
                </c:pt>
                <c:pt idx="14">
                  <c:v>0.4</c:v>
                </c:pt>
                <c:pt idx="15">
                  <c:v>0.8</c:v>
                </c:pt>
                <c:pt idx="16">
                  <c:v>0.70000000000000062</c:v>
                </c:pt>
                <c:pt idx="17">
                  <c:v>0.60000000000000064</c:v>
                </c:pt>
                <c:pt idx="18">
                  <c:v>0.60000000000000064</c:v>
                </c:pt>
                <c:pt idx="19">
                  <c:v>0.60000000000000064</c:v>
                </c:pt>
                <c:pt idx="20">
                  <c:v>0.4</c:v>
                </c:pt>
                <c:pt idx="21">
                  <c:v>0.5</c:v>
                </c:pt>
                <c:pt idx="22">
                  <c:v>0.30000000000000032</c:v>
                </c:pt>
              </c:numCache>
            </c:numRef>
          </c:val>
          <c:extLst xmlns:c16r2="http://schemas.microsoft.com/office/drawing/2015/06/chart">
            <c:ext xmlns:c16="http://schemas.microsoft.com/office/drawing/2014/chart" uri="{C3380CC4-5D6E-409C-BE32-E72D297353CC}">
              <c16:uniqueId val="{00000003-D1C0-40E4-8E39-F6472427424F}"/>
            </c:ext>
          </c:extLst>
        </c:ser>
        <c:marker val="1"/>
        <c:axId val="77639680"/>
        <c:axId val="77641600"/>
      </c:lineChart>
      <c:catAx>
        <c:axId val="77639680"/>
        <c:scaling>
          <c:orientation val="minMax"/>
        </c:scaling>
        <c:axPos val="b"/>
        <c:numFmt formatCode="General" sourceLinked="0"/>
        <c:tickLblPos val="low"/>
        <c:spPr>
          <a:ln>
            <a:solidFill>
              <a:schemeClr val="tx1"/>
            </a:solidFill>
          </a:ln>
        </c:spPr>
        <c:txPr>
          <a:bodyPr rot="0" vert="horz"/>
          <a:lstStyle/>
          <a:p>
            <a:pPr>
              <a:defRPr/>
            </a:pPr>
            <a:endParaRPr lang="cs-CZ"/>
          </a:p>
        </c:txPr>
        <c:crossAx val="77641600"/>
        <c:crosses val="autoZero"/>
        <c:auto val="1"/>
        <c:lblAlgn val="ctr"/>
        <c:lblOffset val="100"/>
      </c:catAx>
      <c:valAx>
        <c:axId val="77641600"/>
        <c:scaling>
          <c:orientation val="minMax"/>
          <c:max val="6"/>
        </c:scaling>
        <c:axPos val="l"/>
        <c:majorGridlines>
          <c:spPr>
            <a:ln w="6350">
              <a:solidFill>
                <a:schemeClr val="bg1">
                  <a:lumMod val="75000"/>
                </a:schemeClr>
              </a:solidFill>
            </a:ln>
          </c:spPr>
        </c:majorGridlines>
        <c:numFmt formatCode="0" sourceLinked="0"/>
        <c:tickLblPos val="nextTo"/>
        <c:spPr>
          <a:ln>
            <a:solidFill>
              <a:schemeClr val="tx1"/>
            </a:solidFill>
          </a:ln>
        </c:spPr>
        <c:crossAx val="77639680"/>
        <c:crosses val="autoZero"/>
        <c:crossBetween val="between"/>
      </c:valAx>
      <c:spPr>
        <a:ln>
          <a:solidFill>
            <a:schemeClr val="tx1"/>
          </a:solidFill>
        </a:ln>
      </c:spPr>
    </c:plotArea>
    <c:legend>
      <c:legendPos val="b"/>
      <c:layout>
        <c:manualLayout>
          <c:xMode val="edge"/>
          <c:yMode val="edge"/>
          <c:x val="3.9667131036811895E-2"/>
          <c:y val="0.89437255125718029"/>
          <c:w val="0.93714918946301962"/>
          <c:h val="9.0301755758791014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8656266097578916E-2"/>
          <c:y val="2.3304908251716772E-2"/>
          <c:w val="0.92389825103639001"/>
          <c:h val="0.58623184734886868"/>
        </c:manualLayout>
      </c:layout>
      <c:barChart>
        <c:barDir val="col"/>
        <c:grouping val="clustered"/>
        <c:ser>
          <c:idx val="0"/>
          <c:order val="0"/>
          <c:tx>
            <c:strRef>
              <c:f>'Vnější vztahy 2'!$A$6</c:f>
              <c:strCache>
                <c:ptCount val="1"/>
                <c:pt idx="0">
                  <c:v>2017</c:v>
                </c:pt>
              </c:strCache>
            </c:strRef>
          </c:tx>
          <c:spPr>
            <a:solidFill>
              <a:schemeClr val="tx1">
                <a:lumMod val="50000"/>
                <a:lumOff val="50000"/>
              </a:schemeClr>
            </a:solidFill>
            <a:ln>
              <a:noFill/>
            </a:ln>
          </c:spPr>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elektron. přístr.</c:v>
                </c:pt>
                <c:pt idx="10">
                  <c:v>Elektrická zařízení</c:v>
                </c:pt>
                <c:pt idx="11">
                  <c:v>Stroje a zařízení j.n.</c:v>
                </c:pt>
                <c:pt idx="12">
                  <c:v>Motorová vozidla</c:v>
                </c:pt>
              </c:strCache>
            </c:strRef>
          </c:cat>
          <c:val>
            <c:numRef>
              <c:f>'Vnější vztahy 2'!$B$6:$N$6</c:f>
              <c:numCache>
                <c:formatCode>General</c:formatCode>
                <c:ptCount val="13"/>
                <c:pt idx="0">
                  <c:v>-90.584000000000003</c:v>
                </c:pt>
                <c:pt idx="1">
                  <c:v>-30.093</c:v>
                </c:pt>
                <c:pt idx="2">
                  <c:v>-22.510999999999999</c:v>
                </c:pt>
                <c:pt idx="3">
                  <c:v>-9.8090000000000028</c:v>
                </c:pt>
                <c:pt idx="4">
                  <c:v>-83.283000000000001</c:v>
                </c:pt>
                <c:pt idx="5">
                  <c:v>-36.901000000000003</c:v>
                </c:pt>
                <c:pt idx="6">
                  <c:v>17.767999999999986</c:v>
                </c:pt>
                <c:pt idx="7">
                  <c:v>-92.772999999999982</c:v>
                </c:pt>
                <c:pt idx="8">
                  <c:v>43.756</c:v>
                </c:pt>
                <c:pt idx="9">
                  <c:v>-14.198</c:v>
                </c:pt>
                <c:pt idx="10">
                  <c:v>32.251000000000005</c:v>
                </c:pt>
                <c:pt idx="11">
                  <c:v>57.772000000000013</c:v>
                </c:pt>
                <c:pt idx="12">
                  <c:v>343.91699999999764</c:v>
                </c:pt>
              </c:numCache>
            </c:numRef>
          </c:val>
          <c:extLst xmlns:c16r2="http://schemas.microsoft.com/office/drawing/2015/06/chart">
            <c:ext xmlns:c16="http://schemas.microsoft.com/office/drawing/2014/chart" uri="{C3380CC4-5D6E-409C-BE32-E72D297353CC}">
              <c16:uniqueId val="{00000000-0AEA-4A46-97CB-620782DF259D}"/>
            </c:ext>
          </c:extLst>
        </c:ser>
        <c:ser>
          <c:idx val="1"/>
          <c:order val="1"/>
          <c:tx>
            <c:strRef>
              <c:f>'Vnější vztahy 2'!$A$7</c:f>
              <c:strCache>
                <c:ptCount val="1"/>
                <c:pt idx="0">
                  <c:v>2018</c:v>
                </c:pt>
              </c:strCache>
            </c:strRef>
          </c:tx>
          <c:spPr>
            <a:solidFill>
              <a:schemeClr val="bg1">
                <a:lumMod val="65000"/>
              </a:schemeClr>
            </a:solidFill>
          </c:spPr>
          <c:val>
            <c:numRef>
              <c:f>'Vnější vztahy 2'!$B$7:$N$7</c:f>
              <c:numCache>
                <c:formatCode>General</c:formatCode>
                <c:ptCount val="13"/>
                <c:pt idx="0">
                  <c:v>-91.617000000000004</c:v>
                </c:pt>
                <c:pt idx="1">
                  <c:v>-28.234999999999999</c:v>
                </c:pt>
                <c:pt idx="2">
                  <c:v>-21.888000000000002</c:v>
                </c:pt>
                <c:pt idx="3">
                  <c:v>-20.503</c:v>
                </c:pt>
                <c:pt idx="4">
                  <c:v>-86.658999999999978</c:v>
                </c:pt>
                <c:pt idx="5">
                  <c:v>-37.965000000000003</c:v>
                </c:pt>
                <c:pt idx="6">
                  <c:v>16.454999999999988</c:v>
                </c:pt>
                <c:pt idx="7">
                  <c:v>-94.623999999999981</c:v>
                </c:pt>
                <c:pt idx="8">
                  <c:v>44.567</c:v>
                </c:pt>
                <c:pt idx="9">
                  <c:v>0.47200000000000031</c:v>
                </c:pt>
                <c:pt idx="10">
                  <c:v>37.889000000000003</c:v>
                </c:pt>
                <c:pt idx="11">
                  <c:v>54.261000000000003</c:v>
                </c:pt>
                <c:pt idx="12">
                  <c:v>324.79399999999799</c:v>
                </c:pt>
              </c:numCache>
            </c:numRef>
          </c:val>
          <c:extLst xmlns:c16r2="http://schemas.microsoft.com/office/drawing/2015/06/chart">
            <c:ext xmlns:c16="http://schemas.microsoft.com/office/drawing/2014/chart" uri="{C3380CC4-5D6E-409C-BE32-E72D297353CC}">
              <c16:uniqueId val="{00000001-0AEA-4A46-97CB-620782DF259D}"/>
            </c:ext>
          </c:extLst>
        </c:ser>
        <c:gapWidth val="97"/>
        <c:axId val="82917248"/>
        <c:axId val="82918784"/>
      </c:barChart>
      <c:catAx>
        <c:axId val="82917248"/>
        <c:scaling>
          <c:orientation val="minMax"/>
        </c:scaling>
        <c:axPos val="b"/>
        <c:numFmt formatCode="General" sourceLinked="0"/>
        <c:tickLblPos val="low"/>
        <c:spPr>
          <a:ln>
            <a:solidFill>
              <a:schemeClr val="tx1"/>
            </a:solidFill>
          </a:ln>
        </c:spPr>
        <c:txPr>
          <a:bodyPr rot="-5400000" vert="horz"/>
          <a:lstStyle/>
          <a:p>
            <a:pPr>
              <a:defRPr/>
            </a:pPr>
            <a:endParaRPr lang="cs-CZ"/>
          </a:p>
        </c:txPr>
        <c:crossAx val="82918784"/>
        <c:crosses val="autoZero"/>
        <c:auto val="1"/>
        <c:lblAlgn val="ctr"/>
        <c:lblOffset val="100"/>
      </c:catAx>
      <c:valAx>
        <c:axId val="82918784"/>
        <c:scaling>
          <c:orientation val="minMax"/>
          <c:max val="350"/>
          <c:min val="-100"/>
        </c:scaling>
        <c:axPos val="l"/>
        <c:majorGridlines>
          <c:spPr>
            <a:ln w="6350">
              <a:solidFill>
                <a:schemeClr val="bg1">
                  <a:lumMod val="75000"/>
                </a:schemeClr>
              </a:solidFill>
            </a:ln>
          </c:spPr>
        </c:majorGridlines>
        <c:numFmt formatCode="General" sourceLinked="1"/>
        <c:tickLblPos val="nextTo"/>
        <c:crossAx val="82917248"/>
        <c:crosses val="autoZero"/>
        <c:crossBetween val="between"/>
      </c:valAx>
      <c:spPr>
        <a:ln>
          <a:solidFill>
            <a:schemeClr val="tx1"/>
          </a:solidFill>
        </a:ln>
      </c:spPr>
    </c:plotArea>
    <c:legend>
      <c:legendPos val="b"/>
      <c:layout>
        <c:manualLayout>
          <c:xMode val="edge"/>
          <c:yMode val="edge"/>
          <c:x val="5.5873075264417107E-2"/>
          <c:y val="0.93271781816746591"/>
          <c:w val="0.92593890471149387"/>
          <c:h val="5.4750853511732103E-2"/>
        </c:manualLayout>
      </c:layout>
      <c:overlay val="1"/>
      <c:spPr>
        <a:ln w="6350">
          <a:solidFill>
            <a:sysClr val="windowText" lastClr="000000"/>
          </a:solidFill>
        </a:ln>
      </c:spPr>
    </c:legend>
    <c:plotVisOnly val="1"/>
    <c:dispBlanksAs val="gap"/>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8568840579710145E-2"/>
          <c:y val="2.1811315924220663E-2"/>
          <c:w val="0.92237743255066085"/>
          <c:h val="0.73318107621300255"/>
        </c:manualLayout>
      </c:layout>
      <c:barChart>
        <c:barDir val="col"/>
        <c:grouping val="clustered"/>
        <c:ser>
          <c:idx val="0"/>
          <c:order val="0"/>
          <c:tx>
            <c:strRef>
              <c:f>'Ceny 2'!$C$5</c:f>
              <c:strCache>
                <c:ptCount val="1"/>
                <c:pt idx="0">
                  <c:v>Celkem</c:v>
                </c:pt>
              </c:strCache>
            </c:strRef>
          </c:tx>
          <c:spPr>
            <a:solidFill>
              <a:schemeClr val="bg1">
                <a:lumMod val="65000"/>
              </a:schemeClr>
            </a:solidFill>
            <a:ln w="19050">
              <a:noFill/>
            </a:ln>
          </c:spPr>
          <c:cat>
            <c:multiLvlStrRef>
              <c:f>'Ceny 2'!$A$14:$B$32</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2014</c:v>
                  </c:pt>
                  <c:pt idx="4">
                    <c:v>2015</c:v>
                  </c:pt>
                  <c:pt idx="8">
                    <c:v>2016</c:v>
                  </c:pt>
                  <c:pt idx="12">
                    <c:v>2017</c:v>
                  </c:pt>
                  <c:pt idx="16">
                    <c:v>2018</c:v>
                  </c:pt>
                </c:lvl>
              </c:multiLvlStrCache>
            </c:multiLvlStrRef>
          </c:cat>
          <c:val>
            <c:numRef>
              <c:f>'Ceny 2'!$C$14:$C$32</c:f>
              <c:numCache>
                <c:formatCode>0.0</c:formatCode>
                <c:ptCount val="19"/>
                <c:pt idx="0">
                  <c:v>0.20000000000000284</c:v>
                </c:pt>
                <c:pt idx="1">
                  <c:v>0.20000000000000284</c:v>
                </c:pt>
                <c:pt idx="2">
                  <c:v>0.59999999999999454</c:v>
                </c:pt>
                <c:pt idx="3">
                  <c:v>0.5</c:v>
                </c:pt>
                <c:pt idx="4">
                  <c:v>9.9999999999995245E-2</c:v>
                </c:pt>
                <c:pt idx="5">
                  <c:v>0.70000000000000284</c:v>
                </c:pt>
                <c:pt idx="6">
                  <c:v>0.40000000000000568</c:v>
                </c:pt>
                <c:pt idx="7">
                  <c:v>9.9999999999995245E-2</c:v>
                </c:pt>
                <c:pt idx="8">
                  <c:v>0.5</c:v>
                </c:pt>
                <c:pt idx="9">
                  <c:v>0.20000000000000284</c:v>
                </c:pt>
                <c:pt idx="10">
                  <c:v>0.5</c:v>
                </c:pt>
                <c:pt idx="11">
                  <c:v>1.4000000000000057</c:v>
                </c:pt>
                <c:pt idx="12" formatCode="General">
                  <c:v>2.4000000000000057</c:v>
                </c:pt>
                <c:pt idx="13" formatCode="General">
                  <c:v>2.2000000000000042</c:v>
                </c:pt>
                <c:pt idx="14">
                  <c:v>2.5</c:v>
                </c:pt>
                <c:pt idx="15">
                  <c:v>2.6</c:v>
                </c:pt>
                <c:pt idx="16">
                  <c:v>1.9000000000000001</c:v>
                </c:pt>
                <c:pt idx="17">
                  <c:v>2.2999999999999998</c:v>
                </c:pt>
                <c:pt idx="18">
                  <c:v>2.4</c:v>
                </c:pt>
              </c:numCache>
            </c:numRef>
          </c:val>
          <c:extLst xmlns:c16r2="http://schemas.microsoft.com/office/drawing/2015/06/chart">
            <c:ext xmlns:c16="http://schemas.microsoft.com/office/drawing/2014/chart" uri="{C3380CC4-5D6E-409C-BE32-E72D297353CC}">
              <c16:uniqueId val="{00000000-4230-4B96-9347-374838FDA340}"/>
            </c:ext>
          </c:extLst>
        </c:ser>
        <c:gapWidth val="95"/>
        <c:axId val="82989440"/>
        <c:axId val="82990976"/>
      </c:barChart>
      <c:lineChart>
        <c:grouping val="standard"/>
        <c:ser>
          <c:idx val="1"/>
          <c:order val="1"/>
          <c:tx>
            <c:strRef>
              <c:f>'Ceny 2'!$D$5</c:f>
              <c:strCache>
                <c:ptCount val="1"/>
                <c:pt idx="0">
                  <c:v>Potraviny</c:v>
                </c:pt>
              </c:strCache>
            </c:strRef>
          </c:tx>
          <c:spPr>
            <a:ln w="19050">
              <a:solidFill>
                <a:srgbClr val="0071BC"/>
              </a:solidFill>
            </a:ln>
          </c:spPr>
          <c:marker>
            <c:symbol val="none"/>
          </c:marker>
          <c:cat>
            <c:multiLvlStrRef>
              <c:f>'Ceny 2'!$A$14:$B$32</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2014</c:v>
                  </c:pt>
                  <c:pt idx="4">
                    <c:v>2015</c:v>
                  </c:pt>
                  <c:pt idx="8">
                    <c:v>2016</c:v>
                  </c:pt>
                  <c:pt idx="12">
                    <c:v>2017</c:v>
                  </c:pt>
                  <c:pt idx="16">
                    <c:v>2018</c:v>
                  </c:pt>
                </c:lvl>
              </c:multiLvlStrCache>
            </c:multiLvlStrRef>
          </c:cat>
          <c:val>
            <c:numRef>
              <c:f>'Ceny 2'!$D$14:$D$32</c:f>
              <c:numCache>
                <c:formatCode>0.0</c:formatCode>
                <c:ptCount val="19"/>
                <c:pt idx="0">
                  <c:v>3.9000000000000057</c:v>
                </c:pt>
                <c:pt idx="1">
                  <c:v>1.5</c:v>
                </c:pt>
                <c:pt idx="2">
                  <c:v>1.4000000000000057</c:v>
                </c:pt>
                <c:pt idx="3">
                  <c:v>1.2000000000000028</c:v>
                </c:pt>
                <c:pt idx="4">
                  <c:v>-1.599999999999983</c:v>
                </c:pt>
                <c:pt idx="5">
                  <c:v>-9.9999999999995245E-2</c:v>
                </c:pt>
                <c:pt idx="6">
                  <c:v>-0.90000000000000568</c:v>
                </c:pt>
                <c:pt idx="7">
                  <c:v>-1.599999999999983</c:v>
                </c:pt>
                <c:pt idx="8">
                  <c:v>-1.700000000000004</c:v>
                </c:pt>
                <c:pt idx="9">
                  <c:v>-2.4000000000000057</c:v>
                </c:pt>
                <c:pt idx="10">
                  <c:v>-0.7999999999999976</c:v>
                </c:pt>
                <c:pt idx="11">
                  <c:v>1.2000000000000028</c:v>
                </c:pt>
                <c:pt idx="12" formatCode="General">
                  <c:v>4.2000000000000028</c:v>
                </c:pt>
                <c:pt idx="13" formatCode="General">
                  <c:v>4.5</c:v>
                </c:pt>
                <c:pt idx="14">
                  <c:v>5.7</c:v>
                </c:pt>
                <c:pt idx="15">
                  <c:v>6.3</c:v>
                </c:pt>
                <c:pt idx="16">
                  <c:v>2.9</c:v>
                </c:pt>
                <c:pt idx="17" formatCode="#,##0.0_ ;\-#,##0.0\ ">
                  <c:v>2.2999999999999998</c:v>
                </c:pt>
                <c:pt idx="18">
                  <c:v>0.60000000000000064</c:v>
                </c:pt>
              </c:numCache>
            </c:numRef>
          </c:val>
          <c:extLst xmlns:c16r2="http://schemas.microsoft.com/office/drawing/2015/06/chart">
            <c:ext xmlns:c16="http://schemas.microsoft.com/office/drawing/2014/chart" uri="{C3380CC4-5D6E-409C-BE32-E72D297353CC}">
              <c16:uniqueId val="{00000001-4230-4B96-9347-374838FDA340}"/>
            </c:ext>
          </c:extLst>
        </c:ser>
        <c:ser>
          <c:idx val="3"/>
          <c:order val="2"/>
          <c:tx>
            <c:strRef>
              <c:f>'Ceny 2'!$F$5</c:f>
              <c:strCache>
                <c:ptCount val="1"/>
                <c:pt idx="0">
                  <c:v>Bydlení a energie</c:v>
                </c:pt>
              </c:strCache>
            </c:strRef>
          </c:tx>
          <c:spPr>
            <a:ln w="19050">
              <a:solidFill>
                <a:srgbClr val="7DBB2D"/>
              </a:solidFill>
            </a:ln>
          </c:spPr>
          <c:marker>
            <c:symbol val="none"/>
          </c:marker>
          <c:cat>
            <c:multiLvlStrRef>
              <c:f>'Ceny 2'!$A$14:$B$32</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2014</c:v>
                  </c:pt>
                  <c:pt idx="4">
                    <c:v>2015</c:v>
                  </c:pt>
                  <c:pt idx="8">
                    <c:v>2016</c:v>
                  </c:pt>
                  <c:pt idx="12">
                    <c:v>2017</c:v>
                  </c:pt>
                  <c:pt idx="16">
                    <c:v>2018</c:v>
                  </c:pt>
                </c:lvl>
              </c:multiLvlStrCache>
            </c:multiLvlStrRef>
          </c:cat>
          <c:val>
            <c:numRef>
              <c:f>'Ceny 2'!$F$14:$F$32</c:f>
              <c:numCache>
                <c:formatCode>0.0</c:formatCode>
                <c:ptCount val="19"/>
                <c:pt idx="0">
                  <c:v>-2.4000000000000057</c:v>
                </c:pt>
                <c:pt idx="1">
                  <c:v>-1.700000000000004</c:v>
                </c:pt>
                <c:pt idx="2">
                  <c:v>-0.70000000000000284</c:v>
                </c:pt>
                <c:pt idx="3">
                  <c:v>-0.59999999999999454</c:v>
                </c:pt>
                <c:pt idx="4">
                  <c:v>1.099999999999983</c:v>
                </c:pt>
                <c:pt idx="5">
                  <c:v>1.2000000000000028</c:v>
                </c:pt>
                <c:pt idx="6">
                  <c:v>0.7999999999999976</c:v>
                </c:pt>
                <c:pt idx="7">
                  <c:v>0.90000000000000568</c:v>
                </c:pt>
                <c:pt idx="8">
                  <c:v>0.90000000000000568</c:v>
                </c:pt>
                <c:pt idx="9">
                  <c:v>0.5</c:v>
                </c:pt>
                <c:pt idx="10">
                  <c:v>0.40000000000000568</c:v>
                </c:pt>
                <c:pt idx="11">
                  <c:v>0.59999999999999454</c:v>
                </c:pt>
                <c:pt idx="12" formatCode="General">
                  <c:v>0.7999999999999976</c:v>
                </c:pt>
                <c:pt idx="13" formatCode="General">
                  <c:v>1.5</c:v>
                </c:pt>
                <c:pt idx="14">
                  <c:v>2.1</c:v>
                </c:pt>
                <c:pt idx="15">
                  <c:v>2.2000000000000002</c:v>
                </c:pt>
                <c:pt idx="16">
                  <c:v>2.2999999999999998</c:v>
                </c:pt>
                <c:pt idx="17">
                  <c:v>2.6</c:v>
                </c:pt>
                <c:pt idx="18">
                  <c:v>3.2</c:v>
                </c:pt>
              </c:numCache>
            </c:numRef>
          </c:val>
          <c:extLst xmlns:c16r2="http://schemas.microsoft.com/office/drawing/2015/06/chart">
            <c:ext xmlns:c16="http://schemas.microsoft.com/office/drawing/2014/chart" uri="{C3380CC4-5D6E-409C-BE32-E72D297353CC}">
              <c16:uniqueId val="{00000002-4230-4B96-9347-374838FDA340}"/>
            </c:ext>
          </c:extLst>
        </c:ser>
        <c:ser>
          <c:idx val="4"/>
          <c:order val="3"/>
          <c:tx>
            <c:strRef>
              <c:f>'Ceny 2'!$G$5</c:f>
              <c:strCache>
                <c:ptCount val="1"/>
                <c:pt idx="0">
                  <c:v>Doprava</c:v>
                </c:pt>
              </c:strCache>
            </c:strRef>
          </c:tx>
          <c:spPr>
            <a:ln w="19050">
              <a:solidFill>
                <a:srgbClr val="FFC000"/>
              </a:solidFill>
            </a:ln>
          </c:spPr>
          <c:marker>
            <c:symbol val="none"/>
          </c:marker>
          <c:val>
            <c:numRef>
              <c:f>'Ceny 2'!$G$14:$G$32</c:f>
              <c:numCache>
                <c:formatCode>General</c:formatCode>
                <c:ptCount val="19"/>
                <c:pt idx="0">
                  <c:v>9.9999999999995245E-2</c:v>
                </c:pt>
                <c:pt idx="1">
                  <c:v>0.30000000000000032</c:v>
                </c:pt>
                <c:pt idx="2">
                  <c:v>0.5</c:v>
                </c:pt>
                <c:pt idx="3">
                  <c:v>0</c:v>
                </c:pt>
                <c:pt idx="4">
                  <c:v>-4.9000000000000083</c:v>
                </c:pt>
                <c:pt idx="5">
                  <c:v>-3.2999999999999972</c:v>
                </c:pt>
                <c:pt idx="6">
                  <c:v>-3.7999999999999972</c:v>
                </c:pt>
                <c:pt idx="7">
                  <c:v>-4.7000000000000028</c:v>
                </c:pt>
                <c:pt idx="8">
                  <c:v>-2.7000000000000042</c:v>
                </c:pt>
                <c:pt idx="9">
                  <c:v>-2.9000000000000057</c:v>
                </c:pt>
                <c:pt idx="10">
                  <c:v>-2.2999999999999972</c:v>
                </c:pt>
                <c:pt idx="11">
                  <c:v>1.099999999999983</c:v>
                </c:pt>
                <c:pt idx="12">
                  <c:v>6</c:v>
                </c:pt>
                <c:pt idx="13">
                  <c:v>3.9000000000000057</c:v>
                </c:pt>
                <c:pt idx="14" formatCode="0.0">
                  <c:v>2.5</c:v>
                </c:pt>
                <c:pt idx="15" formatCode="0.0">
                  <c:v>2.5</c:v>
                </c:pt>
                <c:pt idx="16" formatCode="0.0">
                  <c:v>1</c:v>
                </c:pt>
                <c:pt idx="17" formatCode="0.0">
                  <c:v>3</c:v>
                </c:pt>
                <c:pt idx="18" formatCode="0.0">
                  <c:v>4.5</c:v>
                </c:pt>
              </c:numCache>
            </c:numRef>
          </c:val>
          <c:extLst xmlns:c16r2="http://schemas.microsoft.com/office/drawing/2015/06/chart">
            <c:ext xmlns:c16="http://schemas.microsoft.com/office/drawing/2014/chart" uri="{C3380CC4-5D6E-409C-BE32-E72D297353CC}">
              <c16:uniqueId val="{00000003-4230-4B96-9347-374838FDA340}"/>
            </c:ext>
          </c:extLst>
        </c:ser>
        <c:ser>
          <c:idx val="2"/>
          <c:order val="4"/>
          <c:tx>
            <c:strRef>
              <c:f>'Ceny 2'!$H$5</c:f>
              <c:strCache>
                <c:ptCount val="1"/>
                <c:pt idx="0">
                  <c:v>Stravování a ubytování</c:v>
                </c:pt>
              </c:strCache>
            </c:strRef>
          </c:tx>
          <c:spPr>
            <a:ln w="19050">
              <a:solidFill>
                <a:schemeClr val="accent2"/>
              </a:solidFill>
            </a:ln>
          </c:spPr>
          <c:marker>
            <c:symbol val="none"/>
          </c:marker>
          <c:val>
            <c:numRef>
              <c:f>'Ceny 2'!$H$14:$H$32</c:f>
              <c:numCache>
                <c:formatCode>###,###,##0.0</c:formatCode>
                <c:ptCount val="19"/>
                <c:pt idx="0">
                  <c:v>1.599999999999983</c:v>
                </c:pt>
                <c:pt idx="1">
                  <c:v>1.700000000000004</c:v>
                </c:pt>
                <c:pt idx="2">
                  <c:v>1.700000000000004</c:v>
                </c:pt>
                <c:pt idx="3">
                  <c:v>1.700000000000004</c:v>
                </c:pt>
                <c:pt idx="4">
                  <c:v>1.700000000000004</c:v>
                </c:pt>
                <c:pt idx="5">
                  <c:v>1.599999999999983</c:v>
                </c:pt>
                <c:pt idx="6">
                  <c:v>1.4000000000000057</c:v>
                </c:pt>
                <c:pt idx="7">
                  <c:v>1.2999999999999836</c:v>
                </c:pt>
                <c:pt idx="8">
                  <c:v>1.2000000000000028</c:v>
                </c:pt>
                <c:pt idx="9">
                  <c:v>1.099999999999983</c:v>
                </c:pt>
                <c:pt idx="10">
                  <c:v>1.2000000000000028</c:v>
                </c:pt>
                <c:pt idx="11">
                  <c:v>2.7000000000000042</c:v>
                </c:pt>
                <c:pt idx="12">
                  <c:v>5.2000000000000028</c:v>
                </c:pt>
                <c:pt idx="13">
                  <c:v>5.7999999999999972</c:v>
                </c:pt>
                <c:pt idx="14">
                  <c:v>6.2999999999999972</c:v>
                </c:pt>
                <c:pt idx="15" formatCode="0.0">
                  <c:v>5.6</c:v>
                </c:pt>
                <c:pt idx="16" formatCode="0.0">
                  <c:v>3.5</c:v>
                </c:pt>
                <c:pt idx="17" formatCode="0.0">
                  <c:v>3.6</c:v>
                </c:pt>
                <c:pt idx="18" formatCode="0.0">
                  <c:v>3.5</c:v>
                </c:pt>
              </c:numCache>
            </c:numRef>
          </c:val>
          <c:extLst xmlns:c16r2="http://schemas.microsoft.com/office/drawing/2015/06/chart">
            <c:ext xmlns:c16="http://schemas.microsoft.com/office/drawing/2014/chart" uri="{C3380CC4-5D6E-409C-BE32-E72D297353CC}">
              <c16:uniqueId val="{00000004-4230-4B96-9347-374838FDA340}"/>
            </c:ext>
          </c:extLst>
        </c:ser>
        <c:marker val="1"/>
        <c:axId val="82989440"/>
        <c:axId val="82990976"/>
      </c:lineChart>
      <c:catAx>
        <c:axId val="82989440"/>
        <c:scaling>
          <c:orientation val="minMax"/>
        </c:scaling>
        <c:axPos val="b"/>
        <c:numFmt formatCode="General" sourceLinked="0"/>
        <c:tickLblPos val="low"/>
        <c:spPr>
          <a:ln>
            <a:solidFill>
              <a:schemeClr val="tx1"/>
            </a:solidFill>
          </a:ln>
        </c:spPr>
        <c:txPr>
          <a:bodyPr rot="0" vert="horz"/>
          <a:lstStyle/>
          <a:p>
            <a:pPr>
              <a:defRPr/>
            </a:pPr>
            <a:endParaRPr lang="cs-CZ"/>
          </a:p>
        </c:txPr>
        <c:crossAx val="82990976"/>
        <c:crosses val="autoZero"/>
        <c:auto val="1"/>
        <c:lblAlgn val="ctr"/>
        <c:lblOffset val="100"/>
      </c:catAx>
      <c:valAx>
        <c:axId val="82990976"/>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82989440"/>
        <c:crosses val="autoZero"/>
        <c:crossBetween val="between"/>
        <c:majorUnit val="1"/>
      </c:valAx>
      <c:spPr>
        <a:ln>
          <a:solidFill>
            <a:schemeClr val="tx1"/>
          </a:solidFill>
        </a:ln>
      </c:spPr>
    </c:plotArea>
    <c:legend>
      <c:legendPos val="b"/>
      <c:layout>
        <c:manualLayout>
          <c:xMode val="edge"/>
          <c:yMode val="edge"/>
          <c:x val="5.6562767491901832E-2"/>
          <c:y val="0.87255825734550774"/>
          <c:w val="0.92362905268492335"/>
          <c:h val="0.10076212991106757"/>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9258203189717562E-2"/>
          <c:y val="2.9569886214146503E-2"/>
          <c:w val="0.92637856314472322"/>
          <c:h val="0.73556653157716956"/>
        </c:manualLayout>
      </c:layout>
      <c:barChart>
        <c:barDir val="col"/>
        <c:grouping val="clustered"/>
        <c:ser>
          <c:idx val="0"/>
          <c:order val="0"/>
          <c:tx>
            <c:strRef>
              <c:f>'Ceny 1'!$C$5</c:f>
              <c:strCache>
                <c:ptCount val="1"/>
                <c:pt idx="0">
                  <c:v>Realizované ceny starších bytů, ČR</c:v>
                </c:pt>
              </c:strCache>
            </c:strRef>
          </c:tx>
          <c:spPr>
            <a:solidFill>
              <a:schemeClr val="bg1">
                <a:lumMod val="65000"/>
              </a:schemeClr>
            </a:solidFill>
            <a:ln w="19050">
              <a:noFill/>
            </a:ln>
          </c:spPr>
          <c:cat>
            <c:multiLvlStrRef>
              <c:f>'Ceny 1'!$A$14:$B$32</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2014</c:v>
                  </c:pt>
                  <c:pt idx="4">
                    <c:v>2015</c:v>
                  </c:pt>
                  <c:pt idx="8">
                    <c:v>2016</c:v>
                  </c:pt>
                  <c:pt idx="12">
                    <c:v>2017</c:v>
                  </c:pt>
                  <c:pt idx="16">
                    <c:v>2018</c:v>
                  </c:pt>
                </c:lvl>
              </c:multiLvlStrCache>
            </c:multiLvlStrRef>
          </c:cat>
          <c:val>
            <c:numRef>
              <c:f>'Ceny 1'!$C$14:$C$32</c:f>
              <c:numCache>
                <c:formatCode>General</c:formatCode>
                <c:ptCount val="19"/>
                <c:pt idx="0">
                  <c:v>1.2</c:v>
                </c:pt>
                <c:pt idx="1">
                  <c:v>2.5</c:v>
                </c:pt>
                <c:pt idx="2">
                  <c:v>4.5</c:v>
                </c:pt>
                <c:pt idx="3">
                  <c:v>5.7000000000000028</c:v>
                </c:pt>
                <c:pt idx="4">
                  <c:v>4.2999999999999972</c:v>
                </c:pt>
                <c:pt idx="5">
                  <c:v>4.9000000000000083</c:v>
                </c:pt>
                <c:pt idx="6">
                  <c:v>6</c:v>
                </c:pt>
                <c:pt idx="7">
                  <c:v>6.7999999999999972</c:v>
                </c:pt>
                <c:pt idx="8">
                  <c:v>8.9000000000000057</c:v>
                </c:pt>
                <c:pt idx="9">
                  <c:v>10.3</c:v>
                </c:pt>
                <c:pt idx="10">
                  <c:v>12.3</c:v>
                </c:pt>
                <c:pt idx="11">
                  <c:v>14.600000000000001</c:v>
                </c:pt>
                <c:pt idx="12">
                  <c:v>17.200000000000003</c:v>
                </c:pt>
                <c:pt idx="13">
                  <c:v>18.700000000000003</c:v>
                </c:pt>
                <c:pt idx="14">
                  <c:v>15.8</c:v>
                </c:pt>
                <c:pt idx="15">
                  <c:v>12</c:v>
                </c:pt>
                <c:pt idx="16">
                  <c:v>9.2000000000000011</c:v>
                </c:pt>
                <c:pt idx="17">
                  <c:v>8</c:v>
                </c:pt>
                <c:pt idx="18">
                  <c:v>9</c:v>
                </c:pt>
              </c:numCache>
            </c:numRef>
          </c:val>
          <c:extLst xmlns:c16r2="http://schemas.microsoft.com/office/drawing/2015/06/chart">
            <c:ext xmlns:c16="http://schemas.microsoft.com/office/drawing/2014/chart" uri="{C3380CC4-5D6E-409C-BE32-E72D297353CC}">
              <c16:uniqueId val="{00000000-9C4B-410B-87C0-1687D3029BD4}"/>
            </c:ext>
          </c:extLst>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cat>
            <c:multiLvlStrRef>
              <c:f>'Ceny 1'!$A$14:$B$32</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2014</c:v>
                  </c:pt>
                  <c:pt idx="4">
                    <c:v>2015</c:v>
                  </c:pt>
                  <c:pt idx="8">
                    <c:v>2016</c:v>
                  </c:pt>
                  <c:pt idx="12">
                    <c:v>2017</c:v>
                  </c:pt>
                  <c:pt idx="16">
                    <c:v>2018</c:v>
                  </c:pt>
                </c:lvl>
              </c:multiLvlStrCache>
            </c:multiLvlStrRef>
          </c:cat>
          <c:val>
            <c:numRef>
              <c:f>'Ceny 1'!$D$14:$D$32</c:f>
              <c:numCache>
                <c:formatCode>General</c:formatCode>
                <c:ptCount val="19"/>
                <c:pt idx="0">
                  <c:v>2</c:v>
                </c:pt>
                <c:pt idx="1">
                  <c:v>2.0999999999999943</c:v>
                </c:pt>
                <c:pt idx="2">
                  <c:v>3.2000000000000042</c:v>
                </c:pt>
                <c:pt idx="3">
                  <c:v>5.2000000000000028</c:v>
                </c:pt>
                <c:pt idx="4">
                  <c:v>5</c:v>
                </c:pt>
                <c:pt idx="5">
                  <c:v>5.9000000000000083</c:v>
                </c:pt>
                <c:pt idx="6">
                  <c:v>5.5999999999999943</c:v>
                </c:pt>
                <c:pt idx="7">
                  <c:v>4.5999999999999943</c:v>
                </c:pt>
                <c:pt idx="8">
                  <c:v>5.7999999999999972</c:v>
                </c:pt>
                <c:pt idx="9">
                  <c:v>7.5</c:v>
                </c:pt>
                <c:pt idx="10">
                  <c:v>9.4000000000000057</c:v>
                </c:pt>
                <c:pt idx="11">
                  <c:v>13.900000000000006</c:v>
                </c:pt>
                <c:pt idx="12">
                  <c:v>16.200000000000003</c:v>
                </c:pt>
                <c:pt idx="13">
                  <c:v>19</c:v>
                </c:pt>
                <c:pt idx="14">
                  <c:v>16.400000000000006</c:v>
                </c:pt>
                <c:pt idx="15">
                  <c:v>11.100000000000001</c:v>
                </c:pt>
                <c:pt idx="16">
                  <c:v>8.3000000000000025</c:v>
                </c:pt>
                <c:pt idx="17">
                  <c:v>4</c:v>
                </c:pt>
                <c:pt idx="18">
                  <c:v>5.0999999999999943</c:v>
                </c:pt>
              </c:numCache>
            </c:numRef>
          </c:val>
          <c:extLst xmlns:c16r2="http://schemas.microsoft.com/office/drawing/2015/06/chart">
            <c:ext xmlns:c16="http://schemas.microsoft.com/office/drawing/2014/chart" uri="{C3380CC4-5D6E-409C-BE32-E72D297353CC}">
              <c16:uniqueId val="{00000001-9C4B-410B-87C0-1687D3029BD4}"/>
            </c:ext>
          </c:extLst>
        </c:ser>
        <c:gapWidth val="95"/>
        <c:axId val="90007040"/>
        <c:axId val="90008576"/>
      </c:barChart>
      <c:lineChart>
        <c:grouping val="standard"/>
        <c:ser>
          <c:idx val="2"/>
          <c:order val="2"/>
          <c:tx>
            <c:strRef>
              <c:f>'Ceny 1'!$E$5</c:f>
              <c:strCache>
                <c:ptCount val="1"/>
                <c:pt idx="0">
                  <c:v>Nabídkové ceny bytů, ČR</c:v>
                </c:pt>
              </c:strCache>
            </c:strRef>
          </c:tx>
          <c:spPr>
            <a:ln w="19050">
              <a:solidFill>
                <a:schemeClr val="accent2"/>
              </a:solidFill>
            </a:ln>
          </c:spPr>
          <c:marker>
            <c:symbol val="none"/>
          </c:marker>
          <c:cat>
            <c:multiLvlStrRef>
              <c:f>'Ceny 1'!$A$14:$B$32</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2014</c:v>
                  </c:pt>
                  <c:pt idx="4">
                    <c:v>2015</c:v>
                  </c:pt>
                  <c:pt idx="8">
                    <c:v>2016</c:v>
                  </c:pt>
                  <c:pt idx="12">
                    <c:v>2017</c:v>
                  </c:pt>
                  <c:pt idx="16">
                    <c:v>2018</c:v>
                  </c:pt>
                </c:lvl>
              </c:multiLvlStrCache>
            </c:multiLvlStrRef>
          </c:cat>
          <c:val>
            <c:numRef>
              <c:f>'Ceny 1'!$E$14:$E$32</c:f>
              <c:numCache>
                <c:formatCode>0.0</c:formatCode>
                <c:ptCount val="19"/>
                <c:pt idx="0">
                  <c:v>3.0082987551867202</c:v>
                </c:pt>
                <c:pt idx="1">
                  <c:v>4.1407867494823956</c:v>
                </c:pt>
                <c:pt idx="2">
                  <c:v>4.6201232032853996</c:v>
                </c:pt>
                <c:pt idx="3">
                  <c:v>2.7411167512690495</c:v>
                </c:pt>
                <c:pt idx="4">
                  <c:v>3.6253776435045406</c:v>
                </c:pt>
                <c:pt idx="5">
                  <c:v>4.9701789264413518</c:v>
                </c:pt>
                <c:pt idx="6">
                  <c:v>6.0843964671246233</c:v>
                </c:pt>
                <c:pt idx="7">
                  <c:v>9.5849802371541557</c:v>
                </c:pt>
                <c:pt idx="8">
                  <c:v>10.204081632653049</c:v>
                </c:pt>
                <c:pt idx="9">
                  <c:v>10.321969696969704</c:v>
                </c:pt>
                <c:pt idx="10">
                  <c:v>9.8982423681776162</c:v>
                </c:pt>
                <c:pt idx="11">
                  <c:v>9.9188458070333638</c:v>
                </c:pt>
                <c:pt idx="12">
                  <c:v>9.5238095238095202</c:v>
                </c:pt>
                <c:pt idx="13" formatCode="General">
                  <c:v>9.5278969957081507</c:v>
                </c:pt>
                <c:pt idx="14" formatCode="General">
                  <c:v>12.542087542087534</c:v>
                </c:pt>
                <c:pt idx="15" formatCode="General">
                  <c:v>12.469237079573446</c:v>
                </c:pt>
                <c:pt idx="16" formatCode="General">
                  <c:v>12.801932367149774</c:v>
                </c:pt>
                <c:pt idx="17" formatCode="General">
                  <c:v>12.2257053291536</c:v>
                </c:pt>
                <c:pt idx="18" formatCode="General">
                  <c:v>9.4988780852654919</c:v>
                </c:pt>
              </c:numCache>
            </c:numRef>
          </c:val>
          <c:extLst xmlns:c16r2="http://schemas.microsoft.com/office/drawing/2015/06/chart">
            <c:ext xmlns:c16="http://schemas.microsoft.com/office/drawing/2014/chart" uri="{C3380CC4-5D6E-409C-BE32-E72D297353CC}">
              <c16:uniqueId val="{00000002-9C4B-410B-87C0-1687D3029BD4}"/>
            </c:ext>
          </c:extLst>
        </c:ser>
        <c:ser>
          <c:idx val="3"/>
          <c:order val="3"/>
          <c:tx>
            <c:strRef>
              <c:f>'Ceny 1'!$F$5</c:f>
              <c:strCache>
                <c:ptCount val="1"/>
                <c:pt idx="0">
                  <c:v>Nabídkové ceny bytů, Praha</c:v>
                </c:pt>
              </c:strCache>
            </c:strRef>
          </c:tx>
          <c:spPr>
            <a:ln>
              <a:solidFill>
                <a:schemeClr val="accent1"/>
              </a:solidFill>
            </a:ln>
          </c:spPr>
          <c:marker>
            <c:symbol val="none"/>
          </c:marker>
          <c:cat>
            <c:multiLvlStrRef>
              <c:f>'Ceny 1'!$A$14:$B$32</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2014</c:v>
                  </c:pt>
                  <c:pt idx="4">
                    <c:v>2015</c:v>
                  </c:pt>
                  <c:pt idx="8">
                    <c:v>2016</c:v>
                  </c:pt>
                  <c:pt idx="12">
                    <c:v>2017</c:v>
                  </c:pt>
                  <c:pt idx="16">
                    <c:v>2018</c:v>
                  </c:pt>
                </c:lvl>
              </c:multiLvlStrCache>
            </c:multiLvlStrRef>
          </c:cat>
          <c:val>
            <c:numRef>
              <c:f>'Ceny 1'!$F$14:$F$32</c:f>
              <c:numCache>
                <c:formatCode>0.0</c:formatCode>
                <c:ptCount val="19"/>
                <c:pt idx="0">
                  <c:v>3.8310412573674002</c:v>
                </c:pt>
                <c:pt idx="1">
                  <c:v>5.2785923753665784</c:v>
                </c:pt>
                <c:pt idx="2">
                  <c:v>6.6731141199226212</c:v>
                </c:pt>
                <c:pt idx="3">
                  <c:v>5.1428571428571486</c:v>
                </c:pt>
                <c:pt idx="4">
                  <c:v>5.7710501419110827</c:v>
                </c:pt>
                <c:pt idx="5">
                  <c:v>6.4995357474466076</c:v>
                </c:pt>
                <c:pt idx="6">
                  <c:v>6.7089755213055255</c:v>
                </c:pt>
                <c:pt idx="7">
                  <c:v>8.7862318840579601</c:v>
                </c:pt>
                <c:pt idx="8">
                  <c:v>10.196779964221831</c:v>
                </c:pt>
                <c:pt idx="9">
                  <c:v>10.549258936355701</c:v>
                </c:pt>
                <c:pt idx="10">
                  <c:v>9.7706032285471505</c:v>
                </c:pt>
                <c:pt idx="11">
                  <c:v>11.323896752706107</c:v>
                </c:pt>
                <c:pt idx="12">
                  <c:v>13.636363636363633</c:v>
                </c:pt>
                <c:pt idx="13" formatCode="General">
                  <c:v>14.589905362776037</c:v>
                </c:pt>
                <c:pt idx="14" formatCode="General">
                  <c:v>18.266253869968985</c:v>
                </c:pt>
                <c:pt idx="15" formatCode="General">
                  <c:v>18.773373223635023</c:v>
                </c:pt>
                <c:pt idx="16" formatCode="General">
                  <c:v>15.071428571428566</c:v>
                </c:pt>
                <c:pt idx="17" formatCode="General">
                  <c:v>14.246386785960068</c:v>
                </c:pt>
                <c:pt idx="18" formatCode="General">
                  <c:v>10.732984293193702</c:v>
                </c:pt>
              </c:numCache>
            </c:numRef>
          </c:val>
          <c:extLst xmlns:c16r2="http://schemas.microsoft.com/office/drawing/2015/06/chart">
            <c:ext xmlns:c16="http://schemas.microsoft.com/office/drawing/2014/chart" uri="{C3380CC4-5D6E-409C-BE32-E72D297353CC}">
              <c16:uniqueId val="{00000003-9C4B-410B-87C0-1687D3029BD4}"/>
            </c:ext>
          </c:extLst>
        </c:ser>
        <c:marker val="1"/>
        <c:axId val="90007040"/>
        <c:axId val="90008576"/>
      </c:lineChart>
      <c:catAx>
        <c:axId val="90007040"/>
        <c:scaling>
          <c:orientation val="minMax"/>
        </c:scaling>
        <c:axPos val="b"/>
        <c:numFmt formatCode="General" sourceLinked="0"/>
        <c:tickLblPos val="low"/>
        <c:spPr>
          <a:ln>
            <a:solidFill>
              <a:schemeClr val="tx1"/>
            </a:solidFill>
          </a:ln>
        </c:spPr>
        <c:txPr>
          <a:bodyPr rot="0" vert="horz"/>
          <a:lstStyle/>
          <a:p>
            <a:pPr>
              <a:defRPr/>
            </a:pPr>
            <a:endParaRPr lang="cs-CZ"/>
          </a:p>
        </c:txPr>
        <c:crossAx val="90008576"/>
        <c:crosses val="autoZero"/>
        <c:auto val="1"/>
        <c:lblAlgn val="ctr"/>
        <c:lblOffset val="100"/>
      </c:catAx>
      <c:valAx>
        <c:axId val="90008576"/>
        <c:scaling>
          <c:orientation val="minMax"/>
          <c:min val="-6"/>
        </c:scaling>
        <c:axPos val="l"/>
        <c:majorGridlines>
          <c:spPr>
            <a:ln w="6350">
              <a:solidFill>
                <a:schemeClr val="bg1">
                  <a:lumMod val="75000"/>
                </a:schemeClr>
              </a:solidFill>
            </a:ln>
          </c:spPr>
        </c:majorGridlines>
        <c:numFmt formatCode="0" sourceLinked="0"/>
        <c:tickLblPos val="nextTo"/>
        <c:spPr>
          <a:ln>
            <a:solidFill>
              <a:schemeClr val="tx1"/>
            </a:solidFill>
          </a:ln>
        </c:spPr>
        <c:crossAx val="90007040"/>
        <c:crosses val="autoZero"/>
        <c:crossBetween val="between"/>
        <c:majorUnit val="2"/>
      </c:valAx>
      <c:spPr>
        <a:ln>
          <a:solidFill>
            <a:schemeClr val="tx1"/>
          </a:solidFill>
        </a:ln>
      </c:spPr>
    </c:plotArea>
    <c:legend>
      <c:legendPos val="b"/>
      <c:layout>
        <c:manualLayout>
          <c:xMode val="edge"/>
          <c:yMode val="edge"/>
          <c:x val="4.6528021206651497E-2"/>
          <c:y val="0.88817854328492629"/>
          <c:w val="0.92679973142893113"/>
          <c:h val="9.838061465721031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1707738197712412E-2"/>
          <c:y val="2.1811315924220767E-2"/>
          <c:w val="0.91614446133063154"/>
          <c:h val="0.71663233141956562"/>
        </c:manualLayout>
      </c:layout>
      <c:barChart>
        <c:barDir val="col"/>
        <c:grouping val="clustered"/>
        <c:ser>
          <c:idx val="0"/>
          <c:order val="0"/>
          <c:tx>
            <c:strRef>
              <c:f>'Ceny 4'!$C$5</c:f>
              <c:strCache>
                <c:ptCount val="1"/>
                <c:pt idx="0">
                  <c:v>Celkem</c:v>
                </c:pt>
              </c:strCache>
            </c:strRef>
          </c:tx>
          <c:spPr>
            <a:solidFill>
              <a:schemeClr val="bg1">
                <a:lumMod val="65000"/>
              </a:schemeClr>
            </a:solidFill>
            <a:ln w="19050">
              <a:noFill/>
            </a:ln>
          </c:spPr>
          <c:cat>
            <c:multiLvlStrRef>
              <c:f>'Ceny 4'!$A$18:$B$74</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2014</c:v>
                  </c:pt>
                  <c:pt idx="12">
                    <c:v>2015</c:v>
                  </c:pt>
                  <c:pt idx="24">
                    <c:v>2016</c:v>
                  </c:pt>
                  <c:pt idx="36">
                    <c:v>2017</c:v>
                  </c:pt>
                  <c:pt idx="48">
                    <c:v>2018</c:v>
                  </c:pt>
                </c:lvl>
              </c:multiLvlStrCache>
            </c:multiLvlStrRef>
          </c:cat>
          <c:val>
            <c:numRef>
              <c:f>'Ceny 4'!$C$18:$C$74</c:f>
              <c:numCache>
                <c:formatCode>0.0</c:formatCode>
                <c:ptCount val="57"/>
                <c:pt idx="0">
                  <c:v>-0.70000000000000284</c:v>
                </c:pt>
                <c:pt idx="1">
                  <c:v>-0.70000000000000284</c:v>
                </c:pt>
                <c:pt idx="2">
                  <c:v>-0.7999999999999976</c:v>
                </c:pt>
                <c:pt idx="3">
                  <c:v>-0.30000000000000032</c:v>
                </c:pt>
                <c:pt idx="4">
                  <c:v>-9.9999999999995232E-2</c:v>
                </c:pt>
                <c:pt idx="5">
                  <c:v>-0.20000000000000284</c:v>
                </c:pt>
                <c:pt idx="6">
                  <c:v>-9.9999999999995232E-2</c:v>
                </c:pt>
                <c:pt idx="7">
                  <c:v>0</c:v>
                </c:pt>
                <c:pt idx="8">
                  <c:v>-0.30000000000000032</c:v>
                </c:pt>
                <c:pt idx="9">
                  <c:v>-0.30000000000000032</c:v>
                </c:pt>
                <c:pt idx="10">
                  <c:v>-1.7000000000000028</c:v>
                </c:pt>
                <c:pt idx="11">
                  <c:v>-3.7000000000000042</c:v>
                </c:pt>
                <c:pt idx="12">
                  <c:v>-3.5</c:v>
                </c:pt>
                <c:pt idx="13">
                  <c:v>-3.5999999999999943</c:v>
                </c:pt>
                <c:pt idx="14">
                  <c:v>-2.9000000000000057</c:v>
                </c:pt>
                <c:pt idx="15">
                  <c:v>-2.5999999999999943</c:v>
                </c:pt>
                <c:pt idx="16">
                  <c:v>-2.0999999999999943</c:v>
                </c:pt>
                <c:pt idx="17">
                  <c:v>-2.2999999999999972</c:v>
                </c:pt>
                <c:pt idx="18">
                  <c:v>-3</c:v>
                </c:pt>
                <c:pt idx="19">
                  <c:v>-3.7000000000000042</c:v>
                </c:pt>
                <c:pt idx="20">
                  <c:v>-4.2000000000000028</c:v>
                </c:pt>
                <c:pt idx="21">
                  <c:v>-3.9000000000000057</c:v>
                </c:pt>
                <c:pt idx="22">
                  <c:v>-3.7000000000000042</c:v>
                </c:pt>
                <c:pt idx="23">
                  <c:v>-2.9000000000000057</c:v>
                </c:pt>
                <c:pt idx="24">
                  <c:v>-3.4000000000000057</c:v>
                </c:pt>
                <c:pt idx="25">
                  <c:v>-4</c:v>
                </c:pt>
                <c:pt idx="26">
                  <c:v>-4.5</c:v>
                </c:pt>
                <c:pt idx="27">
                  <c:v>-4.7000000000000028</c:v>
                </c:pt>
                <c:pt idx="28">
                  <c:v>-4.7999999999999972</c:v>
                </c:pt>
                <c:pt idx="29">
                  <c:v>-4.4000000000000083</c:v>
                </c:pt>
                <c:pt idx="30">
                  <c:v>-4</c:v>
                </c:pt>
                <c:pt idx="31">
                  <c:v>-3.4000000000000057</c:v>
                </c:pt>
                <c:pt idx="32">
                  <c:v>-2.4000000000000057</c:v>
                </c:pt>
                <c:pt idx="33">
                  <c:v>-1.7000000000000028</c:v>
                </c:pt>
                <c:pt idx="34">
                  <c:v>-1.2999999999999836</c:v>
                </c:pt>
                <c:pt idx="35">
                  <c:v>-0.40000000000000568</c:v>
                </c:pt>
                <c:pt idx="36" formatCode="General">
                  <c:v>2.0999999999999943</c:v>
                </c:pt>
                <c:pt idx="37" formatCode="General">
                  <c:v>3.0999999999999943</c:v>
                </c:pt>
                <c:pt idx="38">
                  <c:v>3</c:v>
                </c:pt>
                <c:pt idx="39">
                  <c:v>3.2000000000000042</c:v>
                </c:pt>
                <c:pt idx="40" formatCode="General">
                  <c:v>2.2999999999999972</c:v>
                </c:pt>
                <c:pt idx="41" formatCode="General">
                  <c:v>1.2999999999999836</c:v>
                </c:pt>
                <c:pt idx="42" formatCode="General">
                  <c:v>1.1000000000000001</c:v>
                </c:pt>
                <c:pt idx="43" formatCode="General">
                  <c:v>1.4</c:v>
                </c:pt>
                <c:pt idx="44" formatCode="General">
                  <c:v>1.7</c:v>
                </c:pt>
                <c:pt idx="45" formatCode="General">
                  <c:v>1.1000000000000001</c:v>
                </c:pt>
                <c:pt idx="46" formatCode="General">
                  <c:v>0.9</c:v>
                </c:pt>
                <c:pt idx="47" formatCode="General">
                  <c:v>0.70000000000000062</c:v>
                </c:pt>
                <c:pt idx="48" formatCode="General">
                  <c:v>0.5</c:v>
                </c:pt>
                <c:pt idx="49" formatCode="General">
                  <c:v>-0.30000000000000032</c:v>
                </c:pt>
                <c:pt idx="50" formatCode="General">
                  <c:v>0.1</c:v>
                </c:pt>
                <c:pt idx="51" formatCode="General">
                  <c:v>0</c:v>
                </c:pt>
                <c:pt idx="52" formatCode="General">
                  <c:v>1.5</c:v>
                </c:pt>
                <c:pt idx="53" formatCode="General">
                  <c:v>2.9</c:v>
                </c:pt>
                <c:pt idx="54" formatCode="General">
                  <c:v>3.4</c:v>
                </c:pt>
                <c:pt idx="55" formatCode="General">
                  <c:v>3.3</c:v>
                </c:pt>
                <c:pt idx="56" formatCode="General">
                  <c:v>3.2</c:v>
                </c:pt>
              </c:numCache>
            </c:numRef>
          </c:val>
          <c:extLst xmlns:c16r2="http://schemas.microsoft.com/office/drawing/2015/06/chart">
            <c:ext xmlns:c16="http://schemas.microsoft.com/office/drawing/2014/chart" uri="{C3380CC4-5D6E-409C-BE32-E72D297353CC}">
              <c16:uniqueId val="{00000000-641D-4CFA-A520-4F7862CD8BE8}"/>
            </c:ext>
          </c:extLst>
        </c:ser>
        <c:gapWidth val="96"/>
        <c:axId val="92508160"/>
        <c:axId val="92509696"/>
      </c:barChart>
      <c:lineChart>
        <c:grouping val="standard"/>
        <c:ser>
          <c:idx val="1"/>
          <c:order val="1"/>
          <c:tx>
            <c:strRef>
              <c:f>'Ceny 4'!$D$5</c:f>
              <c:strCache>
                <c:ptCount val="1"/>
                <c:pt idx="0">
                  <c:v>Těžba a dobývání</c:v>
                </c:pt>
              </c:strCache>
            </c:strRef>
          </c:tx>
          <c:spPr>
            <a:ln w="19050">
              <a:solidFill>
                <a:srgbClr val="7DBB2D"/>
              </a:solidFill>
            </a:ln>
          </c:spPr>
          <c:marker>
            <c:symbol val="none"/>
          </c:marker>
          <c:cat>
            <c:multiLvlStrRef>
              <c:f>'Ceny 4'!$A$18:$B$74</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2014</c:v>
                  </c:pt>
                  <c:pt idx="12">
                    <c:v>2015</c:v>
                  </c:pt>
                  <c:pt idx="24">
                    <c:v>2016</c:v>
                  </c:pt>
                  <c:pt idx="36">
                    <c:v>2017</c:v>
                  </c:pt>
                  <c:pt idx="48">
                    <c:v>2018</c:v>
                  </c:pt>
                </c:lvl>
              </c:multiLvlStrCache>
            </c:multiLvlStrRef>
          </c:cat>
          <c:val>
            <c:numRef>
              <c:f>'Ceny 4'!$D$18:$D$74</c:f>
              <c:numCache>
                <c:formatCode>0.0</c:formatCode>
                <c:ptCount val="57"/>
                <c:pt idx="0">
                  <c:v>-3</c:v>
                </c:pt>
                <c:pt idx="1">
                  <c:v>-3.0999999999999943</c:v>
                </c:pt>
                <c:pt idx="2">
                  <c:v>-4</c:v>
                </c:pt>
                <c:pt idx="3">
                  <c:v>-4.0999999999999943</c:v>
                </c:pt>
                <c:pt idx="4">
                  <c:v>-4.5999999999999943</c:v>
                </c:pt>
                <c:pt idx="5">
                  <c:v>-4.7999999999999972</c:v>
                </c:pt>
                <c:pt idx="6">
                  <c:v>-3</c:v>
                </c:pt>
                <c:pt idx="7">
                  <c:v>-3.5999999999999943</c:v>
                </c:pt>
                <c:pt idx="8">
                  <c:v>-1.9000000000000061</c:v>
                </c:pt>
                <c:pt idx="9">
                  <c:v>-2.0999999999999943</c:v>
                </c:pt>
                <c:pt idx="10">
                  <c:v>-2.2999999999999972</c:v>
                </c:pt>
                <c:pt idx="11">
                  <c:v>-2.7999999999999972</c:v>
                </c:pt>
                <c:pt idx="12">
                  <c:v>-0.90000000000000568</c:v>
                </c:pt>
                <c:pt idx="13">
                  <c:v>-1.5</c:v>
                </c:pt>
                <c:pt idx="14">
                  <c:v>-0.90000000000000568</c:v>
                </c:pt>
                <c:pt idx="15">
                  <c:v>-0.90000000000000568</c:v>
                </c:pt>
                <c:pt idx="16">
                  <c:v>0.30000000000000032</c:v>
                </c:pt>
                <c:pt idx="17">
                  <c:v>0.59999999999999432</c:v>
                </c:pt>
                <c:pt idx="18">
                  <c:v>0.40000000000000568</c:v>
                </c:pt>
                <c:pt idx="19">
                  <c:v>-0.30000000000000032</c:v>
                </c:pt>
                <c:pt idx="20">
                  <c:v>-1.7000000000000028</c:v>
                </c:pt>
                <c:pt idx="21">
                  <c:v>-1.4000000000000057</c:v>
                </c:pt>
                <c:pt idx="22">
                  <c:v>-0.59999999999999432</c:v>
                </c:pt>
                <c:pt idx="23">
                  <c:v>-0.5</c:v>
                </c:pt>
                <c:pt idx="24">
                  <c:v>-6.5999999999999943</c:v>
                </c:pt>
                <c:pt idx="25">
                  <c:v>-6.0999999999999943</c:v>
                </c:pt>
                <c:pt idx="26">
                  <c:v>-6.5</c:v>
                </c:pt>
                <c:pt idx="27">
                  <c:v>-7</c:v>
                </c:pt>
                <c:pt idx="28">
                  <c:v>-7.0999999999999943</c:v>
                </c:pt>
                <c:pt idx="29">
                  <c:v>-7.2999999999999972</c:v>
                </c:pt>
                <c:pt idx="30">
                  <c:v>-6.5999999999999943</c:v>
                </c:pt>
                <c:pt idx="31">
                  <c:v>-6</c:v>
                </c:pt>
                <c:pt idx="32">
                  <c:v>-4.9000000000000083</c:v>
                </c:pt>
                <c:pt idx="33">
                  <c:v>-5.2000000000000028</c:v>
                </c:pt>
                <c:pt idx="34">
                  <c:v>-5.2999999999999972</c:v>
                </c:pt>
                <c:pt idx="35">
                  <c:v>-5.0999999999999943</c:v>
                </c:pt>
                <c:pt idx="36" formatCode="General">
                  <c:v>2.2999999999999972</c:v>
                </c:pt>
                <c:pt idx="37" formatCode="General">
                  <c:v>5.7999999999999972</c:v>
                </c:pt>
                <c:pt idx="38">
                  <c:v>6.2000000000000028</c:v>
                </c:pt>
                <c:pt idx="39">
                  <c:v>6.4000000000000083</c:v>
                </c:pt>
                <c:pt idx="40" formatCode="General">
                  <c:v>4.2999999999999972</c:v>
                </c:pt>
                <c:pt idx="41" formatCode="General">
                  <c:v>4.0999999999999943</c:v>
                </c:pt>
                <c:pt idx="42" formatCode="General">
                  <c:v>2.9</c:v>
                </c:pt>
                <c:pt idx="43" formatCode="General">
                  <c:v>1.7</c:v>
                </c:pt>
                <c:pt idx="44" formatCode="General">
                  <c:v>1.9000000000000001</c:v>
                </c:pt>
                <c:pt idx="45" formatCode="General">
                  <c:v>3.4</c:v>
                </c:pt>
                <c:pt idx="46" formatCode="General">
                  <c:v>3.3</c:v>
                </c:pt>
                <c:pt idx="47" formatCode="General">
                  <c:v>3.6</c:v>
                </c:pt>
                <c:pt idx="48" formatCode="General">
                  <c:v>6.7</c:v>
                </c:pt>
                <c:pt idx="49" formatCode="General">
                  <c:v>5</c:v>
                </c:pt>
                <c:pt idx="50" formatCode="General">
                  <c:v>4.3</c:v>
                </c:pt>
                <c:pt idx="51" formatCode="General">
                  <c:v>4.5999999999999996</c:v>
                </c:pt>
                <c:pt idx="52" formatCode="General">
                  <c:v>7.4</c:v>
                </c:pt>
                <c:pt idx="53" formatCode="General">
                  <c:v>8</c:v>
                </c:pt>
                <c:pt idx="54" formatCode="General">
                  <c:v>8.4</c:v>
                </c:pt>
                <c:pt idx="55" formatCode="General">
                  <c:v>10.1</c:v>
                </c:pt>
                <c:pt idx="56" formatCode="General">
                  <c:v>9.9</c:v>
                </c:pt>
              </c:numCache>
            </c:numRef>
          </c:val>
          <c:extLst xmlns:c16r2="http://schemas.microsoft.com/office/drawing/2015/06/chart">
            <c:ext xmlns:c16="http://schemas.microsoft.com/office/drawing/2014/chart" uri="{C3380CC4-5D6E-409C-BE32-E72D297353CC}">
              <c16:uniqueId val="{00000001-641D-4CFA-A520-4F7862CD8BE8}"/>
            </c:ext>
          </c:extLst>
        </c:ser>
        <c:ser>
          <c:idx val="2"/>
          <c:order val="2"/>
          <c:tx>
            <c:strRef>
              <c:f>'Ceny 4'!$E$5</c:f>
              <c:strCache>
                <c:ptCount val="1"/>
                <c:pt idx="0">
                  <c:v>Zpracovatelský průmysl</c:v>
                </c:pt>
              </c:strCache>
            </c:strRef>
          </c:tx>
          <c:spPr>
            <a:ln w="19050">
              <a:solidFill>
                <a:srgbClr val="BD1B21"/>
              </a:solidFill>
            </a:ln>
          </c:spPr>
          <c:marker>
            <c:symbol val="none"/>
          </c:marker>
          <c:cat>
            <c:multiLvlStrRef>
              <c:f>'Ceny 4'!$A$18:$B$74</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2014</c:v>
                  </c:pt>
                  <c:pt idx="12">
                    <c:v>2015</c:v>
                  </c:pt>
                  <c:pt idx="24">
                    <c:v>2016</c:v>
                  </c:pt>
                  <c:pt idx="36">
                    <c:v>2017</c:v>
                  </c:pt>
                  <c:pt idx="48">
                    <c:v>2018</c:v>
                  </c:pt>
                </c:lvl>
              </c:multiLvlStrCache>
            </c:multiLvlStrRef>
          </c:cat>
          <c:val>
            <c:numRef>
              <c:f>'Ceny 4'!$E$18:$E$74</c:f>
              <c:numCache>
                <c:formatCode>0.0</c:formatCode>
                <c:ptCount val="57"/>
                <c:pt idx="0">
                  <c:v>1.099999999999983</c:v>
                </c:pt>
                <c:pt idx="1">
                  <c:v>1.2000000000000028</c:v>
                </c:pt>
                <c:pt idx="2">
                  <c:v>1</c:v>
                </c:pt>
                <c:pt idx="3">
                  <c:v>1.599999999999983</c:v>
                </c:pt>
                <c:pt idx="4">
                  <c:v>1.9000000000000061</c:v>
                </c:pt>
                <c:pt idx="5">
                  <c:v>1.9000000000000061</c:v>
                </c:pt>
                <c:pt idx="6">
                  <c:v>1.7999999999999836</c:v>
                </c:pt>
                <c:pt idx="7">
                  <c:v>2.0999999999999943</c:v>
                </c:pt>
                <c:pt idx="8">
                  <c:v>1.5</c:v>
                </c:pt>
                <c:pt idx="9">
                  <c:v>1.5</c:v>
                </c:pt>
                <c:pt idx="10">
                  <c:v>-9.9999999999995232E-2</c:v>
                </c:pt>
                <c:pt idx="11">
                  <c:v>-2.7999999999999972</c:v>
                </c:pt>
                <c:pt idx="12">
                  <c:v>-4.2999999999999972</c:v>
                </c:pt>
                <c:pt idx="13">
                  <c:v>-4.4000000000000083</c:v>
                </c:pt>
                <c:pt idx="14">
                  <c:v>-3.5</c:v>
                </c:pt>
                <c:pt idx="15">
                  <c:v>-3.0999999999999943</c:v>
                </c:pt>
                <c:pt idx="16">
                  <c:v>-2.7000000000000042</c:v>
                </c:pt>
                <c:pt idx="17">
                  <c:v>-2.7999999999999972</c:v>
                </c:pt>
                <c:pt idx="18">
                  <c:v>-3.5999999999999943</c:v>
                </c:pt>
                <c:pt idx="19">
                  <c:v>-4.7000000000000028</c:v>
                </c:pt>
                <c:pt idx="20">
                  <c:v>-5.2000000000000028</c:v>
                </c:pt>
                <c:pt idx="21">
                  <c:v>-4.9000000000000083</c:v>
                </c:pt>
                <c:pt idx="22">
                  <c:v>-4.5999999999999943</c:v>
                </c:pt>
                <c:pt idx="23">
                  <c:v>-3.5</c:v>
                </c:pt>
                <c:pt idx="24">
                  <c:v>-3.2999999999999972</c:v>
                </c:pt>
                <c:pt idx="25">
                  <c:v>-4.0999999999999943</c:v>
                </c:pt>
                <c:pt idx="26">
                  <c:v>-4.5999999999999943</c:v>
                </c:pt>
                <c:pt idx="27">
                  <c:v>-4.9000000000000083</c:v>
                </c:pt>
                <c:pt idx="28">
                  <c:v>-5</c:v>
                </c:pt>
                <c:pt idx="29">
                  <c:v>-4.5</c:v>
                </c:pt>
                <c:pt idx="30">
                  <c:v>-4</c:v>
                </c:pt>
                <c:pt idx="31">
                  <c:v>-3.2000000000000042</c:v>
                </c:pt>
                <c:pt idx="32">
                  <c:v>-2</c:v>
                </c:pt>
                <c:pt idx="33">
                  <c:v>-1.099999999999983</c:v>
                </c:pt>
                <c:pt idx="34">
                  <c:v>-0.59999999999999432</c:v>
                </c:pt>
                <c:pt idx="35">
                  <c:v>0.59999999999999432</c:v>
                </c:pt>
                <c:pt idx="36" formatCode="General">
                  <c:v>2.5999999999999943</c:v>
                </c:pt>
                <c:pt idx="37" formatCode="General">
                  <c:v>4</c:v>
                </c:pt>
                <c:pt idx="38">
                  <c:v>3.7999999999999972</c:v>
                </c:pt>
                <c:pt idx="39">
                  <c:v>4</c:v>
                </c:pt>
                <c:pt idx="40" formatCode="General">
                  <c:v>2.7999999999999972</c:v>
                </c:pt>
                <c:pt idx="41" formatCode="General">
                  <c:v>1.5</c:v>
                </c:pt>
                <c:pt idx="42" formatCode="General">
                  <c:v>1.4</c:v>
                </c:pt>
                <c:pt idx="43" formatCode="General">
                  <c:v>2</c:v>
                </c:pt>
                <c:pt idx="44" formatCode="General">
                  <c:v>2.1</c:v>
                </c:pt>
                <c:pt idx="45" formatCode="General">
                  <c:v>1.4</c:v>
                </c:pt>
                <c:pt idx="46" formatCode="General">
                  <c:v>1.1000000000000001</c:v>
                </c:pt>
                <c:pt idx="47" formatCode="General">
                  <c:v>0.9</c:v>
                </c:pt>
                <c:pt idx="48" formatCode="General">
                  <c:v>0.2</c:v>
                </c:pt>
                <c:pt idx="49" formatCode="General">
                  <c:v>-0.9</c:v>
                </c:pt>
                <c:pt idx="50" formatCode="General">
                  <c:v>-0.5</c:v>
                </c:pt>
                <c:pt idx="51" formatCode="General">
                  <c:v>-0.5</c:v>
                </c:pt>
                <c:pt idx="52" formatCode="General">
                  <c:v>1.3</c:v>
                </c:pt>
                <c:pt idx="53" formatCode="General">
                  <c:v>2.8</c:v>
                </c:pt>
                <c:pt idx="54" formatCode="General">
                  <c:v>3.4</c:v>
                </c:pt>
                <c:pt idx="55" formatCode="General">
                  <c:v>3.2</c:v>
                </c:pt>
                <c:pt idx="56" formatCode="General">
                  <c:v>3</c:v>
                </c:pt>
              </c:numCache>
            </c:numRef>
          </c:val>
          <c:extLst xmlns:c16r2="http://schemas.microsoft.com/office/drawing/2015/06/chart">
            <c:ext xmlns:c16="http://schemas.microsoft.com/office/drawing/2014/chart" uri="{C3380CC4-5D6E-409C-BE32-E72D297353CC}">
              <c16:uniqueId val="{00000002-641D-4CFA-A520-4F7862CD8BE8}"/>
            </c:ext>
          </c:extLst>
        </c:ser>
        <c:ser>
          <c:idx val="3"/>
          <c:order val="3"/>
          <c:tx>
            <c:strRef>
              <c:f>'Ceny 4'!$F$5</c:f>
              <c:strCache>
                <c:ptCount val="1"/>
                <c:pt idx="0">
                  <c:v>Elektřina, plyn, pára a klim. vzduch</c:v>
                </c:pt>
              </c:strCache>
            </c:strRef>
          </c:tx>
          <c:spPr>
            <a:ln w="19050">
              <a:solidFill>
                <a:srgbClr val="F8A124"/>
              </a:solidFill>
            </a:ln>
          </c:spPr>
          <c:marker>
            <c:symbol val="none"/>
          </c:marker>
          <c:cat>
            <c:multiLvlStrRef>
              <c:f>'Ceny 4'!$A$18:$B$74</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2014</c:v>
                  </c:pt>
                  <c:pt idx="12">
                    <c:v>2015</c:v>
                  </c:pt>
                  <c:pt idx="24">
                    <c:v>2016</c:v>
                  </c:pt>
                  <c:pt idx="36">
                    <c:v>2017</c:v>
                  </c:pt>
                  <c:pt idx="48">
                    <c:v>2018</c:v>
                  </c:pt>
                </c:lvl>
              </c:multiLvlStrCache>
            </c:multiLvlStrRef>
          </c:cat>
          <c:val>
            <c:numRef>
              <c:f>'Ceny 4'!$F$18:$F$74</c:f>
              <c:numCache>
                <c:formatCode>0.0</c:formatCode>
                <c:ptCount val="57"/>
                <c:pt idx="0">
                  <c:v>-8.8000000000000025</c:v>
                </c:pt>
                <c:pt idx="1">
                  <c:v>-8.8000000000000025</c:v>
                </c:pt>
                <c:pt idx="2">
                  <c:v>-8.8000000000000025</c:v>
                </c:pt>
                <c:pt idx="3">
                  <c:v>-8.6000000000000014</c:v>
                </c:pt>
                <c:pt idx="4">
                  <c:v>-8.6000000000000014</c:v>
                </c:pt>
                <c:pt idx="5">
                  <c:v>-8.7000000000000011</c:v>
                </c:pt>
                <c:pt idx="6">
                  <c:v>-8.7000000000000011</c:v>
                </c:pt>
                <c:pt idx="7">
                  <c:v>-8.6000000000000014</c:v>
                </c:pt>
                <c:pt idx="8">
                  <c:v>-8.6000000000000014</c:v>
                </c:pt>
                <c:pt idx="9">
                  <c:v>-8.9000000000000057</c:v>
                </c:pt>
                <c:pt idx="10">
                  <c:v>-8.9000000000000057</c:v>
                </c:pt>
                <c:pt idx="11">
                  <c:v>-8.6000000000000014</c:v>
                </c:pt>
                <c:pt idx="12">
                  <c:v>-0.7999999999999976</c:v>
                </c:pt>
                <c:pt idx="13">
                  <c:v>-0.7999999999999976</c:v>
                </c:pt>
                <c:pt idx="14">
                  <c:v>-0.7999999999999976</c:v>
                </c:pt>
                <c:pt idx="15">
                  <c:v>-0.70000000000000284</c:v>
                </c:pt>
                <c:pt idx="16">
                  <c:v>-0.70000000000000284</c:v>
                </c:pt>
                <c:pt idx="17">
                  <c:v>-0.70000000000000284</c:v>
                </c:pt>
                <c:pt idx="18">
                  <c:v>-0.70000000000000284</c:v>
                </c:pt>
                <c:pt idx="19">
                  <c:v>-0.7999999999999976</c:v>
                </c:pt>
                <c:pt idx="20">
                  <c:v>-0.7999999999999976</c:v>
                </c:pt>
                <c:pt idx="21">
                  <c:v>-0.90000000000000568</c:v>
                </c:pt>
                <c:pt idx="22">
                  <c:v>-0.90000000000000568</c:v>
                </c:pt>
                <c:pt idx="23">
                  <c:v>-0.90000000000000568</c:v>
                </c:pt>
                <c:pt idx="24">
                  <c:v>-4</c:v>
                </c:pt>
                <c:pt idx="25">
                  <c:v>-4.0999999999999943</c:v>
                </c:pt>
                <c:pt idx="26">
                  <c:v>-4.0999999999999943</c:v>
                </c:pt>
                <c:pt idx="27">
                  <c:v>-4</c:v>
                </c:pt>
                <c:pt idx="28">
                  <c:v>-4</c:v>
                </c:pt>
                <c:pt idx="29">
                  <c:v>-4.0999999999999943</c:v>
                </c:pt>
                <c:pt idx="30">
                  <c:v>-4</c:v>
                </c:pt>
                <c:pt idx="31">
                  <c:v>-4</c:v>
                </c:pt>
                <c:pt idx="32">
                  <c:v>-4.0999999999999943</c:v>
                </c:pt>
                <c:pt idx="33">
                  <c:v>-4.0999999999999943</c:v>
                </c:pt>
                <c:pt idx="34">
                  <c:v>-4.0999999999999943</c:v>
                </c:pt>
                <c:pt idx="35">
                  <c:v>-4.0999999999999943</c:v>
                </c:pt>
                <c:pt idx="36" formatCode="General">
                  <c:v>-1.099999999999983</c:v>
                </c:pt>
                <c:pt idx="37" formatCode="General">
                  <c:v>-1.2000000000000028</c:v>
                </c:pt>
                <c:pt idx="38">
                  <c:v>-1.2000000000000028</c:v>
                </c:pt>
                <c:pt idx="39">
                  <c:v>-1.4000000000000057</c:v>
                </c:pt>
                <c:pt idx="40" formatCode="General">
                  <c:v>-1.2999999999999836</c:v>
                </c:pt>
                <c:pt idx="41" formatCode="General">
                  <c:v>-1.099999999999983</c:v>
                </c:pt>
                <c:pt idx="42" formatCode="General">
                  <c:v>-1.1000000000000001</c:v>
                </c:pt>
                <c:pt idx="43" formatCode="General">
                  <c:v>-1.3</c:v>
                </c:pt>
                <c:pt idx="44" formatCode="General">
                  <c:v>-1.1000000000000001</c:v>
                </c:pt>
                <c:pt idx="45" formatCode="General">
                  <c:v>-1.1000000000000001</c:v>
                </c:pt>
                <c:pt idx="46" formatCode="General">
                  <c:v>-1.1000000000000001</c:v>
                </c:pt>
                <c:pt idx="47" formatCode="General">
                  <c:v>-1.1000000000000001</c:v>
                </c:pt>
                <c:pt idx="48" formatCode="General">
                  <c:v>1.5</c:v>
                </c:pt>
                <c:pt idx="49" formatCode="General">
                  <c:v>1.6</c:v>
                </c:pt>
                <c:pt idx="50" formatCode="General">
                  <c:v>1.6</c:v>
                </c:pt>
                <c:pt idx="51" formatCode="General">
                  <c:v>1.7</c:v>
                </c:pt>
                <c:pt idx="52" formatCode="General">
                  <c:v>1.7</c:v>
                </c:pt>
                <c:pt idx="53" formatCode="General">
                  <c:v>2.2999999999999998</c:v>
                </c:pt>
                <c:pt idx="54" formatCode="General">
                  <c:v>2.2999999999999998</c:v>
                </c:pt>
                <c:pt idx="55" formatCode="General">
                  <c:v>2.6</c:v>
                </c:pt>
                <c:pt idx="56" formatCode="General">
                  <c:v>2.7</c:v>
                </c:pt>
              </c:numCache>
            </c:numRef>
          </c:val>
          <c:extLst xmlns:c16r2="http://schemas.microsoft.com/office/drawing/2015/06/chart">
            <c:ext xmlns:c16="http://schemas.microsoft.com/office/drawing/2014/chart" uri="{C3380CC4-5D6E-409C-BE32-E72D297353CC}">
              <c16:uniqueId val="{00000003-641D-4CFA-A520-4F7862CD8BE8}"/>
            </c:ext>
          </c:extLst>
        </c:ser>
        <c:ser>
          <c:idx val="4"/>
          <c:order val="4"/>
          <c:tx>
            <c:strRef>
              <c:f>'Ceny 4'!$G$5</c:f>
              <c:strCache>
                <c:ptCount val="1"/>
                <c:pt idx="0">
                  <c:v>Zás. vodou; odpadní vody</c:v>
                </c:pt>
              </c:strCache>
            </c:strRef>
          </c:tx>
          <c:spPr>
            <a:ln w="19050">
              <a:solidFill>
                <a:schemeClr val="accent1"/>
              </a:solidFill>
            </a:ln>
          </c:spPr>
          <c:marker>
            <c:symbol val="none"/>
          </c:marker>
          <c:cat>
            <c:multiLvlStrRef>
              <c:f>'Ceny 4'!$A$18:$B$74</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2014</c:v>
                  </c:pt>
                  <c:pt idx="12">
                    <c:v>2015</c:v>
                  </c:pt>
                  <c:pt idx="24">
                    <c:v>2016</c:v>
                  </c:pt>
                  <c:pt idx="36">
                    <c:v>2017</c:v>
                  </c:pt>
                  <c:pt idx="48">
                    <c:v>2018</c:v>
                  </c:pt>
                </c:lvl>
              </c:multiLvlStrCache>
            </c:multiLvlStrRef>
          </c:cat>
          <c:val>
            <c:numRef>
              <c:f>'Ceny 4'!$G$18:$G$74</c:f>
              <c:numCache>
                <c:formatCode>General</c:formatCode>
                <c:ptCount val="57"/>
                <c:pt idx="0">
                  <c:v>3.4000000000000057</c:v>
                </c:pt>
                <c:pt idx="1">
                  <c:v>3.4000000000000057</c:v>
                </c:pt>
                <c:pt idx="2">
                  <c:v>3.4000000000000057</c:v>
                </c:pt>
                <c:pt idx="3">
                  <c:v>3.4000000000000057</c:v>
                </c:pt>
                <c:pt idx="4">
                  <c:v>3.4000000000000057</c:v>
                </c:pt>
                <c:pt idx="5">
                  <c:v>3.4000000000000057</c:v>
                </c:pt>
                <c:pt idx="6">
                  <c:v>3.4000000000000057</c:v>
                </c:pt>
                <c:pt idx="7">
                  <c:v>3.4000000000000057</c:v>
                </c:pt>
                <c:pt idx="8">
                  <c:v>3.4000000000000057</c:v>
                </c:pt>
                <c:pt idx="9">
                  <c:v>3.4000000000000057</c:v>
                </c:pt>
                <c:pt idx="10">
                  <c:v>3.4000000000000057</c:v>
                </c:pt>
                <c:pt idx="11">
                  <c:v>3.4000000000000057</c:v>
                </c:pt>
                <c:pt idx="12">
                  <c:v>3.4000000000000057</c:v>
                </c:pt>
                <c:pt idx="13">
                  <c:v>3.4000000000000057</c:v>
                </c:pt>
                <c:pt idx="14">
                  <c:v>3.4000000000000057</c:v>
                </c:pt>
                <c:pt idx="15">
                  <c:v>3.4000000000000057</c:v>
                </c:pt>
                <c:pt idx="16">
                  <c:v>3.4000000000000057</c:v>
                </c:pt>
                <c:pt idx="17">
                  <c:v>3.4000000000000057</c:v>
                </c:pt>
                <c:pt idx="18">
                  <c:v>3.4000000000000057</c:v>
                </c:pt>
                <c:pt idx="19">
                  <c:v>3.4000000000000057</c:v>
                </c:pt>
                <c:pt idx="20">
                  <c:v>3.4000000000000057</c:v>
                </c:pt>
                <c:pt idx="21">
                  <c:v>3.4000000000000057</c:v>
                </c:pt>
                <c:pt idx="22">
                  <c:v>3.4000000000000057</c:v>
                </c:pt>
                <c:pt idx="23">
                  <c:v>3.4000000000000057</c:v>
                </c:pt>
                <c:pt idx="24">
                  <c:v>0.5</c:v>
                </c:pt>
                <c:pt idx="25">
                  <c:v>0.5</c:v>
                </c:pt>
                <c:pt idx="26">
                  <c:v>0.5</c:v>
                </c:pt>
                <c:pt idx="27">
                  <c:v>1.599999999999983</c:v>
                </c:pt>
                <c:pt idx="28">
                  <c:v>1.599999999999983</c:v>
                </c:pt>
                <c:pt idx="29">
                  <c:v>1.599999999999983</c:v>
                </c:pt>
                <c:pt idx="30">
                  <c:v>1.599999999999983</c:v>
                </c:pt>
                <c:pt idx="31">
                  <c:v>1.599999999999983</c:v>
                </c:pt>
                <c:pt idx="32">
                  <c:v>1.599999999999983</c:v>
                </c:pt>
                <c:pt idx="33">
                  <c:v>1.599999999999983</c:v>
                </c:pt>
                <c:pt idx="34">
                  <c:v>1.599999999999983</c:v>
                </c:pt>
                <c:pt idx="35">
                  <c:v>1.599999999999983</c:v>
                </c:pt>
                <c:pt idx="36">
                  <c:v>2.0999999999999943</c:v>
                </c:pt>
                <c:pt idx="37">
                  <c:v>2.0999999999999943</c:v>
                </c:pt>
                <c:pt idx="38" formatCode="0.0">
                  <c:v>2.0999999999999943</c:v>
                </c:pt>
                <c:pt idx="39" formatCode="0.0">
                  <c:v>1</c:v>
                </c:pt>
                <c:pt idx="40">
                  <c:v>1</c:v>
                </c:pt>
                <c:pt idx="41">
                  <c:v>1</c:v>
                </c:pt>
                <c:pt idx="42">
                  <c:v>1</c:v>
                </c:pt>
                <c:pt idx="43">
                  <c:v>1</c:v>
                </c:pt>
                <c:pt idx="44">
                  <c:v>1</c:v>
                </c:pt>
                <c:pt idx="45">
                  <c:v>1</c:v>
                </c:pt>
                <c:pt idx="46">
                  <c:v>1</c:v>
                </c:pt>
                <c:pt idx="47">
                  <c:v>1</c:v>
                </c:pt>
                <c:pt idx="48">
                  <c:v>1.9000000000000001</c:v>
                </c:pt>
                <c:pt idx="49">
                  <c:v>1.9000000000000001</c:v>
                </c:pt>
                <c:pt idx="50">
                  <c:v>1.9000000000000001</c:v>
                </c:pt>
                <c:pt idx="51">
                  <c:v>1.9000000000000001</c:v>
                </c:pt>
                <c:pt idx="52">
                  <c:v>1.9000000000000001</c:v>
                </c:pt>
                <c:pt idx="53">
                  <c:v>1.9000000000000001</c:v>
                </c:pt>
                <c:pt idx="54">
                  <c:v>1.9000000000000001</c:v>
                </c:pt>
                <c:pt idx="55">
                  <c:v>1.9000000000000001</c:v>
                </c:pt>
                <c:pt idx="56">
                  <c:v>1.9000000000000001</c:v>
                </c:pt>
              </c:numCache>
            </c:numRef>
          </c:val>
          <c:extLst xmlns:c16r2="http://schemas.microsoft.com/office/drawing/2015/06/chart">
            <c:ext xmlns:c16="http://schemas.microsoft.com/office/drawing/2014/chart" uri="{C3380CC4-5D6E-409C-BE32-E72D297353CC}">
              <c16:uniqueId val="{00000004-641D-4CFA-A520-4F7862CD8BE8}"/>
            </c:ext>
          </c:extLst>
        </c:ser>
        <c:marker val="1"/>
        <c:axId val="92508160"/>
        <c:axId val="92509696"/>
      </c:lineChart>
      <c:catAx>
        <c:axId val="92508160"/>
        <c:scaling>
          <c:orientation val="minMax"/>
        </c:scaling>
        <c:axPos val="b"/>
        <c:numFmt formatCode="General" sourceLinked="0"/>
        <c:tickLblPos val="low"/>
        <c:spPr>
          <a:ln>
            <a:solidFill>
              <a:schemeClr val="tx1"/>
            </a:solidFill>
          </a:ln>
        </c:spPr>
        <c:crossAx val="92509696"/>
        <c:crosses val="autoZero"/>
        <c:auto val="1"/>
        <c:lblAlgn val="ctr"/>
        <c:lblOffset val="100"/>
      </c:catAx>
      <c:valAx>
        <c:axId val="92509696"/>
        <c:scaling>
          <c:orientation val="minMax"/>
          <c:max val="12"/>
          <c:min val="-10"/>
        </c:scaling>
        <c:axPos val="l"/>
        <c:majorGridlines>
          <c:spPr>
            <a:ln w="6350">
              <a:solidFill>
                <a:schemeClr val="bg1">
                  <a:lumMod val="75000"/>
                </a:schemeClr>
              </a:solidFill>
            </a:ln>
          </c:spPr>
        </c:majorGridlines>
        <c:numFmt formatCode="0" sourceLinked="0"/>
        <c:tickLblPos val="nextTo"/>
        <c:spPr>
          <a:ln>
            <a:solidFill>
              <a:schemeClr val="tx1"/>
            </a:solidFill>
          </a:ln>
        </c:spPr>
        <c:crossAx val="92508160"/>
        <c:crosses val="autoZero"/>
        <c:crossBetween val="between"/>
        <c:majorUnit val="2"/>
      </c:valAx>
      <c:spPr>
        <a:ln>
          <a:solidFill>
            <a:schemeClr val="tx1"/>
          </a:solidFill>
        </a:ln>
      </c:spPr>
    </c:plotArea>
    <c:legend>
      <c:legendPos val="b"/>
      <c:layout>
        <c:manualLayout>
          <c:xMode val="edge"/>
          <c:yMode val="edge"/>
          <c:x val="5.0596282132643118E-2"/>
          <c:y val="0.86223931272106069"/>
          <c:w val="0.9197331982438367"/>
          <c:h val="0.1210940242576531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4942586963863574E-2"/>
          <c:y val="2.8593943487561242E-2"/>
          <c:w val="0.92629263762242564"/>
          <c:h val="0.75790048407069865"/>
        </c:manualLayout>
      </c:layout>
      <c:barChart>
        <c:barDir val="col"/>
        <c:grouping val="clustered"/>
        <c:ser>
          <c:idx val="3"/>
          <c:order val="3"/>
          <c:tx>
            <c:strRef>
              <c:f>'Ceny 3'!$H$5</c:f>
              <c:strCache>
                <c:ptCount val="1"/>
                <c:pt idx="0">
                  <c:v>Směnné relace</c:v>
                </c:pt>
              </c:strCache>
            </c:strRef>
          </c:tx>
          <c:spPr>
            <a:solidFill>
              <a:schemeClr val="bg1">
                <a:lumMod val="65000"/>
              </a:schemeClr>
            </a:solidFill>
          </c:spPr>
          <c:val>
            <c:numRef>
              <c:f>'Ceny 3'!$H$14:$H$32</c:f>
              <c:numCache>
                <c:formatCode>0.0</c:formatCode>
                <c:ptCount val="19"/>
                <c:pt idx="0">
                  <c:v>1.8784213412398998</c:v>
                </c:pt>
                <c:pt idx="1">
                  <c:v>2.0020176200900863</c:v>
                </c:pt>
                <c:pt idx="2">
                  <c:v>1.6653215602611766</c:v>
                </c:pt>
                <c:pt idx="3">
                  <c:v>0.61515952220756365</c:v>
                </c:pt>
                <c:pt idx="4">
                  <c:v>0.70897813043655278</c:v>
                </c:pt>
                <c:pt idx="5">
                  <c:v>1.5272904080077865E-2</c:v>
                </c:pt>
                <c:pt idx="6">
                  <c:v>5.6470144138785372E-2</c:v>
                </c:pt>
                <c:pt idx="7">
                  <c:v>0.72350624542671937</c:v>
                </c:pt>
                <c:pt idx="8">
                  <c:v>1.3716307461950237</c:v>
                </c:pt>
                <c:pt idx="9">
                  <c:v>1.6867359886262641</c:v>
                </c:pt>
                <c:pt idx="10">
                  <c:v>1.1999257237594492</c:v>
                </c:pt>
                <c:pt idx="11">
                  <c:v>-7.360987165711208E-2</c:v>
                </c:pt>
                <c:pt idx="12">
                  <c:v>-1.794008077784909</c:v>
                </c:pt>
                <c:pt idx="13">
                  <c:v>-2.0102310101707417</c:v>
                </c:pt>
                <c:pt idx="14">
                  <c:v>-0.81737478966549304</c:v>
                </c:pt>
                <c:pt idx="15">
                  <c:v>0.37193619043762288</c:v>
                </c:pt>
                <c:pt idx="16">
                  <c:v>0.85239196654771465</c:v>
                </c:pt>
                <c:pt idx="17">
                  <c:v>0.31446794968164543</c:v>
                </c:pt>
                <c:pt idx="18" formatCode="General">
                  <c:v>-1.1986236586611618</c:v>
                </c:pt>
              </c:numCache>
            </c:numRef>
          </c:val>
          <c:extLst xmlns:c16r2="http://schemas.microsoft.com/office/drawing/2015/06/chart">
            <c:ext xmlns:c16="http://schemas.microsoft.com/office/drawing/2014/chart" uri="{C3380CC4-5D6E-409C-BE32-E72D297353CC}">
              <c16:uniqueId val="{00000000-A803-4B0E-AFF5-553FB309F716}"/>
            </c:ext>
          </c:extLst>
        </c:ser>
        <c:gapWidth val="95"/>
        <c:axId val="92935296"/>
        <c:axId val="92936832"/>
      </c:barChart>
      <c:lineChart>
        <c:grouping val="standard"/>
        <c:ser>
          <c:idx val="1"/>
          <c:order val="0"/>
          <c:tx>
            <c:strRef>
              <c:f>'Ceny 3'!$E$5</c:f>
              <c:strCache>
                <c:ptCount val="1"/>
                <c:pt idx="0">
                  <c:v>HDP</c:v>
                </c:pt>
              </c:strCache>
            </c:strRef>
          </c:tx>
          <c:spPr>
            <a:ln w="19050">
              <a:solidFill>
                <a:sysClr val="windowText" lastClr="000000"/>
              </a:solidFill>
            </a:ln>
          </c:spPr>
          <c:marker>
            <c:symbol val="none"/>
          </c:marker>
          <c:cat>
            <c:multiLvlStrRef>
              <c:f>'Ceny 3'!$A$14:$B$32</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2014</c:v>
                  </c:pt>
                  <c:pt idx="4">
                    <c:v>2015</c:v>
                  </c:pt>
                  <c:pt idx="8">
                    <c:v>2016</c:v>
                  </c:pt>
                  <c:pt idx="12">
                    <c:v>2017</c:v>
                  </c:pt>
                  <c:pt idx="16">
                    <c:v>2018</c:v>
                  </c:pt>
                </c:lvl>
              </c:multiLvlStrCache>
            </c:multiLvlStrRef>
          </c:cat>
          <c:val>
            <c:numRef>
              <c:f>'Ceny 3'!$E$14:$E$32</c:f>
              <c:numCache>
                <c:formatCode>#,##0.0</c:formatCode>
                <c:ptCount val="19"/>
                <c:pt idx="0">
                  <c:v>2.407594914453</c:v>
                </c:pt>
                <c:pt idx="1">
                  <c:v>2.7249796236052197</c:v>
                </c:pt>
                <c:pt idx="2">
                  <c:v>2.7309043114024596</c:v>
                </c:pt>
                <c:pt idx="3">
                  <c:v>2.0450860246019431</c:v>
                </c:pt>
                <c:pt idx="4">
                  <c:v>1.5290326327682209</c:v>
                </c:pt>
                <c:pt idx="5">
                  <c:v>1.3139842672081326</c:v>
                </c:pt>
                <c:pt idx="6">
                  <c:v>1.0788629840719253</c:v>
                </c:pt>
                <c:pt idx="7">
                  <c:v>0.77095099413880686</c:v>
                </c:pt>
                <c:pt idx="8">
                  <c:v>1.4387577162199534</c:v>
                </c:pt>
                <c:pt idx="9">
                  <c:v>1.1215971414352741</c:v>
                </c:pt>
                <c:pt idx="10">
                  <c:v>1.3438040001657179</c:v>
                </c:pt>
                <c:pt idx="11">
                  <c:v>1.1648544802629317</c:v>
                </c:pt>
                <c:pt idx="12" formatCode="General">
                  <c:v>0.70852596023949865</c:v>
                </c:pt>
                <c:pt idx="13" formatCode="General">
                  <c:v>1.0136272258268804</c:v>
                </c:pt>
                <c:pt idx="14" formatCode="General">
                  <c:v>1.6854847723805477</c:v>
                </c:pt>
                <c:pt idx="15" formatCode="General">
                  <c:v>2.3857552990765187</c:v>
                </c:pt>
                <c:pt idx="16" formatCode="General">
                  <c:v>2.5590246517092936</c:v>
                </c:pt>
                <c:pt idx="17" formatCode="General">
                  <c:v>2.3626321565370034</c:v>
                </c:pt>
                <c:pt idx="18" formatCode="General">
                  <c:v>2.1569784272670773</c:v>
                </c:pt>
              </c:numCache>
            </c:numRef>
          </c:val>
          <c:extLst xmlns:c16r2="http://schemas.microsoft.com/office/drawing/2015/06/chart">
            <c:ext xmlns:c16="http://schemas.microsoft.com/office/drawing/2014/chart" uri="{C3380CC4-5D6E-409C-BE32-E72D297353CC}">
              <c16:uniqueId val="{00000001-A803-4B0E-AFF5-553FB309F716}"/>
            </c:ext>
          </c:extLst>
        </c:ser>
        <c:ser>
          <c:idx val="0"/>
          <c:order val="1"/>
          <c:tx>
            <c:strRef>
              <c:f>'Ceny 3'!$C$5</c:f>
              <c:strCache>
                <c:ptCount val="1"/>
                <c:pt idx="0">
                  <c:v>Výdaje na konečnou spotřebu</c:v>
                </c:pt>
              </c:strCache>
            </c:strRef>
          </c:tx>
          <c:spPr>
            <a:ln w="19050">
              <a:solidFill>
                <a:srgbClr val="0071BC"/>
              </a:solidFill>
            </a:ln>
          </c:spPr>
          <c:marker>
            <c:symbol val="none"/>
          </c:marker>
          <c:cat>
            <c:multiLvlStrRef>
              <c:f>'Ceny 3'!$A$14:$B$32</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2014</c:v>
                  </c:pt>
                  <c:pt idx="4">
                    <c:v>2015</c:v>
                  </c:pt>
                  <c:pt idx="8">
                    <c:v>2016</c:v>
                  </c:pt>
                  <c:pt idx="12">
                    <c:v>2017</c:v>
                  </c:pt>
                  <c:pt idx="16">
                    <c:v>2018</c:v>
                  </c:pt>
                </c:lvl>
              </c:multiLvlStrCache>
            </c:multiLvlStrRef>
          </c:cat>
          <c:val>
            <c:numRef>
              <c:f>'Ceny 3'!$C$14:$C$32</c:f>
              <c:numCache>
                <c:formatCode>0.0</c:formatCode>
                <c:ptCount val="19"/>
                <c:pt idx="0">
                  <c:v>0.62650162156883926</c:v>
                </c:pt>
                <c:pt idx="1">
                  <c:v>0.80920277041865052</c:v>
                </c:pt>
                <c:pt idx="2">
                  <c:v>0.91624532168386064</c:v>
                </c:pt>
                <c:pt idx="3">
                  <c:v>1.3064353546973706</c:v>
                </c:pt>
                <c:pt idx="4">
                  <c:v>0.63652260848525088</c:v>
                </c:pt>
                <c:pt idx="5">
                  <c:v>0.86716532212489561</c:v>
                </c:pt>
                <c:pt idx="6">
                  <c:v>0.93683253130978983</c:v>
                </c:pt>
                <c:pt idx="7">
                  <c:v>0.16681703489827393</c:v>
                </c:pt>
                <c:pt idx="8">
                  <c:v>0.57557159874038177</c:v>
                </c:pt>
                <c:pt idx="9">
                  <c:v>0.40917866617269605</c:v>
                </c:pt>
                <c:pt idx="10">
                  <c:v>0.66134436037492605</c:v>
                </c:pt>
                <c:pt idx="11">
                  <c:v>1.411924255603346</c:v>
                </c:pt>
                <c:pt idx="12" formatCode="General">
                  <c:v>2.4898848930247777</c:v>
                </c:pt>
                <c:pt idx="13" formatCode="General">
                  <c:v>2.6467883534813836</c:v>
                </c:pt>
                <c:pt idx="14" formatCode="General">
                  <c:v>2.9860639833437261</c:v>
                </c:pt>
                <c:pt idx="15" formatCode="General">
                  <c:v>3.3486892996340738</c:v>
                </c:pt>
                <c:pt idx="16" formatCode="General">
                  <c:v>3.551401515092806</c:v>
                </c:pt>
                <c:pt idx="17" formatCode="General">
                  <c:v>3.5860957622501992</c:v>
                </c:pt>
                <c:pt idx="18" formatCode="General">
                  <c:v>3.8416779619371226</c:v>
                </c:pt>
              </c:numCache>
            </c:numRef>
          </c:val>
          <c:extLst xmlns:c16r2="http://schemas.microsoft.com/office/drawing/2015/06/chart">
            <c:ext xmlns:c16="http://schemas.microsoft.com/office/drawing/2014/chart" uri="{C3380CC4-5D6E-409C-BE32-E72D297353CC}">
              <c16:uniqueId val="{00000002-A803-4B0E-AFF5-553FB309F716}"/>
            </c:ext>
          </c:extLst>
        </c:ser>
        <c:ser>
          <c:idx val="2"/>
          <c:order val="2"/>
          <c:tx>
            <c:strRef>
              <c:f>'Ceny 3'!$D$5</c:f>
              <c:strCache>
                <c:ptCount val="1"/>
                <c:pt idx="0">
                  <c:v>Tvorba hrubého kapitálu</c:v>
                </c:pt>
              </c:strCache>
            </c:strRef>
          </c:tx>
          <c:spPr>
            <a:ln w="19050">
              <a:solidFill>
                <a:srgbClr val="BD1B21"/>
              </a:solidFill>
            </a:ln>
          </c:spPr>
          <c:marker>
            <c:symbol val="none"/>
          </c:marker>
          <c:cat>
            <c:multiLvlStrRef>
              <c:f>'Ceny 3'!$A$14:$B$32</c:f>
              <c:multiLvlStrCache>
                <c:ptCount val="1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lvl>
                <c:lvl>
                  <c:pt idx="0">
                    <c:v>2014</c:v>
                  </c:pt>
                  <c:pt idx="4">
                    <c:v>2015</c:v>
                  </c:pt>
                  <c:pt idx="8">
                    <c:v>2016</c:v>
                  </c:pt>
                  <c:pt idx="12">
                    <c:v>2017</c:v>
                  </c:pt>
                  <c:pt idx="16">
                    <c:v>2018</c:v>
                  </c:pt>
                </c:lvl>
              </c:multiLvlStrCache>
            </c:multiLvlStrRef>
          </c:cat>
          <c:val>
            <c:numRef>
              <c:f>'Ceny 3'!$D$14:$D$32</c:f>
              <c:numCache>
                <c:formatCode>0.0</c:formatCode>
                <c:ptCount val="19"/>
                <c:pt idx="0">
                  <c:v>1.1196333926039777</c:v>
                </c:pt>
                <c:pt idx="1">
                  <c:v>1.6324225968648001</c:v>
                </c:pt>
                <c:pt idx="2">
                  <c:v>2.0883523339119847</c:v>
                </c:pt>
                <c:pt idx="3">
                  <c:v>2.0182548570513612</c:v>
                </c:pt>
                <c:pt idx="4">
                  <c:v>2.0919408211242168</c:v>
                </c:pt>
                <c:pt idx="5">
                  <c:v>2.5181249729440092</c:v>
                </c:pt>
                <c:pt idx="6">
                  <c:v>2.0736755454410485</c:v>
                </c:pt>
                <c:pt idx="7">
                  <c:v>1.1102309892264302</c:v>
                </c:pt>
                <c:pt idx="8">
                  <c:v>1.0542109692344201</c:v>
                </c:pt>
                <c:pt idx="9">
                  <c:v>-0.46445628924668636</c:v>
                </c:pt>
                <c:pt idx="10">
                  <c:v>0.71212453263463704</c:v>
                </c:pt>
                <c:pt idx="11">
                  <c:v>1.2572281680150326</c:v>
                </c:pt>
                <c:pt idx="12" formatCode="General">
                  <c:v>1.0969673588139699</c:v>
                </c:pt>
                <c:pt idx="13" formatCode="General">
                  <c:v>2.9550570147085167</c:v>
                </c:pt>
                <c:pt idx="14" formatCode="General">
                  <c:v>1.7042614625000698</c:v>
                </c:pt>
                <c:pt idx="15" formatCode="General">
                  <c:v>0.45508492351975216</c:v>
                </c:pt>
                <c:pt idx="16" formatCode="General">
                  <c:v>-0.44723048661298026</c:v>
                </c:pt>
                <c:pt idx="17" formatCode="General">
                  <c:v>-0.538491971916784</c:v>
                </c:pt>
                <c:pt idx="18" formatCode="General">
                  <c:v>1.4947705654764161</c:v>
                </c:pt>
              </c:numCache>
            </c:numRef>
          </c:val>
          <c:extLst xmlns:c16r2="http://schemas.microsoft.com/office/drawing/2015/06/chart">
            <c:ext xmlns:c16="http://schemas.microsoft.com/office/drawing/2014/chart" uri="{C3380CC4-5D6E-409C-BE32-E72D297353CC}">
              <c16:uniqueId val="{00000003-A803-4B0E-AFF5-553FB309F716}"/>
            </c:ext>
          </c:extLst>
        </c:ser>
        <c:marker val="1"/>
        <c:axId val="92935296"/>
        <c:axId val="92936832"/>
      </c:lineChart>
      <c:catAx>
        <c:axId val="92935296"/>
        <c:scaling>
          <c:orientation val="minMax"/>
        </c:scaling>
        <c:axPos val="b"/>
        <c:tickLblPos val="low"/>
        <c:spPr>
          <a:ln>
            <a:solidFill>
              <a:schemeClr val="tx1"/>
            </a:solidFill>
          </a:ln>
        </c:spPr>
        <c:txPr>
          <a:bodyPr rot="0" vert="horz"/>
          <a:lstStyle/>
          <a:p>
            <a:pPr>
              <a:defRPr/>
            </a:pPr>
            <a:endParaRPr lang="cs-CZ"/>
          </a:p>
        </c:txPr>
        <c:crossAx val="92936832"/>
        <c:crossesAt val="0"/>
        <c:auto val="1"/>
        <c:lblAlgn val="ctr"/>
        <c:lblOffset val="100"/>
      </c:catAx>
      <c:valAx>
        <c:axId val="92936832"/>
        <c:scaling>
          <c:orientation val="minMax"/>
          <c:min val="-2"/>
        </c:scaling>
        <c:axPos val="l"/>
        <c:majorGridlines>
          <c:spPr>
            <a:ln w="6350">
              <a:solidFill>
                <a:schemeClr val="bg1">
                  <a:lumMod val="75000"/>
                </a:schemeClr>
              </a:solidFill>
            </a:ln>
          </c:spPr>
        </c:majorGridlines>
        <c:numFmt formatCode="0" sourceLinked="0"/>
        <c:tickLblPos val="nextTo"/>
        <c:spPr>
          <a:ln>
            <a:solidFill>
              <a:schemeClr val="tx1"/>
            </a:solidFill>
          </a:ln>
        </c:spPr>
        <c:crossAx val="92935296"/>
        <c:crosses val="autoZero"/>
        <c:crossBetween val="between"/>
      </c:valAx>
      <c:spPr>
        <a:ln>
          <a:solidFill>
            <a:schemeClr val="tx1"/>
          </a:solidFill>
        </a:ln>
      </c:spPr>
    </c:plotArea>
    <c:legend>
      <c:legendPos val="b"/>
      <c:layout>
        <c:manualLayout>
          <c:xMode val="edge"/>
          <c:yMode val="edge"/>
          <c:x val="5.1257598784194246E-2"/>
          <c:y val="0.9105279747832935"/>
          <c:w val="0.92611385511651467"/>
          <c:h val="7.215158167285828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306663279993914E-2"/>
          <c:y val="1.6549886621315468E-2"/>
          <c:w val="0.92698007507126057"/>
          <c:h val="0.73872874149660062"/>
        </c:manualLayout>
      </c:layout>
      <c:barChart>
        <c:barDir val="col"/>
        <c:grouping val="clustered"/>
        <c:ser>
          <c:idx val="0"/>
          <c:order val="0"/>
          <c:tx>
            <c:strRef>
              <c:f>'Trh práce 1'!$C$7</c:f>
              <c:strCache>
                <c:ptCount val="1"/>
                <c:pt idx="0">
                  <c:v>Zaměstnanost celkem</c:v>
                </c:pt>
              </c:strCache>
            </c:strRef>
          </c:tx>
          <c:spPr>
            <a:solidFill>
              <a:schemeClr val="bg1">
                <a:lumMod val="50000"/>
              </a:schemeClr>
            </a:solidFill>
          </c:spPr>
          <c:cat>
            <c:multiLvlStrRef>
              <c:f>'Trh práce 1'!$A$8:$B$42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1'!$C$8:$C$42</c:f>
              <c:numCache>
                <c:formatCode>#,##0.0</c:formatCode>
                <c:ptCount val="35"/>
                <c:pt idx="0" formatCode="0.0">
                  <c:v>-2.7381041866623614</c:v>
                </c:pt>
                <c:pt idx="1">
                  <c:v>-1.2505567915665665</c:v>
                </c:pt>
                <c:pt idx="2">
                  <c:v>-0.17427926968461802</c:v>
                </c:pt>
                <c:pt idx="3">
                  <c:v>6.0614151097240804E-2</c:v>
                </c:pt>
                <c:pt idx="4" formatCode="0.0">
                  <c:v>0.11145596456296385</c:v>
                </c:pt>
                <c:pt idx="5">
                  <c:v>-4.6137088139772704E-3</c:v>
                </c:pt>
                <c:pt idx="6">
                  <c:v>-0.42422240518249388</c:v>
                </c:pt>
                <c:pt idx="7">
                  <c:v>-0.77006647161284969</c:v>
                </c:pt>
                <c:pt idx="8" formatCode="0.0">
                  <c:v>-5.1815959871305502E-2</c:v>
                </c:pt>
                <c:pt idx="9">
                  <c:v>0.17631913605207403</c:v>
                </c:pt>
                <c:pt idx="10">
                  <c:v>0.66708744164916278</c:v>
                </c:pt>
                <c:pt idx="11">
                  <c:v>0.8889030110695918</c:v>
                </c:pt>
                <c:pt idx="12" formatCode="0.0">
                  <c:v>0.45616124448188849</c:v>
                </c:pt>
                <c:pt idx="13">
                  <c:v>0.71087471075373065</c:v>
                </c:pt>
                <c:pt idx="14">
                  <c:v>0.10068664831696612</c:v>
                </c:pt>
                <c:pt idx="15">
                  <c:v>2.3089733040947628E-2</c:v>
                </c:pt>
                <c:pt idx="16" formatCode="0.0">
                  <c:v>0.57169387931377824</c:v>
                </c:pt>
                <c:pt idx="17">
                  <c:v>8.8541257752993527E-2</c:v>
                </c:pt>
                <c:pt idx="18">
                  <c:v>0.60803248290413592</c:v>
                </c:pt>
                <c:pt idx="19">
                  <c:v>0.94037946192678135</c:v>
                </c:pt>
                <c:pt idx="20" formatCode="0.0">
                  <c:v>1.279903307112904</c:v>
                </c:pt>
                <c:pt idx="21">
                  <c:v>1.7553744025418319</c:v>
                </c:pt>
                <c:pt idx="22">
                  <c:v>1.3207067653574698</c:v>
                </c:pt>
                <c:pt idx="23">
                  <c:v>1.3555691727477779</c:v>
                </c:pt>
                <c:pt idx="24" formatCode="0.0">
                  <c:v>1.5606007684247203</c:v>
                </c:pt>
                <c:pt idx="25">
                  <c:v>1.4363180243380864</c:v>
                </c:pt>
                <c:pt idx="26">
                  <c:v>1.5066818180591277</c:v>
                </c:pt>
                <c:pt idx="27">
                  <c:v>1.8553413510311998</c:v>
                </c:pt>
                <c:pt idx="28" formatCode="0.0">
                  <c:v>1.4581308045513321</c:v>
                </c:pt>
                <c:pt idx="29">
                  <c:v>1.3544793041543386</c:v>
                </c:pt>
                <c:pt idx="30">
                  <c:v>1.971163799571116</c:v>
                </c:pt>
                <c:pt idx="31">
                  <c:v>1.4311104245249311</c:v>
                </c:pt>
                <c:pt idx="32" formatCode="0.0">
                  <c:v>1.7244931395405709</c:v>
                </c:pt>
                <c:pt idx="33">
                  <c:v>1.8589209922615311</c:v>
                </c:pt>
                <c:pt idx="34">
                  <c:v>1.1739929107473159</c:v>
                </c:pt>
              </c:numCache>
            </c:numRef>
          </c:val>
          <c:extLst xmlns:c16r2="http://schemas.microsoft.com/office/drawing/2015/06/chart">
            <c:ext xmlns:c16="http://schemas.microsoft.com/office/drawing/2014/chart" uri="{C3380CC4-5D6E-409C-BE32-E72D297353CC}">
              <c16:uniqueId val="{00000000-6994-46C7-84D6-D6E11C808F46}"/>
            </c:ext>
          </c:extLst>
        </c:ser>
        <c:ser>
          <c:idx val="1"/>
          <c:order val="1"/>
          <c:tx>
            <c:strRef>
              <c:f>'Trh práce 1'!$D$7</c:f>
              <c:strCache>
                <c:ptCount val="1"/>
                <c:pt idx="0">
                  <c:v>z toho zaměstnanci</c:v>
                </c:pt>
              </c:strCache>
            </c:strRef>
          </c:tx>
          <c:spPr>
            <a:solidFill>
              <a:srgbClr val="B4B4B4"/>
            </a:solidFill>
          </c:spPr>
          <c:cat>
            <c:multiLvlStrRef>
              <c:f>'Trh práce 1'!$A$8:$B$42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1'!$D$8:$D$42</c:f>
              <c:numCache>
                <c:formatCode>#,##0.0</c:formatCode>
                <c:ptCount val="35"/>
                <c:pt idx="0" formatCode="0.0">
                  <c:v>-3.7238599978920952</c:v>
                </c:pt>
                <c:pt idx="1">
                  <c:v>-2.2250199470258591</c:v>
                </c:pt>
                <c:pt idx="2">
                  <c:v>-0.93022834124350595</c:v>
                </c:pt>
                <c:pt idx="3">
                  <c:v>-0.89032927193725797</c:v>
                </c:pt>
                <c:pt idx="4" formatCode="0.0">
                  <c:v>-0.12341609911226215</c:v>
                </c:pt>
                <c:pt idx="5">
                  <c:v>-0.18672815126416362</c:v>
                </c:pt>
                <c:pt idx="6">
                  <c:v>-0.6670942039136859</c:v>
                </c:pt>
                <c:pt idx="7">
                  <c:v>-1.0192253136113998</c:v>
                </c:pt>
                <c:pt idx="8" formatCode="0.0">
                  <c:v>-0.29166536743647958</c:v>
                </c:pt>
                <c:pt idx="9">
                  <c:v>9.4588410678824245E-2</c:v>
                </c:pt>
                <c:pt idx="10">
                  <c:v>1.1245661662085606</c:v>
                </c:pt>
                <c:pt idx="11">
                  <c:v>1.4587153264166661</c:v>
                </c:pt>
                <c:pt idx="12" formatCode="0.0">
                  <c:v>1.3720202353557625</c:v>
                </c:pt>
                <c:pt idx="13">
                  <c:v>1.637001199501342</c:v>
                </c:pt>
                <c:pt idx="14">
                  <c:v>0.33183104158504956</c:v>
                </c:pt>
                <c:pt idx="15">
                  <c:v>0.47892798705023026</c:v>
                </c:pt>
                <c:pt idx="16" formatCode="0.0">
                  <c:v>0.6628196747670646</c:v>
                </c:pt>
                <c:pt idx="17">
                  <c:v>0.1890145714189515</c:v>
                </c:pt>
                <c:pt idx="18">
                  <c:v>1.256531434938978</c:v>
                </c:pt>
                <c:pt idx="19">
                  <c:v>1.433287010929547</c:v>
                </c:pt>
                <c:pt idx="20" formatCode="0.0">
                  <c:v>1.799358376969538</c:v>
                </c:pt>
                <c:pt idx="21">
                  <c:v>2.2053914248097755</c:v>
                </c:pt>
                <c:pt idx="22">
                  <c:v>1.7713405899241375</c:v>
                </c:pt>
                <c:pt idx="23">
                  <c:v>2.0227470417809212</c:v>
                </c:pt>
                <c:pt idx="24" formatCode="0.0">
                  <c:v>2.3559401045087438</c:v>
                </c:pt>
                <c:pt idx="25">
                  <c:v>1.8360439848082697</c:v>
                </c:pt>
                <c:pt idx="26">
                  <c:v>1.6567099736308324</c:v>
                </c:pt>
                <c:pt idx="27">
                  <c:v>1.5009092671482298</c:v>
                </c:pt>
                <c:pt idx="28" formatCode="0.0">
                  <c:v>1.1774496686166742</c:v>
                </c:pt>
                <c:pt idx="29">
                  <c:v>1.5793912477550842</c:v>
                </c:pt>
                <c:pt idx="30">
                  <c:v>2.2718731045776366</c:v>
                </c:pt>
                <c:pt idx="31">
                  <c:v>2.2289851379571992</c:v>
                </c:pt>
                <c:pt idx="32" formatCode="0.0">
                  <c:v>2.1005323013383492</c:v>
                </c:pt>
                <c:pt idx="33">
                  <c:v>2.1777964176557711</c:v>
                </c:pt>
                <c:pt idx="34">
                  <c:v>1.2183088031717961</c:v>
                </c:pt>
              </c:numCache>
            </c:numRef>
          </c:val>
          <c:extLst xmlns:c16r2="http://schemas.microsoft.com/office/drawing/2015/06/chart">
            <c:ext xmlns:c16="http://schemas.microsoft.com/office/drawing/2014/chart" uri="{C3380CC4-5D6E-409C-BE32-E72D297353CC}">
              <c16:uniqueId val="{00000001-6994-46C7-84D6-D6E11C808F46}"/>
            </c:ext>
          </c:extLst>
        </c:ser>
        <c:gapWidth val="39"/>
        <c:axId val="94746112"/>
        <c:axId val="94748032"/>
      </c:barChart>
      <c:lineChart>
        <c:grouping val="standard"/>
        <c:ser>
          <c:idx val="2"/>
          <c:order val="2"/>
          <c:tx>
            <c:strRef>
              <c:f>'Trh práce 1'!$E$7</c:f>
              <c:strCache>
                <c:ptCount val="1"/>
                <c:pt idx="0">
                  <c:v>Zpracovatelský průmysl</c:v>
                </c:pt>
              </c:strCache>
            </c:strRef>
          </c:tx>
          <c:spPr>
            <a:ln w="19050">
              <a:solidFill>
                <a:srgbClr val="0071BC"/>
              </a:solidFill>
            </a:ln>
          </c:spPr>
          <c:marker>
            <c:symbol val="none"/>
          </c:marker>
          <c:cat>
            <c:multiLvlStrRef>
              <c:f>'Trh práce 1'!$A$8:$B$42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1'!$E$8:$E$42</c:f>
              <c:numCache>
                <c:formatCode>#,##0.0</c:formatCode>
                <c:ptCount val="35"/>
                <c:pt idx="0" formatCode="0.0">
                  <c:v>-7.1332078462748711</c:v>
                </c:pt>
                <c:pt idx="1">
                  <c:v>-3.3482411734364477</c:v>
                </c:pt>
                <c:pt idx="2">
                  <c:v>-1.2052631661814672</c:v>
                </c:pt>
                <c:pt idx="3">
                  <c:v>-0.57107831908665219</c:v>
                </c:pt>
                <c:pt idx="4" formatCode="0.0">
                  <c:v>3.9580574022400277</c:v>
                </c:pt>
                <c:pt idx="5">
                  <c:v>4.2919823025534782</c:v>
                </c:pt>
                <c:pt idx="6">
                  <c:v>3.8646896455003912</c:v>
                </c:pt>
                <c:pt idx="7">
                  <c:v>2.3288126114159979</c:v>
                </c:pt>
                <c:pt idx="8" formatCode="0.0">
                  <c:v>0.6016137349142241</c:v>
                </c:pt>
                <c:pt idx="9">
                  <c:v>0.50971749516826037</c:v>
                </c:pt>
                <c:pt idx="10">
                  <c:v>1.203496561438385</c:v>
                </c:pt>
                <c:pt idx="11">
                  <c:v>1.6445011338308648</c:v>
                </c:pt>
                <c:pt idx="12" formatCode="0.0">
                  <c:v>-0.18120299422963626</c:v>
                </c:pt>
                <c:pt idx="13">
                  <c:v>0.16218486178085767</c:v>
                </c:pt>
                <c:pt idx="14">
                  <c:v>-0.4013981847250393</c:v>
                </c:pt>
                <c:pt idx="15">
                  <c:v>-0.2139320885912519</c:v>
                </c:pt>
                <c:pt idx="16" formatCode="0.0">
                  <c:v>0.79071862165065454</c:v>
                </c:pt>
                <c:pt idx="17">
                  <c:v>0.76464129428227889</c:v>
                </c:pt>
                <c:pt idx="18">
                  <c:v>1.5390716097192718</c:v>
                </c:pt>
                <c:pt idx="19">
                  <c:v>2.0806847032475715</c:v>
                </c:pt>
                <c:pt idx="20" formatCode="0.0">
                  <c:v>3.4865140664336582</c:v>
                </c:pt>
                <c:pt idx="21">
                  <c:v>3.6924773080814952</c:v>
                </c:pt>
                <c:pt idx="22">
                  <c:v>3.1131166772233891</c:v>
                </c:pt>
                <c:pt idx="23">
                  <c:v>3.7778262652801202</c:v>
                </c:pt>
                <c:pt idx="24" formatCode="0.0">
                  <c:v>3.3181239122508397</c:v>
                </c:pt>
                <c:pt idx="25">
                  <c:v>2.4934494064047716</c:v>
                </c:pt>
                <c:pt idx="26">
                  <c:v>2.752988522793018</c:v>
                </c:pt>
                <c:pt idx="27">
                  <c:v>2.2496840818432142</c:v>
                </c:pt>
                <c:pt idx="28" formatCode="0.0">
                  <c:v>0.71909348215268665</c:v>
                </c:pt>
                <c:pt idx="29">
                  <c:v>1.1727323562576828</c:v>
                </c:pt>
                <c:pt idx="30">
                  <c:v>1.6495621401575846</c:v>
                </c:pt>
                <c:pt idx="31">
                  <c:v>1.6025319425267821</c:v>
                </c:pt>
                <c:pt idx="32" formatCode="0.0">
                  <c:v>2.4397042593575202</c:v>
                </c:pt>
                <c:pt idx="33">
                  <c:v>2.0667152655168772</c:v>
                </c:pt>
                <c:pt idx="34">
                  <c:v>1.4604860027477997</c:v>
                </c:pt>
              </c:numCache>
            </c:numRef>
          </c:val>
          <c:extLst xmlns:c16r2="http://schemas.microsoft.com/office/drawing/2015/06/chart">
            <c:ext xmlns:c16="http://schemas.microsoft.com/office/drawing/2014/chart" uri="{C3380CC4-5D6E-409C-BE32-E72D297353CC}">
              <c16:uniqueId val="{00000002-6994-46C7-84D6-D6E11C808F46}"/>
            </c:ext>
          </c:extLst>
        </c:ser>
        <c:ser>
          <c:idx val="3"/>
          <c:order val="3"/>
          <c:tx>
            <c:strRef>
              <c:f>'Trh práce 1'!$F$7</c:f>
              <c:strCache>
                <c:ptCount val="1"/>
                <c:pt idx="0">
                  <c:v>Stavebnictví</c:v>
                </c:pt>
              </c:strCache>
            </c:strRef>
          </c:tx>
          <c:spPr>
            <a:ln w="19050">
              <a:solidFill>
                <a:srgbClr val="7DBB2D"/>
              </a:solidFill>
            </a:ln>
          </c:spPr>
          <c:marker>
            <c:symbol val="none"/>
          </c:marker>
          <c:cat>
            <c:multiLvlStrRef>
              <c:f>'Trh práce 1'!$A$8:$B$42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1'!$F$8:$F$42</c:f>
              <c:numCache>
                <c:formatCode>#,##0.0</c:formatCode>
                <c:ptCount val="35"/>
                <c:pt idx="0" formatCode="0.0">
                  <c:v>1.017150907000584</c:v>
                </c:pt>
                <c:pt idx="1">
                  <c:v>1.5693791045548409</c:v>
                </c:pt>
                <c:pt idx="2">
                  <c:v>2.0348623615295187</c:v>
                </c:pt>
                <c:pt idx="3">
                  <c:v>2.0719031464400643</c:v>
                </c:pt>
                <c:pt idx="4" formatCode="0.0">
                  <c:v>-4.9720244150559552</c:v>
                </c:pt>
                <c:pt idx="5">
                  <c:v>-4.9425484989163522</c:v>
                </c:pt>
                <c:pt idx="6">
                  <c:v>-5.3929895160436265</c:v>
                </c:pt>
                <c:pt idx="7">
                  <c:v>-5.2321963671733158</c:v>
                </c:pt>
                <c:pt idx="8" formatCode="0.0">
                  <c:v>-0.9788572193228946</c:v>
                </c:pt>
                <c:pt idx="9">
                  <c:v>-0.65027723873348675</c:v>
                </c:pt>
                <c:pt idx="10">
                  <c:v>-1.6611184117737945</c:v>
                </c:pt>
                <c:pt idx="11">
                  <c:v>-1.8463324339587222</c:v>
                </c:pt>
                <c:pt idx="12" formatCode="0.0">
                  <c:v>-2.4007243390068709</c:v>
                </c:pt>
                <c:pt idx="13">
                  <c:v>-3.6830996837470402</c:v>
                </c:pt>
                <c:pt idx="14">
                  <c:v>-2.2125495427610202</c:v>
                </c:pt>
                <c:pt idx="15">
                  <c:v>-1.1077701445443751</c:v>
                </c:pt>
                <c:pt idx="16" formatCode="0.0">
                  <c:v>-5.0446309065566295</c:v>
                </c:pt>
                <c:pt idx="17">
                  <c:v>-3.6409800448530012</c:v>
                </c:pt>
                <c:pt idx="18">
                  <c:v>-4.2835724994645945</c:v>
                </c:pt>
                <c:pt idx="19">
                  <c:v>-5.2633644622470541</c:v>
                </c:pt>
                <c:pt idx="20" formatCode="0.0">
                  <c:v>-0.14824824046351748</c:v>
                </c:pt>
                <c:pt idx="21">
                  <c:v>-6.0303844188425333E-2</c:v>
                </c:pt>
                <c:pt idx="22">
                  <c:v>-0.63237568953272261</c:v>
                </c:pt>
                <c:pt idx="23">
                  <c:v>-1.0159694112543622</c:v>
                </c:pt>
                <c:pt idx="24" formatCode="0.0">
                  <c:v>-2.1868656629233243</c:v>
                </c:pt>
                <c:pt idx="25">
                  <c:v>-2.5342897300441067</c:v>
                </c:pt>
                <c:pt idx="26">
                  <c:v>-1.1176165346544309</c:v>
                </c:pt>
                <c:pt idx="27">
                  <c:v>-0.83584044433720861</c:v>
                </c:pt>
                <c:pt idx="28" formatCode="0.0">
                  <c:v>-2.8864553084645195E-2</c:v>
                </c:pt>
                <c:pt idx="29">
                  <c:v>-9.1247681513266329E-2</c:v>
                </c:pt>
                <c:pt idx="30">
                  <c:v>0.82503675906350793</c:v>
                </c:pt>
                <c:pt idx="31">
                  <c:v>-1.0750205445612206</c:v>
                </c:pt>
                <c:pt idx="32" formatCode="0.0">
                  <c:v>-0.5702395205109525</c:v>
                </c:pt>
                <c:pt idx="33">
                  <c:v>-0.75030796222329255</c:v>
                </c:pt>
                <c:pt idx="34">
                  <c:v>-0.75936314645912262</c:v>
                </c:pt>
              </c:numCache>
            </c:numRef>
          </c:val>
          <c:extLst xmlns:c16r2="http://schemas.microsoft.com/office/drawing/2015/06/chart">
            <c:ext xmlns:c16="http://schemas.microsoft.com/office/drawing/2014/chart" uri="{C3380CC4-5D6E-409C-BE32-E72D297353CC}">
              <c16:uniqueId val="{00000003-6994-46C7-84D6-D6E11C808F46}"/>
            </c:ext>
          </c:extLst>
        </c:ser>
        <c:ser>
          <c:idx val="4"/>
          <c:order val="4"/>
          <c:tx>
            <c:strRef>
              <c:f>'Trh práce 1'!$G$7</c:f>
              <c:strCache>
                <c:ptCount val="1"/>
                <c:pt idx="0">
                  <c:v>Obchod, doprava, ubytování a pohost.</c:v>
                </c:pt>
              </c:strCache>
            </c:strRef>
          </c:tx>
          <c:spPr>
            <a:ln w="19050">
              <a:solidFill>
                <a:srgbClr val="BD1B21"/>
              </a:solidFill>
            </a:ln>
          </c:spPr>
          <c:marker>
            <c:symbol val="none"/>
          </c:marker>
          <c:cat>
            <c:multiLvlStrRef>
              <c:f>'Trh práce 1'!$A$8:$B$42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1'!$G$8:$G$42</c:f>
              <c:numCache>
                <c:formatCode>#,##0.0</c:formatCode>
                <c:ptCount val="35"/>
                <c:pt idx="0" formatCode="0.0">
                  <c:v>-1.3633198763318581</c:v>
                </c:pt>
                <c:pt idx="1">
                  <c:v>-0.54035622593067956</c:v>
                </c:pt>
                <c:pt idx="2">
                  <c:v>0.55930687282225822</c:v>
                </c:pt>
                <c:pt idx="3">
                  <c:v>1.0934620603885901</c:v>
                </c:pt>
                <c:pt idx="4" formatCode="0.0">
                  <c:v>-0.18173575863548341</c:v>
                </c:pt>
                <c:pt idx="5">
                  <c:v>-0.33952721098038074</c:v>
                </c:pt>
                <c:pt idx="6">
                  <c:v>-0.36432124495425805</c:v>
                </c:pt>
                <c:pt idx="7">
                  <c:v>-0.69391217013343054</c:v>
                </c:pt>
                <c:pt idx="8" formatCode="0.0">
                  <c:v>-0.53508939107021547</c:v>
                </c:pt>
                <c:pt idx="9">
                  <c:v>-0.4032519167011917</c:v>
                </c:pt>
                <c:pt idx="10">
                  <c:v>-0.34067487144116682</c:v>
                </c:pt>
                <c:pt idx="11">
                  <c:v>-0.81199507383202274</c:v>
                </c:pt>
                <c:pt idx="12" formatCode="0.0">
                  <c:v>0.85701449774025207</c:v>
                </c:pt>
                <c:pt idx="13">
                  <c:v>0.65405689189694249</c:v>
                </c:pt>
                <c:pt idx="14">
                  <c:v>5.1664001267752696E-2</c:v>
                </c:pt>
                <c:pt idx="15">
                  <c:v>6.9114625386518982E-2</c:v>
                </c:pt>
                <c:pt idx="16" formatCode="0.0">
                  <c:v>-0.19402123562424842</c:v>
                </c:pt>
                <c:pt idx="17">
                  <c:v>-0.97995836973424433</c:v>
                </c:pt>
                <c:pt idx="18">
                  <c:v>-0.44655375413037729</c:v>
                </c:pt>
                <c:pt idx="19">
                  <c:v>0.53620283239253363</c:v>
                </c:pt>
                <c:pt idx="20" formatCode="0.0">
                  <c:v>0.53896959122874932</c:v>
                </c:pt>
                <c:pt idx="21">
                  <c:v>1.5878374246260403</c:v>
                </c:pt>
                <c:pt idx="22">
                  <c:v>0.90466260427565659</c:v>
                </c:pt>
                <c:pt idx="23">
                  <c:v>0.3413912663967128</c:v>
                </c:pt>
                <c:pt idx="24" formatCode="0.0">
                  <c:v>0.34699395439371039</c:v>
                </c:pt>
                <c:pt idx="25">
                  <c:v>0.95789407781626323</c:v>
                </c:pt>
                <c:pt idx="26">
                  <c:v>-2.509862472408031E-2</c:v>
                </c:pt>
                <c:pt idx="27">
                  <c:v>0.50768658267243438</c:v>
                </c:pt>
                <c:pt idx="28" formatCode="0.0">
                  <c:v>1.3004811571536408</c:v>
                </c:pt>
                <c:pt idx="29">
                  <c:v>0.66243067216200713</c:v>
                </c:pt>
                <c:pt idx="30">
                  <c:v>2.1398730591961197</c:v>
                </c:pt>
                <c:pt idx="31">
                  <c:v>1.5755515432150702</c:v>
                </c:pt>
                <c:pt idx="32" formatCode="0.0">
                  <c:v>1.0968212868450278</c:v>
                </c:pt>
                <c:pt idx="33">
                  <c:v>2.2034966559357612</c:v>
                </c:pt>
                <c:pt idx="34">
                  <c:v>1.4785981795808709</c:v>
                </c:pt>
              </c:numCache>
            </c:numRef>
          </c:val>
          <c:extLst xmlns:c16r2="http://schemas.microsoft.com/office/drawing/2015/06/chart">
            <c:ext xmlns:c16="http://schemas.microsoft.com/office/drawing/2014/chart" uri="{C3380CC4-5D6E-409C-BE32-E72D297353CC}">
              <c16:uniqueId val="{00000004-6994-46C7-84D6-D6E11C808F46}"/>
            </c:ext>
          </c:extLst>
        </c:ser>
        <c:ser>
          <c:idx val="5"/>
          <c:order val="5"/>
          <c:tx>
            <c:strRef>
              <c:f>'Trh práce 1'!$H$7</c:f>
              <c:strCache>
                <c:ptCount val="1"/>
                <c:pt idx="0">
                  <c:v>Veř.spr.,obrana,vzděl.,zdrav.a soc.péče</c:v>
                </c:pt>
              </c:strCache>
            </c:strRef>
          </c:tx>
          <c:spPr>
            <a:ln w="19050">
              <a:solidFill>
                <a:srgbClr val="F8A124"/>
              </a:solidFill>
            </a:ln>
          </c:spPr>
          <c:marker>
            <c:symbol val="none"/>
          </c:marker>
          <c:cat>
            <c:multiLvlStrRef>
              <c:f>'Trh práce 1'!$A$8:$B$42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1'!$H$8:$H$42</c:f>
              <c:numCache>
                <c:formatCode>#,##0.0</c:formatCode>
                <c:ptCount val="35"/>
                <c:pt idx="0" formatCode="0.0">
                  <c:v>-0.1196356089529908</c:v>
                </c:pt>
                <c:pt idx="1">
                  <c:v>-0.35742551507569265</c:v>
                </c:pt>
                <c:pt idx="2">
                  <c:v>-0.16003073304796206</c:v>
                </c:pt>
                <c:pt idx="3">
                  <c:v>-0.12721260673563961</c:v>
                </c:pt>
                <c:pt idx="4" formatCode="0.0">
                  <c:v>-0.52992756807859165</c:v>
                </c:pt>
                <c:pt idx="5">
                  <c:v>-0.82580734281198431</c:v>
                </c:pt>
                <c:pt idx="6">
                  <c:v>-0.94975503903715763</c:v>
                </c:pt>
                <c:pt idx="7">
                  <c:v>-0.73535528868961864</c:v>
                </c:pt>
                <c:pt idx="8" formatCode="0.0">
                  <c:v>-2.4491844584127356</c:v>
                </c:pt>
                <c:pt idx="9">
                  <c:v>-1.8478995882074023</c:v>
                </c:pt>
                <c:pt idx="10">
                  <c:v>-0.33618323058873045</c:v>
                </c:pt>
                <c:pt idx="11">
                  <c:v>0.22730335767944629</c:v>
                </c:pt>
                <c:pt idx="12" formatCode="0.0">
                  <c:v>0.87138363811224906</c:v>
                </c:pt>
                <c:pt idx="13">
                  <c:v>2.1694821372780777</c:v>
                </c:pt>
                <c:pt idx="14">
                  <c:v>1.0800496741268601</c:v>
                </c:pt>
                <c:pt idx="15">
                  <c:v>0.87924083130690589</c:v>
                </c:pt>
                <c:pt idx="16" formatCode="0.0">
                  <c:v>1.5182514773659079</c:v>
                </c:pt>
                <c:pt idx="17">
                  <c:v>0.94515883328105665</c:v>
                </c:pt>
                <c:pt idx="18">
                  <c:v>1.97223579842256</c:v>
                </c:pt>
                <c:pt idx="19">
                  <c:v>2.0265494556700627</c:v>
                </c:pt>
                <c:pt idx="20" formatCode="0.0">
                  <c:v>1.4780542313438341</c:v>
                </c:pt>
                <c:pt idx="21">
                  <c:v>1.3509794739890708</c:v>
                </c:pt>
                <c:pt idx="22">
                  <c:v>0.56162730108894721</c:v>
                </c:pt>
                <c:pt idx="23">
                  <c:v>0.55520118220412962</c:v>
                </c:pt>
                <c:pt idx="24" formatCode="0.0">
                  <c:v>2.1251204897317422</c:v>
                </c:pt>
                <c:pt idx="25">
                  <c:v>2.0754938015465711</c:v>
                </c:pt>
                <c:pt idx="26">
                  <c:v>2.5441988134942761</c:v>
                </c:pt>
                <c:pt idx="27">
                  <c:v>3.0951044766993618</c:v>
                </c:pt>
                <c:pt idx="28" formatCode="0.0">
                  <c:v>2.9285450908007977</c:v>
                </c:pt>
                <c:pt idx="29">
                  <c:v>3.2432722319350402</c:v>
                </c:pt>
                <c:pt idx="30">
                  <c:v>3.7142573883787833</c:v>
                </c:pt>
                <c:pt idx="31">
                  <c:v>3.7314428655244427</c:v>
                </c:pt>
                <c:pt idx="32" formatCode="0.0">
                  <c:v>2.5560203245027227</c:v>
                </c:pt>
                <c:pt idx="33">
                  <c:v>2.5856874527306246</c:v>
                </c:pt>
                <c:pt idx="34">
                  <c:v>2.2326994571915151</c:v>
                </c:pt>
              </c:numCache>
            </c:numRef>
          </c:val>
          <c:extLst xmlns:c16r2="http://schemas.microsoft.com/office/drawing/2015/06/chart">
            <c:ext xmlns:c16="http://schemas.microsoft.com/office/drawing/2014/chart" uri="{C3380CC4-5D6E-409C-BE32-E72D297353CC}">
              <c16:uniqueId val="{00000005-6994-46C7-84D6-D6E11C808F46}"/>
            </c:ext>
          </c:extLst>
        </c:ser>
        <c:ser>
          <c:idx val="6"/>
          <c:order val="6"/>
          <c:tx>
            <c:strRef>
              <c:f>'Trh práce 1'!$I$7</c:f>
              <c:strCache>
                <c:ptCount val="1"/>
                <c:pt idx="0">
                  <c:v>Informační a komunikační činnosti</c:v>
                </c:pt>
              </c:strCache>
            </c:strRef>
          </c:tx>
          <c:spPr>
            <a:ln>
              <a:noFill/>
            </a:ln>
          </c:spPr>
          <c:marker>
            <c:symbol val="diamond"/>
            <c:size val="5"/>
            <c:spPr>
              <a:solidFill>
                <a:srgbClr val="FFFF00"/>
              </a:solidFill>
              <a:ln>
                <a:solidFill>
                  <a:schemeClr val="tx1">
                    <a:lumMod val="95000"/>
                    <a:lumOff val="5000"/>
                  </a:schemeClr>
                </a:solidFill>
              </a:ln>
            </c:spPr>
          </c:marker>
          <c:cat>
            <c:multiLvlStrRef>
              <c:f>'Trh práce 1'!$A$8:$B$42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1'!$I$8:$I$42</c:f>
              <c:numCache>
                <c:formatCode>#,##0.0</c:formatCode>
                <c:ptCount val="35"/>
                <c:pt idx="0" formatCode="0.0">
                  <c:v>-2.5937084219058177</c:v>
                </c:pt>
                <c:pt idx="1">
                  <c:v>-2.9463679565512582</c:v>
                </c:pt>
                <c:pt idx="2">
                  <c:v>-2.5515796380664</c:v>
                </c:pt>
                <c:pt idx="3">
                  <c:v>-3.0104778941988108</c:v>
                </c:pt>
                <c:pt idx="4" formatCode="0.0">
                  <c:v>-1.6893536181370052</c:v>
                </c:pt>
                <c:pt idx="5">
                  <c:v>-3.3194988497170925</c:v>
                </c:pt>
                <c:pt idx="6">
                  <c:v>-5.1648545041356453</c:v>
                </c:pt>
                <c:pt idx="7">
                  <c:v>-6.2259094194170075</c:v>
                </c:pt>
                <c:pt idx="8" formatCode="0.0">
                  <c:v>0.82405736461343793</c:v>
                </c:pt>
                <c:pt idx="9">
                  <c:v>1.4526540882525438</c:v>
                </c:pt>
                <c:pt idx="10">
                  <c:v>2.1800695492210052</c:v>
                </c:pt>
                <c:pt idx="11">
                  <c:v>2.9005635747659841</c:v>
                </c:pt>
                <c:pt idx="12" formatCode="0.0">
                  <c:v>1.6322683857887341</c:v>
                </c:pt>
                <c:pt idx="13">
                  <c:v>2.9881141045958799</c:v>
                </c:pt>
                <c:pt idx="14">
                  <c:v>1.2531288740791098</c:v>
                </c:pt>
                <c:pt idx="15">
                  <c:v>1.2451726155646461</c:v>
                </c:pt>
                <c:pt idx="16" formatCode="0.0">
                  <c:v>4.0069509923866384</c:v>
                </c:pt>
                <c:pt idx="17">
                  <c:v>2.5959637149825596</c:v>
                </c:pt>
                <c:pt idx="18">
                  <c:v>3.3759650627778228</c:v>
                </c:pt>
                <c:pt idx="19">
                  <c:v>3.2279939277650884</c:v>
                </c:pt>
                <c:pt idx="20" formatCode="0.0">
                  <c:v>0.31018438738583676</c:v>
                </c:pt>
                <c:pt idx="21">
                  <c:v>1.987326108965461</c:v>
                </c:pt>
                <c:pt idx="22">
                  <c:v>2.9232266387042785</c:v>
                </c:pt>
                <c:pt idx="23">
                  <c:v>3.7802329053448878</c:v>
                </c:pt>
                <c:pt idx="24" formatCode="0.0">
                  <c:v>5.2179888410029367</c:v>
                </c:pt>
                <c:pt idx="25">
                  <c:v>4.5192837971984403</c:v>
                </c:pt>
                <c:pt idx="26">
                  <c:v>5.4004133866924633</c:v>
                </c:pt>
                <c:pt idx="27">
                  <c:v>6.4449303717343716</c:v>
                </c:pt>
                <c:pt idx="28" formatCode="0.0">
                  <c:v>2.939610560165832</c:v>
                </c:pt>
                <c:pt idx="29">
                  <c:v>2.3835487297823912</c:v>
                </c:pt>
                <c:pt idx="30">
                  <c:v>2.9213780058691725</c:v>
                </c:pt>
                <c:pt idx="31">
                  <c:v>1.9637258081954752</c:v>
                </c:pt>
                <c:pt idx="32" formatCode="0.0">
                  <c:v>4.1617819460726775</c:v>
                </c:pt>
                <c:pt idx="33">
                  <c:v>4.5551058551903605</c:v>
                </c:pt>
                <c:pt idx="34">
                  <c:v>4.6904454639433064</c:v>
                </c:pt>
              </c:numCache>
            </c:numRef>
          </c:val>
          <c:extLst xmlns:c16r2="http://schemas.microsoft.com/office/drawing/2015/06/chart">
            <c:ext xmlns:c16="http://schemas.microsoft.com/office/drawing/2014/chart" uri="{C3380CC4-5D6E-409C-BE32-E72D297353CC}">
              <c16:uniqueId val="{00000006-6994-46C7-84D6-D6E11C808F46}"/>
            </c:ext>
          </c:extLst>
        </c:ser>
        <c:marker val="1"/>
        <c:axId val="94746112"/>
        <c:axId val="94748032"/>
      </c:lineChart>
      <c:catAx>
        <c:axId val="94746112"/>
        <c:scaling>
          <c:orientation val="minMax"/>
        </c:scaling>
        <c:axPos val="b"/>
        <c:numFmt formatCode="General" sourceLinked="0"/>
        <c:tickLblPos val="low"/>
        <c:spPr>
          <a:ln>
            <a:solidFill>
              <a:schemeClr val="tx1"/>
            </a:solidFill>
          </a:ln>
        </c:spPr>
        <c:crossAx val="94748032"/>
        <c:crosses val="autoZero"/>
        <c:auto val="1"/>
        <c:lblAlgn val="ctr"/>
        <c:lblOffset val="10"/>
      </c:catAx>
      <c:valAx>
        <c:axId val="94748032"/>
        <c:scaling>
          <c:orientation val="minMax"/>
          <c:max val="7"/>
          <c:min val="-7"/>
        </c:scaling>
        <c:axPos val="l"/>
        <c:majorGridlines>
          <c:spPr>
            <a:ln w="6350">
              <a:solidFill>
                <a:schemeClr val="bg1">
                  <a:lumMod val="75000"/>
                </a:schemeClr>
              </a:solidFill>
            </a:ln>
          </c:spPr>
        </c:majorGridlines>
        <c:numFmt formatCode="0" sourceLinked="0"/>
        <c:tickLblPos val="nextTo"/>
        <c:spPr>
          <a:ln>
            <a:solidFill>
              <a:schemeClr val="tx1"/>
            </a:solidFill>
          </a:ln>
        </c:spPr>
        <c:crossAx val="94746112"/>
        <c:crosses val="autoZero"/>
        <c:crossBetween val="between"/>
        <c:majorUnit val="1"/>
      </c:valAx>
      <c:spPr>
        <a:ln>
          <a:solidFill>
            <a:schemeClr val="tx1"/>
          </a:solidFill>
        </a:ln>
      </c:spPr>
    </c:plotArea>
    <c:legend>
      <c:legendPos val="b"/>
      <c:layout>
        <c:manualLayout>
          <c:xMode val="edge"/>
          <c:yMode val="edge"/>
          <c:x val="5.2714541748739512E-2"/>
          <c:y val="0.85976117037112165"/>
          <c:w val="0.92581744326929161"/>
          <c:h val="0.1330439716295985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6183922558922563E-2"/>
          <c:y val="1.643251153889452E-2"/>
          <c:w val="0.8957392676767677"/>
          <c:h val="0.75762726757371612"/>
        </c:manualLayout>
      </c:layout>
      <c:barChart>
        <c:barDir val="col"/>
        <c:grouping val="clustered"/>
        <c:ser>
          <c:idx val="0"/>
          <c:order val="0"/>
          <c:tx>
            <c:strRef>
              <c:f>'Trh práce-2'!$A$32</c:f>
              <c:strCache>
                <c:ptCount val="1"/>
                <c:pt idx="0">
                  <c:v>Míra nezaměstnanosti mužů (levá osa)</c:v>
                </c:pt>
              </c:strCache>
            </c:strRef>
          </c:tx>
          <c:spPr>
            <a:solidFill>
              <a:srgbClr val="BCBCBC"/>
            </a:solidFill>
          </c:spPr>
          <c:cat>
            <c:multiLvlStrRef>
              <c:f>'Trh práce-2'!$B$30:$AJ$31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práce-2'!$B$32:$AJ$32</c:f>
              <c:numCache>
                <c:formatCode>0.0</c:formatCode>
                <c:ptCount val="35"/>
                <c:pt idx="0">
                  <c:v>7.0984261964423734</c:v>
                </c:pt>
                <c:pt idx="1">
                  <c:v>6.5135583821211904</c:v>
                </c:pt>
                <c:pt idx="2">
                  <c:v>6.1925174973206385</c:v>
                </c:pt>
                <c:pt idx="3">
                  <c:v>6.0751752494425855</c:v>
                </c:pt>
                <c:pt idx="4">
                  <c:v>6.0585504123063769</c:v>
                </c:pt>
                <c:pt idx="5">
                  <c:v>6.0037781675822162</c:v>
                </c:pt>
                <c:pt idx="6">
                  <c:v>5.7771123440108294</c:v>
                </c:pt>
                <c:pt idx="7">
                  <c:v>5.6914303332293281</c:v>
                </c:pt>
                <c:pt idx="8">
                  <c:v>5.999444560507885</c:v>
                </c:pt>
                <c:pt idx="9">
                  <c:v>5.9934774990686526</c:v>
                </c:pt>
                <c:pt idx="10">
                  <c:v>6.0666122060007455</c:v>
                </c:pt>
                <c:pt idx="11">
                  <c:v>6.2527040687756346</c:v>
                </c:pt>
                <c:pt idx="12">
                  <c:v>6.2702270348517413</c:v>
                </c:pt>
                <c:pt idx="13">
                  <c:v>5.9057854548173836</c:v>
                </c:pt>
                <c:pt idx="14">
                  <c:v>5.9365078922261834</c:v>
                </c:pt>
                <c:pt idx="15">
                  <c:v>5.7576462287734786</c:v>
                </c:pt>
                <c:pt idx="16">
                  <c:v>5.5339334646450906</c:v>
                </c:pt>
                <c:pt idx="17">
                  <c:v>5.2282751984916924</c:v>
                </c:pt>
                <c:pt idx="18">
                  <c:v>4.9463964293732134</c:v>
                </c:pt>
                <c:pt idx="19">
                  <c:v>5.0248999025584675</c:v>
                </c:pt>
                <c:pt idx="20">
                  <c:v>4.9895127892003934</c:v>
                </c:pt>
                <c:pt idx="21">
                  <c:v>4.3828206559983309</c:v>
                </c:pt>
                <c:pt idx="22">
                  <c:v>4.0788029838950894</c:v>
                </c:pt>
                <c:pt idx="23">
                  <c:v>3.7650503471565919</c:v>
                </c:pt>
                <c:pt idx="24">
                  <c:v>3.6132054261513269</c:v>
                </c:pt>
                <c:pt idx="25">
                  <c:v>3.6043335179766709</c:v>
                </c:pt>
                <c:pt idx="26">
                  <c:v>3.3890946672550402</c:v>
                </c:pt>
                <c:pt idx="27">
                  <c:v>3.1347034715857753</c:v>
                </c:pt>
                <c:pt idx="28">
                  <c:v>2.6709842330247007</c:v>
                </c:pt>
                <c:pt idx="29">
                  <c:v>2.5261051958709837</c:v>
                </c:pt>
                <c:pt idx="30">
                  <c:v>2.2633626824215232</c:v>
                </c:pt>
                <c:pt idx="31">
                  <c:v>2.0267160050007003</c:v>
                </c:pt>
                <c:pt idx="32">
                  <c:v>1.8771753059569525</c:v>
                </c:pt>
                <c:pt idx="33">
                  <c:v>1.8911636135363477</c:v>
                </c:pt>
                <c:pt idx="34">
                  <c:v>1.9098854631354627</c:v>
                </c:pt>
              </c:numCache>
            </c:numRef>
          </c:val>
          <c:extLst xmlns:c16r2="http://schemas.microsoft.com/office/drawing/2015/06/chart">
            <c:ext xmlns:c16="http://schemas.microsoft.com/office/drawing/2014/chart" uri="{C3380CC4-5D6E-409C-BE32-E72D297353CC}">
              <c16:uniqueId val="{00000000-E445-47D2-811A-4C46971B5748}"/>
            </c:ext>
          </c:extLst>
        </c:ser>
        <c:ser>
          <c:idx val="1"/>
          <c:order val="1"/>
          <c:tx>
            <c:strRef>
              <c:f>'Trh práce-2'!$A$33</c:f>
              <c:strCache>
                <c:ptCount val="1"/>
                <c:pt idx="0">
                  <c:v>Míra nezaměstnanosti žen (levá osa)</c:v>
                </c:pt>
              </c:strCache>
            </c:strRef>
          </c:tx>
          <c:spPr>
            <a:solidFill>
              <a:srgbClr val="DBDBDB"/>
            </a:solidFill>
          </c:spPr>
          <c:cat>
            <c:multiLvlStrRef>
              <c:f>'Trh práce-2'!$B$30:$AJ$31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práce-2'!$B$33:$AJ$33</c:f>
              <c:numCache>
                <c:formatCode>0.0</c:formatCode>
                <c:ptCount val="35"/>
                <c:pt idx="0">
                  <c:v>8.7633696101973779</c:v>
                </c:pt>
                <c:pt idx="1">
                  <c:v>8.6310295790753013</c:v>
                </c:pt>
                <c:pt idx="2">
                  <c:v>8.4858096938065248</c:v>
                </c:pt>
                <c:pt idx="3">
                  <c:v>8.3010704919620188</c:v>
                </c:pt>
                <c:pt idx="4">
                  <c:v>8.1745626452512052</c:v>
                </c:pt>
                <c:pt idx="5">
                  <c:v>8.1868732965665512</c:v>
                </c:pt>
                <c:pt idx="6">
                  <c:v>7.7763311994031996</c:v>
                </c:pt>
                <c:pt idx="7">
                  <c:v>7.7282818342714865</c:v>
                </c:pt>
                <c:pt idx="8">
                  <c:v>8.0311636412728671</c:v>
                </c:pt>
                <c:pt idx="9">
                  <c:v>8.2407929954465811</c:v>
                </c:pt>
                <c:pt idx="10">
                  <c:v>8.3049407606014185</c:v>
                </c:pt>
                <c:pt idx="11">
                  <c:v>8.5479216720112419</c:v>
                </c:pt>
                <c:pt idx="12">
                  <c:v>8.4753243348388825</c:v>
                </c:pt>
                <c:pt idx="13">
                  <c:v>8.4592364247587568</c:v>
                </c:pt>
                <c:pt idx="14">
                  <c:v>8.3592289534544673</c:v>
                </c:pt>
                <c:pt idx="15">
                  <c:v>8.2500639941225309</c:v>
                </c:pt>
                <c:pt idx="16">
                  <c:v>8.0240692285867024</c:v>
                </c:pt>
                <c:pt idx="17">
                  <c:v>7.6998248722355678</c:v>
                </c:pt>
                <c:pt idx="18">
                  <c:v>7.2762005720022014</c:v>
                </c:pt>
                <c:pt idx="19">
                  <c:v>7.0072976233268598</c:v>
                </c:pt>
                <c:pt idx="20">
                  <c:v>6.9060385283823491</c:v>
                </c:pt>
                <c:pt idx="21">
                  <c:v>6.2608308369461314</c:v>
                </c:pt>
                <c:pt idx="22">
                  <c:v>5.933528937116729</c:v>
                </c:pt>
                <c:pt idx="23">
                  <c:v>5.6186615875899149</c:v>
                </c:pt>
                <c:pt idx="24">
                  <c:v>5.1199233028522304</c:v>
                </c:pt>
                <c:pt idx="25">
                  <c:v>4.8490109722338097</c:v>
                </c:pt>
                <c:pt idx="26">
                  <c:v>4.7847993325080784</c:v>
                </c:pt>
                <c:pt idx="27">
                  <c:v>4.3200277073505395</c:v>
                </c:pt>
                <c:pt idx="28">
                  <c:v>4.3375552217303355</c:v>
                </c:pt>
                <c:pt idx="29">
                  <c:v>3.9282274245150397</c:v>
                </c:pt>
                <c:pt idx="30">
                  <c:v>3.3805008058347261</c:v>
                </c:pt>
                <c:pt idx="31">
                  <c:v>2.9639084541959431</c:v>
                </c:pt>
                <c:pt idx="32">
                  <c:v>3.0214936652535034</c:v>
                </c:pt>
                <c:pt idx="33">
                  <c:v>2.9034236780849612</c:v>
                </c:pt>
                <c:pt idx="34">
                  <c:v>2.8429389823883437</c:v>
                </c:pt>
              </c:numCache>
            </c:numRef>
          </c:val>
          <c:extLst xmlns:c16r2="http://schemas.microsoft.com/office/drawing/2015/06/chart">
            <c:ext xmlns:c16="http://schemas.microsoft.com/office/drawing/2014/chart" uri="{C3380CC4-5D6E-409C-BE32-E72D297353CC}">
              <c16:uniqueId val="{00000001-E445-47D2-811A-4C46971B5748}"/>
            </c:ext>
          </c:extLst>
        </c:ser>
        <c:gapWidth val="68"/>
        <c:axId val="96679040"/>
        <c:axId val="96680576"/>
      </c:barChart>
      <c:lineChart>
        <c:grouping val="standard"/>
        <c:ser>
          <c:idx val="2"/>
          <c:order val="2"/>
          <c:tx>
            <c:strRef>
              <c:f>'Trh práce-2'!$A$34</c:f>
              <c:strCache>
                <c:ptCount val="1"/>
                <c:pt idx="0">
                  <c:v>% podíl nezam. &gt; 1 rok (pravá osa)</c:v>
                </c:pt>
              </c:strCache>
            </c:strRef>
          </c:tx>
          <c:spPr>
            <a:ln w="19050">
              <a:solidFill>
                <a:srgbClr val="C00000"/>
              </a:solidFill>
              <a:prstDash val="solid"/>
            </a:ln>
          </c:spPr>
          <c:marker>
            <c:symbol val="none"/>
          </c:marker>
          <c:cat>
            <c:multiLvlStrRef>
              <c:f>'Trh práce-2'!$B$30:$AJ$31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práce-2'!$B$34:$AJ$34</c:f>
              <c:numCache>
                <c:formatCode>#,##0.0</c:formatCode>
                <c:ptCount val="35"/>
                <c:pt idx="0">
                  <c:v>35.700000000000003</c:v>
                </c:pt>
                <c:pt idx="1">
                  <c:v>41.3</c:v>
                </c:pt>
                <c:pt idx="2">
                  <c:v>43.4</c:v>
                </c:pt>
                <c:pt idx="3">
                  <c:v>43.9</c:v>
                </c:pt>
                <c:pt idx="4">
                  <c:v>40.1</c:v>
                </c:pt>
                <c:pt idx="5">
                  <c:v>39</c:v>
                </c:pt>
                <c:pt idx="6">
                  <c:v>40.800000000000004</c:v>
                </c:pt>
                <c:pt idx="7">
                  <c:v>42.6</c:v>
                </c:pt>
                <c:pt idx="8">
                  <c:v>43.3</c:v>
                </c:pt>
                <c:pt idx="9">
                  <c:v>44.1</c:v>
                </c:pt>
                <c:pt idx="10">
                  <c:v>43.6</c:v>
                </c:pt>
                <c:pt idx="11">
                  <c:v>42.6</c:v>
                </c:pt>
                <c:pt idx="12">
                  <c:v>43.4</c:v>
                </c:pt>
                <c:pt idx="13">
                  <c:v>44.1</c:v>
                </c:pt>
                <c:pt idx="14">
                  <c:v>44</c:v>
                </c:pt>
                <c:pt idx="15">
                  <c:v>42.1</c:v>
                </c:pt>
                <c:pt idx="16">
                  <c:v>41.2</c:v>
                </c:pt>
                <c:pt idx="17">
                  <c:v>43</c:v>
                </c:pt>
                <c:pt idx="18">
                  <c:v>44.3</c:v>
                </c:pt>
                <c:pt idx="19">
                  <c:v>45.9</c:v>
                </c:pt>
                <c:pt idx="20">
                  <c:v>45.9</c:v>
                </c:pt>
                <c:pt idx="21">
                  <c:v>46.4</c:v>
                </c:pt>
                <c:pt idx="22">
                  <c:v>49</c:v>
                </c:pt>
                <c:pt idx="23">
                  <c:v>48.1</c:v>
                </c:pt>
                <c:pt idx="24">
                  <c:v>46</c:v>
                </c:pt>
                <c:pt idx="25">
                  <c:v>43.2</c:v>
                </c:pt>
                <c:pt idx="26">
                  <c:v>39.9</c:v>
                </c:pt>
                <c:pt idx="27">
                  <c:v>38.800000000000004</c:v>
                </c:pt>
                <c:pt idx="28">
                  <c:v>36.800000000000004</c:v>
                </c:pt>
                <c:pt idx="29">
                  <c:v>37.5</c:v>
                </c:pt>
                <c:pt idx="30">
                  <c:v>33.9</c:v>
                </c:pt>
                <c:pt idx="31">
                  <c:v>31.3</c:v>
                </c:pt>
                <c:pt idx="32">
                  <c:v>30.6</c:v>
                </c:pt>
                <c:pt idx="33">
                  <c:v>30.6</c:v>
                </c:pt>
                <c:pt idx="34">
                  <c:v>29</c:v>
                </c:pt>
              </c:numCache>
            </c:numRef>
          </c:val>
          <c:extLst xmlns:c16r2="http://schemas.microsoft.com/office/drawing/2015/06/chart">
            <c:ext xmlns:c16="http://schemas.microsoft.com/office/drawing/2014/chart" uri="{C3380CC4-5D6E-409C-BE32-E72D297353CC}">
              <c16:uniqueId val="{00000002-E445-47D2-811A-4C46971B5748}"/>
            </c:ext>
          </c:extLst>
        </c:ser>
        <c:ser>
          <c:idx val="4"/>
          <c:order val="3"/>
          <c:tx>
            <c:strRef>
              <c:f>'Trh práce-2'!$A$36</c:f>
              <c:strCache>
                <c:ptCount val="1"/>
                <c:pt idx="0">
                  <c:v>% podíl nezam. do 25 let  (pravá osa)</c:v>
                </c:pt>
              </c:strCache>
            </c:strRef>
          </c:tx>
          <c:spPr>
            <a:ln w="19050">
              <a:solidFill>
                <a:srgbClr val="7DBB2D"/>
              </a:solidFill>
            </a:ln>
          </c:spPr>
          <c:marker>
            <c:symbol val="none"/>
          </c:marker>
          <c:cat>
            <c:multiLvlStrRef>
              <c:f>'Trh práce-2'!$B$30:$AJ$31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práce-2'!$B$36:$AJ$36</c:f>
              <c:numCache>
                <c:formatCode>0.0</c:formatCode>
                <c:ptCount val="35"/>
                <c:pt idx="0">
                  <c:v>19.41031941031941</c:v>
                </c:pt>
                <c:pt idx="1">
                  <c:v>19.430051813471501</c:v>
                </c:pt>
                <c:pt idx="2">
                  <c:v>19.251336898395689</c:v>
                </c:pt>
                <c:pt idx="3">
                  <c:v>18.579234972677586</c:v>
                </c:pt>
                <c:pt idx="4">
                  <c:v>18.055555555555554</c:v>
                </c:pt>
                <c:pt idx="5">
                  <c:v>19.498607242339485</c:v>
                </c:pt>
                <c:pt idx="6">
                  <c:v>19.533527696792987</c:v>
                </c:pt>
                <c:pt idx="7">
                  <c:v>19.230769230768885</c:v>
                </c:pt>
                <c:pt idx="8">
                  <c:v>20.168067226890791</c:v>
                </c:pt>
                <c:pt idx="9">
                  <c:v>20.718232044198889</c:v>
                </c:pt>
                <c:pt idx="10">
                  <c:v>19.293478260869566</c:v>
                </c:pt>
                <c:pt idx="11">
                  <c:v>18.947368421052843</c:v>
                </c:pt>
                <c:pt idx="12">
                  <c:v>18.997361477572557</c:v>
                </c:pt>
                <c:pt idx="13">
                  <c:v>18.279569892472939</c:v>
                </c:pt>
                <c:pt idx="14">
                  <c:v>18.256130790190728</c:v>
                </c:pt>
                <c:pt idx="15">
                  <c:v>18.715083798882691</c:v>
                </c:pt>
                <c:pt idx="16">
                  <c:v>17.341040462427742</c:v>
                </c:pt>
                <c:pt idx="17">
                  <c:v>17.933130699088146</c:v>
                </c:pt>
                <c:pt idx="18">
                  <c:v>17.628205128205131</c:v>
                </c:pt>
                <c:pt idx="19">
                  <c:v>16.558441558441526</c:v>
                </c:pt>
                <c:pt idx="20">
                  <c:v>16.993464052287585</c:v>
                </c:pt>
                <c:pt idx="21">
                  <c:v>17.216117216117212</c:v>
                </c:pt>
                <c:pt idx="22">
                  <c:v>16.07843137254882</c:v>
                </c:pt>
                <c:pt idx="23">
                  <c:v>15.546218487394835</c:v>
                </c:pt>
                <c:pt idx="24">
                  <c:v>15.24663677130045</c:v>
                </c:pt>
                <c:pt idx="25">
                  <c:v>17.431192660550458</c:v>
                </c:pt>
                <c:pt idx="26">
                  <c:v>16.587677725118535</c:v>
                </c:pt>
                <c:pt idx="27">
                  <c:v>17.098445595854923</c:v>
                </c:pt>
                <c:pt idx="28">
                  <c:v>16.759776536312689</c:v>
                </c:pt>
                <c:pt idx="29">
                  <c:v>18.562874251497004</c:v>
                </c:pt>
                <c:pt idx="30">
                  <c:v>16.43835616438356</c:v>
                </c:pt>
                <c:pt idx="31">
                  <c:v>12.977099236641374</c:v>
                </c:pt>
                <c:pt idx="32">
                  <c:v>16.935483870967364</c:v>
                </c:pt>
                <c:pt idx="33">
                  <c:v>19.2</c:v>
                </c:pt>
                <c:pt idx="34">
                  <c:v>14.634146341463413</c:v>
                </c:pt>
              </c:numCache>
            </c:numRef>
          </c:val>
          <c:extLst xmlns:c16r2="http://schemas.microsoft.com/office/drawing/2015/06/chart">
            <c:ext xmlns:c16="http://schemas.microsoft.com/office/drawing/2014/chart" uri="{C3380CC4-5D6E-409C-BE32-E72D297353CC}">
              <c16:uniqueId val="{00000003-E445-47D2-811A-4C46971B5748}"/>
            </c:ext>
          </c:extLst>
        </c:ser>
        <c:ser>
          <c:idx val="5"/>
          <c:order val="4"/>
          <c:tx>
            <c:strRef>
              <c:f>'Trh práce-2'!$A$37</c:f>
              <c:strCache>
                <c:ptCount val="1"/>
                <c:pt idx="0">
                  <c:v>Ekon.neaktiv.chtějící pracovat (pr. osa)*</c:v>
                </c:pt>
              </c:strCache>
            </c:strRef>
          </c:tx>
          <c:spPr>
            <a:ln w="19050">
              <a:solidFill>
                <a:srgbClr val="0071BC"/>
              </a:solidFill>
            </a:ln>
          </c:spPr>
          <c:marker>
            <c:symbol val="none"/>
          </c:marker>
          <c:cat>
            <c:multiLvlStrRef>
              <c:f>'Trh práce-2'!$B$30:$AJ$31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práce-2'!$B$37:$AJ$37</c:f>
              <c:numCache>
                <c:formatCode>0.0</c:formatCode>
                <c:ptCount val="35"/>
                <c:pt idx="0">
                  <c:v>183.00000000000003</c:v>
                </c:pt>
                <c:pt idx="1">
                  <c:v>183.20000000000002</c:v>
                </c:pt>
                <c:pt idx="2">
                  <c:v>172.5</c:v>
                </c:pt>
                <c:pt idx="3">
                  <c:v>172.00000000000003</c:v>
                </c:pt>
                <c:pt idx="4">
                  <c:v>193.70000000000002</c:v>
                </c:pt>
                <c:pt idx="5">
                  <c:v>184.4</c:v>
                </c:pt>
                <c:pt idx="6">
                  <c:v>188.9</c:v>
                </c:pt>
                <c:pt idx="7">
                  <c:v>183.20000000000002</c:v>
                </c:pt>
                <c:pt idx="8">
                  <c:v>196.60000000000002</c:v>
                </c:pt>
                <c:pt idx="9">
                  <c:v>176.5</c:v>
                </c:pt>
                <c:pt idx="10">
                  <c:v>166.9</c:v>
                </c:pt>
                <c:pt idx="11">
                  <c:v>154.60000000000002</c:v>
                </c:pt>
                <c:pt idx="12">
                  <c:v>167.8</c:v>
                </c:pt>
                <c:pt idx="13">
                  <c:v>147.19999999999999</c:v>
                </c:pt>
                <c:pt idx="14">
                  <c:v>138.80000000000001</c:v>
                </c:pt>
                <c:pt idx="15">
                  <c:v>139.30000000000001</c:v>
                </c:pt>
                <c:pt idx="16">
                  <c:v>145.4</c:v>
                </c:pt>
                <c:pt idx="17">
                  <c:v>137.1</c:v>
                </c:pt>
                <c:pt idx="18">
                  <c:v>129</c:v>
                </c:pt>
                <c:pt idx="19">
                  <c:v>127.10000000000001</c:v>
                </c:pt>
                <c:pt idx="20" formatCode="General">
                  <c:v>138.5</c:v>
                </c:pt>
                <c:pt idx="21" formatCode="General">
                  <c:v>141.4</c:v>
                </c:pt>
                <c:pt idx="22" formatCode="General">
                  <c:v>137.1</c:v>
                </c:pt>
                <c:pt idx="23" formatCode="General">
                  <c:v>130.4</c:v>
                </c:pt>
                <c:pt idx="24" formatCode="General">
                  <c:v>141</c:v>
                </c:pt>
                <c:pt idx="25" formatCode="General">
                  <c:v>126.4</c:v>
                </c:pt>
                <c:pt idx="26" formatCode="General">
                  <c:v>129.69999999999999</c:v>
                </c:pt>
                <c:pt idx="27" formatCode="General">
                  <c:v>127.1</c:v>
                </c:pt>
                <c:pt idx="28">
                  <c:v>133.1</c:v>
                </c:pt>
                <c:pt idx="29">
                  <c:v>120.1</c:v>
                </c:pt>
                <c:pt idx="30">
                  <c:v>121.3</c:v>
                </c:pt>
                <c:pt idx="31">
                  <c:v>119.1</c:v>
                </c:pt>
                <c:pt idx="32">
                  <c:v>113.5</c:v>
                </c:pt>
                <c:pt idx="33">
                  <c:v>108.4</c:v>
                </c:pt>
                <c:pt idx="34">
                  <c:v>110.3</c:v>
                </c:pt>
              </c:numCache>
            </c:numRef>
          </c:val>
          <c:extLst xmlns:c16r2="http://schemas.microsoft.com/office/drawing/2015/06/chart">
            <c:ext xmlns:c16="http://schemas.microsoft.com/office/drawing/2014/chart" uri="{C3380CC4-5D6E-409C-BE32-E72D297353CC}">
              <c16:uniqueId val="{00000004-E445-47D2-811A-4C46971B5748}"/>
            </c:ext>
          </c:extLst>
        </c:ser>
        <c:marker val="1"/>
        <c:axId val="96704384"/>
        <c:axId val="96702848"/>
      </c:lineChart>
      <c:catAx>
        <c:axId val="96679040"/>
        <c:scaling>
          <c:orientation val="minMax"/>
        </c:scaling>
        <c:axPos val="b"/>
        <c:numFmt formatCode="General" sourceLinked="0"/>
        <c:tickLblPos val="low"/>
        <c:spPr>
          <a:ln>
            <a:solidFill>
              <a:schemeClr val="tx1"/>
            </a:solidFill>
          </a:ln>
        </c:spPr>
        <c:crossAx val="96680576"/>
        <c:crossesAt val="-50"/>
        <c:auto val="1"/>
        <c:lblAlgn val="ctr"/>
        <c:lblOffset val="0"/>
      </c:catAx>
      <c:valAx>
        <c:axId val="96680576"/>
        <c:scaling>
          <c:orientation val="minMax"/>
          <c:max val="10"/>
          <c:min val="0"/>
        </c:scaling>
        <c:axPos val="l"/>
        <c:majorGridlines>
          <c:spPr>
            <a:ln w="6350">
              <a:solidFill>
                <a:schemeClr val="bg1">
                  <a:lumMod val="75000"/>
                </a:schemeClr>
              </a:solidFill>
            </a:ln>
          </c:spPr>
        </c:majorGridlines>
        <c:numFmt formatCode="0" sourceLinked="0"/>
        <c:tickLblPos val="nextTo"/>
        <c:spPr>
          <a:ln>
            <a:solidFill>
              <a:schemeClr val="tx1"/>
            </a:solidFill>
          </a:ln>
        </c:spPr>
        <c:crossAx val="96679040"/>
        <c:crosses val="autoZero"/>
        <c:crossBetween val="between"/>
        <c:majorUnit val="1"/>
      </c:valAx>
      <c:valAx>
        <c:axId val="96702848"/>
        <c:scaling>
          <c:orientation val="minMax"/>
          <c:max val="200"/>
        </c:scaling>
        <c:axPos val="r"/>
        <c:numFmt formatCode="0" sourceLinked="0"/>
        <c:tickLblPos val="nextTo"/>
        <c:crossAx val="96704384"/>
        <c:crosses val="max"/>
        <c:crossBetween val="between"/>
        <c:majorUnit val="20"/>
      </c:valAx>
      <c:catAx>
        <c:axId val="96704384"/>
        <c:scaling>
          <c:orientation val="minMax"/>
        </c:scaling>
        <c:delete val="1"/>
        <c:axPos val="b"/>
        <c:numFmt formatCode="General" sourceLinked="1"/>
        <c:tickLblPos val="none"/>
        <c:crossAx val="96702848"/>
        <c:crosses val="autoZero"/>
        <c:auto val="1"/>
        <c:lblAlgn val="ctr"/>
        <c:lblOffset val="100"/>
      </c:catAx>
      <c:spPr>
        <a:ln>
          <a:solidFill>
            <a:schemeClr val="tx1"/>
          </a:solidFill>
        </a:ln>
      </c:spPr>
    </c:plotArea>
    <c:legend>
      <c:legendPos val="b"/>
      <c:layout>
        <c:manualLayout>
          <c:xMode val="edge"/>
          <c:yMode val="edge"/>
          <c:x val="4.4613215488215494E-2"/>
          <c:y val="0.87358815192743156"/>
          <c:w val="0.89434511784511783"/>
          <c:h val="0.10841298185941046"/>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4.0091348527306885E-2"/>
          <c:y val="1.6549886621315374E-2"/>
          <c:w val="0.94100987714832163"/>
          <c:h val="0.77115164399092972"/>
        </c:manualLayout>
      </c:layout>
      <c:barChart>
        <c:barDir val="col"/>
        <c:grouping val="clustered"/>
        <c:ser>
          <c:idx val="5"/>
          <c:order val="2"/>
          <c:tx>
            <c:strRef>
              <c:f>'Trh práce 3'!$E$8</c:f>
              <c:strCache>
                <c:ptCount val="1"/>
                <c:pt idx="0">
                  <c:v>Průměrná mzda (reálně)</c:v>
                </c:pt>
              </c:strCache>
            </c:strRef>
          </c:tx>
          <c:spPr>
            <a:solidFill>
              <a:srgbClr val="A6A6A6"/>
            </a:solidFill>
            <a:ln>
              <a:noFill/>
            </a:ln>
          </c:spPr>
          <c:cat>
            <c:multiLvlStrRef>
              <c:f>'Trh práce 3'!$A$9:$B$43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3'!$E$9:$E$43</c:f>
              <c:numCache>
                <c:formatCode>#,##0.0</c:formatCode>
                <c:ptCount val="35"/>
                <c:pt idx="0">
                  <c:v>2.0999999999999943</c:v>
                </c:pt>
                <c:pt idx="1">
                  <c:v>1.9000000000000061</c:v>
                </c:pt>
                <c:pt idx="2">
                  <c:v>0.30000000000000032</c:v>
                </c:pt>
                <c:pt idx="3">
                  <c:v>-1.4000000000000057</c:v>
                </c:pt>
                <c:pt idx="4">
                  <c:v>1.0999999999999845</c:v>
                </c:pt>
                <c:pt idx="5">
                  <c:v>0.7999999999999976</c:v>
                </c:pt>
                <c:pt idx="6">
                  <c:v>0.30000000000000032</c:v>
                </c:pt>
                <c:pt idx="7">
                  <c:v>0</c:v>
                </c:pt>
                <c:pt idx="8">
                  <c:v>-0.5</c:v>
                </c:pt>
                <c:pt idx="9">
                  <c:v>-1.2999999999999854</c:v>
                </c:pt>
                <c:pt idx="10">
                  <c:v>-1.7999999999999854</c:v>
                </c:pt>
                <c:pt idx="11">
                  <c:v>0.40000000000000568</c:v>
                </c:pt>
                <c:pt idx="12">
                  <c:v>-2.4000000000000057</c:v>
                </c:pt>
                <c:pt idx="13">
                  <c:v>-0.5</c:v>
                </c:pt>
                <c:pt idx="14">
                  <c:v>0</c:v>
                </c:pt>
                <c:pt idx="15">
                  <c:v>-3.0999999999999943</c:v>
                </c:pt>
                <c:pt idx="16">
                  <c:v>3.7000000000000042</c:v>
                </c:pt>
                <c:pt idx="17">
                  <c:v>2.5999999999999943</c:v>
                </c:pt>
                <c:pt idx="18">
                  <c:v>1.5999999999999845</c:v>
                </c:pt>
                <c:pt idx="19">
                  <c:v>2.2999999999999972</c:v>
                </c:pt>
                <c:pt idx="20">
                  <c:v>2.2000000000000042</c:v>
                </c:pt>
                <c:pt idx="21">
                  <c:v>2.5999999999999943</c:v>
                </c:pt>
                <c:pt idx="22">
                  <c:v>3.0999999999999943</c:v>
                </c:pt>
                <c:pt idx="23">
                  <c:v>3.5999999999999943</c:v>
                </c:pt>
                <c:pt idx="24">
                  <c:v>4.2000000000000028</c:v>
                </c:pt>
                <c:pt idx="25">
                  <c:v>3.7999999999999972</c:v>
                </c:pt>
                <c:pt idx="26">
                  <c:v>4.2000000000000028</c:v>
                </c:pt>
                <c:pt idx="27">
                  <c:v>3</c:v>
                </c:pt>
                <c:pt idx="28">
                  <c:v>2.0999999999999943</c:v>
                </c:pt>
                <c:pt idx="29">
                  <c:v>4.5999999999999943</c:v>
                </c:pt>
                <c:pt idx="30">
                  <c:v>3.5</c:v>
                </c:pt>
                <c:pt idx="31">
                  <c:v>4.7000000000000028</c:v>
                </c:pt>
                <c:pt idx="32">
                  <c:v>6.5999999999999943</c:v>
                </c:pt>
                <c:pt idx="33">
                  <c:v>6.2000000000000028</c:v>
                </c:pt>
                <c:pt idx="34">
                  <c:v>6</c:v>
                </c:pt>
              </c:numCache>
            </c:numRef>
          </c:val>
          <c:extLst xmlns:c16r2="http://schemas.microsoft.com/office/drawing/2015/06/chart">
            <c:ext xmlns:c16="http://schemas.microsoft.com/office/drawing/2014/chart" uri="{C3380CC4-5D6E-409C-BE32-E72D297353CC}">
              <c16:uniqueId val="{00000000-B9A9-40D8-A34A-1F4D994627F9}"/>
            </c:ext>
          </c:extLst>
        </c:ser>
        <c:gapWidth val="55"/>
        <c:axId val="103161216"/>
        <c:axId val="103171584"/>
      </c:barChart>
      <c:lineChart>
        <c:grouping val="standard"/>
        <c:ser>
          <c:idx val="0"/>
          <c:order val="0"/>
          <c:tx>
            <c:strRef>
              <c:f>'Trh práce 3'!$C$8</c:f>
              <c:strCache>
                <c:ptCount val="1"/>
                <c:pt idx="0">
                  <c:v>Průměrná mzda (nominálně)</c:v>
                </c:pt>
              </c:strCache>
            </c:strRef>
          </c:tx>
          <c:spPr>
            <a:ln w="19050">
              <a:solidFill>
                <a:srgbClr val="0071BC"/>
              </a:solidFill>
            </a:ln>
          </c:spPr>
          <c:marker>
            <c:symbol val="none"/>
          </c:marker>
          <c:cat>
            <c:multiLvlStrRef>
              <c:f>'Trh práce 3'!$A$9:$B$43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3'!$C$9:$C$43</c:f>
              <c:numCache>
                <c:formatCode>0.0</c:formatCode>
                <c:ptCount val="35"/>
                <c:pt idx="0">
                  <c:v>2.7999999999999972</c:v>
                </c:pt>
                <c:pt idx="1">
                  <c:v>3.0999999999999943</c:v>
                </c:pt>
                <c:pt idx="2">
                  <c:v>2.2000000000000042</c:v>
                </c:pt>
                <c:pt idx="3">
                  <c:v>0.70000000000000284</c:v>
                </c:pt>
                <c:pt idx="4">
                  <c:v>2.7999999999999972</c:v>
                </c:pt>
                <c:pt idx="5">
                  <c:v>2.5999999999999943</c:v>
                </c:pt>
                <c:pt idx="6">
                  <c:v>2.0999999999999943</c:v>
                </c:pt>
                <c:pt idx="7">
                  <c:v>2.4000000000000057</c:v>
                </c:pt>
                <c:pt idx="8">
                  <c:v>3.2000000000000042</c:v>
                </c:pt>
                <c:pt idx="9">
                  <c:v>2.0999999999999943</c:v>
                </c:pt>
                <c:pt idx="10">
                  <c:v>1.4000000000000057</c:v>
                </c:pt>
                <c:pt idx="11">
                  <c:v>3.2000000000000042</c:v>
                </c:pt>
                <c:pt idx="12">
                  <c:v>-0.59999999999999432</c:v>
                </c:pt>
                <c:pt idx="13">
                  <c:v>1</c:v>
                </c:pt>
                <c:pt idx="14">
                  <c:v>1.2000000000000028</c:v>
                </c:pt>
                <c:pt idx="15">
                  <c:v>-2</c:v>
                </c:pt>
                <c:pt idx="16">
                  <c:v>3.9000000000000057</c:v>
                </c:pt>
                <c:pt idx="17">
                  <c:v>2.7999999999999972</c:v>
                </c:pt>
                <c:pt idx="18">
                  <c:v>2.2000000000000042</c:v>
                </c:pt>
                <c:pt idx="19">
                  <c:v>2.7999999999999972</c:v>
                </c:pt>
                <c:pt idx="20">
                  <c:v>2.2999999999999972</c:v>
                </c:pt>
                <c:pt idx="21">
                  <c:v>3.2999999999999972</c:v>
                </c:pt>
                <c:pt idx="22">
                  <c:v>3.5</c:v>
                </c:pt>
                <c:pt idx="23">
                  <c:v>3.7000000000000042</c:v>
                </c:pt>
                <c:pt idx="24">
                  <c:v>4.7000000000000028</c:v>
                </c:pt>
                <c:pt idx="25">
                  <c:v>4</c:v>
                </c:pt>
                <c:pt idx="26">
                  <c:v>4.7000000000000028</c:v>
                </c:pt>
                <c:pt idx="27">
                  <c:v>4.4000000000000083</c:v>
                </c:pt>
                <c:pt idx="28">
                  <c:v>4.5</c:v>
                </c:pt>
                <c:pt idx="29">
                  <c:v>6.9000000000000083</c:v>
                </c:pt>
                <c:pt idx="30">
                  <c:v>6.0999999999999943</c:v>
                </c:pt>
                <c:pt idx="31">
                  <c:v>7.4000000000000083</c:v>
                </c:pt>
                <c:pt idx="32">
                  <c:v>8.6000000000000014</c:v>
                </c:pt>
                <c:pt idx="33">
                  <c:v>8.6000000000000014</c:v>
                </c:pt>
                <c:pt idx="34">
                  <c:v>8.5</c:v>
                </c:pt>
              </c:numCache>
            </c:numRef>
          </c:val>
          <c:extLst xmlns:c16r2="http://schemas.microsoft.com/office/drawing/2015/06/chart">
            <c:ext xmlns:c16="http://schemas.microsoft.com/office/drawing/2014/chart" uri="{C3380CC4-5D6E-409C-BE32-E72D297353CC}">
              <c16:uniqueId val="{00000001-B9A9-40D8-A34A-1F4D994627F9}"/>
            </c:ext>
          </c:extLst>
        </c:ser>
        <c:ser>
          <c:idx val="4"/>
          <c:order val="1"/>
          <c:tx>
            <c:strRef>
              <c:f>'Trh práce 3'!$D$8</c:f>
              <c:strCache>
                <c:ptCount val="1"/>
                <c:pt idx="0">
                  <c:v>Mediánová mzda (nominálně)</c:v>
                </c:pt>
              </c:strCache>
            </c:strRef>
          </c:tx>
          <c:spPr>
            <a:ln w="19050">
              <a:solidFill>
                <a:srgbClr val="BD1B21"/>
              </a:solidFill>
            </a:ln>
          </c:spPr>
          <c:marker>
            <c:symbol val="none"/>
          </c:marker>
          <c:cat>
            <c:multiLvlStrRef>
              <c:f>'Trh práce 3'!$A$9:$B$43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3'!$D$9:$D$43</c:f>
              <c:numCache>
                <c:formatCode>0.0</c:formatCode>
                <c:ptCount val="35"/>
                <c:pt idx="0">
                  <c:v>3.2000000000000042</c:v>
                </c:pt>
                <c:pt idx="1">
                  <c:v>2.5999999999999943</c:v>
                </c:pt>
                <c:pt idx="2">
                  <c:v>2.7999999999999972</c:v>
                </c:pt>
                <c:pt idx="3">
                  <c:v>1.7999999999999854</c:v>
                </c:pt>
                <c:pt idx="4">
                  <c:v>2.7999999999999972</c:v>
                </c:pt>
                <c:pt idx="5">
                  <c:v>2.2000000000000042</c:v>
                </c:pt>
                <c:pt idx="6">
                  <c:v>1.7000000000000028</c:v>
                </c:pt>
                <c:pt idx="7">
                  <c:v>2.2000000000000042</c:v>
                </c:pt>
                <c:pt idx="8">
                  <c:v>1.4000000000000057</c:v>
                </c:pt>
                <c:pt idx="9">
                  <c:v>1.2999999999999854</c:v>
                </c:pt>
                <c:pt idx="10">
                  <c:v>-0.40000000000000568</c:v>
                </c:pt>
                <c:pt idx="11">
                  <c:v>-0.59999999999999432</c:v>
                </c:pt>
                <c:pt idx="12">
                  <c:v>0.59999999999999432</c:v>
                </c:pt>
                <c:pt idx="13">
                  <c:v>1.4000000000000057</c:v>
                </c:pt>
                <c:pt idx="14">
                  <c:v>2.2999999999999972</c:v>
                </c:pt>
                <c:pt idx="15">
                  <c:v>1.2000000000000028</c:v>
                </c:pt>
                <c:pt idx="16">
                  <c:v>4.7000000000000028</c:v>
                </c:pt>
                <c:pt idx="17">
                  <c:v>3.2999999999999972</c:v>
                </c:pt>
                <c:pt idx="18">
                  <c:v>2.5999999999999943</c:v>
                </c:pt>
                <c:pt idx="19">
                  <c:v>2.2999999999999972</c:v>
                </c:pt>
                <c:pt idx="20">
                  <c:v>0.70000000000000284</c:v>
                </c:pt>
                <c:pt idx="21">
                  <c:v>2.2999999999999972</c:v>
                </c:pt>
                <c:pt idx="22">
                  <c:v>3.7999999999999972</c:v>
                </c:pt>
                <c:pt idx="23">
                  <c:v>4.7000000000000028</c:v>
                </c:pt>
                <c:pt idx="24">
                  <c:v>6.7000000000000028</c:v>
                </c:pt>
                <c:pt idx="25">
                  <c:v>4.5999999999999943</c:v>
                </c:pt>
                <c:pt idx="26">
                  <c:v>5.2999999999999972</c:v>
                </c:pt>
                <c:pt idx="27">
                  <c:v>6.2000000000000028</c:v>
                </c:pt>
                <c:pt idx="28">
                  <c:v>4.4000000000000083</c:v>
                </c:pt>
                <c:pt idx="29">
                  <c:v>7.4000000000000083</c:v>
                </c:pt>
                <c:pt idx="30">
                  <c:v>6.5999999999999943</c:v>
                </c:pt>
                <c:pt idx="31">
                  <c:v>8.4000000000000057</c:v>
                </c:pt>
                <c:pt idx="32">
                  <c:v>8.4000000000000057</c:v>
                </c:pt>
                <c:pt idx="33">
                  <c:v>9.5</c:v>
                </c:pt>
                <c:pt idx="34">
                  <c:v>9.8000000000000025</c:v>
                </c:pt>
              </c:numCache>
            </c:numRef>
          </c:val>
          <c:extLst xmlns:c16r2="http://schemas.microsoft.com/office/drawing/2015/06/chart">
            <c:ext xmlns:c16="http://schemas.microsoft.com/office/drawing/2014/chart" uri="{C3380CC4-5D6E-409C-BE32-E72D297353CC}">
              <c16:uniqueId val="{00000002-B9A9-40D8-A34A-1F4D994627F9}"/>
            </c:ext>
          </c:extLst>
        </c:ser>
        <c:ser>
          <c:idx val="1"/>
          <c:order val="3"/>
          <c:tx>
            <c:strRef>
              <c:f>'Trh práce 3'!$F$8</c:f>
              <c:strCache>
                <c:ptCount val="1"/>
                <c:pt idx="0">
                  <c:v>Produktivita práce v NH (reálně)**</c:v>
                </c:pt>
              </c:strCache>
            </c:strRef>
          </c:tx>
          <c:spPr>
            <a:ln w="19050">
              <a:noFill/>
              <a:prstDash val="solid"/>
            </a:ln>
          </c:spPr>
          <c:marker>
            <c:symbol val="diamond"/>
            <c:size val="5"/>
            <c:spPr>
              <a:solidFill>
                <a:srgbClr val="FFFF00"/>
              </a:solidFill>
              <a:ln>
                <a:solidFill>
                  <a:schemeClr val="tx1">
                    <a:lumMod val="95000"/>
                    <a:lumOff val="5000"/>
                  </a:schemeClr>
                </a:solidFill>
              </a:ln>
            </c:spPr>
          </c:marker>
          <c:cat>
            <c:multiLvlStrRef>
              <c:f>'Trh práce 3'!$A$9:$B$43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3'!$F$9:$F$43</c:f>
              <c:numCache>
                <c:formatCode>0.0</c:formatCode>
                <c:ptCount val="35"/>
                <c:pt idx="0">
                  <c:v>3.5332846838865208</c:v>
                </c:pt>
                <c:pt idx="1">
                  <c:v>4.425122650740704</c:v>
                </c:pt>
                <c:pt idx="2">
                  <c:v>2.3152819998793177</c:v>
                </c:pt>
                <c:pt idx="3">
                  <c:v>2.9717863026053952</c:v>
                </c:pt>
                <c:pt idx="4">
                  <c:v>2.9527260280244287</c:v>
                </c:pt>
                <c:pt idx="5">
                  <c:v>2.0923191727528945</c:v>
                </c:pt>
                <c:pt idx="6">
                  <c:v>1.8080251400873948</c:v>
                </c:pt>
                <c:pt idx="7">
                  <c:v>1.5019620723850615</c:v>
                </c:pt>
                <c:pt idx="8">
                  <c:v>0.41537995919813397</c:v>
                </c:pt>
                <c:pt idx="9">
                  <c:v>-1.2819231607880959</c:v>
                </c:pt>
                <c:pt idx="10">
                  <c:v>-1.8249350322319771</c:v>
                </c:pt>
                <c:pt idx="11">
                  <c:v>-2.0588258996494337</c:v>
                </c:pt>
                <c:pt idx="12">
                  <c:v>-2.8802810421720664</c:v>
                </c:pt>
                <c:pt idx="13">
                  <c:v>-1.827948004663384</c:v>
                </c:pt>
                <c:pt idx="14">
                  <c:v>0.40461936993752307</c:v>
                </c:pt>
                <c:pt idx="15">
                  <c:v>0.95515229453818629</c:v>
                </c:pt>
                <c:pt idx="16">
                  <c:v>1.7448585072078089</c:v>
                </c:pt>
                <c:pt idx="17">
                  <c:v>2.7515963261383551</c:v>
                </c:pt>
                <c:pt idx="18">
                  <c:v>3.0294730201186377</c:v>
                </c:pt>
                <c:pt idx="19">
                  <c:v>1.0840279704352811</c:v>
                </c:pt>
                <c:pt idx="20">
                  <c:v>3.7518410336967767</c:v>
                </c:pt>
                <c:pt idx="21">
                  <c:v>4.1202609165826694</c:v>
                </c:pt>
                <c:pt idx="22">
                  <c:v>3.76028698995718</c:v>
                </c:pt>
                <c:pt idx="23">
                  <c:v>3.6745015563025047</c:v>
                </c:pt>
                <c:pt idx="24">
                  <c:v>1.4752745888902998</c:v>
                </c:pt>
                <c:pt idx="25">
                  <c:v>2.0687313721093266</c:v>
                </c:pt>
                <c:pt idx="26">
                  <c:v>6.768994836319564E-2</c:v>
                </c:pt>
                <c:pt idx="27">
                  <c:v>-0.12588932224844027</c:v>
                </c:pt>
                <c:pt idx="28">
                  <c:v>2.0723573940323381</c:v>
                </c:pt>
                <c:pt idx="29">
                  <c:v>2.2918535909504953</c:v>
                </c:pt>
                <c:pt idx="30">
                  <c:v>2.851867035544676</c:v>
                </c:pt>
                <c:pt idx="31">
                  <c:v>3.4817265702648825</c:v>
                </c:pt>
                <c:pt idx="32">
                  <c:v>1.5558822166163964</c:v>
                </c:pt>
                <c:pt idx="33">
                  <c:v>0.76217093700796568</c:v>
                </c:pt>
                <c:pt idx="34">
                  <c:v>1.3715966481971551</c:v>
                </c:pt>
              </c:numCache>
            </c:numRef>
          </c:val>
          <c:extLst xmlns:c16r2="http://schemas.microsoft.com/office/drawing/2015/06/chart">
            <c:ext xmlns:c16="http://schemas.microsoft.com/office/drawing/2014/chart" uri="{C3380CC4-5D6E-409C-BE32-E72D297353CC}">
              <c16:uniqueId val="{00000003-B9A9-40D8-A34A-1F4D994627F9}"/>
            </c:ext>
          </c:extLst>
        </c:ser>
        <c:ser>
          <c:idx val="2"/>
          <c:order val="4"/>
          <c:tx>
            <c:strRef>
              <c:f>'Trh práce 3'!$G$8</c:f>
              <c:strCache>
                <c:ptCount val="1"/>
                <c:pt idx="0">
                  <c:v>Průměrná nominál.mzda v odvětví: max.*</c:v>
                </c:pt>
              </c:strCache>
            </c:strRef>
          </c:tx>
          <c:spPr>
            <a:ln>
              <a:noFill/>
            </a:ln>
          </c:spPr>
          <c:marker>
            <c:symbol val="dash"/>
            <c:size val="6"/>
            <c:spPr>
              <a:solidFill>
                <a:srgbClr val="48AEE7"/>
              </a:solidFill>
              <a:ln>
                <a:solidFill>
                  <a:srgbClr val="48AEE7"/>
                </a:solidFill>
              </a:ln>
            </c:spPr>
          </c:marker>
          <c:cat>
            <c:multiLvlStrRef>
              <c:f>'Trh práce 3'!$A$9:$B$43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3'!$G$9:$G$43</c:f>
              <c:numCache>
                <c:formatCode>0.0</c:formatCode>
                <c:ptCount val="35"/>
                <c:pt idx="0">
                  <c:v>7.5413164871115184</c:v>
                </c:pt>
                <c:pt idx="1">
                  <c:v>13.293739728074101</c:v>
                </c:pt>
                <c:pt idx="2">
                  <c:v>7.8019930324880562</c:v>
                </c:pt>
                <c:pt idx="3">
                  <c:v>9.3197810789680364</c:v>
                </c:pt>
                <c:pt idx="4">
                  <c:v>6.5105063727178845</c:v>
                </c:pt>
                <c:pt idx="5">
                  <c:v>5.8652863407075255</c:v>
                </c:pt>
                <c:pt idx="6">
                  <c:v>4.8968853432911743</c:v>
                </c:pt>
                <c:pt idx="7">
                  <c:v>5.8113814598833784</c:v>
                </c:pt>
                <c:pt idx="8">
                  <c:v>6.2310842086523053</c:v>
                </c:pt>
                <c:pt idx="9">
                  <c:v>5.0630810092961545</c:v>
                </c:pt>
                <c:pt idx="10">
                  <c:v>4.3229152523962595</c:v>
                </c:pt>
                <c:pt idx="11" formatCode="General">
                  <c:v>10.8</c:v>
                </c:pt>
                <c:pt idx="12" formatCode="General">
                  <c:v>2.8</c:v>
                </c:pt>
                <c:pt idx="13">
                  <c:v>4.0436408026245934</c:v>
                </c:pt>
                <c:pt idx="14">
                  <c:v>4.459930313588842</c:v>
                </c:pt>
                <c:pt idx="15" formatCode="General">
                  <c:v>4.2</c:v>
                </c:pt>
                <c:pt idx="16" formatCode="General">
                  <c:v>5.7</c:v>
                </c:pt>
                <c:pt idx="17">
                  <c:v>4.1785416758012985</c:v>
                </c:pt>
                <c:pt idx="18">
                  <c:v>3.8621034224331767</c:v>
                </c:pt>
                <c:pt idx="19">
                  <c:v>4.815804274465652</c:v>
                </c:pt>
                <c:pt idx="20">
                  <c:v>4.6398585947856814</c:v>
                </c:pt>
                <c:pt idx="21">
                  <c:v>5.8929213079410765</c:v>
                </c:pt>
                <c:pt idx="22">
                  <c:v>7.2759856630824205</c:v>
                </c:pt>
                <c:pt idx="23">
                  <c:v>7.1166239345852773</c:v>
                </c:pt>
                <c:pt idx="24">
                  <c:v>7.0606074965644723</c:v>
                </c:pt>
                <c:pt idx="25">
                  <c:v>6.6862453232489694</c:v>
                </c:pt>
                <c:pt idx="26">
                  <c:v>6.5027094622759565</c:v>
                </c:pt>
                <c:pt idx="27">
                  <c:v>6.9102462271644072</c:v>
                </c:pt>
                <c:pt idx="28" formatCode="#,##0.0">
                  <c:v>10.498549195462974</c:v>
                </c:pt>
                <c:pt idx="29" formatCode="#,##0.0">
                  <c:v>14.442649434571894</c:v>
                </c:pt>
                <c:pt idx="30" formatCode="#,##0.0">
                  <c:v>9.217523423651425</c:v>
                </c:pt>
                <c:pt idx="31" formatCode="#,##0.0">
                  <c:v>12.963329245618894</c:v>
                </c:pt>
                <c:pt idx="32" formatCode="#,##0.0">
                  <c:v>13.31227051490052</c:v>
                </c:pt>
                <c:pt idx="33" formatCode="#,##0.0">
                  <c:v>13.159480853457758</c:v>
                </c:pt>
                <c:pt idx="34" formatCode="#,##0.0">
                  <c:v>13.226972363184998</c:v>
                </c:pt>
              </c:numCache>
            </c:numRef>
          </c:val>
          <c:extLst xmlns:c16r2="http://schemas.microsoft.com/office/drawing/2015/06/chart">
            <c:ext xmlns:c16="http://schemas.microsoft.com/office/drawing/2014/chart" uri="{C3380CC4-5D6E-409C-BE32-E72D297353CC}">
              <c16:uniqueId val="{00000004-B9A9-40D8-A34A-1F4D994627F9}"/>
            </c:ext>
          </c:extLst>
        </c:ser>
        <c:ser>
          <c:idx val="3"/>
          <c:order val="5"/>
          <c:tx>
            <c:strRef>
              <c:f>'Trh práce 3'!$H$8</c:f>
              <c:strCache>
                <c:ptCount val="1"/>
                <c:pt idx="0">
                  <c:v>Průměrná nominál.mzda v odvětví: min.*</c:v>
                </c:pt>
              </c:strCache>
            </c:strRef>
          </c:tx>
          <c:spPr>
            <a:ln>
              <a:noFill/>
            </a:ln>
          </c:spPr>
          <c:marker>
            <c:symbol val="dash"/>
            <c:size val="6"/>
            <c:spPr>
              <a:solidFill>
                <a:srgbClr val="0071BC"/>
              </a:solidFill>
              <a:ln>
                <a:solidFill>
                  <a:srgbClr val="0071BC"/>
                </a:solidFill>
              </a:ln>
            </c:spPr>
          </c:marker>
          <c:cat>
            <c:multiLvlStrRef>
              <c:f>'Trh práce 3'!$A$9:$B$43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3'!$H$9:$H$43</c:f>
              <c:numCache>
                <c:formatCode>0.0</c:formatCode>
                <c:ptCount val="35"/>
                <c:pt idx="0">
                  <c:v>-8.6123799023468131</c:v>
                </c:pt>
                <c:pt idx="1">
                  <c:v>-0.94530353532593359</c:v>
                </c:pt>
                <c:pt idx="2">
                  <c:v>-2.2820133878118742</c:v>
                </c:pt>
                <c:pt idx="3">
                  <c:v>-5.8817017822221178</c:v>
                </c:pt>
                <c:pt idx="4">
                  <c:v>-4.1645837338973255</c:v>
                </c:pt>
                <c:pt idx="5">
                  <c:v>-3.1317980646613202</c:v>
                </c:pt>
                <c:pt idx="6">
                  <c:v>-1.7721281192272755</c:v>
                </c:pt>
                <c:pt idx="7">
                  <c:v>-3.6904591617794287</c:v>
                </c:pt>
                <c:pt idx="8">
                  <c:v>0.77949953870195543</c:v>
                </c:pt>
                <c:pt idx="9">
                  <c:v>-2.0921058463720641</c:v>
                </c:pt>
                <c:pt idx="10">
                  <c:v>-2.1834061135371172</c:v>
                </c:pt>
                <c:pt idx="11" formatCode="General">
                  <c:v>-1.5</c:v>
                </c:pt>
                <c:pt idx="12" formatCode="General">
                  <c:v>-3.6</c:v>
                </c:pt>
                <c:pt idx="13">
                  <c:v>-7.4553296364756525</c:v>
                </c:pt>
                <c:pt idx="14">
                  <c:v>-1.5668645251396638</c:v>
                </c:pt>
                <c:pt idx="15" formatCode="General">
                  <c:v>-6.5</c:v>
                </c:pt>
                <c:pt idx="16" formatCode="General">
                  <c:v>1.9000000000000001</c:v>
                </c:pt>
                <c:pt idx="17">
                  <c:v>0.53674544020756865</c:v>
                </c:pt>
                <c:pt idx="18">
                  <c:v>-1.9081035923141199</c:v>
                </c:pt>
                <c:pt idx="19">
                  <c:v>-4.7124364184406744</c:v>
                </c:pt>
                <c:pt idx="20">
                  <c:v>-1.8071028211270601</c:v>
                </c:pt>
                <c:pt idx="21">
                  <c:v>-2.418905925813458</c:v>
                </c:pt>
                <c:pt idx="22">
                  <c:v>-1.5012815818381569</c:v>
                </c:pt>
                <c:pt idx="23">
                  <c:v>-0.5914446838751104</c:v>
                </c:pt>
                <c:pt idx="24">
                  <c:v>0.8466988477110009</c:v>
                </c:pt>
                <c:pt idx="25">
                  <c:v>1.0530408579852946</c:v>
                </c:pt>
                <c:pt idx="26">
                  <c:v>-0.26422697096807007</c:v>
                </c:pt>
                <c:pt idx="27">
                  <c:v>-4.8610348236844745</c:v>
                </c:pt>
                <c:pt idx="28" formatCode="#,##0.0">
                  <c:v>-0.92197650764485672</c:v>
                </c:pt>
                <c:pt idx="29" formatCode="#,##0.0">
                  <c:v>3.0504326544882328</c:v>
                </c:pt>
                <c:pt idx="30" formatCode="#,##0.0">
                  <c:v>2.6351878810895215</c:v>
                </c:pt>
                <c:pt idx="31" formatCode="#,##0.0">
                  <c:v>4.1497727829329181</c:v>
                </c:pt>
                <c:pt idx="32" formatCode="#,##0.0">
                  <c:v>3.3704918032786777</c:v>
                </c:pt>
                <c:pt idx="33" formatCode="#,##0.0">
                  <c:v>6.1048786851030599</c:v>
                </c:pt>
                <c:pt idx="34" formatCode="#,##0.0">
                  <c:v>5.6756978991078464</c:v>
                </c:pt>
              </c:numCache>
            </c:numRef>
          </c:val>
          <c:extLst xmlns:c16r2="http://schemas.microsoft.com/office/drawing/2015/06/chart">
            <c:ext xmlns:c16="http://schemas.microsoft.com/office/drawing/2014/chart" uri="{C3380CC4-5D6E-409C-BE32-E72D297353CC}">
              <c16:uniqueId val="{00000005-B9A9-40D8-A34A-1F4D994627F9}"/>
            </c:ext>
          </c:extLst>
        </c:ser>
        <c:marker val="1"/>
        <c:axId val="103161216"/>
        <c:axId val="103171584"/>
      </c:lineChart>
      <c:catAx>
        <c:axId val="103161216"/>
        <c:scaling>
          <c:orientation val="minMax"/>
        </c:scaling>
        <c:axPos val="b"/>
        <c:numFmt formatCode="General" sourceLinked="1"/>
        <c:tickLblPos val="low"/>
        <c:spPr>
          <a:ln>
            <a:solidFill>
              <a:schemeClr val="tx1"/>
            </a:solidFill>
          </a:ln>
        </c:spPr>
        <c:txPr>
          <a:bodyPr rot="0" vert="horz"/>
          <a:lstStyle/>
          <a:p>
            <a:pPr>
              <a:defRPr/>
            </a:pPr>
            <a:endParaRPr lang="cs-CZ"/>
          </a:p>
        </c:txPr>
        <c:crossAx val="103171584"/>
        <c:crosses val="autoZero"/>
        <c:auto val="1"/>
        <c:lblAlgn val="ctr"/>
        <c:lblOffset val="0"/>
        <c:tickMarkSkip val="4"/>
      </c:catAx>
      <c:valAx>
        <c:axId val="103171584"/>
        <c:scaling>
          <c:orientation val="minMax"/>
          <c:max val="15"/>
          <c:min val="-9"/>
        </c:scaling>
        <c:axPos val="l"/>
        <c:majorGridlines>
          <c:spPr>
            <a:ln>
              <a:solidFill>
                <a:schemeClr val="bg1">
                  <a:lumMod val="75000"/>
                </a:schemeClr>
              </a:solidFill>
            </a:ln>
          </c:spPr>
        </c:majorGridlines>
        <c:numFmt formatCode="0" sourceLinked="0"/>
        <c:tickLblPos val="nextTo"/>
        <c:spPr>
          <a:ln>
            <a:solidFill>
              <a:schemeClr val="tx1"/>
            </a:solidFill>
          </a:ln>
        </c:spPr>
        <c:crossAx val="103161216"/>
        <c:crosses val="autoZero"/>
        <c:crossBetween val="between"/>
        <c:majorUnit val="1"/>
      </c:valAx>
      <c:spPr>
        <a:ln>
          <a:solidFill>
            <a:schemeClr val="tx1"/>
          </a:solidFill>
        </a:ln>
      </c:spPr>
    </c:plotArea>
    <c:legend>
      <c:legendPos val="b"/>
      <c:layout>
        <c:manualLayout>
          <c:xMode val="edge"/>
          <c:yMode val="edge"/>
          <c:x val="4.4672385016341923E-2"/>
          <c:y val="0.88298129251700685"/>
          <c:w val="0.94307265361592563"/>
          <c:h val="0.10621938775510203"/>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4557159743329959E-2"/>
          <c:y val="2.1711264016310006E-2"/>
          <c:w val="0.93757303275920301"/>
          <c:h val="0.73130361364405339"/>
        </c:manualLayout>
      </c:layout>
      <c:barChart>
        <c:barDir val="col"/>
        <c:grouping val="clustered"/>
        <c:ser>
          <c:idx val="0"/>
          <c:order val="0"/>
          <c:tx>
            <c:strRef>
              <c:f>'Měnové podmínky 1'!$C$5</c:f>
              <c:strCache>
                <c:ptCount val="1"/>
                <c:pt idx="0">
                  <c:v>2T repo sazba</c:v>
                </c:pt>
              </c:strCache>
            </c:strRef>
          </c:tx>
          <c:spPr>
            <a:solidFill>
              <a:schemeClr val="bg1">
                <a:lumMod val="65000"/>
              </a:schemeClr>
            </a:solidFill>
          </c:spPr>
          <c:cat>
            <c:multiLvlStrRef>
              <c:f>'Měnové podmínky 1'!$A$30:$B$86</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2014</c:v>
                  </c:pt>
                  <c:pt idx="12">
                    <c:v>2015</c:v>
                  </c:pt>
                  <c:pt idx="24">
                    <c:v>2016</c:v>
                  </c:pt>
                  <c:pt idx="36">
                    <c:v>2017</c:v>
                  </c:pt>
                  <c:pt idx="48">
                    <c:v>2018</c:v>
                  </c:pt>
                </c:lvl>
              </c:multiLvlStrCache>
            </c:multiLvlStrRef>
          </c:cat>
          <c:val>
            <c:numRef>
              <c:f>'Měnové podmínky 1'!$C$30:$C$86</c:f>
              <c:numCache>
                <c:formatCode>0.00</c:formatCode>
                <c:ptCount val="57"/>
                <c:pt idx="0">
                  <c:v>5.0000000000000093E-2</c:v>
                </c:pt>
                <c:pt idx="1">
                  <c:v>5.0000000000000093E-2</c:v>
                </c:pt>
                <c:pt idx="2">
                  <c:v>5.0000000000000093E-2</c:v>
                </c:pt>
                <c:pt idx="3">
                  <c:v>5.0000000000000093E-2</c:v>
                </c:pt>
                <c:pt idx="4">
                  <c:v>5.0000000000000093E-2</c:v>
                </c:pt>
                <c:pt idx="5">
                  <c:v>5.0000000000000093E-2</c:v>
                </c:pt>
                <c:pt idx="6">
                  <c:v>5.0000000000000093E-2</c:v>
                </c:pt>
                <c:pt idx="7">
                  <c:v>5.0000000000000093E-2</c:v>
                </c:pt>
                <c:pt idx="8">
                  <c:v>5.0000000000000093E-2</c:v>
                </c:pt>
                <c:pt idx="9">
                  <c:v>5.0000000000000093E-2</c:v>
                </c:pt>
                <c:pt idx="10">
                  <c:v>5.0000000000000093E-2</c:v>
                </c:pt>
                <c:pt idx="11">
                  <c:v>5.0000000000000093E-2</c:v>
                </c:pt>
                <c:pt idx="12">
                  <c:v>5.0000000000000093E-2</c:v>
                </c:pt>
                <c:pt idx="13">
                  <c:v>5.0000000000000093E-2</c:v>
                </c:pt>
                <c:pt idx="14">
                  <c:v>5.0000000000000093E-2</c:v>
                </c:pt>
                <c:pt idx="15">
                  <c:v>5.0000000000000093E-2</c:v>
                </c:pt>
                <c:pt idx="16">
                  <c:v>5.0000000000000093E-2</c:v>
                </c:pt>
                <c:pt idx="17">
                  <c:v>5.0000000000000093E-2</c:v>
                </c:pt>
                <c:pt idx="18">
                  <c:v>5.0000000000000093E-2</c:v>
                </c:pt>
                <c:pt idx="19">
                  <c:v>5.0000000000000093E-2</c:v>
                </c:pt>
                <c:pt idx="20">
                  <c:v>5.0000000000000093E-2</c:v>
                </c:pt>
                <c:pt idx="21">
                  <c:v>5.0000000000000093E-2</c:v>
                </c:pt>
                <c:pt idx="22">
                  <c:v>5.0000000000000093E-2</c:v>
                </c:pt>
                <c:pt idx="23">
                  <c:v>5.0000000000000093E-2</c:v>
                </c:pt>
                <c:pt idx="24" formatCode="General">
                  <c:v>5.0000000000000093E-2</c:v>
                </c:pt>
                <c:pt idx="25" formatCode="General">
                  <c:v>5.0000000000000093E-2</c:v>
                </c:pt>
                <c:pt idx="26" formatCode="General">
                  <c:v>5.0000000000000093E-2</c:v>
                </c:pt>
                <c:pt idx="27" formatCode="General">
                  <c:v>5.0000000000000093E-2</c:v>
                </c:pt>
                <c:pt idx="28" formatCode="General">
                  <c:v>5.0000000000000093E-2</c:v>
                </c:pt>
                <c:pt idx="29" formatCode="General">
                  <c:v>5.0000000000000093E-2</c:v>
                </c:pt>
                <c:pt idx="30" formatCode="General">
                  <c:v>5.0000000000000093E-2</c:v>
                </c:pt>
                <c:pt idx="31" formatCode="General">
                  <c:v>5.0000000000000093E-2</c:v>
                </c:pt>
                <c:pt idx="32" formatCode="General">
                  <c:v>5.0000000000000093E-2</c:v>
                </c:pt>
                <c:pt idx="33" formatCode="General">
                  <c:v>5.0000000000000093E-2</c:v>
                </c:pt>
                <c:pt idx="34" formatCode="General">
                  <c:v>5.0000000000000093E-2</c:v>
                </c:pt>
                <c:pt idx="35" formatCode="General">
                  <c:v>5.0000000000000093E-2</c:v>
                </c:pt>
                <c:pt idx="36" formatCode="General">
                  <c:v>5.0000000000000093E-2</c:v>
                </c:pt>
                <c:pt idx="37" formatCode="General">
                  <c:v>5.0000000000000093E-2</c:v>
                </c:pt>
                <c:pt idx="38" formatCode="General">
                  <c:v>5.0000000000000093E-2</c:v>
                </c:pt>
                <c:pt idx="39" formatCode="General">
                  <c:v>5.0000000000000093E-2</c:v>
                </c:pt>
                <c:pt idx="40" formatCode="General">
                  <c:v>5.0000000000000093E-2</c:v>
                </c:pt>
                <c:pt idx="41" formatCode="General">
                  <c:v>5.0000000000000093E-2</c:v>
                </c:pt>
                <c:pt idx="42" formatCode="General">
                  <c:v>5.0000000000000093E-2</c:v>
                </c:pt>
                <c:pt idx="43" formatCode="General">
                  <c:v>0.25</c:v>
                </c:pt>
                <c:pt idx="44" formatCode="General">
                  <c:v>0.25</c:v>
                </c:pt>
                <c:pt idx="45" formatCode="General">
                  <c:v>0.25</c:v>
                </c:pt>
                <c:pt idx="46" formatCode="General">
                  <c:v>0.5</c:v>
                </c:pt>
                <c:pt idx="47" formatCode="General">
                  <c:v>0.5</c:v>
                </c:pt>
                <c:pt idx="48" formatCode="General">
                  <c:v>0.5</c:v>
                </c:pt>
                <c:pt idx="49" formatCode="General">
                  <c:v>0.75000000000000389</c:v>
                </c:pt>
                <c:pt idx="50" formatCode="General">
                  <c:v>0.75000000000000389</c:v>
                </c:pt>
                <c:pt idx="51" formatCode="General">
                  <c:v>0.75000000000000389</c:v>
                </c:pt>
                <c:pt idx="52" formatCode="General">
                  <c:v>0.75000000000000389</c:v>
                </c:pt>
                <c:pt idx="53" formatCode="General">
                  <c:v>1</c:v>
                </c:pt>
                <c:pt idx="54" formatCode="General">
                  <c:v>1</c:v>
                </c:pt>
                <c:pt idx="55" formatCode="General">
                  <c:v>1.25</c:v>
                </c:pt>
                <c:pt idx="56" formatCode="General">
                  <c:v>1.5</c:v>
                </c:pt>
              </c:numCache>
            </c:numRef>
          </c:val>
          <c:extLst xmlns:c16r2="http://schemas.microsoft.com/office/drawing/2015/06/chart">
            <c:ext xmlns:c16="http://schemas.microsoft.com/office/drawing/2014/chart" uri="{C3380CC4-5D6E-409C-BE32-E72D297353CC}">
              <c16:uniqueId val="{00000000-A792-46C6-8BF0-3AA34E9A41C2}"/>
            </c:ext>
          </c:extLst>
        </c:ser>
        <c:gapWidth val="31"/>
        <c:axId val="103288192"/>
        <c:axId val="103298176"/>
      </c:barChart>
      <c:lineChart>
        <c:grouping val="standard"/>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1'!$A$30:$B$86</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2014</c:v>
                  </c:pt>
                  <c:pt idx="12">
                    <c:v>2015</c:v>
                  </c:pt>
                  <c:pt idx="24">
                    <c:v>2016</c:v>
                  </c:pt>
                  <c:pt idx="36">
                    <c:v>2017</c:v>
                  </c:pt>
                  <c:pt idx="48">
                    <c:v>2018</c:v>
                  </c:pt>
                </c:lvl>
              </c:multiLvlStrCache>
            </c:multiLvlStrRef>
          </c:cat>
          <c:val>
            <c:numRef>
              <c:f>'Měnové podmínky 1'!$F$30:$F$86</c:f>
              <c:numCache>
                <c:formatCode>General</c:formatCode>
                <c:ptCount val="57"/>
                <c:pt idx="0">
                  <c:v>0.23</c:v>
                </c:pt>
                <c:pt idx="1">
                  <c:v>0.28000000000000008</c:v>
                </c:pt>
                <c:pt idx="2">
                  <c:v>0.26</c:v>
                </c:pt>
                <c:pt idx="3">
                  <c:v>0.23</c:v>
                </c:pt>
                <c:pt idx="4">
                  <c:v>0.21000000000000021</c:v>
                </c:pt>
                <c:pt idx="5">
                  <c:v>0.24000000000000021</c:v>
                </c:pt>
                <c:pt idx="6">
                  <c:v>0.23</c:v>
                </c:pt>
                <c:pt idx="7">
                  <c:v>0.18000000000000024</c:v>
                </c:pt>
                <c:pt idx="8">
                  <c:v>0.14000000000000001</c:v>
                </c:pt>
                <c:pt idx="9">
                  <c:v>0.1</c:v>
                </c:pt>
                <c:pt idx="10">
                  <c:v>0.12000000000000002</c:v>
                </c:pt>
                <c:pt idx="11">
                  <c:v>0.13</c:v>
                </c:pt>
                <c:pt idx="12">
                  <c:v>9.0000000000000066E-2</c:v>
                </c:pt>
                <c:pt idx="13">
                  <c:v>6.0000000000000102E-2</c:v>
                </c:pt>
                <c:pt idx="14">
                  <c:v>4.0000000000000063E-2</c:v>
                </c:pt>
                <c:pt idx="15">
                  <c:v>-3.0000000000000051E-2</c:v>
                </c:pt>
                <c:pt idx="16">
                  <c:v>4.0000000000000063E-2</c:v>
                </c:pt>
                <c:pt idx="17">
                  <c:v>0.11000000000000004</c:v>
                </c:pt>
                <c:pt idx="18">
                  <c:v>2.0000000000000032E-2</c:v>
                </c:pt>
                <c:pt idx="19">
                  <c:v>-7.0000000000000034E-2</c:v>
                </c:pt>
                <c:pt idx="20">
                  <c:v>-0.30000000000000032</c:v>
                </c:pt>
                <c:pt idx="21">
                  <c:v>-0.28000000000000008</c:v>
                </c:pt>
                <c:pt idx="22">
                  <c:v>-0.3300000000000024</c:v>
                </c:pt>
                <c:pt idx="23">
                  <c:v>-0.38000000000000211</c:v>
                </c:pt>
                <c:pt idx="24">
                  <c:v>-0.21000000000000021</c:v>
                </c:pt>
                <c:pt idx="25">
                  <c:v>-0.18000000000000024</c:v>
                </c:pt>
                <c:pt idx="26">
                  <c:v>-0.17</c:v>
                </c:pt>
                <c:pt idx="27">
                  <c:v>-8.0000000000000127E-2</c:v>
                </c:pt>
                <c:pt idx="28">
                  <c:v>-4.0000000000000063E-2</c:v>
                </c:pt>
                <c:pt idx="29">
                  <c:v>-5.0000000000000093E-2</c:v>
                </c:pt>
                <c:pt idx="30">
                  <c:v>-0.13</c:v>
                </c:pt>
                <c:pt idx="31">
                  <c:v>-0.22000000000000008</c:v>
                </c:pt>
                <c:pt idx="32">
                  <c:v>-0.5</c:v>
                </c:pt>
                <c:pt idx="33">
                  <c:v>-0.74000000000000365</c:v>
                </c:pt>
                <c:pt idx="34">
                  <c:v>-0.73000000000000065</c:v>
                </c:pt>
                <c:pt idx="35">
                  <c:v>-0.81</c:v>
                </c:pt>
                <c:pt idx="36">
                  <c:v>-0.88000000000000034</c:v>
                </c:pt>
                <c:pt idx="37">
                  <c:v>-0.53</c:v>
                </c:pt>
                <c:pt idx="38">
                  <c:v>-0.44000000000000017</c:v>
                </c:pt>
                <c:pt idx="39">
                  <c:v>-0.23</c:v>
                </c:pt>
                <c:pt idx="40">
                  <c:v>-0.24000000000000021</c:v>
                </c:pt>
                <c:pt idx="41">
                  <c:v>-0.25</c:v>
                </c:pt>
                <c:pt idx="42">
                  <c:v>-0.29000000000000031</c:v>
                </c:pt>
                <c:pt idx="43">
                  <c:v>-0.3300000000000024</c:v>
                </c:pt>
                <c:pt idx="44">
                  <c:v>-0.29000000000000031</c:v>
                </c:pt>
                <c:pt idx="45">
                  <c:v>0.12000000000000002</c:v>
                </c:pt>
                <c:pt idx="46">
                  <c:v>0.31000000000000189</c:v>
                </c:pt>
                <c:pt idx="47">
                  <c:v>0.19000000000000009</c:v>
                </c:pt>
                <c:pt idx="48">
                  <c:v>0.46</c:v>
                </c:pt>
                <c:pt idx="49">
                  <c:v>0.55000000000000004</c:v>
                </c:pt>
                <c:pt idx="50">
                  <c:v>0.62000000000000377</c:v>
                </c:pt>
                <c:pt idx="51">
                  <c:v>0.60000000000000064</c:v>
                </c:pt>
                <c:pt idx="52">
                  <c:v>0.70000000000000062</c:v>
                </c:pt>
                <c:pt idx="53">
                  <c:v>0.89000000000000035</c:v>
                </c:pt>
                <c:pt idx="54">
                  <c:v>1.0900000000000001</c:v>
                </c:pt>
                <c:pt idx="55">
                  <c:v>1.26</c:v>
                </c:pt>
                <c:pt idx="56">
                  <c:v>1.34</c:v>
                </c:pt>
              </c:numCache>
            </c:numRef>
          </c:val>
          <c:extLst xmlns:c16r2="http://schemas.microsoft.com/office/drawing/2015/06/chart">
            <c:ext xmlns:c16="http://schemas.microsoft.com/office/drawing/2014/chart" uri="{C3380CC4-5D6E-409C-BE32-E72D297353CC}">
              <c16:uniqueId val="{00000001-A792-46C6-8BF0-3AA34E9A41C2}"/>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1'!$A$30:$B$86</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2014</c:v>
                  </c:pt>
                  <c:pt idx="12">
                    <c:v>2015</c:v>
                  </c:pt>
                  <c:pt idx="24">
                    <c:v>2016</c:v>
                  </c:pt>
                  <c:pt idx="36">
                    <c:v>2017</c:v>
                  </c:pt>
                  <c:pt idx="48">
                    <c:v>2018</c:v>
                  </c:pt>
                </c:lvl>
              </c:multiLvlStrCache>
            </c:multiLvlStrRef>
          </c:cat>
          <c:val>
            <c:numRef>
              <c:f>'Měnové podmínky 1'!$D$30:$D$86</c:f>
              <c:numCache>
                <c:formatCode>General</c:formatCode>
                <c:ptCount val="57"/>
                <c:pt idx="0">
                  <c:v>0.37000000000000038</c:v>
                </c:pt>
                <c:pt idx="1">
                  <c:v>0.37000000000000038</c:v>
                </c:pt>
                <c:pt idx="2">
                  <c:v>0.37000000000000038</c:v>
                </c:pt>
                <c:pt idx="3">
                  <c:v>0.37000000000000038</c:v>
                </c:pt>
                <c:pt idx="4">
                  <c:v>0.37000000000000038</c:v>
                </c:pt>
                <c:pt idx="5">
                  <c:v>0.35000000000000031</c:v>
                </c:pt>
                <c:pt idx="6">
                  <c:v>0.35000000000000031</c:v>
                </c:pt>
                <c:pt idx="7">
                  <c:v>0.35000000000000031</c:v>
                </c:pt>
                <c:pt idx="8">
                  <c:v>0.35000000000000031</c:v>
                </c:pt>
                <c:pt idx="9">
                  <c:v>0.35000000000000031</c:v>
                </c:pt>
                <c:pt idx="10">
                  <c:v>0.3400000000000003</c:v>
                </c:pt>
                <c:pt idx="11">
                  <c:v>0.3400000000000003</c:v>
                </c:pt>
                <c:pt idx="12">
                  <c:v>0.3300000000000024</c:v>
                </c:pt>
                <c:pt idx="13">
                  <c:v>0.3300000000000024</c:v>
                </c:pt>
                <c:pt idx="14">
                  <c:v>0.32000000000000212</c:v>
                </c:pt>
                <c:pt idx="15">
                  <c:v>0.31000000000000189</c:v>
                </c:pt>
                <c:pt idx="16">
                  <c:v>0.31000000000000189</c:v>
                </c:pt>
                <c:pt idx="17">
                  <c:v>0.31000000000000189</c:v>
                </c:pt>
                <c:pt idx="18">
                  <c:v>0.31000000000000189</c:v>
                </c:pt>
                <c:pt idx="19">
                  <c:v>0.31000000000000189</c:v>
                </c:pt>
                <c:pt idx="20">
                  <c:v>0.30000000000000032</c:v>
                </c:pt>
                <c:pt idx="21">
                  <c:v>0.29000000000000031</c:v>
                </c:pt>
                <c:pt idx="22">
                  <c:v>0.29000000000000031</c:v>
                </c:pt>
                <c:pt idx="23">
                  <c:v>0.29000000000000031</c:v>
                </c:pt>
                <c:pt idx="24">
                  <c:v>0.29000000000000031</c:v>
                </c:pt>
                <c:pt idx="25">
                  <c:v>0.28000000000000008</c:v>
                </c:pt>
                <c:pt idx="26">
                  <c:v>0.29000000000000031</c:v>
                </c:pt>
                <c:pt idx="27">
                  <c:v>0.29000000000000031</c:v>
                </c:pt>
                <c:pt idx="28">
                  <c:v>0.29000000000000031</c:v>
                </c:pt>
                <c:pt idx="29">
                  <c:v>0.29000000000000031</c:v>
                </c:pt>
                <c:pt idx="30">
                  <c:v>0.29000000000000031</c:v>
                </c:pt>
                <c:pt idx="31">
                  <c:v>0.29000000000000031</c:v>
                </c:pt>
                <c:pt idx="32">
                  <c:v>0.29000000000000031</c:v>
                </c:pt>
                <c:pt idx="33">
                  <c:v>0.29000000000000031</c:v>
                </c:pt>
                <c:pt idx="34">
                  <c:v>0.29000000000000031</c:v>
                </c:pt>
                <c:pt idx="35">
                  <c:v>0.29000000000000031</c:v>
                </c:pt>
                <c:pt idx="36">
                  <c:v>0.28000000000000008</c:v>
                </c:pt>
                <c:pt idx="37">
                  <c:v>0.28000000000000008</c:v>
                </c:pt>
                <c:pt idx="38">
                  <c:v>0.28000000000000008</c:v>
                </c:pt>
                <c:pt idx="39">
                  <c:v>0.29000000000000031</c:v>
                </c:pt>
                <c:pt idx="40">
                  <c:v>0.30000000000000032</c:v>
                </c:pt>
                <c:pt idx="41">
                  <c:v>0.30000000000000032</c:v>
                </c:pt>
                <c:pt idx="42">
                  <c:v>0.30000000000000032</c:v>
                </c:pt>
                <c:pt idx="43">
                  <c:v>0.43000000000000038</c:v>
                </c:pt>
                <c:pt idx="44">
                  <c:v>0.46</c:v>
                </c:pt>
                <c:pt idx="45">
                  <c:v>0.51</c:v>
                </c:pt>
                <c:pt idx="46">
                  <c:v>0.71000000000000063</c:v>
                </c:pt>
                <c:pt idx="47">
                  <c:v>0.75000000000000389</c:v>
                </c:pt>
                <c:pt idx="48">
                  <c:v>0.7700000000000039</c:v>
                </c:pt>
                <c:pt idx="49">
                  <c:v>0.9</c:v>
                </c:pt>
                <c:pt idx="50">
                  <c:v>0.9</c:v>
                </c:pt>
                <c:pt idx="51">
                  <c:v>0.9</c:v>
                </c:pt>
                <c:pt idx="52">
                  <c:v>0.9</c:v>
                </c:pt>
                <c:pt idx="53">
                  <c:v>0.93</c:v>
                </c:pt>
                <c:pt idx="54">
                  <c:v>1.1800000000000075</c:v>
                </c:pt>
                <c:pt idx="55">
                  <c:v>1.45</c:v>
                </c:pt>
                <c:pt idx="56">
                  <c:v>1.54</c:v>
                </c:pt>
              </c:numCache>
            </c:numRef>
          </c:val>
          <c:extLst xmlns:c16r2="http://schemas.microsoft.com/office/drawing/2015/06/chart">
            <c:ext xmlns:c16="http://schemas.microsoft.com/office/drawing/2014/chart" uri="{C3380CC4-5D6E-409C-BE32-E72D297353CC}">
              <c16:uniqueId val="{00000002-A792-46C6-8BF0-3AA34E9A41C2}"/>
            </c:ext>
          </c:extLst>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1'!$A$30:$B$86</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2014</c:v>
                  </c:pt>
                  <c:pt idx="12">
                    <c:v>2015</c:v>
                  </c:pt>
                  <c:pt idx="24">
                    <c:v>2016</c:v>
                  </c:pt>
                  <c:pt idx="36">
                    <c:v>2017</c:v>
                  </c:pt>
                  <c:pt idx="48">
                    <c:v>2018</c:v>
                  </c:pt>
                </c:lvl>
              </c:multiLvlStrCache>
            </c:multiLvlStrRef>
          </c:cat>
          <c:val>
            <c:numRef>
              <c:f>'Měnové podmínky 1'!$G$30:$G$86</c:f>
              <c:numCache>
                <c:formatCode>General</c:formatCode>
                <c:ptCount val="57"/>
                <c:pt idx="0">
                  <c:v>1.0900000000000001</c:v>
                </c:pt>
                <c:pt idx="1">
                  <c:v>1.2</c:v>
                </c:pt>
                <c:pt idx="2">
                  <c:v>1.1399999999999915</c:v>
                </c:pt>
                <c:pt idx="3">
                  <c:v>0.99</c:v>
                </c:pt>
                <c:pt idx="4">
                  <c:v>0.8</c:v>
                </c:pt>
                <c:pt idx="5">
                  <c:v>0.68000000000000071</c:v>
                </c:pt>
                <c:pt idx="6">
                  <c:v>0.65000000000000435</c:v>
                </c:pt>
                <c:pt idx="7">
                  <c:v>0.62000000000000377</c:v>
                </c:pt>
                <c:pt idx="8">
                  <c:v>0.51</c:v>
                </c:pt>
                <c:pt idx="9">
                  <c:v>0.37000000000000038</c:v>
                </c:pt>
                <c:pt idx="10">
                  <c:v>0.24000000000000021</c:v>
                </c:pt>
                <c:pt idx="11">
                  <c:v>0.22000000000000008</c:v>
                </c:pt>
                <c:pt idx="12">
                  <c:v>0.13</c:v>
                </c:pt>
                <c:pt idx="13">
                  <c:v>0.17</c:v>
                </c:pt>
                <c:pt idx="14">
                  <c:v>0.14000000000000001</c:v>
                </c:pt>
                <c:pt idx="15">
                  <c:v>5.0000000000000093E-2</c:v>
                </c:pt>
                <c:pt idx="16">
                  <c:v>0.22000000000000008</c:v>
                </c:pt>
                <c:pt idx="17">
                  <c:v>0.43000000000000038</c:v>
                </c:pt>
                <c:pt idx="18">
                  <c:v>0.35000000000000031</c:v>
                </c:pt>
                <c:pt idx="19">
                  <c:v>0.2</c:v>
                </c:pt>
                <c:pt idx="20">
                  <c:v>6.0000000000000102E-2</c:v>
                </c:pt>
                <c:pt idx="21">
                  <c:v>-5.0000000000000093E-2</c:v>
                </c:pt>
                <c:pt idx="22">
                  <c:v>-5.0000000000000093E-2</c:v>
                </c:pt>
                <c:pt idx="23">
                  <c:v>-0.11000000000000004</c:v>
                </c:pt>
                <c:pt idx="24">
                  <c:v>4.0000000000000063E-2</c:v>
                </c:pt>
                <c:pt idx="25">
                  <c:v>-8.0000000000000127E-2</c:v>
                </c:pt>
                <c:pt idx="26">
                  <c:v>-0.1</c:v>
                </c:pt>
                <c:pt idx="27">
                  <c:v>4.0000000000000063E-2</c:v>
                </c:pt>
                <c:pt idx="28">
                  <c:v>7.0000000000000034E-2</c:v>
                </c:pt>
                <c:pt idx="29">
                  <c:v>5.0000000000000093E-2</c:v>
                </c:pt>
                <c:pt idx="30">
                  <c:v>-2.0000000000000032E-2</c:v>
                </c:pt>
                <c:pt idx="31">
                  <c:v>-9.0000000000000066E-2</c:v>
                </c:pt>
                <c:pt idx="32">
                  <c:v>-0.19000000000000009</c:v>
                </c:pt>
                <c:pt idx="33">
                  <c:v>-0.17</c:v>
                </c:pt>
                <c:pt idx="34">
                  <c:v>-0.17</c:v>
                </c:pt>
                <c:pt idx="35">
                  <c:v>-0.21000000000000021</c:v>
                </c:pt>
                <c:pt idx="36">
                  <c:v>-0.22000000000000008</c:v>
                </c:pt>
                <c:pt idx="37">
                  <c:v>9.0000000000000066E-2</c:v>
                </c:pt>
                <c:pt idx="38">
                  <c:v>0.1</c:v>
                </c:pt>
                <c:pt idx="39">
                  <c:v>0.16000000000000009</c:v>
                </c:pt>
                <c:pt idx="40">
                  <c:v>4.0000000000000063E-2</c:v>
                </c:pt>
                <c:pt idx="41">
                  <c:v>-3.0000000000000051E-2</c:v>
                </c:pt>
                <c:pt idx="42">
                  <c:v>0.14000000000000001</c:v>
                </c:pt>
                <c:pt idx="43">
                  <c:v>9.0000000000000066E-2</c:v>
                </c:pt>
                <c:pt idx="44">
                  <c:v>0.1</c:v>
                </c:pt>
                <c:pt idx="45">
                  <c:v>0.63000000000000422</c:v>
                </c:pt>
                <c:pt idx="46">
                  <c:v>0.87000000000000377</c:v>
                </c:pt>
                <c:pt idx="47">
                  <c:v>0.68000000000000071</c:v>
                </c:pt>
                <c:pt idx="48">
                  <c:v>0.99</c:v>
                </c:pt>
                <c:pt idx="49">
                  <c:v>1.07</c:v>
                </c:pt>
                <c:pt idx="50">
                  <c:v>1.0900000000000001</c:v>
                </c:pt>
                <c:pt idx="51">
                  <c:v>1.05</c:v>
                </c:pt>
                <c:pt idx="52">
                  <c:v>1.21</c:v>
                </c:pt>
                <c:pt idx="53">
                  <c:v>1.41</c:v>
                </c:pt>
                <c:pt idx="54">
                  <c:v>1.44</c:v>
                </c:pt>
                <c:pt idx="55">
                  <c:v>1.55</c:v>
                </c:pt>
                <c:pt idx="56">
                  <c:v>1.7000000000000006</c:v>
                </c:pt>
              </c:numCache>
            </c:numRef>
          </c:val>
          <c:extLst xmlns:c16r2="http://schemas.microsoft.com/office/drawing/2015/06/chart">
            <c:ext xmlns:c16="http://schemas.microsoft.com/office/drawing/2014/chart" uri="{C3380CC4-5D6E-409C-BE32-E72D297353CC}">
              <c16:uniqueId val="{00000003-A792-46C6-8BF0-3AA34E9A41C2}"/>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1'!$A$30:$B$86</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2014</c:v>
                  </c:pt>
                  <c:pt idx="12">
                    <c:v>2015</c:v>
                  </c:pt>
                  <c:pt idx="24">
                    <c:v>2016</c:v>
                  </c:pt>
                  <c:pt idx="36">
                    <c:v>2017</c:v>
                  </c:pt>
                  <c:pt idx="48">
                    <c:v>2018</c:v>
                  </c:pt>
                </c:lvl>
              </c:multiLvlStrCache>
            </c:multiLvlStrRef>
          </c:cat>
          <c:val>
            <c:numRef>
              <c:f>'Měnové podmínky 1'!$E$30:$E$86</c:f>
              <c:numCache>
                <c:formatCode>General</c:formatCode>
                <c:ptCount val="57"/>
                <c:pt idx="0">
                  <c:v>0.5800000000000004</c:v>
                </c:pt>
                <c:pt idx="1">
                  <c:v>0.55000000000000004</c:v>
                </c:pt>
                <c:pt idx="2">
                  <c:v>0.55000000000000004</c:v>
                </c:pt>
                <c:pt idx="3">
                  <c:v>0.55000000000000004</c:v>
                </c:pt>
                <c:pt idx="4">
                  <c:v>0.54</c:v>
                </c:pt>
                <c:pt idx="5">
                  <c:v>0.53</c:v>
                </c:pt>
                <c:pt idx="6">
                  <c:v>0.52</c:v>
                </c:pt>
                <c:pt idx="7">
                  <c:v>0.52</c:v>
                </c:pt>
                <c:pt idx="8">
                  <c:v>0.52</c:v>
                </c:pt>
                <c:pt idx="9">
                  <c:v>0.52</c:v>
                </c:pt>
                <c:pt idx="10">
                  <c:v>0.51</c:v>
                </c:pt>
                <c:pt idx="11">
                  <c:v>0.51</c:v>
                </c:pt>
                <c:pt idx="12">
                  <c:v>0.51</c:v>
                </c:pt>
                <c:pt idx="13">
                  <c:v>0.51</c:v>
                </c:pt>
                <c:pt idx="14">
                  <c:v>0.49000000000000032</c:v>
                </c:pt>
                <c:pt idx="15">
                  <c:v>0.48000000000000032</c:v>
                </c:pt>
                <c:pt idx="16">
                  <c:v>0.48000000000000032</c:v>
                </c:pt>
                <c:pt idx="17">
                  <c:v>0.48000000000000032</c:v>
                </c:pt>
                <c:pt idx="18">
                  <c:v>0.48000000000000032</c:v>
                </c:pt>
                <c:pt idx="19">
                  <c:v>0.48000000000000032</c:v>
                </c:pt>
                <c:pt idx="20">
                  <c:v>0.47000000000000008</c:v>
                </c:pt>
                <c:pt idx="21">
                  <c:v>0.46</c:v>
                </c:pt>
                <c:pt idx="22">
                  <c:v>0.46</c:v>
                </c:pt>
                <c:pt idx="23">
                  <c:v>0.46</c:v>
                </c:pt>
                <c:pt idx="24">
                  <c:v>0.45</c:v>
                </c:pt>
                <c:pt idx="25">
                  <c:v>0.45</c:v>
                </c:pt>
                <c:pt idx="26">
                  <c:v>0.45</c:v>
                </c:pt>
                <c:pt idx="27">
                  <c:v>0.45</c:v>
                </c:pt>
                <c:pt idx="28">
                  <c:v>0.45</c:v>
                </c:pt>
                <c:pt idx="29">
                  <c:v>0.45</c:v>
                </c:pt>
                <c:pt idx="30">
                  <c:v>0.45</c:v>
                </c:pt>
                <c:pt idx="31">
                  <c:v>0.45</c:v>
                </c:pt>
                <c:pt idx="32">
                  <c:v>0.45</c:v>
                </c:pt>
                <c:pt idx="33">
                  <c:v>0.45</c:v>
                </c:pt>
                <c:pt idx="34">
                  <c:v>0.45</c:v>
                </c:pt>
                <c:pt idx="35">
                  <c:v>0.45</c:v>
                </c:pt>
                <c:pt idx="36">
                  <c:v>0.44000000000000017</c:v>
                </c:pt>
                <c:pt idx="37">
                  <c:v>0.44000000000000017</c:v>
                </c:pt>
                <c:pt idx="38">
                  <c:v>0.44000000000000017</c:v>
                </c:pt>
                <c:pt idx="39">
                  <c:v>0.45</c:v>
                </c:pt>
                <c:pt idx="40">
                  <c:v>0.46</c:v>
                </c:pt>
                <c:pt idx="41">
                  <c:v>0.46</c:v>
                </c:pt>
                <c:pt idx="42">
                  <c:v>0.47000000000000008</c:v>
                </c:pt>
                <c:pt idx="43">
                  <c:v>0.60000000000000064</c:v>
                </c:pt>
                <c:pt idx="44">
                  <c:v>0.64000000000000423</c:v>
                </c:pt>
                <c:pt idx="45">
                  <c:v>0.69000000000000072</c:v>
                </c:pt>
                <c:pt idx="46">
                  <c:v>0.91</c:v>
                </c:pt>
                <c:pt idx="47">
                  <c:v>0.96000000000000063</c:v>
                </c:pt>
                <c:pt idx="48">
                  <c:v>0.98</c:v>
                </c:pt>
                <c:pt idx="49">
                  <c:v>1.1100000000000001</c:v>
                </c:pt>
                <c:pt idx="50">
                  <c:v>1.1200000000000001</c:v>
                </c:pt>
                <c:pt idx="51">
                  <c:v>1.1200000000000001</c:v>
                </c:pt>
                <c:pt idx="52">
                  <c:v>1.1200000000000001</c:v>
                </c:pt>
                <c:pt idx="53">
                  <c:v>1.1499999999999915</c:v>
                </c:pt>
                <c:pt idx="54">
                  <c:v>1.3900000000000001</c:v>
                </c:pt>
                <c:pt idx="55">
                  <c:v>1.6700000000000021</c:v>
                </c:pt>
                <c:pt idx="56">
                  <c:v>1.7900000000000007</c:v>
                </c:pt>
              </c:numCache>
            </c:numRef>
          </c:val>
          <c:extLst xmlns:c16r2="http://schemas.microsoft.com/office/drawing/2015/06/chart">
            <c:ext xmlns:c16="http://schemas.microsoft.com/office/drawing/2014/chart" uri="{C3380CC4-5D6E-409C-BE32-E72D297353CC}">
              <c16:uniqueId val="{00000004-A792-46C6-8BF0-3AA34E9A41C2}"/>
            </c:ext>
          </c:extLst>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1'!$A$30:$B$86</c:f>
              <c:multiLvlStrCache>
                <c:ptCount val="5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lvl>
                <c:lvl>
                  <c:pt idx="0">
                    <c:v>2014</c:v>
                  </c:pt>
                  <c:pt idx="12">
                    <c:v>2015</c:v>
                  </c:pt>
                  <c:pt idx="24">
                    <c:v>2016</c:v>
                  </c:pt>
                  <c:pt idx="36">
                    <c:v>2017</c:v>
                  </c:pt>
                  <c:pt idx="48">
                    <c:v>2018</c:v>
                  </c:pt>
                </c:lvl>
              </c:multiLvlStrCache>
            </c:multiLvlStrRef>
          </c:cat>
          <c:val>
            <c:numRef>
              <c:f>'Měnové podmínky 1'!$H$30:$H$86</c:f>
              <c:numCache>
                <c:formatCode>General</c:formatCode>
                <c:ptCount val="57"/>
                <c:pt idx="0">
                  <c:v>2.4299999999999997</c:v>
                </c:pt>
                <c:pt idx="1">
                  <c:v>2.2799999999999998</c:v>
                </c:pt>
                <c:pt idx="2">
                  <c:v>2.2000000000000002</c:v>
                </c:pt>
                <c:pt idx="3">
                  <c:v>2</c:v>
                </c:pt>
                <c:pt idx="4">
                  <c:v>1.7300000000000006</c:v>
                </c:pt>
                <c:pt idx="5">
                  <c:v>1.55</c:v>
                </c:pt>
                <c:pt idx="6">
                  <c:v>1.49</c:v>
                </c:pt>
                <c:pt idx="7">
                  <c:v>1.3800000000000001</c:v>
                </c:pt>
                <c:pt idx="8">
                  <c:v>1.21</c:v>
                </c:pt>
                <c:pt idx="9">
                  <c:v>1.1000000000000001</c:v>
                </c:pt>
                <c:pt idx="10">
                  <c:v>0.87000000000000377</c:v>
                </c:pt>
                <c:pt idx="11">
                  <c:v>0.67000000000000492</c:v>
                </c:pt>
                <c:pt idx="12">
                  <c:v>0.35000000000000031</c:v>
                </c:pt>
                <c:pt idx="13">
                  <c:v>0.4</c:v>
                </c:pt>
                <c:pt idx="14">
                  <c:v>0.35000000000000031</c:v>
                </c:pt>
                <c:pt idx="15">
                  <c:v>0.26</c:v>
                </c:pt>
                <c:pt idx="16">
                  <c:v>0.60000000000000064</c:v>
                </c:pt>
                <c:pt idx="17">
                  <c:v>1.01</c:v>
                </c:pt>
                <c:pt idx="18">
                  <c:v>0.97000000000000064</c:v>
                </c:pt>
                <c:pt idx="19">
                  <c:v>0.74000000000000365</c:v>
                </c:pt>
                <c:pt idx="20">
                  <c:v>0.68000000000000071</c:v>
                </c:pt>
                <c:pt idx="21">
                  <c:v>0.56000000000000005</c:v>
                </c:pt>
                <c:pt idx="22">
                  <c:v>0.49000000000000032</c:v>
                </c:pt>
                <c:pt idx="23">
                  <c:v>0.49000000000000032</c:v>
                </c:pt>
                <c:pt idx="24">
                  <c:v>0.62000000000000377</c:v>
                </c:pt>
                <c:pt idx="25">
                  <c:v>0.46</c:v>
                </c:pt>
                <c:pt idx="26">
                  <c:v>0.35000000000000031</c:v>
                </c:pt>
                <c:pt idx="27">
                  <c:v>0.43000000000000038</c:v>
                </c:pt>
                <c:pt idx="28">
                  <c:v>0.46</c:v>
                </c:pt>
                <c:pt idx="29">
                  <c:v>0.45</c:v>
                </c:pt>
                <c:pt idx="30">
                  <c:v>0.37000000000000038</c:v>
                </c:pt>
                <c:pt idx="31">
                  <c:v>0.29000000000000031</c:v>
                </c:pt>
                <c:pt idx="32">
                  <c:v>0.25</c:v>
                </c:pt>
                <c:pt idx="33">
                  <c:v>0.37000000000000038</c:v>
                </c:pt>
                <c:pt idx="34">
                  <c:v>0.55000000000000004</c:v>
                </c:pt>
                <c:pt idx="35">
                  <c:v>0.53</c:v>
                </c:pt>
                <c:pt idx="36">
                  <c:v>0.47000000000000008</c:v>
                </c:pt>
                <c:pt idx="37">
                  <c:v>0.63000000000000422</c:v>
                </c:pt>
                <c:pt idx="38">
                  <c:v>0.87000000000000377</c:v>
                </c:pt>
                <c:pt idx="39">
                  <c:v>0.96000000000000063</c:v>
                </c:pt>
                <c:pt idx="40">
                  <c:v>0.74000000000000365</c:v>
                </c:pt>
                <c:pt idx="41">
                  <c:v>0.7700000000000039</c:v>
                </c:pt>
                <c:pt idx="42">
                  <c:v>0.9</c:v>
                </c:pt>
                <c:pt idx="43">
                  <c:v>0.83000000000000063</c:v>
                </c:pt>
                <c:pt idx="44">
                  <c:v>0.97000000000000064</c:v>
                </c:pt>
                <c:pt idx="45">
                  <c:v>1.45</c:v>
                </c:pt>
                <c:pt idx="46">
                  <c:v>1.6800000000000075</c:v>
                </c:pt>
                <c:pt idx="47">
                  <c:v>1.5</c:v>
                </c:pt>
                <c:pt idx="48">
                  <c:v>1.7700000000000007</c:v>
                </c:pt>
                <c:pt idx="49">
                  <c:v>1.82</c:v>
                </c:pt>
                <c:pt idx="50">
                  <c:v>1.81</c:v>
                </c:pt>
                <c:pt idx="51">
                  <c:v>1.7400000000000007</c:v>
                </c:pt>
                <c:pt idx="52">
                  <c:v>1.8900000000000001</c:v>
                </c:pt>
                <c:pt idx="53">
                  <c:v>2.14</c:v>
                </c:pt>
                <c:pt idx="54">
                  <c:v>2.11</c:v>
                </c:pt>
                <c:pt idx="55">
                  <c:v>2.14</c:v>
                </c:pt>
                <c:pt idx="56">
                  <c:v>2.14</c:v>
                </c:pt>
              </c:numCache>
            </c:numRef>
          </c:val>
          <c:extLst xmlns:c16r2="http://schemas.microsoft.com/office/drawing/2015/06/chart">
            <c:ext xmlns:c16="http://schemas.microsoft.com/office/drawing/2014/chart" uri="{C3380CC4-5D6E-409C-BE32-E72D297353CC}">
              <c16:uniqueId val="{00000005-A792-46C6-8BF0-3AA34E9A41C2}"/>
            </c:ext>
          </c:extLst>
        </c:ser>
        <c:marker val="1"/>
        <c:axId val="103288192"/>
        <c:axId val="103298176"/>
      </c:lineChart>
      <c:catAx>
        <c:axId val="103288192"/>
        <c:scaling>
          <c:orientation val="minMax"/>
        </c:scaling>
        <c:axPos val="b"/>
        <c:numFmt formatCode="General" sourceLinked="0"/>
        <c:tickLblPos val="low"/>
        <c:spPr>
          <a:ln>
            <a:solidFill>
              <a:schemeClr val="tx1"/>
            </a:solidFill>
          </a:ln>
        </c:spPr>
        <c:crossAx val="103298176"/>
        <c:crosses val="autoZero"/>
        <c:auto val="1"/>
        <c:lblAlgn val="ctr"/>
        <c:lblOffset val="100"/>
      </c:catAx>
      <c:valAx>
        <c:axId val="103298176"/>
        <c:scaling>
          <c:orientation val="minMax"/>
          <c:min val="-1"/>
        </c:scaling>
        <c:axPos val="l"/>
        <c:majorGridlines>
          <c:spPr>
            <a:ln w="6350">
              <a:solidFill>
                <a:schemeClr val="bg1">
                  <a:lumMod val="75000"/>
                </a:schemeClr>
              </a:solidFill>
            </a:ln>
          </c:spPr>
        </c:majorGridlines>
        <c:numFmt formatCode="0" sourceLinked="0"/>
        <c:tickLblPos val="nextTo"/>
        <c:spPr>
          <a:ln>
            <a:solidFill>
              <a:schemeClr val="tx1"/>
            </a:solidFill>
          </a:ln>
        </c:spPr>
        <c:crossAx val="103288192"/>
        <c:crosses val="autoZero"/>
        <c:crossBetween val="between"/>
        <c:majorUnit val="1"/>
      </c:valAx>
      <c:spPr>
        <a:ln>
          <a:solidFill>
            <a:schemeClr val="tx1"/>
          </a:solidFill>
        </a:ln>
      </c:spPr>
    </c:plotArea>
    <c:legend>
      <c:legendPos val="b"/>
      <c:layout>
        <c:manualLayout>
          <c:xMode val="edge"/>
          <c:yMode val="edge"/>
          <c:x val="4.2139690982776978E-2"/>
          <c:y val="0.87558269120103249"/>
          <c:w val="0.93886651469098281"/>
          <c:h val="0.11015705924459968"/>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5577477727787412E-2"/>
          <c:y val="1.7107238390107422E-2"/>
          <c:w val="0.90191712370541999"/>
          <c:h val="0.81882420592062344"/>
        </c:manualLayout>
      </c:layout>
      <c:barChart>
        <c:barDir val="col"/>
        <c:grouping val="clustered"/>
        <c:ser>
          <c:idx val="2"/>
          <c:order val="4"/>
          <c:tx>
            <c:strRef>
              <c:f>'Státní rozpočet 1'!$A$40</c:f>
              <c:strCache>
                <c:ptCount val="1"/>
                <c:pt idx="0">
                  <c:v>Saldo státního rozpočtu (pravá osa)</c:v>
                </c:pt>
              </c:strCache>
            </c:strRef>
          </c:tx>
          <c:spPr>
            <a:solidFill>
              <a:sysClr val="window" lastClr="FFFFFF">
                <a:lumMod val="75000"/>
              </a:sysClr>
            </a:solidFill>
          </c:spPr>
          <c:cat>
            <c:strRef>
              <c:f>'Státní rozpočet 1'!$B$34:$O$35</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'Státní rozpočet 1'!$B$40:$O$40</c:f>
              <c:numCache>
                <c:formatCode>#,##0.0</c:formatCode>
                <c:ptCount val="14"/>
                <c:pt idx="0">
                  <c:v>25.75</c:v>
                </c:pt>
                <c:pt idx="1">
                  <c:v>1.49</c:v>
                </c:pt>
                <c:pt idx="2">
                  <c:v>36.315999999999995</c:v>
                </c:pt>
                <c:pt idx="3">
                  <c:v>10.473000000000004</c:v>
                </c:pt>
                <c:pt idx="4">
                  <c:v>-87.296000000000006</c:v>
                </c:pt>
                <c:pt idx="5">
                  <c:v>-99.554999999999993</c:v>
                </c:pt>
                <c:pt idx="6">
                  <c:v>-105.13800000000001</c:v>
                </c:pt>
                <c:pt idx="7">
                  <c:v>-71.412000000000006</c:v>
                </c:pt>
                <c:pt idx="8">
                  <c:v>-38.241</c:v>
                </c:pt>
                <c:pt idx="9">
                  <c:v>-34.39</c:v>
                </c:pt>
                <c:pt idx="10">
                  <c:v>-2.77</c:v>
                </c:pt>
                <c:pt idx="11">
                  <c:v>82.27</c:v>
                </c:pt>
                <c:pt idx="12">
                  <c:v>17.399999999999999</c:v>
                </c:pt>
                <c:pt idx="13">
                  <c:v>16.77</c:v>
                </c:pt>
              </c:numCache>
            </c:numRef>
          </c:val>
          <c:extLst xmlns:c16r2="http://schemas.microsoft.com/office/drawing/2015/06/chart">
            <c:ext xmlns:c16="http://schemas.microsoft.com/office/drawing/2014/chart" uri="{C3380CC4-5D6E-409C-BE32-E72D297353CC}">
              <c16:uniqueId val="{00000000-7800-4BB2-AD2B-A901E28C8CC2}"/>
            </c:ext>
          </c:extLst>
        </c:ser>
        <c:gapWidth val="43"/>
        <c:axId val="103366016"/>
        <c:axId val="103364480"/>
      </c:barChart>
      <c:lineChart>
        <c:grouping val="standard"/>
        <c:ser>
          <c:idx val="0"/>
          <c:order val="0"/>
          <c:tx>
            <c:strRef>
              <c:f>'Státní rozpočet 1'!$A$36</c:f>
              <c:strCache>
                <c:ptCount val="1"/>
                <c:pt idx="0">
                  <c:v>DPH</c:v>
                </c:pt>
              </c:strCache>
            </c:strRef>
          </c:tx>
          <c:spPr>
            <a:ln w="19050">
              <a:solidFill>
                <a:srgbClr val="BD1B25"/>
              </a:solidFill>
            </a:ln>
          </c:spPr>
          <c:marker>
            <c:symbol val="none"/>
          </c:marker>
          <c:cat>
            <c:strRef>
              <c:f>'Státní rozpočet 1'!$B$34:$O$35</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'Státní rozpočet 1'!$B$36:$O$36</c:f>
              <c:numCache>
                <c:formatCode>0.0</c:formatCode>
                <c:ptCount val="14"/>
                <c:pt idx="0">
                  <c:v>16.110035495321085</c:v>
                </c:pt>
                <c:pt idx="1">
                  <c:v>6.6838046272493346</c:v>
                </c:pt>
                <c:pt idx="2">
                  <c:v>10.322370563334403</c:v>
                </c:pt>
                <c:pt idx="3">
                  <c:v>8.1404958677685926</c:v>
                </c:pt>
                <c:pt idx="4">
                  <c:v>-0.38757574103391523</c:v>
                </c:pt>
                <c:pt idx="5">
                  <c:v>8.3187198597106704</c:v>
                </c:pt>
                <c:pt idx="6">
                  <c:v>1.6897703126581118</c:v>
                </c:pt>
                <c:pt idx="7">
                  <c:v>-0.7960199004975127</c:v>
                </c:pt>
                <c:pt idx="8">
                  <c:v>11.143430290872622</c:v>
                </c:pt>
                <c:pt idx="9">
                  <c:v>5.0536955148452307</c:v>
                </c:pt>
                <c:pt idx="10">
                  <c:v>0.11167425478910822</c:v>
                </c:pt>
                <c:pt idx="11">
                  <c:v>5.8649390767118179</c:v>
                </c:pt>
                <c:pt idx="12">
                  <c:v>10.561296859169325</c:v>
                </c:pt>
                <c:pt idx="13">
                  <c:v>7.4154173234119156</c:v>
                </c:pt>
              </c:numCache>
            </c:numRef>
          </c:val>
          <c:extLst xmlns:c16r2="http://schemas.microsoft.com/office/drawing/2015/06/chart">
            <c:ext xmlns:c16="http://schemas.microsoft.com/office/drawing/2014/chart" uri="{C3380CC4-5D6E-409C-BE32-E72D297353CC}">
              <c16:uniqueId val="{00000001-7800-4BB2-AD2B-A901E28C8CC2}"/>
            </c:ext>
          </c:extLst>
        </c:ser>
        <c:ser>
          <c:idx val="1"/>
          <c:order val="1"/>
          <c:tx>
            <c:strRef>
              <c:f>'Státní rozpočet 1'!$A$37</c:f>
              <c:strCache>
                <c:ptCount val="1"/>
                <c:pt idx="0">
                  <c:v>Spotřební daň</c:v>
                </c:pt>
              </c:strCache>
            </c:strRef>
          </c:tx>
          <c:spPr>
            <a:ln w="19050">
              <a:solidFill>
                <a:srgbClr val="7DBB2D"/>
              </a:solidFill>
              <a:prstDash val="solid"/>
            </a:ln>
          </c:spPr>
          <c:marker>
            <c:symbol val="none"/>
          </c:marker>
          <c:cat>
            <c:strRef>
              <c:f>'Státní rozpočet 1'!$B$34:$O$35</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'Státní rozpočet 1'!$B$37:$O$37</c:f>
              <c:numCache>
                <c:formatCode>0.0</c:formatCode>
                <c:ptCount val="14"/>
                <c:pt idx="0">
                  <c:v>25.978904782545829</c:v>
                </c:pt>
                <c:pt idx="1">
                  <c:v>4.1633214818212991</c:v>
                </c:pt>
                <c:pt idx="2">
                  <c:v>4.5474565073772046</c:v>
                </c:pt>
                <c:pt idx="3">
                  <c:v>3.2859399684044273</c:v>
                </c:pt>
                <c:pt idx="4">
                  <c:v>-3.4771081880289501</c:v>
                </c:pt>
                <c:pt idx="5">
                  <c:v>6.8666807521656485</c:v>
                </c:pt>
                <c:pt idx="6">
                  <c:v>6.3068406484776602</c:v>
                </c:pt>
                <c:pt idx="7">
                  <c:v>-1.4692207550678806</c:v>
                </c:pt>
                <c:pt idx="8">
                  <c:v>-3.6145715364288407</c:v>
                </c:pt>
                <c:pt idx="9">
                  <c:v>2.134534416919621</c:v>
                </c:pt>
                <c:pt idx="10">
                  <c:v>4.4195187422107125</c:v>
                </c:pt>
                <c:pt idx="11">
                  <c:v>6.6011751744399447</c:v>
                </c:pt>
                <c:pt idx="12">
                  <c:v>2.9627077771079469</c:v>
                </c:pt>
                <c:pt idx="13">
                  <c:v>1.5223755750731982</c:v>
                </c:pt>
              </c:numCache>
            </c:numRef>
          </c:val>
          <c:extLst xmlns:c16r2="http://schemas.microsoft.com/office/drawing/2015/06/chart">
            <c:ext xmlns:c16="http://schemas.microsoft.com/office/drawing/2014/chart" uri="{C3380CC4-5D6E-409C-BE32-E72D297353CC}">
              <c16:uniqueId val="{00000002-7800-4BB2-AD2B-A901E28C8CC2}"/>
            </c:ext>
          </c:extLst>
        </c:ser>
        <c:ser>
          <c:idx val="3"/>
          <c:order val="2"/>
          <c:tx>
            <c:strRef>
              <c:f>'Státní rozpočet 1'!$A$38</c:f>
              <c:strCache>
                <c:ptCount val="1"/>
                <c:pt idx="0">
                  <c:v>Daně z příjmů FO ze závislé činnosti</c:v>
                </c:pt>
              </c:strCache>
            </c:strRef>
          </c:tx>
          <c:spPr>
            <a:ln w="19050">
              <a:solidFill>
                <a:srgbClr val="0071BC"/>
              </a:solidFill>
              <a:prstDash val="solid"/>
            </a:ln>
          </c:spPr>
          <c:marker>
            <c:symbol val="none"/>
          </c:marker>
          <c:cat>
            <c:strRef>
              <c:f>'Státní rozpočet 1'!$B$34:$O$35</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'Státní rozpočet 1'!$B$38:$O$38</c:f>
              <c:numCache>
                <c:formatCode>0.0</c:formatCode>
                <c:ptCount val="14"/>
                <c:pt idx="0">
                  <c:v>8.3720930232558146</c:v>
                </c:pt>
                <c:pt idx="1">
                  <c:v>1.0224690734662971</c:v>
                </c:pt>
                <c:pt idx="2">
                  <c:v>13.007622141696848</c:v>
                </c:pt>
                <c:pt idx="3">
                  <c:v>-7.5961963732861619</c:v>
                </c:pt>
                <c:pt idx="4">
                  <c:v>-4.5470862749790655</c:v>
                </c:pt>
                <c:pt idx="5">
                  <c:v>0.46383352137395839</c:v>
                </c:pt>
                <c:pt idx="6">
                  <c:v>6.8754679311205535</c:v>
                </c:pt>
                <c:pt idx="7">
                  <c:v>0.93403385872736056</c:v>
                </c:pt>
                <c:pt idx="8">
                  <c:v>5.6217466743782385</c:v>
                </c:pt>
                <c:pt idx="9">
                  <c:v>4.1616471361296732</c:v>
                </c:pt>
                <c:pt idx="10">
                  <c:v>2.586478814004801</c:v>
                </c:pt>
                <c:pt idx="11">
                  <c:v>10.17730859895461</c:v>
                </c:pt>
                <c:pt idx="12">
                  <c:v>12.865116279069904</c:v>
                </c:pt>
                <c:pt idx="13">
                  <c:v>15.099315915272399</c:v>
                </c:pt>
              </c:numCache>
            </c:numRef>
          </c:val>
          <c:extLst xmlns:c16r2="http://schemas.microsoft.com/office/drawing/2015/06/chart">
            <c:ext xmlns:c16="http://schemas.microsoft.com/office/drawing/2014/chart" uri="{C3380CC4-5D6E-409C-BE32-E72D297353CC}">
              <c16:uniqueId val="{00000003-7800-4BB2-AD2B-A901E28C8CC2}"/>
            </c:ext>
          </c:extLst>
        </c:ser>
        <c:ser>
          <c:idx val="4"/>
          <c:order val="3"/>
          <c:tx>
            <c:strRef>
              <c:f>'Státní rozpočet 1'!$A$39</c:f>
              <c:strCache>
                <c:ptCount val="1"/>
                <c:pt idx="0">
                  <c:v>Daně z příjmů právnických osob (PO)</c:v>
                </c:pt>
              </c:strCache>
            </c:strRef>
          </c:tx>
          <c:spPr>
            <a:ln w="19050">
              <a:noFill/>
            </a:ln>
          </c:spPr>
          <c:marker>
            <c:symbol val="diamond"/>
            <c:size val="6"/>
            <c:spPr>
              <a:solidFill>
                <a:srgbClr val="984807"/>
              </a:solidFill>
              <a:ln>
                <a:noFill/>
              </a:ln>
            </c:spPr>
          </c:marker>
          <c:cat>
            <c:strRef>
              <c:f>'Státní rozpočet 1'!$B$34:$O$35</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'Státní rozpočet 1'!$B$39:$O$39</c:f>
              <c:numCache>
                <c:formatCode>0.0</c:formatCode>
                <c:ptCount val="14"/>
                <c:pt idx="0">
                  <c:v>24.216106474170889</c:v>
                </c:pt>
                <c:pt idx="1">
                  <c:v>-5.7568328339235304</c:v>
                </c:pt>
                <c:pt idx="2">
                  <c:v>21.023219963387589</c:v>
                </c:pt>
                <c:pt idx="3">
                  <c:v>16.598996895151672</c:v>
                </c:pt>
                <c:pt idx="4">
                  <c:v>-35.982520824798584</c:v>
                </c:pt>
                <c:pt idx="5">
                  <c:v>5.5140784982935003</c:v>
                </c:pt>
                <c:pt idx="6">
                  <c:v>-6.1356514707368888</c:v>
                </c:pt>
                <c:pt idx="7">
                  <c:v>8.981262115011841</c:v>
                </c:pt>
                <c:pt idx="8">
                  <c:v>-5.8794466403162176</c:v>
                </c:pt>
                <c:pt idx="9">
                  <c:v>8.8503937007874214</c:v>
                </c:pt>
                <c:pt idx="10">
                  <c:v>11.140046296296306</c:v>
                </c:pt>
                <c:pt idx="11">
                  <c:v>12.921982122711098</c:v>
                </c:pt>
                <c:pt idx="12">
                  <c:v>0.20750076852134244</c:v>
                </c:pt>
                <c:pt idx="13">
                  <c:v>2.3084592376716273</c:v>
                </c:pt>
              </c:numCache>
            </c:numRef>
          </c:val>
          <c:extLst xmlns:c16r2="http://schemas.microsoft.com/office/drawing/2015/06/chart">
            <c:ext xmlns:c16="http://schemas.microsoft.com/office/drawing/2014/chart" uri="{C3380CC4-5D6E-409C-BE32-E72D297353CC}">
              <c16:uniqueId val="{00000004-7800-4BB2-AD2B-A901E28C8CC2}"/>
            </c:ext>
          </c:extLst>
        </c:ser>
        <c:marker val="1"/>
        <c:axId val="103344384"/>
        <c:axId val="103362944"/>
      </c:lineChart>
      <c:catAx>
        <c:axId val="103344384"/>
        <c:scaling>
          <c:orientation val="minMax"/>
        </c:scaling>
        <c:axPos val="b"/>
        <c:numFmt formatCode="General" sourceLinked="1"/>
        <c:tickLblPos val="low"/>
        <c:spPr>
          <a:ln>
            <a:solidFill>
              <a:schemeClr val="tx1"/>
            </a:solidFill>
          </a:ln>
        </c:spPr>
        <c:crossAx val="103362944"/>
        <c:crosses val="autoZero"/>
        <c:auto val="1"/>
        <c:lblAlgn val="ctr"/>
        <c:lblOffset val="0"/>
      </c:catAx>
      <c:valAx>
        <c:axId val="103362944"/>
        <c:scaling>
          <c:orientation val="minMax"/>
          <c:max val="30"/>
          <c:min val="-40"/>
        </c:scaling>
        <c:axPos val="l"/>
        <c:majorGridlines>
          <c:spPr>
            <a:ln w="6350">
              <a:solidFill>
                <a:schemeClr val="bg1">
                  <a:lumMod val="75000"/>
                </a:schemeClr>
              </a:solidFill>
            </a:ln>
          </c:spPr>
        </c:majorGridlines>
        <c:numFmt formatCode="0" sourceLinked="0"/>
        <c:tickLblPos val="nextTo"/>
        <c:spPr>
          <a:ln>
            <a:solidFill>
              <a:schemeClr val="tx1"/>
            </a:solidFill>
          </a:ln>
        </c:spPr>
        <c:crossAx val="103344384"/>
        <c:crosses val="autoZero"/>
        <c:crossBetween val="between"/>
        <c:majorUnit val="5"/>
      </c:valAx>
      <c:valAx>
        <c:axId val="103364480"/>
        <c:scaling>
          <c:orientation val="minMax"/>
          <c:max val="90"/>
          <c:min val="-120"/>
        </c:scaling>
        <c:axPos val="r"/>
        <c:numFmt formatCode="#,##0" sourceLinked="0"/>
        <c:tickLblPos val="nextTo"/>
        <c:crossAx val="103366016"/>
        <c:crosses val="max"/>
        <c:crossBetween val="between"/>
        <c:majorUnit val="30"/>
      </c:valAx>
      <c:catAx>
        <c:axId val="103366016"/>
        <c:scaling>
          <c:orientation val="minMax"/>
        </c:scaling>
        <c:delete val="1"/>
        <c:axPos val="b"/>
        <c:numFmt formatCode="General" sourceLinked="1"/>
        <c:tickLblPos val="none"/>
        <c:crossAx val="103364480"/>
        <c:crosses val="autoZero"/>
        <c:auto val="1"/>
        <c:lblAlgn val="ctr"/>
        <c:lblOffset val="100"/>
      </c:catAx>
      <c:spPr>
        <a:ln>
          <a:solidFill>
            <a:schemeClr val="tx1"/>
          </a:solidFill>
        </a:ln>
      </c:spPr>
    </c:plotArea>
    <c:legend>
      <c:legendPos val="b"/>
      <c:layout>
        <c:manualLayout>
          <c:xMode val="edge"/>
          <c:yMode val="edge"/>
          <c:x val="5.1878156565656246E-2"/>
          <c:y val="0.89069533285111913"/>
          <c:w val="0.87839422563312208"/>
          <c:h val="0.1021051351142141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6.3724701079031984E-2"/>
          <c:y val="2.6970778117567786E-2"/>
          <c:w val="0.87770649039241588"/>
          <c:h val="0.76009512552065761"/>
        </c:manualLayout>
      </c:layout>
      <c:barChart>
        <c:barDir val="col"/>
        <c:grouping val="clustered"/>
        <c:ser>
          <c:idx val="0"/>
          <c:order val="0"/>
          <c:tx>
            <c:strRef>
              <c:f>'souhrnná výkonnost 2'!$C$5</c:f>
              <c:strCache>
                <c:ptCount val="1"/>
                <c:pt idx="0">
                  <c:v>HDP (pravá osa)</c:v>
                </c:pt>
              </c:strCache>
            </c:strRef>
          </c:tx>
          <c:spPr>
            <a:solidFill>
              <a:srgbClr val="A6A6A6"/>
            </a:solidFill>
            <a:ln>
              <a:noFill/>
            </a:ln>
          </c:spPr>
          <c:val>
            <c:numRef>
              <c:f>'souhrnná výkonnost 2'!$C$18:$C$86</c:f>
              <c:numCache>
                <c:formatCode>0.0</c:formatCode>
                <c:ptCount val="69"/>
                <c:pt idx="0">
                  <c:v>-1.8</c:v>
                </c:pt>
                <c:pt idx="1">
                  <c:v>-1.8</c:v>
                </c:pt>
                <c:pt idx="2">
                  <c:v>-1.8</c:v>
                </c:pt>
                <c:pt idx="3">
                  <c:v>-1.1000000000000001</c:v>
                </c:pt>
                <c:pt idx="4">
                  <c:v>-1.1000000000000001</c:v>
                </c:pt>
                <c:pt idx="5">
                  <c:v>-1.1000000000000001</c:v>
                </c:pt>
                <c:pt idx="6">
                  <c:v>-0.30000000000000032</c:v>
                </c:pt>
                <c:pt idx="7">
                  <c:v>-0.30000000000000032</c:v>
                </c:pt>
                <c:pt idx="8">
                  <c:v>-0.30000000000000032</c:v>
                </c:pt>
                <c:pt idx="9">
                  <c:v>1.3</c:v>
                </c:pt>
                <c:pt idx="10">
                  <c:v>1.3</c:v>
                </c:pt>
                <c:pt idx="11">
                  <c:v>1.3</c:v>
                </c:pt>
                <c:pt idx="12">
                  <c:v>1.6</c:v>
                </c:pt>
                <c:pt idx="13">
                  <c:v>1.6</c:v>
                </c:pt>
                <c:pt idx="14">
                  <c:v>1.6</c:v>
                </c:pt>
                <c:pt idx="15">
                  <c:v>2.4</c:v>
                </c:pt>
                <c:pt idx="16">
                  <c:v>2.4</c:v>
                </c:pt>
                <c:pt idx="17">
                  <c:v>2.4</c:v>
                </c:pt>
                <c:pt idx="18">
                  <c:v>3.4</c:v>
                </c:pt>
                <c:pt idx="19">
                  <c:v>3.4</c:v>
                </c:pt>
                <c:pt idx="20">
                  <c:v>3.4</c:v>
                </c:pt>
                <c:pt idx="21">
                  <c:v>3.4</c:v>
                </c:pt>
                <c:pt idx="22">
                  <c:v>3.4</c:v>
                </c:pt>
                <c:pt idx="23">
                  <c:v>3.4</c:v>
                </c:pt>
                <c:pt idx="24">
                  <c:v>5.3</c:v>
                </c:pt>
                <c:pt idx="25">
                  <c:v>5.3</c:v>
                </c:pt>
                <c:pt idx="26">
                  <c:v>5.3</c:v>
                </c:pt>
                <c:pt idx="27">
                  <c:v>5.8</c:v>
                </c:pt>
                <c:pt idx="28">
                  <c:v>5.8</c:v>
                </c:pt>
                <c:pt idx="29">
                  <c:v>5.8</c:v>
                </c:pt>
                <c:pt idx="30">
                  <c:v>5.6</c:v>
                </c:pt>
                <c:pt idx="31">
                  <c:v>5.6</c:v>
                </c:pt>
                <c:pt idx="32">
                  <c:v>5.6</c:v>
                </c:pt>
                <c:pt idx="33">
                  <c:v>4.9000000000000004</c:v>
                </c:pt>
                <c:pt idx="34">
                  <c:v>4.9000000000000004</c:v>
                </c:pt>
                <c:pt idx="35">
                  <c:v>4.9000000000000004</c:v>
                </c:pt>
                <c:pt idx="36">
                  <c:v>3.6</c:v>
                </c:pt>
                <c:pt idx="37">
                  <c:v>3.6</c:v>
                </c:pt>
                <c:pt idx="38">
                  <c:v>3.6</c:v>
                </c:pt>
                <c:pt idx="39">
                  <c:v>2.4</c:v>
                </c:pt>
                <c:pt idx="40">
                  <c:v>2.4</c:v>
                </c:pt>
                <c:pt idx="41" formatCode="General">
                  <c:v>2.4</c:v>
                </c:pt>
                <c:pt idx="42" formatCode="General">
                  <c:v>1.7</c:v>
                </c:pt>
                <c:pt idx="43" formatCode="General">
                  <c:v>1.7</c:v>
                </c:pt>
                <c:pt idx="44" formatCode="General">
                  <c:v>1.7</c:v>
                </c:pt>
                <c:pt idx="45" formatCode="General">
                  <c:v>1.8</c:v>
                </c:pt>
                <c:pt idx="46" formatCode="General">
                  <c:v>1.8</c:v>
                </c:pt>
                <c:pt idx="47" formatCode="General">
                  <c:v>1.8</c:v>
                </c:pt>
                <c:pt idx="48" formatCode="General">
                  <c:v>2.9</c:v>
                </c:pt>
                <c:pt idx="49" formatCode="General">
                  <c:v>2.9</c:v>
                </c:pt>
                <c:pt idx="50" formatCode="General">
                  <c:v>2.9</c:v>
                </c:pt>
                <c:pt idx="51" formatCode="General">
                  <c:v>4.9000000000000004</c:v>
                </c:pt>
                <c:pt idx="52" formatCode="General">
                  <c:v>4.9000000000000004</c:v>
                </c:pt>
                <c:pt idx="53" formatCode="General">
                  <c:v>4.9000000000000004</c:v>
                </c:pt>
                <c:pt idx="54" formatCode="General">
                  <c:v>5.0999999999999996</c:v>
                </c:pt>
                <c:pt idx="55" formatCode="General">
                  <c:v>5.0999999999999996</c:v>
                </c:pt>
                <c:pt idx="56" formatCode="General">
                  <c:v>5.0999999999999996</c:v>
                </c:pt>
                <c:pt idx="57" formatCode="General">
                  <c:v>5</c:v>
                </c:pt>
                <c:pt idx="58" formatCode="General">
                  <c:v>5</c:v>
                </c:pt>
                <c:pt idx="59" formatCode="General">
                  <c:v>5</c:v>
                </c:pt>
                <c:pt idx="60" formatCode="General">
                  <c:v>4.0999999999999996</c:v>
                </c:pt>
                <c:pt idx="61" formatCode="General">
                  <c:v>4.0999999999999996</c:v>
                </c:pt>
                <c:pt idx="62" formatCode="General">
                  <c:v>4.0999999999999996</c:v>
                </c:pt>
                <c:pt idx="63" formatCode="General">
                  <c:v>2.4</c:v>
                </c:pt>
                <c:pt idx="64" formatCode="General">
                  <c:v>2.4</c:v>
                </c:pt>
                <c:pt idx="65" formatCode="General">
                  <c:v>2.4</c:v>
                </c:pt>
                <c:pt idx="66" formatCode="General">
                  <c:v>2.4</c:v>
                </c:pt>
                <c:pt idx="67" formatCode="General">
                  <c:v>2.4</c:v>
                </c:pt>
                <c:pt idx="68" formatCode="General">
                  <c:v>2.4</c:v>
                </c:pt>
              </c:numCache>
            </c:numRef>
          </c:val>
          <c:extLst xmlns:c16r2="http://schemas.microsoft.com/office/drawing/2015/06/chart">
            <c:ext xmlns:c16="http://schemas.microsoft.com/office/drawing/2014/chart" uri="{C3380CC4-5D6E-409C-BE32-E72D297353CC}">
              <c16:uniqueId val="{00000000-6D23-40D8-A3E6-B501DD667E59}"/>
            </c:ext>
          </c:extLst>
        </c:ser>
        <c:gapWidth val="30"/>
        <c:axId val="77755904"/>
        <c:axId val="77754368"/>
      </c:barChart>
      <c:lineChart>
        <c:grouping val="standard"/>
        <c:ser>
          <c:idx val="3"/>
          <c:order val="1"/>
          <c:tx>
            <c:strRef>
              <c:f>'souhrnná výkonnost 2'!$D$5</c:f>
              <c:strCache>
                <c:ptCount val="1"/>
                <c:pt idx="0">
                  <c:v>Důvěra podnikatelů</c:v>
                </c:pt>
              </c:strCache>
            </c:strRef>
          </c:tx>
          <c:spPr>
            <a:ln w="19050">
              <a:solidFill>
                <a:srgbClr val="0071BC"/>
              </a:solidFill>
            </a:ln>
          </c:spPr>
          <c:marker>
            <c:symbol val="none"/>
          </c:marker>
          <c:cat>
            <c:multiLvlStrRef>
              <c:f>'souhrnná výkonnost 2'!$A$18:$B$86</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2013</c:v>
                  </c:pt>
                  <c:pt idx="12">
                    <c:v>2014</c:v>
                  </c:pt>
                  <c:pt idx="24">
                    <c:v>2015</c:v>
                  </c:pt>
                  <c:pt idx="36">
                    <c:v>2016</c:v>
                  </c:pt>
                  <c:pt idx="48">
                    <c:v>2017</c:v>
                  </c:pt>
                  <c:pt idx="60">
                    <c:v>2018</c:v>
                  </c:pt>
                </c:lvl>
              </c:multiLvlStrCache>
            </c:multiLvlStrRef>
          </c:cat>
          <c:val>
            <c:numRef>
              <c:f>'souhrnná výkonnost 2'!$D$18:$D$86</c:f>
              <c:numCache>
                <c:formatCode>###,###,##0.0</c:formatCode>
                <c:ptCount val="69"/>
                <c:pt idx="0">
                  <c:v>84.6</c:v>
                </c:pt>
                <c:pt idx="1">
                  <c:v>85.2</c:v>
                </c:pt>
                <c:pt idx="2" formatCode="###,###,##0">
                  <c:v>85</c:v>
                </c:pt>
                <c:pt idx="3">
                  <c:v>82.7</c:v>
                </c:pt>
                <c:pt idx="4">
                  <c:v>83.6</c:v>
                </c:pt>
                <c:pt idx="5" formatCode="###,###,##0">
                  <c:v>84</c:v>
                </c:pt>
                <c:pt idx="6" formatCode="###,###,##0">
                  <c:v>84</c:v>
                </c:pt>
                <c:pt idx="7">
                  <c:v>84.8</c:v>
                </c:pt>
                <c:pt idx="8">
                  <c:v>87.5</c:v>
                </c:pt>
                <c:pt idx="9" formatCode="###,###,##0">
                  <c:v>89</c:v>
                </c:pt>
                <c:pt idx="10">
                  <c:v>89.9</c:v>
                </c:pt>
                <c:pt idx="11">
                  <c:v>90.9</c:v>
                </c:pt>
                <c:pt idx="12">
                  <c:v>90.1</c:v>
                </c:pt>
                <c:pt idx="13">
                  <c:v>90.9</c:v>
                </c:pt>
                <c:pt idx="14">
                  <c:v>91.6</c:v>
                </c:pt>
                <c:pt idx="15">
                  <c:v>91.5</c:v>
                </c:pt>
                <c:pt idx="16">
                  <c:v>91.5</c:v>
                </c:pt>
                <c:pt idx="17">
                  <c:v>92.5</c:v>
                </c:pt>
                <c:pt idx="18">
                  <c:v>91.6</c:v>
                </c:pt>
                <c:pt idx="19">
                  <c:v>92.5</c:v>
                </c:pt>
                <c:pt idx="20">
                  <c:v>93.2</c:v>
                </c:pt>
                <c:pt idx="21">
                  <c:v>92.8</c:v>
                </c:pt>
                <c:pt idx="22">
                  <c:v>93.5</c:v>
                </c:pt>
                <c:pt idx="23">
                  <c:v>94.8</c:v>
                </c:pt>
                <c:pt idx="24">
                  <c:v>94.3</c:v>
                </c:pt>
                <c:pt idx="25">
                  <c:v>93.4</c:v>
                </c:pt>
                <c:pt idx="26">
                  <c:v>92.9</c:v>
                </c:pt>
                <c:pt idx="27">
                  <c:v>93.2</c:v>
                </c:pt>
                <c:pt idx="28">
                  <c:v>93.8</c:v>
                </c:pt>
                <c:pt idx="29">
                  <c:v>95.5</c:v>
                </c:pt>
                <c:pt idx="30">
                  <c:v>94.6</c:v>
                </c:pt>
                <c:pt idx="31">
                  <c:v>94.2</c:v>
                </c:pt>
                <c:pt idx="32">
                  <c:v>94.4</c:v>
                </c:pt>
                <c:pt idx="33">
                  <c:v>93.2</c:v>
                </c:pt>
                <c:pt idx="34">
                  <c:v>94.2</c:v>
                </c:pt>
                <c:pt idx="35">
                  <c:v>94.3</c:v>
                </c:pt>
                <c:pt idx="36" formatCode="0.0">
                  <c:v>96</c:v>
                </c:pt>
                <c:pt idx="37" formatCode="0.0">
                  <c:v>95.3</c:v>
                </c:pt>
                <c:pt idx="38" formatCode="0.0">
                  <c:v>95.1</c:v>
                </c:pt>
                <c:pt idx="39" formatCode="0.0">
                  <c:v>93.8</c:v>
                </c:pt>
                <c:pt idx="40" formatCode="0.0">
                  <c:v>94.3</c:v>
                </c:pt>
                <c:pt idx="41" formatCode="0.0">
                  <c:v>93.5</c:v>
                </c:pt>
                <c:pt idx="42" formatCode="0.0">
                  <c:v>94</c:v>
                </c:pt>
                <c:pt idx="43" formatCode="0.0">
                  <c:v>95.3</c:v>
                </c:pt>
                <c:pt idx="44" formatCode="0.0">
                  <c:v>95.2</c:v>
                </c:pt>
                <c:pt idx="45" formatCode="0.0">
                  <c:v>95.2</c:v>
                </c:pt>
                <c:pt idx="46" formatCode="0.0">
                  <c:v>97.5</c:v>
                </c:pt>
                <c:pt idx="47" formatCode="0.0">
                  <c:v>97.1</c:v>
                </c:pt>
                <c:pt idx="48" formatCode="0.0">
                  <c:v>97</c:v>
                </c:pt>
                <c:pt idx="49" formatCode="0.0">
                  <c:v>95.9</c:v>
                </c:pt>
                <c:pt idx="50" formatCode="0.0">
                  <c:v>94.1</c:v>
                </c:pt>
                <c:pt idx="51" formatCode="0.0">
                  <c:v>95.1</c:v>
                </c:pt>
                <c:pt idx="52" formatCode="0.0">
                  <c:v>94.9</c:v>
                </c:pt>
                <c:pt idx="53" formatCode="0.0">
                  <c:v>95.2</c:v>
                </c:pt>
                <c:pt idx="54" formatCode="0.0">
                  <c:v>96.1</c:v>
                </c:pt>
                <c:pt idx="55" formatCode="0.0">
                  <c:v>96.8</c:v>
                </c:pt>
                <c:pt idx="56" formatCode="0.0">
                  <c:v>97</c:v>
                </c:pt>
                <c:pt idx="57" formatCode="0.0">
                  <c:v>97.4</c:v>
                </c:pt>
                <c:pt idx="58" formatCode="0.0">
                  <c:v>96.7</c:v>
                </c:pt>
                <c:pt idx="59" formatCode="0.0">
                  <c:v>97.5</c:v>
                </c:pt>
                <c:pt idx="60" formatCode="0.0">
                  <c:v>96.9</c:v>
                </c:pt>
                <c:pt idx="61" formatCode="0.0">
                  <c:v>97.5</c:v>
                </c:pt>
                <c:pt idx="62" formatCode="0.0">
                  <c:v>97</c:v>
                </c:pt>
                <c:pt idx="63" formatCode="0.0">
                  <c:v>97.6</c:v>
                </c:pt>
                <c:pt idx="64" formatCode="0.0">
                  <c:v>96.2</c:v>
                </c:pt>
                <c:pt idx="65" formatCode="0.0">
                  <c:v>97.4</c:v>
                </c:pt>
                <c:pt idx="66" formatCode="0.0">
                  <c:v>96.1</c:v>
                </c:pt>
                <c:pt idx="67" formatCode="0.0">
                  <c:v>96.9</c:v>
                </c:pt>
                <c:pt idx="68" formatCode="0.0">
                  <c:v>97.3</c:v>
                </c:pt>
              </c:numCache>
            </c:numRef>
          </c:val>
          <c:extLst xmlns:c16r2="http://schemas.microsoft.com/office/drawing/2015/06/chart">
            <c:ext xmlns:c16="http://schemas.microsoft.com/office/drawing/2014/chart" uri="{C3380CC4-5D6E-409C-BE32-E72D297353CC}">
              <c16:uniqueId val="{00000001-6D23-40D8-A3E6-B501DD667E59}"/>
            </c:ext>
          </c:extLst>
        </c:ser>
        <c:ser>
          <c:idx val="2"/>
          <c:order val="2"/>
          <c:tx>
            <c:strRef>
              <c:f>'souhrnná výkonnost 2'!$E$5</c:f>
              <c:strCache>
                <c:ptCount val="1"/>
                <c:pt idx="0">
                  <c:v>Důvěra spotřebitelů</c:v>
                </c:pt>
              </c:strCache>
            </c:strRef>
          </c:tx>
          <c:spPr>
            <a:ln w="19050">
              <a:solidFill>
                <a:srgbClr val="BD1B21"/>
              </a:solidFill>
            </a:ln>
          </c:spPr>
          <c:marker>
            <c:symbol val="none"/>
          </c:marker>
          <c:cat>
            <c:multiLvlStrRef>
              <c:f>'souhrnná výkonnost 2'!$A$18:$B$86</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2013</c:v>
                  </c:pt>
                  <c:pt idx="12">
                    <c:v>2014</c:v>
                  </c:pt>
                  <c:pt idx="24">
                    <c:v>2015</c:v>
                  </c:pt>
                  <c:pt idx="36">
                    <c:v>2016</c:v>
                  </c:pt>
                  <c:pt idx="48">
                    <c:v>2017</c:v>
                  </c:pt>
                  <c:pt idx="60">
                    <c:v>2018</c:v>
                  </c:pt>
                </c:lvl>
              </c:multiLvlStrCache>
            </c:multiLvlStrRef>
          </c:cat>
          <c:val>
            <c:numRef>
              <c:f>'souhrnná výkonnost 2'!$E$18:$E$86</c:f>
              <c:numCache>
                <c:formatCode>###,###,##0.0</c:formatCode>
                <c:ptCount val="69"/>
                <c:pt idx="0">
                  <c:v>73.8</c:v>
                </c:pt>
                <c:pt idx="1">
                  <c:v>79.5</c:v>
                </c:pt>
                <c:pt idx="2" formatCode="###,###,##0">
                  <c:v>81</c:v>
                </c:pt>
                <c:pt idx="3">
                  <c:v>77.900000000000006</c:v>
                </c:pt>
                <c:pt idx="4" formatCode="###,###,##0">
                  <c:v>82</c:v>
                </c:pt>
                <c:pt idx="5">
                  <c:v>82.8</c:v>
                </c:pt>
                <c:pt idx="6">
                  <c:v>81.3</c:v>
                </c:pt>
                <c:pt idx="7">
                  <c:v>84.9</c:v>
                </c:pt>
                <c:pt idx="8">
                  <c:v>87.7</c:v>
                </c:pt>
                <c:pt idx="9">
                  <c:v>88.5</c:v>
                </c:pt>
                <c:pt idx="10">
                  <c:v>92.8</c:v>
                </c:pt>
                <c:pt idx="11">
                  <c:v>92.6</c:v>
                </c:pt>
                <c:pt idx="12">
                  <c:v>96.9</c:v>
                </c:pt>
                <c:pt idx="13">
                  <c:v>93.1</c:v>
                </c:pt>
                <c:pt idx="14">
                  <c:v>96.7</c:v>
                </c:pt>
                <c:pt idx="15">
                  <c:v>98.4</c:v>
                </c:pt>
                <c:pt idx="16">
                  <c:v>98.2</c:v>
                </c:pt>
                <c:pt idx="17">
                  <c:v>99.4</c:v>
                </c:pt>
                <c:pt idx="18">
                  <c:v>99.9</c:v>
                </c:pt>
                <c:pt idx="19">
                  <c:v>97.9</c:v>
                </c:pt>
                <c:pt idx="20">
                  <c:v>96.3</c:v>
                </c:pt>
                <c:pt idx="21">
                  <c:v>100.2</c:v>
                </c:pt>
                <c:pt idx="22">
                  <c:v>103.6</c:v>
                </c:pt>
                <c:pt idx="23">
                  <c:v>105.1</c:v>
                </c:pt>
                <c:pt idx="24">
                  <c:v>106.7</c:v>
                </c:pt>
                <c:pt idx="25">
                  <c:v>105.7</c:v>
                </c:pt>
                <c:pt idx="26">
                  <c:v>105.7</c:v>
                </c:pt>
                <c:pt idx="27">
                  <c:v>104.3</c:v>
                </c:pt>
                <c:pt idx="28">
                  <c:v>103.6</c:v>
                </c:pt>
                <c:pt idx="29">
                  <c:v>104.3</c:v>
                </c:pt>
                <c:pt idx="30">
                  <c:v>103.6</c:v>
                </c:pt>
                <c:pt idx="31">
                  <c:v>103.6</c:v>
                </c:pt>
                <c:pt idx="32">
                  <c:v>103.3</c:v>
                </c:pt>
                <c:pt idx="33">
                  <c:v>104.8</c:v>
                </c:pt>
                <c:pt idx="34">
                  <c:v>105.3</c:v>
                </c:pt>
                <c:pt idx="35">
                  <c:v>107.4</c:v>
                </c:pt>
                <c:pt idx="36" formatCode="0.0">
                  <c:v>110</c:v>
                </c:pt>
                <c:pt idx="37" formatCode="0.0">
                  <c:v>106.2</c:v>
                </c:pt>
                <c:pt idx="38" formatCode="0.0">
                  <c:v>104.8</c:v>
                </c:pt>
                <c:pt idx="39" formatCode="0.0">
                  <c:v>104.3</c:v>
                </c:pt>
                <c:pt idx="40" formatCode="0.0">
                  <c:v>104.3</c:v>
                </c:pt>
                <c:pt idx="41" formatCode="0.0">
                  <c:v>103.8</c:v>
                </c:pt>
                <c:pt idx="42" formatCode="0.0">
                  <c:v>102.3</c:v>
                </c:pt>
                <c:pt idx="43" formatCode="0.0">
                  <c:v>104.3</c:v>
                </c:pt>
                <c:pt idx="44" formatCode="0.0">
                  <c:v>106.4</c:v>
                </c:pt>
                <c:pt idx="45" formatCode="0.0">
                  <c:v>108.9</c:v>
                </c:pt>
                <c:pt idx="46" formatCode="0.0">
                  <c:v>107.9</c:v>
                </c:pt>
                <c:pt idx="47" formatCode="0.0">
                  <c:v>108.7</c:v>
                </c:pt>
                <c:pt idx="48" formatCode="0.0">
                  <c:v>110</c:v>
                </c:pt>
                <c:pt idx="49" formatCode="0.0">
                  <c:v>108.2</c:v>
                </c:pt>
                <c:pt idx="50" formatCode="0.0">
                  <c:v>108.7</c:v>
                </c:pt>
                <c:pt idx="51" formatCode="0.0">
                  <c:v>108.4</c:v>
                </c:pt>
                <c:pt idx="52" formatCode="0.0">
                  <c:v>108.4</c:v>
                </c:pt>
                <c:pt idx="53" formatCode="0.0">
                  <c:v>106.2</c:v>
                </c:pt>
                <c:pt idx="54" formatCode="0.0">
                  <c:v>105.7</c:v>
                </c:pt>
                <c:pt idx="55" formatCode="0.0">
                  <c:v>107.9</c:v>
                </c:pt>
                <c:pt idx="56" formatCode="0.0">
                  <c:v>109.2</c:v>
                </c:pt>
                <c:pt idx="57" formatCode="0.0">
                  <c:v>108.7</c:v>
                </c:pt>
                <c:pt idx="58" formatCode="0.0">
                  <c:v>110.3</c:v>
                </c:pt>
                <c:pt idx="59" formatCode="0.0">
                  <c:v>110</c:v>
                </c:pt>
                <c:pt idx="60" formatCode="0.0">
                  <c:v>112.3</c:v>
                </c:pt>
                <c:pt idx="61" formatCode="0.0">
                  <c:v>112</c:v>
                </c:pt>
                <c:pt idx="62" formatCode="0.0">
                  <c:v>112.8</c:v>
                </c:pt>
                <c:pt idx="63" formatCode="0.0">
                  <c:v>112.5</c:v>
                </c:pt>
                <c:pt idx="64" formatCode="0.0">
                  <c:v>113.8</c:v>
                </c:pt>
                <c:pt idx="65" formatCode="0.0">
                  <c:v>113</c:v>
                </c:pt>
                <c:pt idx="66" formatCode="0.0">
                  <c:v>111.8</c:v>
                </c:pt>
                <c:pt idx="67" formatCode="0.0">
                  <c:v>110.3</c:v>
                </c:pt>
                <c:pt idx="68" formatCode="0.0">
                  <c:v>111</c:v>
                </c:pt>
              </c:numCache>
            </c:numRef>
          </c:val>
          <c:extLst xmlns:c16r2="http://schemas.microsoft.com/office/drawing/2015/06/chart">
            <c:ext xmlns:c16="http://schemas.microsoft.com/office/drawing/2014/chart" uri="{C3380CC4-5D6E-409C-BE32-E72D297353CC}">
              <c16:uniqueId val="{00000002-6D23-40D8-A3E6-B501DD667E59}"/>
            </c:ext>
          </c:extLst>
        </c:ser>
        <c:ser>
          <c:idx val="1"/>
          <c:order val="3"/>
          <c:tx>
            <c:strRef>
              <c:f>'souhrnná výkonnost 2'!$F$5</c:f>
              <c:strCache>
                <c:ptCount val="1"/>
                <c:pt idx="0">
                  <c:v>Souhrnný indikátor</c:v>
                </c:pt>
              </c:strCache>
            </c:strRef>
          </c:tx>
          <c:spPr>
            <a:ln w="19050">
              <a:solidFill>
                <a:schemeClr val="tx1"/>
              </a:solidFill>
            </a:ln>
          </c:spPr>
          <c:marker>
            <c:symbol val="none"/>
          </c:marker>
          <c:cat>
            <c:multiLvlStrRef>
              <c:f>'souhrnná výkonnost 2'!$A$18:$B$86</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2013</c:v>
                  </c:pt>
                  <c:pt idx="12">
                    <c:v>2014</c:v>
                  </c:pt>
                  <c:pt idx="24">
                    <c:v>2015</c:v>
                  </c:pt>
                  <c:pt idx="36">
                    <c:v>2016</c:v>
                  </c:pt>
                  <c:pt idx="48">
                    <c:v>2017</c:v>
                  </c:pt>
                  <c:pt idx="60">
                    <c:v>2018</c:v>
                  </c:pt>
                </c:lvl>
              </c:multiLvlStrCache>
            </c:multiLvlStrRef>
          </c:cat>
          <c:val>
            <c:numRef>
              <c:f>'souhrnná výkonnost 2'!$F$18:$F$86</c:f>
              <c:numCache>
                <c:formatCode>###,###,##0.0</c:formatCode>
                <c:ptCount val="69"/>
                <c:pt idx="0">
                  <c:v>82.8</c:v>
                </c:pt>
                <c:pt idx="1">
                  <c:v>84.2</c:v>
                </c:pt>
                <c:pt idx="2">
                  <c:v>84.4</c:v>
                </c:pt>
                <c:pt idx="3">
                  <c:v>81.900000000000006</c:v>
                </c:pt>
                <c:pt idx="4">
                  <c:v>83.3</c:v>
                </c:pt>
                <c:pt idx="5">
                  <c:v>83.8</c:v>
                </c:pt>
                <c:pt idx="6">
                  <c:v>83.6</c:v>
                </c:pt>
                <c:pt idx="7">
                  <c:v>84.8</c:v>
                </c:pt>
                <c:pt idx="8">
                  <c:v>87.5</c:v>
                </c:pt>
                <c:pt idx="9">
                  <c:v>88.9</c:v>
                </c:pt>
                <c:pt idx="10">
                  <c:v>90.4</c:v>
                </c:pt>
                <c:pt idx="11">
                  <c:v>91.2</c:v>
                </c:pt>
                <c:pt idx="12">
                  <c:v>91.3</c:v>
                </c:pt>
                <c:pt idx="13">
                  <c:v>91.2</c:v>
                </c:pt>
                <c:pt idx="14">
                  <c:v>92.4</c:v>
                </c:pt>
                <c:pt idx="15">
                  <c:v>92.6</c:v>
                </c:pt>
                <c:pt idx="16">
                  <c:v>92.6</c:v>
                </c:pt>
                <c:pt idx="17">
                  <c:v>93.6</c:v>
                </c:pt>
                <c:pt idx="18" formatCode="###,###,##0">
                  <c:v>93</c:v>
                </c:pt>
                <c:pt idx="19">
                  <c:v>93.4</c:v>
                </c:pt>
                <c:pt idx="20">
                  <c:v>93.7</c:v>
                </c:pt>
                <c:pt idx="21">
                  <c:v>94.1</c:v>
                </c:pt>
                <c:pt idx="22">
                  <c:v>95.2</c:v>
                </c:pt>
                <c:pt idx="23">
                  <c:v>96.5</c:v>
                </c:pt>
                <c:pt idx="24">
                  <c:v>96.4</c:v>
                </c:pt>
                <c:pt idx="25">
                  <c:v>95.5</c:v>
                </c:pt>
                <c:pt idx="26">
                  <c:v>95.1</c:v>
                </c:pt>
                <c:pt idx="27">
                  <c:v>95.1</c:v>
                </c:pt>
                <c:pt idx="28">
                  <c:v>95.5</c:v>
                </c:pt>
                <c:pt idx="29" formatCode="###,###,##0">
                  <c:v>97</c:v>
                </c:pt>
                <c:pt idx="30">
                  <c:v>96.1</c:v>
                </c:pt>
                <c:pt idx="31">
                  <c:v>95.7</c:v>
                </c:pt>
                <c:pt idx="32">
                  <c:v>95.9</c:v>
                </c:pt>
                <c:pt idx="33">
                  <c:v>95.1</c:v>
                </c:pt>
                <c:pt idx="34" formatCode="###,###,##0">
                  <c:v>96</c:v>
                </c:pt>
                <c:pt idx="35">
                  <c:v>96.5</c:v>
                </c:pt>
                <c:pt idx="36" formatCode="0.0">
                  <c:v>98.4</c:v>
                </c:pt>
                <c:pt idx="37" formatCode="0.0">
                  <c:v>97.1</c:v>
                </c:pt>
                <c:pt idx="38" formatCode="0.0">
                  <c:v>96.7</c:v>
                </c:pt>
                <c:pt idx="39" formatCode="0.0">
                  <c:v>95.6</c:v>
                </c:pt>
                <c:pt idx="40" formatCode="0.0">
                  <c:v>96</c:v>
                </c:pt>
                <c:pt idx="41" formatCode="0.0">
                  <c:v>95.3</c:v>
                </c:pt>
                <c:pt idx="42" formatCode="0.0">
                  <c:v>95.4</c:v>
                </c:pt>
                <c:pt idx="43" formatCode="0.0">
                  <c:v>96.8</c:v>
                </c:pt>
                <c:pt idx="44" formatCode="0.0">
                  <c:v>97.1</c:v>
                </c:pt>
                <c:pt idx="45" formatCode="0.0">
                  <c:v>97.5</c:v>
                </c:pt>
                <c:pt idx="46" formatCode="0.0">
                  <c:v>99.3</c:v>
                </c:pt>
                <c:pt idx="47" formatCode="0.0">
                  <c:v>99.1</c:v>
                </c:pt>
                <c:pt idx="48" formatCode="0.0">
                  <c:v>99.2</c:v>
                </c:pt>
                <c:pt idx="49" formatCode="0.0">
                  <c:v>98</c:v>
                </c:pt>
                <c:pt idx="50" formatCode="0.0">
                  <c:v>96.6</c:v>
                </c:pt>
                <c:pt idx="51" formatCode="0.0">
                  <c:v>97.4</c:v>
                </c:pt>
                <c:pt idx="52" formatCode="0.0">
                  <c:v>97.2</c:v>
                </c:pt>
                <c:pt idx="53" formatCode="0.0">
                  <c:v>97.1</c:v>
                </c:pt>
                <c:pt idx="54" formatCode="0.0">
                  <c:v>97.7</c:v>
                </c:pt>
                <c:pt idx="55" formatCode="0.0">
                  <c:v>98.7</c:v>
                </c:pt>
                <c:pt idx="56" formatCode="0.0">
                  <c:v>99.1</c:v>
                </c:pt>
                <c:pt idx="57" formatCode="0.0">
                  <c:v>99.3</c:v>
                </c:pt>
                <c:pt idx="58" formatCode="0.0">
                  <c:v>99</c:v>
                </c:pt>
                <c:pt idx="59" formatCode="0.0">
                  <c:v>99.6</c:v>
                </c:pt>
                <c:pt idx="60" formatCode="0.0">
                  <c:v>99.5</c:v>
                </c:pt>
                <c:pt idx="61" formatCode="0.0">
                  <c:v>99.9</c:v>
                </c:pt>
                <c:pt idx="62" formatCode="0.0">
                  <c:v>99.7</c:v>
                </c:pt>
                <c:pt idx="63" formatCode="0.0">
                  <c:v>100.1</c:v>
                </c:pt>
                <c:pt idx="64" formatCode="0.0">
                  <c:v>99.2</c:v>
                </c:pt>
                <c:pt idx="65" formatCode="0.0">
                  <c:v>100</c:v>
                </c:pt>
                <c:pt idx="66" formatCode="0.0">
                  <c:v>98.7</c:v>
                </c:pt>
                <c:pt idx="67" formatCode="0.0">
                  <c:v>99.1</c:v>
                </c:pt>
                <c:pt idx="68" formatCode="0.0">
                  <c:v>99.6</c:v>
                </c:pt>
              </c:numCache>
            </c:numRef>
          </c:val>
          <c:extLst xmlns:c16r2="http://schemas.microsoft.com/office/drawing/2015/06/chart">
            <c:ext xmlns:c16="http://schemas.microsoft.com/office/drawing/2014/chart" uri="{C3380CC4-5D6E-409C-BE32-E72D297353CC}">
              <c16:uniqueId val="{00000003-6D23-40D8-A3E6-B501DD667E59}"/>
            </c:ext>
          </c:extLst>
        </c:ser>
        <c:marker val="1"/>
        <c:axId val="77734656"/>
        <c:axId val="77736192"/>
      </c:lineChart>
      <c:catAx>
        <c:axId val="77734656"/>
        <c:scaling>
          <c:orientation val="minMax"/>
        </c:scaling>
        <c:axPos val="b"/>
        <c:numFmt formatCode="General" sourceLinked="0"/>
        <c:tickLblPos val="low"/>
        <c:spPr>
          <a:ln>
            <a:solidFill>
              <a:schemeClr val="tx1"/>
            </a:solidFill>
          </a:ln>
        </c:spPr>
        <c:crossAx val="77736192"/>
        <c:crossesAt val="100"/>
        <c:auto val="1"/>
        <c:lblAlgn val="ctr"/>
        <c:lblOffset val="100"/>
      </c:catAx>
      <c:valAx>
        <c:axId val="77736192"/>
        <c:scaling>
          <c:orientation val="minMax"/>
          <c:min val="70"/>
        </c:scaling>
        <c:axPos val="l"/>
        <c:majorGridlines>
          <c:spPr>
            <a:ln w="6350">
              <a:solidFill>
                <a:schemeClr val="bg1">
                  <a:lumMod val="75000"/>
                </a:schemeClr>
              </a:solidFill>
            </a:ln>
          </c:spPr>
        </c:majorGridlines>
        <c:numFmt formatCode="#,##0" sourceLinked="0"/>
        <c:tickLblPos val="nextTo"/>
        <c:spPr>
          <a:ln>
            <a:solidFill>
              <a:schemeClr val="tx1"/>
            </a:solidFill>
          </a:ln>
        </c:spPr>
        <c:crossAx val="77734656"/>
        <c:crosses val="autoZero"/>
        <c:crossBetween val="between"/>
        <c:majorUnit val="5"/>
      </c:valAx>
      <c:valAx>
        <c:axId val="77754368"/>
        <c:scaling>
          <c:orientation val="minMax"/>
          <c:min val="-2"/>
        </c:scaling>
        <c:axPos val="r"/>
        <c:numFmt formatCode="0" sourceLinked="0"/>
        <c:tickLblPos val="nextTo"/>
        <c:spPr>
          <a:ln>
            <a:solidFill>
              <a:schemeClr val="tx1"/>
            </a:solidFill>
          </a:ln>
        </c:spPr>
        <c:crossAx val="77755904"/>
        <c:crosses val="max"/>
        <c:crossBetween val="between"/>
        <c:majorUnit val="1"/>
      </c:valAx>
      <c:catAx>
        <c:axId val="77755904"/>
        <c:scaling>
          <c:orientation val="minMax"/>
        </c:scaling>
        <c:delete val="1"/>
        <c:axPos val="b"/>
        <c:tickLblPos val="none"/>
        <c:crossAx val="77754368"/>
        <c:crossesAt val="0"/>
        <c:auto val="1"/>
        <c:lblAlgn val="ctr"/>
        <c:lblOffset val="100"/>
      </c:catAx>
      <c:spPr>
        <a:ln>
          <a:solidFill>
            <a:schemeClr val="tx1"/>
          </a:solidFill>
        </a:ln>
      </c:spPr>
    </c:plotArea>
    <c:legend>
      <c:legendPos val="b"/>
      <c:layout>
        <c:manualLayout>
          <c:xMode val="edge"/>
          <c:yMode val="edge"/>
          <c:x val="6.2295583422442583E-2"/>
          <c:y val="0.90228835978834843"/>
          <c:w val="0.88075331324325201"/>
          <c:h val="8.264578408195417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654503640965086E-2"/>
          <c:y val="1.7112323287741895E-2"/>
          <c:w val="0.88571919735113303"/>
          <c:h val="0.75695536165419453"/>
        </c:manualLayout>
      </c:layout>
      <c:barChart>
        <c:barDir val="col"/>
        <c:grouping val="clustered"/>
        <c:ser>
          <c:idx val="0"/>
          <c:order val="0"/>
          <c:tx>
            <c:strRef>
              <c:f>'Státní rozpočet--1-3q-výdaje'!$B$31</c:f>
              <c:strCache>
                <c:ptCount val="1"/>
                <c:pt idx="0">
                  <c:v>Běžné výdaje (pravá osa)</c:v>
                </c:pt>
              </c:strCache>
            </c:strRef>
          </c:tx>
          <c:spPr>
            <a:solidFill>
              <a:schemeClr val="bg1">
                <a:lumMod val="75000"/>
              </a:schemeClr>
            </a:solidFill>
            <a:ln>
              <a:noFill/>
            </a:ln>
          </c:spPr>
          <c:cat>
            <c:numRef>
              <c:f>'Státní rozpočet--1-3q-výdaje'!$A$32:$A$45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rozpočet--1-3q-výdaje'!$B$32:$B$45</c:f>
              <c:numCache>
                <c:formatCode>0.0</c:formatCode>
                <c:ptCount val="14"/>
                <c:pt idx="0">
                  <c:v>572.84999999999798</c:v>
                </c:pt>
                <c:pt idx="1">
                  <c:v>623.23</c:v>
                </c:pt>
                <c:pt idx="2">
                  <c:v>657.35999999999797</c:v>
                </c:pt>
                <c:pt idx="3">
                  <c:v>707.04</c:v>
                </c:pt>
                <c:pt idx="4">
                  <c:v>734.05</c:v>
                </c:pt>
                <c:pt idx="5">
                  <c:v>754.15</c:v>
                </c:pt>
                <c:pt idx="6">
                  <c:v>764.93</c:v>
                </c:pt>
                <c:pt idx="7">
                  <c:v>755.57</c:v>
                </c:pt>
                <c:pt idx="8">
                  <c:v>786.27000000000055</c:v>
                </c:pt>
                <c:pt idx="9">
                  <c:v>801.1</c:v>
                </c:pt>
                <c:pt idx="10">
                  <c:v>822.78000000000054</c:v>
                </c:pt>
                <c:pt idx="11">
                  <c:v>831.32999999999947</c:v>
                </c:pt>
                <c:pt idx="12">
                  <c:v>881.38</c:v>
                </c:pt>
                <c:pt idx="13">
                  <c:v>946.51</c:v>
                </c:pt>
              </c:numCache>
            </c:numRef>
          </c:val>
          <c:extLst xmlns:c16r2="http://schemas.microsoft.com/office/drawing/2015/06/chart">
            <c:ext xmlns:c16="http://schemas.microsoft.com/office/drawing/2014/chart" uri="{C3380CC4-5D6E-409C-BE32-E72D297353CC}">
              <c16:uniqueId val="{00000000-7F0F-4617-92A1-CFA3BCC73D65}"/>
            </c:ext>
          </c:extLst>
        </c:ser>
        <c:gapWidth val="70"/>
        <c:axId val="107502208"/>
        <c:axId val="107500672"/>
      </c:barChart>
      <c:lineChart>
        <c:grouping val="standard"/>
        <c:ser>
          <c:idx val="1"/>
          <c:order val="1"/>
          <c:tx>
            <c:strRef>
              <c:f>'Státní rozpočet--1-3q-výdaje'!$C$31</c:f>
              <c:strCache>
                <c:ptCount val="1"/>
                <c:pt idx="0">
                  <c:v>Platy státních zaměstnanců</c:v>
                </c:pt>
              </c:strCache>
            </c:strRef>
          </c:tx>
          <c:spPr>
            <a:ln w="19050">
              <a:solidFill>
                <a:srgbClr val="0071BC"/>
              </a:solidFill>
            </a:ln>
          </c:spPr>
          <c:marker>
            <c:symbol val="none"/>
          </c:marker>
          <c:cat>
            <c:numRef>
              <c:f>'Státní rozpočet--1-3q-výdaje'!$A$32:$A$45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rozpočet--1-3q-výdaje'!$C$32:$C$45</c:f>
              <c:numCache>
                <c:formatCode>0.0</c:formatCode>
                <c:ptCount val="14"/>
                <c:pt idx="0">
                  <c:v>55.24</c:v>
                </c:pt>
                <c:pt idx="1">
                  <c:v>57.61</c:v>
                </c:pt>
                <c:pt idx="2">
                  <c:v>61.349999999999994</c:v>
                </c:pt>
                <c:pt idx="3">
                  <c:v>61.44</c:v>
                </c:pt>
                <c:pt idx="4">
                  <c:v>63.790000000000013</c:v>
                </c:pt>
                <c:pt idx="5">
                  <c:v>63.5</c:v>
                </c:pt>
                <c:pt idx="6">
                  <c:v>57.879999999999995</c:v>
                </c:pt>
                <c:pt idx="7">
                  <c:v>58.77</c:v>
                </c:pt>
                <c:pt idx="8">
                  <c:v>60.04</c:v>
                </c:pt>
                <c:pt idx="9">
                  <c:v>61.89</c:v>
                </c:pt>
                <c:pt idx="10">
                  <c:v>67.66</c:v>
                </c:pt>
                <c:pt idx="11">
                  <c:v>70.25</c:v>
                </c:pt>
                <c:pt idx="12">
                  <c:v>76.149999999999991</c:v>
                </c:pt>
                <c:pt idx="13">
                  <c:v>86.01</c:v>
                </c:pt>
              </c:numCache>
            </c:numRef>
          </c:val>
          <c:extLst xmlns:c16r2="http://schemas.microsoft.com/office/drawing/2015/06/chart">
            <c:ext xmlns:c16="http://schemas.microsoft.com/office/drawing/2014/chart" uri="{C3380CC4-5D6E-409C-BE32-E72D297353CC}">
              <c16:uniqueId val="{00000001-7F0F-4617-92A1-CFA3BCC73D65}"/>
            </c:ext>
          </c:extLst>
        </c:ser>
        <c:ser>
          <c:idx val="2"/>
          <c:order val="2"/>
          <c:tx>
            <c:strRef>
              <c:f>'Státní rozpočet--1-3q-výdaje'!$D$31</c:f>
              <c:strCache>
                <c:ptCount val="1"/>
                <c:pt idx="0">
                  <c:v>Podpora v nezaměstnanosti</c:v>
                </c:pt>
              </c:strCache>
            </c:strRef>
          </c:tx>
          <c:spPr>
            <a:ln w="19050">
              <a:solidFill>
                <a:srgbClr val="984807"/>
              </a:solidFill>
            </a:ln>
          </c:spPr>
          <c:marker>
            <c:symbol val="none"/>
          </c:marker>
          <c:cat>
            <c:numRef>
              <c:f>'Státní rozpočet--1-3q-výdaje'!$A$32:$A$45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rozpočet--1-3q-výdaje'!$D$32:$D$45</c:f>
              <c:numCache>
                <c:formatCode>0.0</c:formatCode>
                <c:ptCount val="14"/>
                <c:pt idx="0">
                  <c:v>5.38</c:v>
                </c:pt>
                <c:pt idx="1">
                  <c:v>5.63</c:v>
                </c:pt>
                <c:pt idx="2">
                  <c:v>5.44</c:v>
                </c:pt>
                <c:pt idx="3">
                  <c:v>5.29</c:v>
                </c:pt>
                <c:pt idx="4">
                  <c:v>11.41</c:v>
                </c:pt>
                <c:pt idx="5">
                  <c:v>10.65</c:v>
                </c:pt>
                <c:pt idx="6">
                  <c:v>8.3600000000000048</c:v>
                </c:pt>
                <c:pt idx="7">
                  <c:v>6.78</c:v>
                </c:pt>
                <c:pt idx="8">
                  <c:v>7.53</c:v>
                </c:pt>
                <c:pt idx="9">
                  <c:v>7.33</c:v>
                </c:pt>
                <c:pt idx="10">
                  <c:v>6.46</c:v>
                </c:pt>
                <c:pt idx="11">
                  <c:v>6.39</c:v>
                </c:pt>
                <c:pt idx="12">
                  <c:v>6.1099999999999985</c:v>
                </c:pt>
                <c:pt idx="13">
                  <c:v>5.7700000000000014</c:v>
                </c:pt>
              </c:numCache>
            </c:numRef>
          </c:val>
          <c:extLst xmlns:c16r2="http://schemas.microsoft.com/office/drawing/2015/06/chart">
            <c:ext xmlns:c16="http://schemas.microsoft.com/office/drawing/2014/chart" uri="{C3380CC4-5D6E-409C-BE32-E72D297353CC}">
              <c16:uniqueId val="{00000002-7F0F-4617-92A1-CFA3BCC73D65}"/>
            </c:ext>
          </c:extLst>
        </c:ser>
        <c:ser>
          <c:idx val="3"/>
          <c:order val="3"/>
          <c:tx>
            <c:strRef>
              <c:f>'Státní rozpočet--1-3q-výdaje'!$E$31</c:f>
              <c:strCache>
                <c:ptCount val="1"/>
                <c:pt idx="0">
                  <c:v>Státní sociální podpora*</c:v>
                </c:pt>
              </c:strCache>
            </c:strRef>
          </c:tx>
          <c:spPr>
            <a:ln w="19050">
              <a:solidFill>
                <a:srgbClr val="7DBB2D"/>
              </a:solidFill>
            </a:ln>
          </c:spPr>
          <c:marker>
            <c:symbol val="none"/>
          </c:marker>
          <c:cat>
            <c:numRef>
              <c:f>'Státní rozpočet--1-3q-výdaje'!$A$32:$A$45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rozpočet--1-3q-výdaje'!$E$32:$E$45</c:f>
              <c:numCache>
                <c:formatCode>General</c:formatCode>
                <c:ptCount val="14"/>
                <c:pt idx="0">
                  <c:v>25.01</c:v>
                </c:pt>
                <c:pt idx="1">
                  <c:v>25.77</c:v>
                </c:pt>
                <c:pt idx="2">
                  <c:v>36.410000000000004</c:v>
                </c:pt>
                <c:pt idx="3">
                  <c:v>31.979999999999986</c:v>
                </c:pt>
                <c:pt idx="4">
                  <c:v>30.95</c:v>
                </c:pt>
                <c:pt idx="5">
                  <c:v>30.85</c:v>
                </c:pt>
                <c:pt idx="6">
                  <c:v>27.32</c:v>
                </c:pt>
                <c:pt idx="7">
                  <c:v>26.77</c:v>
                </c:pt>
                <c:pt idx="8">
                  <c:v>28.04</c:v>
                </c:pt>
                <c:pt idx="9">
                  <c:v>28.22</c:v>
                </c:pt>
                <c:pt idx="10">
                  <c:v>28.27</c:v>
                </c:pt>
                <c:pt idx="11">
                  <c:v>28.38</c:v>
                </c:pt>
                <c:pt idx="12">
                  <c:v>28.02</c:v>
                </c:pt>
                <c:pt idx="13">
                  <c:v>29.34</c:v>
                </c:pt>
              </c:numCache>
            </c:numRef>
          </c:val>
          <c:extLst xmlns:c16r2="http://schemas.microsoft.com/office/drawing/2015/06/chart">
            <c:ext xmlns:c16="http://schemas.microsoft.com/office/drawing/2014/chart" uri="{C3380CC4-5D6E-409C-BE32-E72D297353CC}">
              <c16:uniqueId val="{00000003-7F0F-4617-92A1-CFA3BCC73D65}"/>
            </c:ext>
          </c:extLst>
        </c:ser>
        <c:ser>
          <c:idx val="4"/>
          <c:order val="4"/>
          <c:tx>
            <c:strRef>
              <c:f>'Státní rozpočet--1-3q-výdaje'!$F$31</c:f>
              <c:strCache>
                <c:ptCount val="1"/>
                <c:pt idx="0">
                  <c:v>Dávky nemocenského pojištění</c:v>
                </c:pt>
              </c:strCache>
            </c:strRef>
          </c:tx>
          <c:spPr>
            <a:ln w="19050">
              <a:solidFill>
                <a:srgbClr val="F8A124"/>
              </a:solidFill>
            </a:ln>
          </c:spPr>
          <c:marker>
            <c:symbol val="none"/>
          </c:marker>
          <c:cat>
            <c:numRef>
              <c:f>'Státní rozpočet--1-3q-výdaje'!$A$32:$A$45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rozpočet--1-3q-výdaje'!$F$32:$F$45</c:f>
              <c:numCache>
                <c:formatCode>0.00</c:formatCode>
                <c:ptCount val="14"/>
                <c:pt idx="0">
                  <c:v>24.5</c:v>
                </c:pt>
                <c:pt idx="1">
                  <c:v>25.2</c:v>
                </c:pt>
                <c:pt idx="2">
                  <c:v>26.130000000000031</c:v>
                </c:pt>
                <c:pt idx="3">
                  <c:v>24.12</c:v>
                </c:pt>
                <c:pt idx="4">
                  <c:v>20.07</c:v>
                </c:pt>
                <c:pt idx="5">
                  <c:v>16.8</c:v>
                </c:pt>
                <c:pt idx="6">
                  <c:v>16.82</c:v>
                </c:pt>
                <c:pt idx="7">
                  <c:v>14.84</c:v>
                </c:pt>
                <c:pt idx="8">
                  <c:v>15.44</c:v>
                </c:pt>
                <c:pt idx="9">
                  <c:v>16.649999999999999</c:v>
                </c:pt>
                <c:pt idx="10">
                  <c:v>18.23</c:v>
                </c:pt>
                <c:pt idx="11">
                  <c:v>19.88</c:v>
                </c:pt>
                <c:pt idx="12">
                  <c:v>21.43</c:v>
                </c:pt>
                <c:pt idx="13">
                  <c:v>25.479999999999986</c:v>
                </c:pt>
              </c:numCache>
            </c:numRef>
          </c:val>
          <c:extLst xmlns:c16r2="http://schemas.microsoft.com/office/drawing/2015/06/chart">
            <c:ext xmlns:c16="http://schemas.microsoft.com/office/drawing/2014/chart" uri="{C3380CC4-5D6E-409C-BE32-E72D297353CC}">
              <c16:uniqueId val="{00000004-7F0F-4617-92A1-CFA3BCC73D65}"/>
            </c:ext>
          </c:extLst>
        </c:ser>
        <c:ser>
          <c:idx val="5"/>
          <c:order val="5"/>
          <c:tx>
            <c:strRef>
              <c:f>'Státní rozpočet--1-3q-výdaje'!$G$31</c:f>
              <c:strCache>
                <c:ptCount val="1"/>
                <c:pt idx="0">
                  <c:v>Dávky sociální péče**</c:v>
                </c:pt>
              </c:strCache>
            </c:strRef>
          </c:tx>
          <c:spPr>
            <a:ln w="19050">
              <a:solidFill>
                <a:srgbClr val="48AEE7"/>
              </a:solidFill>
            </a:ln>
          </c:spPr>
          <c:marker>
            <c:symbol val="none"/>
          </c:marker>
          <c:cat>
            <c:numRef>
              <c:f>'Státní rozpočet--1-3q-výdaje'!$A$32:$A$45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rozpočet--1-3q-výdaje'!$G$32:$G$45</c:f>
              <c:numCache>
                <c:formatCode>General</c:formatCode>
                <c:ptCount val="14"/>
                <c:pt idx="2" formatCode="0.00">
                  <c:v>16.7</c:v>
                </c:pt>
                <c:pt idx="3" formatCode="0.00">
                  <c:v>18.600000000000001</c:v>
                </c:pt>
                <c:pt idx="4" formatCode="0.00">
                  <c:v>18.899999999999999</c:v>
                </c:pt>
                <c:pt idx="5" formatCode="0.00">
                  <c:v>19.600000000000001</c:v>
                </c:pt>
                <c:pt idx="6" formatCode="0.00">
                  <c:v>19.100000000000001</c:v>
                </c:pt>
                <c:pt idx="7" formatCode="0.00">
                  <c:v>20.309999999999999</c:v>
                </c:pt>
                <c:pt idx="8" formatCode="0.00">
                  <c:v>23.73</c:v>
                </c:pt>
                <c:pt idx="9" formatCode="0.00">
                  <c:v>25.18</c:v>
                </c:pt>
                <c:pt idx="10" formatCode="0.00">
                  <c:v>25.259999999999987</c:v>
                </c:pt>
                <c:pt idx="11" formatCode="0.00">
                  <c:v>25.4</c:v>
                </c:pt>
                <c:pt idx="12" formatCode="0.00">
                  <c:v>25.959999999999987</c:v>
                </c:pt>
                <c:pt idx="13" formatCode="0.00">
                  <c:v>25.56</c:v>
                </c:pt>
              </c:numCache>
            </c:numRef>
          </c:val>
          <c:extLst xmlns:c16r2="http://schemas.microsoft.com/office/drawing/2015/06/chart">
            <c:ext xmlns:c16="http://schemas.microsoft.com/office/drawing/2014/chart" uri="{C3380CC4-5D6E-409C-BE32-E72D297353CC}">
              <c16:uniqueId val="{00000005-7F0F-4617-92A1-CFA3BCC73D65}"/>
            </c:ext>
          </c:extLst>
        </c:ser>
        <c:ser>
          <c:idx val="6"/>
          <c:order val="6"/>
          <c:tx>
            <c:strRef>
              <c:f>'Státní rozpočet--1-3q-výdaje'!$H$31</c:f>
              <c:strCache>
                <c:ptCount val="1"/>
                <c:pt idx="0">
                  <c:v>Neinvestiční nákupy a souvis.výdaje***</c:v>
                </c:pt>
              </c:strCache>
            </c:strRef>
          </c:tx>
          <c:spPr>
            <a:ln w="19050">
              <a:solidFill>
                <a:srgbClr val="7030A0"/>
              </a:solidFill>
            </a:ln>
          </c:spPr>
          <c:marker>
            <c:symbol val="none"/>
          </c:marker>
          <c:cat>
            <c:numRef>
              <c:f>'Státní rozpočet--1-3q-výdaje'!$A$32:$A$45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rozpočet--1-3q-výdaje'!$H$32:$H$45</c:f>
              <c:numCache>
                <c:formatCode>General</c:formatCode>
                <c:ptCount val="14"/>
                <c:pt idx="6" formatCode="0.00">
                  <c:v>38.64</c:v>
                </c:pt>
                <c:pt idx="7" formatCode="0.00">
                  <c:v>34.99</c:v>
                </c:pt>
                <c:pt idx="8" formatCode="0.00">
                  <c:v>33.93</c:v>
                </c:pt>
                <c:pt idx="9" formatCode="0.00">
                  <c:v>33.94</c:v>
                </c:pt>
                <c:pt idx="10" formatCode="0.00">
                  <c:v>38.309999999999995</c:v>
                </c:pt>
                <c:pt idx="11" formatCode="0.00">
                  <c:v>36.660000000000011</c:v>
                </c:pt>
                <c:pt idx="12" formatCode="0.00">
                  <c:v>41.17</c:v>
                </c:pt>
                <c:pt idx="13" formatCode="0.00">
                  <c:v>42.86</c:v>
                </c:pt>
              </c:numCache>
            </c:numRef>
          </c:val>
          <c:extLst xmlns:c16r2="http://schemas.microsoft.com/office/drawing/2015/06/chart">
            <c:ext xmlns:c16="http://schemas.microsoft.com/office/drawing/2014/chart" uri="{C3380CC4-5D6E-409C-BE32-E72D297353CC}">
              <c16:uniqueId val="{00000006-7F0F-4617-92A1-CFA3BCC73D65}"/>
            </c:ext>
          </c:extLst>
        </c:ser>
        <c:ser>
          <c:idx val="7"/>
          <c:order val="7"/>
          <c:tx>
            <c:strRef>
              <c:f>'Státní rozpočet--1-3q-výdaje'!$I$31</c:f>
              <c:strCache>
                <c:ptCount val="1"/>
                <c:pt idx="0">
                  <c:v>Státní dluh (čisté výdaje)****</c:v>
                </c:pt>
              </c:strCache>
            </c:strRef>
          </c:tx>
          <c:spPr>
            <a:ln w="19050">
              <a:solidFill>
                <a:srgbClr val="BD1B21"/>
              </a:solidFill>
            </a:ln>
          </c:spPr>
          <c:marker>
            <c:symbol val="none"/>
          </c:marker>
          <c:cat>
            <c:numRef>
              <c:f>'Státní rozpočet--1-3q-výdaje'!$A$32:$A$45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rozpočet--1-3q-výdaje'!$I$32:$I$45</c:f>
              <c:numCache>
                <c:formatCode>0.0</c:formatCode>
                <c:ptCount val="14"/>
                <c:pt idx="0">
                  <c:v>18.25</c:v>
                </c:pt>
                <c:pt idx="1">
                  <c:v>23.29</c:v>
                </c:pt>
                <c:pt idx="2">
                  <c:v>25.08</c:v>
                </c:pt>
                <c:pt idx="3">
                  <c:v>24.459999999999987</c:v>
                </c:pt>
                <c:pt idx="4">
                  <c:v>33.33</c:v>
                </c:pt>
                <c:pt idx="5">
                  <c:v>24.919999999999987</c:v>
                </c:pt>
                <c:pt idx="6">
                  <c:v>35.89</c:v>
                </c:pt>
                <c:pt idx="7">
                  <c:v>35.86</c:v>
                </c:pt>
                <c:pt idx="8">
                  <c:v>44.55</c:v>
                </c:pt>
                <c:pt idx="9">
                  <c:v>43.160000000000011</c:v>
                </c:pt>
                <c:pt idx="10">
                  <c:v>41.03</c:v>
                </c:pt>
                <c:pt idx="11">
                  <c:v>38.1</c:v>
                </c:pt>
                <c:pt idx="12">
                  <c:v>33.85</c:v>
                </c:pt>
                <c:pt idx="13">
                  <c:v>32.620000000000012</c:v>
                </c:pt>
              </c:numCache>
            </c:numRef>
          </c:val>
          <c:extLst xmlns:c16r2="http://schemas.microsoft.com/office/drawing/2015/06/chart">
            <c:ext xmlns:c16="http://schemas.microsoft.com/office/drawing/2014/chart" uri="{C3380CC4-5D6E-409C-BE32-E72D297353CC}">
              <c16:uniqueId val="{00000007-7F0F-4617-92A1-CFA3BCC73D65}"/>
            </c:ext>
          </c:extLst>
        </c:ser>
        <c:ser>
          <c:idx val="8"/>
          <c:order val="8"/>
          <c:tx>
            <c:strRef>
              <c:f>'Státní rozpočet--1-3q-výdaje'!$J$31</c:f>
              <c:strCache>
                <c:ptCount val="1"/>
                <c:pt idx="0">
                  <c:v>Kapitálové výdaje</c:v>
                </c:pt>
              </c:strCache>
            </c:strRef>
          </c:tx>
          <c:spPr>
            <a:ln w="19050">
              <a:solidFill>
                <a:schemeClr val="tx1">
                  <a:lumMod val="95000"/>
                  <a:lumOff val="5000"/>
                </a:schemeClr>
              </a:solidFill>
              <a:prstDash val="sysDash"/>
            </a:ln>
          </c:spPr>
          <c:marker>
            <c:symbol val="none"/>
          </c:marker>
          <c:cat>
            <c:numRef>
              <c:f>'Státní rozpočet--1-3q-výdaje'!$A$32:$A$45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rozpočet--1-3q-výdaje'!$J$32:$J$45</c:f>
              <c:numCache>
                <c:formatCode>0.0</c:formatCode>
                <c:ptCount val="14"/>
                <c:pt idx="0">
                  <c:v>35.47</c:v>
                </c:pt>
                <c:pt idx="1">
                  <c:v>48.78</c:v>
                </c:pt>
                <c:pt idx="2">
                  <c:v>54.849999999999994</c:v>
                </c:pt>
                <c:pt idx="3">
                  <c:v>76.95</c:v>
                </c:pt>
                <c:pt idx="4">
                  <c:v>80.024000000000001</c:v>
                </c:pt>
                <c:pt idx="5">
                  <c:v>91.36</c:v>
                </c:pt>
                <c:pt idx="6">
                  <c:v>82.07</c:v>
                </c:pt>
                <c:pt idx="7">
                  <c:v>72.98</c:v>
                </c:pt>
                <c:pt idx="8">
                  <c:v>58.39</c:v>
                </c:pt>
                <c:pt idx="9">
                  <c:v>59.67</c:v>
                </c:pt>
                <c:pt idx="10">
                  <c:v>88.53</c:v>
                </c:pt>
                <c:pt idx="11">
                  <c:v>51.6</c:v>
                </c:pt>
                <c:pt idx="12">
                  <c:v>41.37</c:v>
                </c:pt>
                <c:pt idx="13">
                  <c:v>60.91</c:v>
                </c:pt>
              </c:numCache>
            </c:numRef>
          </c:val>
          <c:extLst xmlns:c16r2="http://schemas.microsoft.com/office/drawing/2015/06/chart">
            <c:ext xmlns:c16="http://schemas.microsoft.com/office/drawing/2014/chart" uri="{C3380CC4-5D6E-409C-BE32-E72D297353CC}">
              <c16:uniqueId val="{00000008-7F0F-4617-92A1-CFA3BCC73D65}"/>
            </c:ext>
          </c:extLst>
        </c:ser>
        <c:marker val="1"/>
        <c:axId val="107480960"/>
        <c:axId val="107482496"/>
      </c:lineChart>
      <c:catAx>
        <c:axId val="107480960"/>
        <c:scaling>
          <c:orientation val="minMax"/>
        </c:scaling>
        <c:axPos val="b"/>
        <c:numFmt formatCode="General" sourceLinked="1"/>
        <c:tickLblPos val="low"/>
        <c:spPr>
          <a:ln>
            <a:solidFill>
              <a:schemeClr val="bg1">
                <a:lumMod val="50000"/>
              </a:schemeClr>
            </a:solidFill>
          </a:ln>
        </c:spPr>
        <c:crossAx val="107482496"/>
        <c:crosses val="autoZero"/>
        <c:auto val="1"/>
        <c:lblAlgn val="ctr"/>
        <c:lblOffset val="20"/>
      </c:catAx>
      <c:valAx>
        <c:axId val="107482496"/>
        <c:scaling>
          <c:orientation val="minMax"/>
          <c:max val="100"/>
          <c:min val="0"/>
        </c:scaling>
        <c:axPos val="l"/>
        <c:majorGridlines>
          <c:spPr>
            <a:ln w="6350">
              <a:solidFill>
                <a:schemeClr val="bg1">
                  <a:lumMod val="75000"/>
                </a:schemeClr>
              </a:solidFill>
            </a:ln>
          </c:spPr>
        </c:majorGridlines>
        <c:numFmt formatCode="0" sourceLinked="0"/>
        <c:tickLblPos val="nextTo"/>
        <c:spPr>
          <a:ln>
            <a:solidFill>
              <a:schemeClr val="tx1"/>
            </a:solidFill>
          </a:ln>
        </c:spPr>
        <c:crossAx val="107480960"/>
        <c:crosses val="autoZero"/>
        <c:crossBetween val="between"/>
        <c:majorUnit val="10"/>
      </c:valAx>
      <c:valAx>
        <c:axId val="107500672"/>
        <c:scaling>
          <c:orientation val="minMax"/>
          <c:max val="1000"/>
          <c:min val="0"/>
        </c:scaling>
        <c:axPos val="r"/>
        <c:numFmt formatCode="0" sourceLinked="0"/>
        <c:tickLblPos val="nextTo"/>
        <c:spPr>
          <a:ln>
            <a:solidFill>
              <a:schemeClr val="tx1"/>
            </a:solidFill>
          </a:ln>
        </c:spPr>
        <c:crossAx val="107502208"/>
        <c:crosses val="max"/>
        <c:crossBetween val="between"/>
        <c:majorUnit val="100"/>
      </c:valAx>
      <c:catAx>
        <c:axId val="107502208"/>
        <c:scaling>
          <c:orientation val="minMax"/>
        </c:scaling>
        <c:delete val="1"/>
        <c:axPos val="b"/>
        <c:numFmt formatCode="General" sourceLinked="1"/>
        <c:tickLblPos val="none"/>
        <c:crossAx val="107500672"/>
        <c:crosses val="autoZero"/>
        <c:auto val="1"/>
        <c:lblAlgn val="ctr"/>
        <c:lblOffset val="100"/>
      </c:catAx>
      <c:spPr>
        <a:ln>
          <a:solidFill>
            <a:schemeClr val="tx1"/>
          </a:solidFill>
        </a:ln>
      </c:spPr>
    </c:plotArea>
    <c:legend>
      <c:legendPos val="b"/>
      <c:layout>
        <c:manualLayout>
          <c:xMode val="edge"/>
          <c:yMode val="edge"/>
          <c:x val="3.4400711291244411E-2"/>
          <c:y val="0.82679736838094697"/>
          <c:w val="0.91023770830799289"/>
          <c:h val="0.16575841343194891"/>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3306186868686933E-2"/>
          <c:y val="1.544165056508486E-2"/>
          <c:w val="0.89338762626262558"/>
          <c:h val="0.79972056504783351"/>
        </c:manualLayout>
      </c:layout>
      <c:barChart>
        <c:barDir val="col"/>
        <c:grouping val="clustered"/>
        <c:ser>
          <c:idx val="5"/>
          <c:order val="5"/>
          <c:tx>
            <c:strRef>
              <c:f>'Státní rozpočet 4'!$G$22</c:f>
              <c:strCache>
                <c:ptCount val="1"/>
                <c:pt idx="0">
                  <c:v>Saldo příjmů a výdajů na důchody (pr.osa)*</c:v>
                </c:pt>
              </c:strCache>
            </c:strRef>
          </c:tx>
          <c:spPr>
            <a:solidFill>
              <a:srgbClr val="A6A6A6"/>
            </a:solidFill>
          </c:spP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4'!$G$23:$G$36</c:f>
              <c:numCache>
                <c:formatCode>0.0</c:formatCode>
                <c:ptCount val="14"/>
                <c:pt idx="0">
                  <c:v>-2.0700000000000207</c:v>
                </c:pt>
                <c:pt idx="1">
                  <c:v>-3.3299999999999828</c:v>
                </c:pt>
                <c:pt idx="2">
                  <c:v>5.460000000000008</c:v>
                </c:pt>
                <c:pt idx="3">
                  <c:v>5.3100000000000005</c:v>
                </c:pt>
                <c:pt idx="4">
                  <c:v>-20.63999999999999</c:v>
                </c:pt>
                <c:pt idx="5">
                  <c:v>-25.17000000000003</c:v>
                </c:pt>
                <c:pt idx="6">
                  <c:v>-33.620000000000033</c:v>
                </c:pt>
                <c:pt idx="7">
                  <c:v>-32.980000000000004</c:v>
                </c:pt>
                <c:pt idx="8">
                  <c:v>-32.120000000000012</c:v>
                </c:pt>
                <c:pt idx="9">
                  <c:v>-27.52000000000001</c:v>
                </c:pt>
                <c:pt idx="10">
                  <c:v>-20.839999999999975</c:v>
                </c:pt>
                <c:pt idx="11">
                  <c:v>-13.330000000000002</c:v>
                </c:pt>
                <c:pt idx="12">
                  <c:v>-2.1999999999999877</c:v>
                </c:pt>
                <c:pt idx="13">
                  <c:v>14.55000000000002</c:v>
                </c:pt>
              </c:numCache>
            </c:numRef>
          </c:val>
          <c:extLst xmlns:c16r2="http://schemas.microsoft.com/office/drawing/2015/06/chart">
            <c:ext xmlns:c16="http://schemas.microsoft.com/office/drawing/2014/chart" uri="{C3380CC4-5D6E-409C-BE32-E72D297353CC}">
              <c16:uniqueId val="{00000000-D3FD-418B-82D4-09E67317BC73}"/>
            </c:ext>
          </c:extLst>
        </c:ser>
        <c:gapWidth val="43"/>
        <c:axId val="108017920"/>
        <c:axId val="108016384"/>
      </c:barChart>
      <c:lineChart>
        <c:grouping val="standard"/>
        <c:ser>
          <c:idx val="1"/>
          <c:order val="0"/>
          <c:tx>
            <c:strRef>
              <c:f>'Státní rozpočet 4'!$C$22</c:f>
              <c:strCache>
                <c:ptCount val="1"/>
              </c:strCache>
            </c:strRef>
          </c:tx>
          <c:spPr>
            <a:ln w="19050">
              <a:noFill/>
            </a:ln>
          </c:spPr>
          <c:marker>
            <c:symbol val="none"/>
          </c:marke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4'!$C$23:$C$36</c:f>
              <c:numCache>
                <c:formatCode>General</c:formatCode>
                <c:ptCount val="14"/>
              </c:numCache>
            </c:numRef>
          </c:val>
          <c:extLst xmlns:c16r2="http://schemas.microsoft.com/office/drawing/2015/06/chart">
            <c:ext xmlns:c16="http://schemas.microsoft.com/office/drawing/2014/chart" uri="{C3380CC4-5D6E-409C-BE32-E72D297353CC}">
              <c16:uniqueId val="{00000001-D3FD-418B-82D4-09E67317BC73}"/>
            </c:ext>
          </c:extLst>
        </c:ser>
        <c:ser>
          <c:idx val="0"/>
          <c:order val="1"/>
          <c:tx>
            <c:strRef>
              <c:f>'Státní rozpočet 4'!$B$22</c:f>
              <c:strCache>
                <c:ptCount val="1"/>
                <c:pt idx="0">
                  <c:v>Počet příjemců důchodů celkem</c:v>
                </c:pt>
              </c:strCache>
            </c:strRef>
          </c:tx>
          <c:spPr>
            <a:ln w="19050">
              <a:solidFill>
                <a:srgbClr val="F8A124"/>
              </a:solidFill>
              <a:prstDash val="solid"/>
            </a:ln>
          </c:spPr>
          <c:marker>
            <c:symbol val="none"/>
          </c:marke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4'!$B$23:$B$36</c:f>
              <c:numCache>
                <c:formatCode>0.0</c:formatCode>
                <c:ptCount val="14"/>
                <c:pt idx="0">
                  <c:v>0.77226478546860733</c:v>
                </c:pt>
                <c:pt idx="1">
                  <c:v>1.6092555848802133</c:v>
                </c:pt>
                <c:pt idx="2">
                  <c:v>1.1089708999843424</c:v>
                </c:pt>
                <c:pt idx="3">
                  <c:v>1.2806567827247477</c:v>
                </c:pt>
                <c:pt idx="4">
                  <c:v>1.1725873606979671</c:v>
                </c:pt>
                <c:pt idx="5">
                  <c:v>1.364116242598584</c:v>
                </c:pt>
                <c:pt idx="6">
                  <c:v>1.2193866995871812</c:v>
                </c:pt>
                <c:pt idx="7">
                  <c:v>0.45728875855547818</c:v>
                </c:pt>
                <c:pt idx="8">
                  <c:v>-0.31121054845125684</c:v>
                </c:pt>
                <c:pt idx="9">
                  <c:v>0.36859757982475416</c:v>
                </c:pt>
                <c:pt idx="10">
                  <c:v>0.12543621809804506</c:v>
                </c:pt>
                <c:pt idx="11">
                  <c:v>0.69434807518003083</c:v>
                </c:pt>
                <c:pt idx="12">
                  <c:v>6.033303976806792E-2</c:v>
                </c:pt>
                <c:pt idx="13">
                  <c:v>8.9681742566554701E-2</c:v>
                </c:pt>
              </c:numCache>
            </c:numRef>
          </c:val>
          <c:extLst xmlns:c16r2="http://schemas.microsoft.com/office/drawing/2015/06/chart">
            <c:ext xmlns:c16="http://schemas.microsoft.com/office/drawing/2014/chart" uri="{C3380CC4-5D6E-409C-BE32-E72D297353CC}">
              <c16:uniqueId val="{00000002-D3FD-418B-82D4-09E67317BC73}"/>
            </c:ext>
          </c:extLst>
        </c:ser>
        <c:ser>
          <c:idx val="2"/>
          <c:order val="2"/>
          <c:tx>
            <c:strRef>
              <c:f>'Státní rozpočet 4'!$D$22</c:f>
              <c:strCache>
                <c:ptCount val="1"/>
                <c:pt idx="0">
                  <c:v>z toho starobních trvale krácených**</c:v>
                </c:pt>
              </c:strCache>
            </c:strRef>
          </c:tx>
          <c:spPr>
            <a:ln w="22225">
              <a:noFill/>
            </a:ln>
          </c:spPr>
          <c:marker>
            <c:symbol val="diamond"/>
            <c:size val="6"/>
            <c:spPr>
              <a:solidFill>
                <a:srgbClr val="F8A124"/>
              </a:solidFill>
              <a:ln>
                <a:noFill/>
              </a:ln>
            </c:spPr>
          </c:marke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4'!$D$23:$D$36</c:f>
              <c:numCache>
                <c:formatCode>0.0</c:formatCode>
                <c:ptCount val="14"/>
                <c:pt idx="0">
                  <c:v>2.5482108693596501</c:v>
                </c:pt>
                <c:pt idx="1">
                  <c:v>7.1645433135658045</c:v>
                </c:pt>
                <c:pt idx="2">
                  <c:v>8.6961846007201729</c:v>
                </c:pt>
                <c:pt idx="3">
                  <c:v>7.6271470286432645</c:v>
                </c:pt>
                <c:pt idx="4">
                  <c:v>8.5054375502167865</c:v>
                </c:pt>
                <c:pt idx="5">
                  <c:v>9.9926472888834095</c:v>
                </c:pt>
                <c:pt idx="6">
                  <c:v>12.198446392972032</c:v>
                </c:pt>
                <c:pt idx="7">
                  <c:v>9.6983628308300389</c:v>
                </c:pt>
                <c:pt idx="8">
                  <c:v>3.6943806201983311</c:v>
                </c:pt>
                <c:pt idx="9">
                  <c:v>3.8937375906152032</c:v>
                </c:pt>
                <c:pt idx="10">
                  <c:v>3.8280770942869395</c:v>
                </c:pt>
                <c:pt idx="11">
                  <c:v>3.2528668342573877</c:v>
                </c:pt>
                <c:pt idx="12">
                  <c:v>2.5540628877119644</c:v>
                </c:pt>
              </c:numCache>
            </c:numRef>
          </c:val>
          <c:extLst xmlns:c16r2="http://schemas.microsoft.com/office/drawing/2015/06/chart">
            <c:ext xmlns:c16="http://schemas.microsoft.com/office/drawing/2014/chart" uri="{C3380CC4-5D6E-409C-BE32-E72D297353CC}">
              <c16:uniqueId val="{00000003-D3FD-418B-82D4-09E67317BC73}"/>
            </c:ext>
          </c:extLst>
        </c:ser>
        <c:ser>
          <c:idx val="3"/>
          <c:order val="3"/>
          <c:tx>
            <c:strRef>
              <c:f>'Státní rozpočet 4'!$E$22</c:f>
              <c:strCache>
                <c:ptCount val="1"/>
                <c:pt idx="0">
                  <c:v>Příjmy na důchody</c:v>
                </c:pt>
              </c:strCache>
            </c:strRef>
          </c:tx>
          <c:spPr>
            <a:ln w="22225">
              <a:solidFill>
                <a:srgbClr val="0071BC"/>
              </a:solidFill>
            </a:ln>
          </c:spPr>
          <c:marker>
            <c:symbol val="none"/>
          </c:marke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4'!$E$23:$E$36</c:f>
              <c:numCache>
                <c:formatCode>0.0</c:formatCode>
                <c:ptCount val="14"/>
                <c:pt idx="0">
                  <c:v>6.2910904556789724</c:v>
                </c:pt>
                <c:pt idx="1">
                  <c:v>7.1398101738295878</c:v>
                </c:pt>
                <c:pt idx="2">
                  <c:v>10.033344946001094</c:v>
                </c:pt>
                <c:pt idx="3">
                  <c:v>6.9157356732552255</c:v>
                </c:pt>
                <c:pt idx="4">
                  <c:v>-1.8825619764785475</c:v>
                </c:pt>
                <c:pt idx="5">
                  <c:v>0.84077092226103278</c:v>
                </c:pt>
                <c:pt idx="6">
                  <c:v>3.4077304600650002</c:v>
                </c:pt>
                <c:pt idx="7">
                  <c:v>2.4684721935083567</c:v>
                </c:pt>
                <c:pt idx="8">
                  <c:v>-0.23404083609071341</c:v>
                </c:pt>
                <c:pt idx="9">
                  <c:v>2.60071185892253</c:v>
                </c:pt>
                <c:pt idx="10">
                  <c:v>5.5741711672645495</c:v>
                </c:pt>
                <c:pt idx="11">
                  <c:v>6.0229267017661785</c:v>
                </c:pt>
                <c:pt idx="12">
                  <c:v>8.2270902303303473</c:v>
                </c:pt>
                <c:pt idx="13">
                  <c:v>9.8275301008786204</c:v>
                </c:pt>
              </c:numCache>
            </c:numRef>
          </c:val>
          <c:extLst xmlns:c16r2="http://schemas.microsoft.com/office/drawing/2015/06/chart">
            <c:ext xmlns:c16="http://schemas.microsoft.com/office/drawing/2014/chart" uri="{C3380CC4-5D6E-409C-BE32-E72D297353CC}">
              <c16:uniqueId val="{00000004-D3FD-418B-82D4-09E67317BC73}"/>
            </c:ext>
          </c:extLst>
        </c:ser>
        <c:ser>
          <c:idx val="4"/>
          <c:order val="4"/>
          <c:tx>
            <c:strRef>
              <c:f>'Státní rozpočet 4'!$F$22</c:f>
              <c:strCache>
                <c:ptCount val="1"/>
                <c:pt idx="0">
                  <c:v>Výdaje na důchody</c:v>
                </c:pt>
              </c:strCache>
            </c:strRef>
          </c:tx>
          <c:spPr>
            <a:ln w="22225">
              <a:solidFill>
                <a:srgbClr val="BD1B25"/>
              </a:solidFill>
            </a:ln>
          </c:spPr>
          <c:marker>
            <c:symbol val="none"/>
          </c:marke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4'!$F$23:$F$36</c:f>
              <c:numCache>
                <c:formatCode>0.0</c:formatCode>
                <c:ptCount val="14"/>
                <c:pt idx="0">
                  <c:v>9.1720405343160554</c:v>
                </c:pt>
                <c:pt idx="1">
                  <c:v>7.7263857391487676</c:v>
                </c:pt>
                <c:pt idx="2">
                  <c:v>5.5664349358660346</c:v>
                </c:pt>
                <c:pt idx="3">
                  <c:v>7.1604136715669906</c:v>
                </c:pt>
                <c:pt idx="4">
                  <c:v>9.3045397498593747</c:v>
                </c:pt>
                <c:pt idx="5">
                  <c:v>2.5656253711842387</c:v>
                </c:pt>
                <c:pt idx="6">
                  <c:v>6.3385446824937333</c:v>
                </c:pt>
                <c:pt idx="7">
                  <c:v>1.9348749410098947</c:v>
                </c:pt>
                <c:pt idx="8">
                  <c:v>-0.512820512820514</c:v>
                </c:pt>
                <c:pt idx="9">
                  <c:v>0.65506872852232334</c:v>
                </c:pt>
                <c:pt idx="10">
                  <c:v>2.6530104200006974</c:v>
                </c:pt>
                <c:pt idx="11">
                  <c:v>2.9863156071366745</c:v>
                </c:pt>
                <c:pt idx="12">
                  <c:v>4.1141050223702056</c:v>
                </c:pt>
                <c:pt idx="13">
                  <c:v>4.3457189014539495</c:v>
                </c:pt>
              </c:numCache>
            </c:numRef>
          </c:val>
          <c:extLst xmlns:c16r2="http://schemas.microsoft.com/office/drawing/2015/06/chart">
            <c:ext xmlns:c16="http://schemas.microsoft.com/office/drawing/2014/chart" uri="{C3380CC4-5D6E-409C-BE32-E72D297353CC}">
              <c16:uniqueId val="{00000005-D3FD-418B-82D4-09E67317BC73}"/>
            </c:ext>
          </c:extLst>
        </c:ser>
        <c:marker val="1"/>
        <c:axId val="107537920"/>
        <c:axId val="107539456"/>
      </c:lineChart>
      <c:catAx>
        <c:axId val="107537920"/>
        <c:scaling>
          <c:orientation val="minMax"/>
        </c:scaling>
        <c:axPos val="b"/>
        <c:numFmt formatCode="General" sourceLinked="1"/>
        <c:tickLblPos val="low"/>
        <c:spPr>
          <a:ln>
            <a:solidFill>
              <a:schemeClr val="bg1">
                <a:lumMod val="50000"/>
              </a:schemeClr>
            </a:solidFill>
          </a:ln>
        </c:spPr>
        <c:crossAx val="107539456"/>
        <c:crossesAt val="0"/>
        <c:auto val="1"/>
        <c:lblAlgn val="ctr"/>
        <c:lblOffset val="0"/>
      </c:catAx>
      <c:valAx>
        <c:axId val="107539456"/>
        <c:scaling>
          <c:orientation val="minMax"/>
          <c:max val="14"/>
          <c:min val="-20"/>
        </c:scaling>
        <c:axPos val="l"/>
        <c:majorGridlines>
          <c:spPr>
            <a:ln w="6350">
              <a:solidFill>
                <a:schemeClr val="bg1">
                  <a:lumMod val="75000"/>
                </a:schemeClr>
              </a:solidFill>
            </a:ln>
          </c:spPr>
        </c:majorGridlines>
        <c:numFmt formatCode="0" sourceLinked="0"/>
        <c:tickLblPos val="nextTo"/>
        <c:spPr>
          <a:ln>
            <a:solidFill>
              <a:schemeClr val="tx1"/>
            </a:solidFill>
          </a:ln>
        </c:spPr>
        <c:crossAx val="107537920"/>
        <c:crosses val="autoZero"/>
        <c:crossBetween val="between"/>
        <c:majorUnit val="2"/>
      </c:valAx>
      <c:valAx>
        <c:axId val="108016384"/>
        <c:scaling>
          <c:orientation val="minMax"/>
          <c:max val="28"/>
          <c:min val="-40"/>
        </c:scaling>
        <c:axPos val="r"/>
        <c:numFmt formatCode="0" sourceLinked="0"/>
        <c:tickLblPos val="nextTo"/>
        <c:crossAx val="108017920"/>
        <c:crosses val="max"/>
        <c:crossBetween val="between"/>
        <c:majorUnit val="4"/>
      </c:valAx>
      <c:catAx>
        <c:axId val="108017920"/>
        <c:scaling>
          <c:orientation val="minMax"/>
        </c:scaling>
        <c:delete val="1"/>
        <c:axPos val="b"/>
        <c:numFmt formatCode="General" sourceLinked="1"/>
        <c:tickLblPos val="none"/>
        <c:crossAx val="108016384"/>
        <c:crosses val="autoZero"/>
        <c:auto val="1"/>
        <c:lblAlgn val="ctr"/>
        <c:lblOffset val="100"/>
      </c:catAx>
      <c:spPr>
        <a:ln>
          <a:solidFill>
            <a:schemeClr val="tx1"/>
          </a:solidFill>
        </a:ln>
      </c:spPr>
    </c:plotArea>
    <c:legend>
      <c:legendPos val="b"/>
      <c:layout>
        <c:manualLayout>
          <c:xMode val="edge"/>
          <c:yMode val="edge"/>
          <c:x val="1.7528829966329967E-2"/>
          <c:y val="0.8723506235827666"/>
          <c:w val="0.96747832491582486"/>
          <c:h val="0.12079648526077204"/>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6948352704928246E-2"/>
          <c:y val="2.8458510079622041E-2"/>
          <c:w val="0.93956464282120356"/>
          <c:h val="0.6497469886299676"/>
        </c:manualLayout>
      </c:layout>
      <c:barChart>
        <c:barDir val="col"/>
        <c:grouping val="stacked"/>
        <c:ser>
          <c:idx val="5"/>
          <c:order val="1"/>
          <c:tx>
            <c:strRef>
              <c:f>'souhrnná výkonnost 3'!$D$5</c:f>
              <c:strCache>
                <c:ptCount val="1"/>
                <c:pt idx="0">
                  <c:v>Výdaje na konečnou spotřebu domácností (vč. nezisk. inst.)</c:v>
                </c:pt>
              </c:strCache>
            </c:strRef>
          </c:tx>
          <c:spPr>
            <a:solidFill>
              <a:srgbClr val="0071BC"/>
            </a:solidFill>
            <a:ln>
              <a:noFill/>
            </a:ln>
          </c:spPr>
          <c:val>
            <c:numRef>
              <c:f>'souhrnná výkonnost 3'!$D$10:$D$32</c:f>
              <c:numCache>
                <c:formatCode>#,##0.0</c:formatCode>
                <c:ptCount val="23"/>
                <c:pt idx="0">
                  <c:v>0.46725492777732947</c:v>
                </c:pt>
                <c:pt idx="1">
                  <c:v>0.39429278832379183</c:v>
                </c:pt>
                <c:pt idx="2">
                  <c:v>6.7975057170653885E-3</c:v>
                </c:pt>
                <c:pt idx="3">
                  <c:v>-0.11022642210119372</c:v>
                </c:pt>
                <c:pt idx="4">
                  <c:v>-0.3463406609173984</c:v>
                </c:pt>
                <c:pt idx="5">
                  <c:v>1.9385986465040451E-2</c:v>
                </c:pt>
                <c:pt idx="6">
                  <c:v>0.64097595815752095</c:v>
                </c:pt>
                <c:pt idx="7">
                  <c:v>1.1222751214521656</c:v>
                </c:pt>
                <c:pt idx="8">
                  <c:v>0.95324800193997661</c:v>
                </c:pt>
                <c:pt idx="9">
                  <c:v>0.87834008534043184</c:v>
                </c:pt>
                <c:pt idx="10">
                  <c:v>0.98282233736482061</c:v>
                </c:pt>
                <c:pt idx="11">
                  <c:v>1.2011732247886713</c:v>
                </c:pt>
                <c:pt idx="12">
                  <c:v>0.93830506590305751</c:v>
                </c:pt>
                <c:pt idx="13">
                  <c:v>1.0153624426824133</c:v>
                </c:pt>
                <c:pt idx="14">
                  <c:v>1.2128070502408639</c:v>
                </c:pt>
                <c:pt idx="15">
                  <c:v>1.1229514324692931</c:v>
                </c:pt>
                <c:pt idx="16">
                  <c:v>1.9644091733618669</c:v>
                </c:pt>
                <c:pt idx="17">
                  <c:v>2.2808753275662172</c:v>
                </c:pt>
                <c:pt idx="18">
                  <c:v>2.0963173740963614</c:v>
                </c:pt>
                <c:pt idx="19">
                  <c:v>1.9706056528499598</c:v>
                </c:pt>
                <c:pt idx="20">
                  <c:v>1.5529966025092796</c:v>
                </c:pt>
                <c:pt idx="21">
                  <c:v>1.126780424329404</c:v>
                </c:pt>
                <c:pt idx="22">
                  <c:v>0.95636601312264957</c:v>
                </c:pt>
              </c:numCache>
            </c:numRef>
          </c:val>
          <c:extLst xmlns:c16r2="http://schemas.microsoft.com/office/drawing/2015/06/chart">
            <c:ext xmlns:c16="http://schemas.microsoft.com/office/drawing/2014/chart" uri="{C3380CC4-5D6E-409C-BE32-E72D297353CC}">
              <c16:uniqueId val="{00000000-F3D9-4392-8303-B980C7F38899}"/>
            </c:ext>
          </c:extLst>
        </c:ser>
        <c:ser>
          <c:idx val="4"/>
          <c:order val="2"/>
          <c:tx>
            <c:strRef>
              <c:f>'souhrnná výkonnost 3'!$E$5</c:f>
              <c:strCache>
                <c:ptCount val="1"/>
                <c:pt idx="0">
                  <c:v>Výdaje na konečnou spotřebu vládních institucí</c:v>
                </c:pt>
              </c:strCache>
            </c:strRef>
          </c:tx>
          <c:spPr>
            <a:solidFill>
              <a:srgbClr val="A6CDE8"/>
            </a:solidFill>
            <a:ln>
              <a:noFill/>
            </a:ln>
          </c:spPr>
          <c:val>
            <c:numRef>
              <c:f>'souhrnná výkonnost 3'!$E$10:$E$32</c:f>
              <c:numCache>
                <c:formatCode>#,##0.0</c:formatCode>
                <c:ptCount val="23"/>
                <c:pt idx="0">
                  <c:v>0.28453245782978481</c:v>
                </c:pt>
                <c:pt idx="1">
                  <c:v>0.35580734263628233</c:v>
                </c:pt>
                <c:pt idx="2">
                  <c:v>0.6338523119673295</c:v>
                </c:pt>
                <c:pt idx="3">
                  <c:v>0.53511669780358162</c:v>
                </c:pt>
                <c:pt idx="4">
                  <c:v>0.16476504522662691</c:v>
                </c:pt>
                <c:pt idx="5">
                  <c:v>0.35920558983442524</c:v>
                </c:pt>
                <c:pt idx="6">
                  <c:v>3.3755330706183892E-3</c:v>
                </c:pt>
                <c:pt idx="7">
                  <c:v>0.43296248055129682</c:v>
                </c:pt>
                <c:pt idx="8">
                  <c:v>0.38860653049012461</c:v>
                </c:pt>
                <c:pt idx="9">
                  <c:v>0.42050971602096782</c:v>
                </c:pt>
                <c:pt idx="10">
                  <c:v>0.6826406447636606</c:v>
                </c:pt>
                <c:pt idx="11">
                  <c:v>0.45173706288891075</c:v>
                </c:pt>
                <c:pt idx="12">
                  <c:v>0.43519225643702975</c:v>
                </c:pt>
                <c:pt idx="13">
                  <c:v>0.57425071934076943</c:v>
                </c:pt>
                <c:pt idx="14">
                  <c:v>0.47033661242885438</c:v>
                </c:pt>
                <c:pt idx="15">
                  <c:v>0.4456685296104968</c:v>
                </c:pt>
                <c:pt idx="16">
                  <c:v>0.34455668934880129</c:v>
                </c:pt>
                <c:pt idx="17">
                  <c:v>0.24693575632416193</c:v>
                </c:pt>
                <c:pt idx="18">
                  <c:v>0.15049357563703941</c:v>
                </c:pt>
                <c:pt idx="19">
                  <c:v>0.22124454315529182</c:v>
                </c:pt>
                <c:pt idx="20">
                  <c:v>0.64090264653862572</c:v>
                </c:pt>
                <c:pt idx="21">
                  <c:v>0.53316346349440802</c:v>
                </c:pt>
                <c:pt idx="22">
                  <c:v>0.97286869758299388</c:v>
                </c:pt>
              </c:numCache>
            </c:numRef>
          </c:val>
          <c:extLst xmlns:c16r2="http://schemas.microsoft.com/office/drawing/2015/06/chart">
            <c:ext xmlns:c16="http://schemas.microsoft.com/office/drawing/2014/chart" uri="{C3380CC4-5D6E-409C-BE32-E72D297353CC}">
              <c16:uniqueId val="{00000001-F3D9-4392-8303-B980C7F38899}"/>
            </c:ext>
          </c:extLst>
        </c:ser>
        <c:ser>
          <c:idx val="3"/>
          <c:order val="3"/>
          <c:tx>
            <c:strRef>
              <c:f>'souhrnná výkonnost 3'!$J$5</c:f>
              <c:strCache>
                <c:ptCount val="1"/>
                <c:pt idx="0">
                  <c:v>Tvorba hrubého kapitálu</c:v>
                </c:pt>
              </c:strCache>
            </c:strRef>
          </c:tx>
          <c:spPr>
            <a:solidFill>
              <a:srgbClr val="BD1B21"/>
            </a:solidFill>
            <a:ln>
              <a:noFill/>
            </a:ln>
          </c:spPr>
          <c:val>
            <c:numRef>
              <c:f>'souhrnná výkonnost 3'!$J$10:$J$32</c:f>
              <c:numCache>
                <c:formatCode>#,##0.0</c:formatCode>
                <c:ptCount val="23"/>
                <c:pt idx="0">
                  <c:v>-1.5397561288070221</c:v>
                </c:pt>
                <c:pt idx="1">
                  <c:v>-2.8196114680341977</c:v>
                </c:pt>
                <c:pt idx="2">
                  <c:v>0.14424204081739322</c:v>
                </c:pt>
                <c:pt idx="3">
                  <c:v>0.30085195313780738</c:v>
                </c:pt>
                <c:pt idx="4">
                  <c:v>3.1093775840910346E-3</c:v>
                </c:pt>
                <c:pt idx="5">
                  <c:v>1.7228402322588214</c:v>
                </c:pt>
                <c:pt idx="6">
                  <c:v>1.2740748429655091</c:v>
                </c:pt>
                <c:pt idx="7">
                  <c:v>0.34209608794036089</c:v>
                </c:pt>
                <c:pt idx="8">
                  <c:v>3.0940088082175081</c:v>
                </c:pt>
                <c:pt idx="9">
                  <c:v>3.9603163536228392</c:v>
                </c:pt>
                <c:pt idx="10">
                  <c:v>2.4230101905838577</c:v>
                </c:pt>
                <c:pt idx="11">
                  <c:v>1.1383788063935423</c:v>
                </c:pt>
                <c:pt idx="12">
                  <c:v>0.69863508777302163</c:v>
                </c:pt>
                <c:pt idx="13">
                  <c:v>-1.3723494139423089</c:v>
                </c:pt>
                <c:pt idx="14">
                  <c:v>-0.97881672565525746</c:v>
                </c:pt>
                <c:pt idx="15">
                  <c:v>-0.61772712880566016</c:v>
                </c:pt>
                <c:pt idx="16">
                  <c:v>-0.95987523832581856</c:v>
                </c:pt>
                <c:pt idx="17">
                  <c:v>0.35501288090591437</c:v>
                </c:pt>
                <c:pt idx="18">
                  <c:v>1.6689373554815881</c:v>
                </c:pt>
                <c:pt idx="19">
                  <c:v>1.9760464231090271</c:v>
                </c:pt>
                <c:pt idx="20">
                  <c:v>1.2076288106897164</c:v>
                </c:pt>
                <c:pt idx="21">
                  <c:v>0.21383707577056171</c:v>
                </c:pt>
                <c:pt idx="22">
                  <c:v>0.2177321817029518</c:v>
                </c:pt>
              </c:numCache>
            </c:numRef>
          </c:val>
          <c:extLst xmlns:c16r2="http://schemas.microsoft.com/office/drawing/2015/06/chart">
            <c:ext xmlns:c16="http://schemas.microsoft.com/office/drawing/2014/chart" uri="{C3380CC4-5D6E-409C-BE32-E72D297353CC}">
              <c16:uniqueId val="{00000002-F3D9-4392-8303-B980C7F38899}"/>
            </c:ext>
          </c:extLst>
        </c:ser>
        <c:ser>
          <c:idx val="1"/>
          <c:order val="4"/>
          <c:tx>
            <c:strRef>
              <c:f>'souhrnná výkonnost 3'!$H$5</c:f>
              <c:strCache>
                <c:ptCount val="1"/>
                <c:pt idx="0">
                  <c:v>Bilance zahraničního obchodu</c:v>
                </c:pt>
              </c:strCache>
            </c:strRef>
          </c:tx>
          <c:spPr>
            <a:solidFill>
              <a:srgbClr val="7DBB2D"/>
            </a:solidFill>
            <a:ln>
              <a:noFill/>
            </a:ln>
          </c:spPr>
          <c:val>
            <c:numRef>
              <c:f>'souhrnná výkonnost 3'!$H$10:$H$32</c:f>
              <c:numCache>
                <c:formatCode>#,##0.0</c:formatCode>
                <c:ptCount val="23"/>
                <c:pt idx="0">
                  <c:v>-1.0372767403421674</c:v>
                </c:pt>
                <c:pt idx="1">
                  <c:v>0.93468551019220669</c:v>
                </c:pt>
                <c:pt idx="2">
                  <c:v>-1.1121841763544955</c:v>
                </c:pt>
                <c:pt idx="3">
                  <c:v>0.53585053019177464</c:v>
                </c:pt>
                <c:pt idx="4">
                  <c:v>1.7889130945120968</c:v>
                </c:pt>
                <c:pt idx="5">
                  <c:v>0.28187217433750722</c:v>
                </c:pt>
                <c:pt idx="6">
                  <c:v>1.4439285779813962</c:v>
                </c:pt>
                <c:pt idx="7">
                  <c:v>1.4927511797532769</c:v>
                </c:pt>
                <c:pt idx="8">
                  <c:v>0.84168612845165458</c:v>
                </c:pt>
                <c:pt idx="9">
                  <c:v>0.57781958996686456</c:v>
                </c:pt>
                <c:pt idx="10">
                  <c:v>1.5186993594783778</c:v>
                </c:pt>
                <c:pt idx="11">
                  <c:v>2.1434487917698908</c:v>
                </c:pt>
                <c:pt idx="12">
                  <c:v>1.4573635285701179</c:v>
                </c:pt>
                <c:pt idx="13">
                  <c:v>2.1300532057503894</c:v>
                </c:pt>
                <c:pt idx="14">
                  <c:v>0.94178716932770357</c:v>
                </c:pt>
                <c:pt idx="15">
                  <c:v>0.81646850922716041</c:v>
                </c:pt>
                <c:pt idx="16">
                  <c:v>1.4722186892988733</c:v>
                </c:pt>
                <c:pt idx="17">
                  <c:v>2.0042798438347247</c:v>
                </c:pt>
                <c:pt idx="18">
                  <c:v>1.1585684363011164</c:v>
                </c:pt>
                <c:pt idx="19">
                  <c:v>0.81868827817724454</c:v>
                </c:pt>
                <c:pt idx="20">
                  <c:v>0.67260193882048647</c:v>
                </c:pt>
                <c:pt idx="21">
                  <c:v>0.50032277281173232</c:v>
                </c:pt>
                <c:pt idx="22">
                  <c:v>0.23988321425317061</c:v>
                </c:pt>
              </c:numCache>
            </c:numRef>
          </c:val>
          <c:extLst xmlns:c16r2="http://schemas.microsoft.com/office/drawing/2015/06/chart">
            <c:ext xmlns:c16="http://schemas.microsoft.com/office/drawing/2014/chart" uri="{C3380CC4-5D6E-409C-BE32-E72D297353CC}">
              <c16:uniqueId val="{00000003-F3D9-4392-8303-B980C7F38899}"/>
            </c:ext>
          </c:extLst>
        </c:ser>
        <c:gapWidth val="40"/>
        <c:overlap val="100"/>
        <c:axId val="77832576"/>
        <c:axId val="77834112"/>
      </c:barChart>
      <c:lineChart>
        <c:grouping val="standard"/>
        <c:ser>
          <c:idx val="0"/>
          <c:order val="0"/>
          <c:tx>
            <c:strRef>
              <c:f>'souhrnná výkonnost 3'!$C$5</c:f>
              <c:strCache>
                <c:ptCount val="1"/>
                <c:pt idx="0">
                  <c:v>HDP</c:v>
                </c:pt>
              </c:strCache>
            </c:strRef>
          </c:tx>
          <c:spPr>
            <a:ln>
              <a:solidFill>
                <a:prstClr val="black"/>
              </a:solidFill>
            </a:ln>
          </c:spPr>
          <c:marker>
            <c:symbol val="none"/>
          </c:marker>
          <c:cat>
            <c:multiLvlStrRef>
              <c:f>'souhrnná výkonnost 3'!$A$10:$B$32</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2013</c:v>
                  </c:pt>
                  <c:pt idx="4">
                    <c:v>2014</c:v>
                  </c:pt>
                  <c:pt idx="8">
                    <c:v>2015</c:v>
                  </c:pt>
                  <c:pt idx="12">
                    <c:v>2016</c:v>
                  </c:pt>
                  <c:pt idx="16">
                    <c:v>2017</c:v>
                  </c:pt>
                  <c:pt idx="20">
                    <c:v>2018</c:v>
                  </c:pt>
                </c:lvl>
              </c:multiLvlStrCache>
            </c:multiLvlStrRef>
          </c:cat>
          <c:val>
            <c:numRef>
              <c:f>'souhrnná výkonnost 3'!$C$10:$C$32</c:f>
              <c:numCache>
                <c:formatCode>#,##0.0</c:formatCode>
                <c:ptCount val="23"/>
                <c:pt idx="0">
                  <c:v>-1.8005209038033041</c:v>
                </c:pt>
                <c:pt idx="1">
                  <c:v>-1.1205041878080806</c:v>
                </c:pt>
                <c:pt idx="2">
                  <c:v>-0.27630427810389335</c:v>
                </c:pt>
                <c:pt idx="3">
                  <c:v>1.279491849251865</c:v>
                </c:pt>
                <c:pt idx="4">
                  <c:v>1.599692644421784</c:v>
                </c:pt>
                <c:pt idx="5">
                  <c:v>2.4019552100365238</c:v>
                </c:pt>
                <c:pt idx="6">
                  <c:v>3.4030564515715609</c:v>
                </c:pt>
                <c:pt idx="7">
                  <c:v>3.4380052076485548</c:v>
                </c:pt>
                <c:pt idx="8">
                  <c:v>5.2550726107844561</c:v>
                </c:pt>
                <c:pt idx="9">
                  <c:v>5.7987847820088794</c:v>
                </c:pt>
                <c:pt idx="10">
                  <c:v>5.5707669225332523</c:v>
                </c:pt>
                <c:pt idx="11">
                  <c:v>4.9148252973919755</c:v>
                </c:pt>
                <c:pt idx="12">
                  <c:v>3.5623906099722102</c:v>
                </c:pt>
                <c:pt idx="13">
                  <c:v>2.4146777549828156</c:v>
                </c:pt>
                <c:pt idx="14">
                  <c:v>1.6940486553423915</c:v>
                </c:pt>
                <c:pt idx="15">
                  <c:v>1.8037525372218299</c:v>
                </c:pt>
                <c:pt idx="16">
                  <c:v>2.8712499788678367</c:v>
                </c:pt>
                <c:pt idx="17">
                  <c:v>4.9310728663161978</c:v>
                </c:pt>
                <c:pt idx="18">
                  <c:v>5.0995207171135899</c:v>
                </c:pt>
                <c:pt idx="19">
                  <c:v>4.9881960614611174</c:v>
                </c:pt>
                <c:pt idx="20">
                  <c:v>4.0922025174160375</c:v>
                </c:pt>
                <c:pt idx="21">
                  <c:v>2.396232230119776</c:v>
                </c:pt>
                <c:pt idx="22">
                  <c:v>2.4370477383683182</c:v>
                </c:pt>
              </c:numCache>
            </c:numRef>
          </c:val>
          <c:extLst xmlns:c16r2="http://schemas.microsoft.com/office/drawing/2015/06/chart">
            <c:ext xmlns:c16="http://schemas.microsoft.com/office/drawing/2014/chart" uri="{C3380CC4-5D6E-409C-BE32-E72D297353CC}">
              <c16:uniqueId val="{00000004-F3D9-4392-8303-B980C7F38899}"/>
            </c:ext>
          </c:extLst>
        </c:ser>
        <c:marker val="1"/>
        <c:axId val="77832576"/>
        <c:axId val="77834112"/>
      </c:lineChart>
      <c:catAx>
        <c:axId val="77832576"/>
        <c:scaling>
          <c:orientation val="minMax"/>
        </c:scaling>
        <c:axPos val="b"/>
        <c:tickLblPos val="low"/>
        <c:spPr>
          <a:ln>
            <a:solidFill>
              <a:schemeClr val="tx1"/>
            </a:solidFill>
          </a:ln>
        </c:spPr>
        <c:txPr>
          <a:bodyPr rot="0" vert="horz"/>
          <a:lstStyle/>
          <a:p>
            <a:pPr>
              <a:defRPr/>
            </a:pPr>
            <a:endParaRPr lang="cs-CZ"/>
          </a:p>
        </c:txPr>
        <c:crossAx val="77834112"/>
        <c:crosses val="autoZero"/>
        <c:auto val="1"/>
        <c:lblAlgn val="ctr"/>
        <c:lblOffset val="100"/>
      </c:catAx>
      <c:valAx>
        <c:axId val="77834112"/>
        <c:scaling>
          <c:orientation val="minMax"/>
          <c:max val="6"/>
          <c:min val="-4"/>
        </c:scaling>
        <c:axPos val="l"/>
        <c:majorGridlines>
          <c:spPr>
            <a:ln w="6350">
              <a:solidFill>
                <a:schemeClr val="bg1">
                  <a:lumMod val="75000"/>
                </a:schemeClr>
              </a:solidFill>
            </a:ln>
          </c:spPr>
        </c:majorGridlines>
        <c:numFmt formatCode="#,##0" sourceLinked="0"/>
        <c:tickLblPos val="nextTo"/>
        <c:spPr>
          <a:ln>
            <a:solidFill>
              <a:schemeClr val="tx1"/>
            </a:solidFill>
          </a:ln>
        </c:spPr>
        <c:crossAx val="77832576"/>
        <c:crosses val="autoZero"/>
        <c:crossBetween val="between"/>
        <c:majorUnit val="1"/>
      </c:valAx>
      <c:spPr>
        <a:ln>
          <a:solidFill>
            <a:schemeClr val="tx1"/>
          </a:solidFill>
        </a:ln>
      </c:spPr>
    </c:plotArea>
    <c:legend>
      <c:legendPos val="b"/>
      <c:layout>
        <c:manualLayout>
          <c:xMode val="edge"/>
          <c:yMode val="edge"/>
          <c:x val="4.4891184424094004E-2"/>
          <c:y val="0.79301446583361457"/>
          <c:w val="0.94049666651103803"/>
          <c:h val="0.19014325115388939"/>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4404035346809034E-2"/>
          <c:y val="3.7154479717354444E-2"/>
          <c:w val="0.93674937195830565"/>
          <c:h val="0.63445260610154264"/>
        </c:manualLayout>
      </c:layout>
      <c:barChart>
        <c:barDir val="col"/>
        <c:grouping val="stacked"/>
        <c:ser>
          <c:idx val="4"/>
          <c:order val="0"/>
          <c:tx>
            <c:strRef>
              <c:f>'souhrnná výkonnost 4'!$C$5</c:f>
              <c:strCache>
                <c:ptCount val="1"/>
                <c:pt idx="0">
                  <c:v>Zemědělství, lesnictví a rybářství</c:v>
                </c:pt>
              </c:strCache>
            </c:strRef>
          </c:tx>
          <c:spPr>
            <a:solidFill>
              <a:srgbClr val="0071BC"/>
            </a:solidFill>
            <a:ln>
              <a:noFill/>
            </a:ln>
          </c:spPr>
          <c:val>
            <c:numRef>
              <c:f>'souhrnná výkonnost 4'!$C$10:$C$32</c:f>
              <c:numCache>
                <c:formatCode>#,##0.0</c:formatCode>
                <c:ptCount val="23"/>
                <c:pt idx="0">
                  <c:v>-4.7206269934129533E-2</c:v>
                </c:pt>
                <c:pt idx="1">
                  <c:v>-0.11971862255115057</c:v>
                </c:pt>
                <c:pt idx="2">
                  <c:v>-8.9582831798117532E-2</c:v>
                </c:pt>
                <c:pt idx="3">
                  <c:v>1.1154895629322313E-3</c:v>
                </c:pt>
                <c:pt idx="4">
                  <c:v>0.10484022899366492</c:v>
                </c:pt>
                <c:pt idx="5">
                  <c:v>0.23303189360207821</c:v>
                </c:pt>
                <c:pt idx="6">
                  <c:v>0.28109723711472034</c:v>
                </c:pt>
                <c:pt idx="7">
                  <c:v>0.24717682951386638</c:v>
                </c:pt>
                <c:pt idx="8">
                  <c:v>0.26823173927838573</c:v>
                </c:pt>
                <c:pt idx="9">
                  <c:v>0.14948544343377243</c:v>
                </c:pt>
                <c:pt idx="10">
                  <c:v>9.4306850455799798E-2</c:v>
                </c:pt>
                <c:pt idx="11">
                  <c:v>9.4063144035634733E-2</c:v>
                </c:pt>
                <c:pt idx="12">
                  <c:v>1.5298427987703244E-2</c:v>
                </c:pt>
                <c:pt idx="13">
                  <c:v>0.12019796922604382</c:v>
                </c:pt>
                <c:pt idx="14">
                  <c:v>0.11238136571352395</c:v>
                </c:pt>
                <c:pt idx="15">
                  <c:v>8.4281943656207142E-2</c:v>
                </c:pt>
                <c:pt idx="16">
                  <c:v>1.5223476963877543E-2</c:v>
                </c:pt>
                <c:pt idx="17">
                  <c:v>-7.5339263027045883E-2</c:v>
                </c:pt>
                <c:pt idx="18">
                  <c:v>-0.11205756022716185</c:v>
                </c:pt>
                <c:pt idx="19">
                  <c:v>-0.10204082016621174</c:v>
                </c:pt>
                <c:pt idx="20">
                  <c:v>-0.10517880120125712</c:v>
                </c:pt>
                <c:pt idx="21">
                  <c:v>-7.0572433081671923E-2</c:v>
                </c:pt>
                <c:pt idx="22">
                  <c:v>-5.6599145830036383E-2</c:v>
                </c:pt>
              </c:numCache>
            </c:numRef>
          </c:val>
          <c:extLst xmlns:c16r2="http://schemas.microsoft.com/office/drawing/2015/06/chart">
            <c:ext xmlns:c16="http://schemas.microsoft.com/office/drawing/2014/chart" uri="{C3380CC4-5D6E-409C-BE32-E72D297353CC}">
              <c16:uniqueId val="{00000000-A0C5-4F23-B720-3390D0F9E740}"/>
            </c:ext>
          </c:extLst>
        </c:ser>
        <c:ser>
          <c:idx val="3"/>
          <c:order val="1"/>
          <c:tx>
            <c:strRef>
              <c:f>'souhrnná výkonnost 4'!$D$5</c:f>
              <c:strCache>
                <c:ptCount val="1"/>
                <c:pt idx="0">
                  <c:v>Zpracovatelský průmysl (CZ-NACE C)</c:v>
                </c:pt>
              </c:strCache>
            </c:strRef>
          </c:tx>
          <c:spPr>
            <a:solidFill>
              <a:srgbClr val="A6CDE8"/>
            </a:solidFill>
            <a:ln>
              <a:noFill/>
            </a:ln>
          </c:spPr>
          <c:val>
            <c:numRef>
              <c:f>'souhrnná výkonnost 4'!$D$10:$D$32</c:f>
              <c:numCache>
                <c:formatCode>#,##0.0</c:formatCode>
                <c:ptCount val="23"/>
                <c:pt idx="0">
                  <c:v>-0.82108999780391001</c:v>
                </c:pt>
                <c:pt idx="1">
                  <c:v>-0.62795053182774518</c:v>
                </c:pt>
                <c:pt idx="2">
                  <c:v>-0.63177475521929016</c:v>
                </c:pt>
                <c:pt idx="3">
                  <c:v>-0.60159903153105165</c:v>
                </c:pt>
                <c:pt idx="4">
                  <c:v>0.42074322312377183</c:v>
                </c:pt>
                <c:pt idx="5">
                  <c:v>1.1868852285094129</c:v>
                </c:pt>
                <c:pt idx="6">
                  <c:v>1.9567554935777989</c:v>
                </c:pt>
                <c:pt idx="7">
                  <c:v>2.5583690194642377</c:v>
                </c:pt>
                <c:pt idx="8">
                  <c:v>2.0456114828451182</c:v>
                </c:pt>
                <c:pt idx="9">
                  <c:v>1.6702996907805558</c:v>
                </c:pt>
                <c:pt idx="10">
                  <c:v>1.3766545744913488</c:v>
                </c:pt>
                <c:pt idx="11">
                  <c:v>0.74581262523505754</c:v>
                </c:pt>
                <c:pt idx="12">
                  <c:v>1.0172208499984978</c:v>
                </c:pt>
                <c:pt idx="13">
                  <c:v>0.54073292742156021</c:v>
                </c:pt>
                <c:pt idx="14">
                  <c:v>0.74515782437278222</c:v>
                </c:pt>
                <c:pt idx="15">
                  <c:v>1.1608262664011106</c:v>
                </c:pt>
                <c:pt idx="16">
                  <c:v>1.9849859092156101</c:v>
                </c:pt>
                <c:pt idx="17">
                  <c:v>3.3765527579830188</c:v>
                </c:pt>
                <c:pt idx="18">
                  <c:v>3.5064603037509317</c:v>
                </c:pt>
                <c:pt idx="19">
                  <c:v>3.0770501049484777</c:v>
                </c:pt>
                <c:pt idx="20">
                  <c:v>1.849273026605978</c:v>
                </c:pt>
                <c:pt idx="21">
                  <c:v>0.68356477764915491</c:v>
                </c:pt>
                <c:pt idx="22">
                  <c:v>0.27837439954417714</c:v>
                </c:pt>
              </c:numCache>
            </c:numRef>
          </c:val>
          <c:extLst xmlns:c16r2="http://schemas.microsoft.com/office/drawing/2015/06/chart">
            <c:ext xmlns:c16="http://schemas.microsoft.com/office/drawing/2014/chart" uri="{C3380CC4-5D6E-409C-BE32-E72D297353CC}">
              <c16:uniqueId val="{00000001-A0C5-4F23-B720-3390D0F9E740}"/>
            </c:ext>
          </c:extLst>
        </c:ser>
        <c:ser>
          <c:idx val="2"/>
          <c:order val="2"/>
          <c:tx>
            <c:strRef>
              <c:f>'souhrnná výkonnost 4'!$E$5</c:f>
              <c:strCache>
                <c:ptCount val="1"/>
                <c:pt idx="0">
                  <c:v>Ostatní průmyslová odvětví (CZ-NACE B,D,E)</c:v>
                </c:pt>
              </c:strCache>
            </c:strRef>
          </c:tx>
          <c:spPr>
            <a:solidFill>
              <a:srgbClr val="BD1B21"/>
            </a:solidFill>
            <a:ln>
              <a:noFill/>
            </a:ln>
          </c:spPr>
          <c:val>
            <c:numRef>
              <c:f>'souhrnná výkonnost 4'!$E$10:$E$32</c:f>
              <c:numCache>
                <c:formatCode>#,##0.0</c:formatCode>
                <c:ptCount val="23"/>
                <c:pt idx="0">
                  <c:v>-0.98505210312746261</c:v>
                </c:pt>
                <c:pt idx="1">
                  <c:v>-1.0097047828852606</c:v>
                </c:pt>
                <c:pt idx="2">
                  <c:v>-0.65192200514203069</c:v>
                </c:pt>
                <c:pt idx="3">
                  <c:v>-0.22723397016880276</c:v>
                </c:pt>
                <c:pt idx="4">
                  <c:v>0.37424666108655036</c:v>
                </c:pt>
                <c:pt idx="5">
                  <c:v>0.10237488857645771</c:v>
                </c:pt>
                <c:pt idx="6">
                  <c:v>-0.10556119406722519</c:v>
                </c:pt>
                <c:pt idx="7">
                  <c:v>-0.159619194225186</c:v>
                </c:pt>
                <c:pt idx="8">
                  <c:v>-0.12486694839002821</c:v>
                </c:pt>
                <c:pt idx="9">
                  <c:v>9.7685740381325825E-3</c:v>
                </c:pt>
                <c:pt idx="10">
                  <c:v>1.8886282982711888E-2</c:v>
                </c:pt>
                <c:pt idx="11">
                  <c:v>-0.11860623658777802</c:v>
                </c:pt>
                <c:pt idx="12">
                  <c:v>-0.46095331826814501</c:v>
                </c:pt>
                <c:pt idx="13">
                  <c:v>-0.29612577965425929</c:v>
                </c:pt>
                <c:pt idx="14">
                  <c:v>-0.38011145584839146</c:v>
                </c:pt>
                <c:pt idx="15">
                  <c:v>-0.15646644139843421</c:v>
                </c:pt>
                <c:pt idx="16">
                  <c:v>5.7825501486436413E-2</c:v>
                </c:pt>
                <c:pt idx="17">
                  <c:v>-3.0534120793344055E-2</c:v>
                </c:pt>
                <c:pt idx="18">
                  <c:v>0.13762248236176974</c:v>
                </c:pt>
                <c:pt idx="19">
                  <c:v>-3.9145621781268236E-2</c:v>
                </c:pt>
                <c:pt idx="20">
                  <c:v>-0.14891303214053686</c:v>
                </c:pt>
                <c:pt idx="21">
                  <c:v>-3.7000157693111296E-2</c:v>
                </c:pt>
                <c:pt idx="22" formatCode="General">
                  <c:v>0.26996047463347478</c:v>
                </c:pt>
              </c:numCache>
            </c:numRef>
          </c:val>
          <c:extLst xmlns:c16r2="http://schemas.microsoft.com/office/drawing/2015/06/chart">
            <c:ext xmlns:c16="http://schemas.microsoft.com/office/drawing/2014/chart" uri="{C3380CC4-5D6E-409C-BE32-E72D297353CC}">
              <c16:uniqueId val="{00000002-A0C5-4F23-B720-3390D0F9E740}"/>
            </c:ext>
          </c:extLst>
        </c:ser>
        <c:ser>
          <c:idx val="1"/>
          <c:order val="3"/>
          <c:tx>
            <c:strRef>
              <c:f>'souhrnná výkonnost 4'!$F$5</c:f>
              <c:strCache>
                <c:ptCount val="1"/>
                <c:pt idx="0">
                  <c:v>Stavebnictví</c:v>
                </c:pt>
              </c:strCache>
            </c:strRef>
          </c:tx>
          <c:spPr>
            <a:solidFill>
              <a:srgbClr val="E8AFB2"/>
            </a:solidFill>
            <a:ln>
              <a:noFill/>
            </a:ln>
          </c:spPr>
          <c:val>
            <c:numRef>
              <c:f>'souhrnná výkonnost 4'!$F$10:$F$32</c:f>
              <c:numCache>
                <c:formatCode>#,##0.0</c:formatCode>
                <c:ptCount val="23"/>
                <c:pt idx="0">
                  <c:v>-9.3325688188072825E-2</c:v>
                </c:pt>
                <c:pt idx="1">
                  <c:v>6.914261697952713E-2</c:v>
                </c:pt>
                <c:pt idx="2">
                  <c:v>0.13786913343723919</c:v>
                </c:pt>
                <c:pt idx="3">
                  <c:v>0.16383091405829647</c:v>
                </c:pt>
                <c:pt idx="4">
                  <c:v>0.20523242964120891</c:v>
                </c:pt>
                <c:pt idx="5">
                  <c:v>8.047665950390763E-2</c:v>
                </c:pt>
                <c:pt idx="6">
                  <c:v>3.4966330205502577E-2</c:v>
                </c:pt>
                <c:pt idx="7">
                  <c:v>0.13500830058584248</c:v>
                </c:pt>
                <c:pt idx="8">
                  <c:v>0.12988031583912321</c:v>
                </c:pt>
                <c:pt idx="9">
                  <c:v>0.27364277251097802</c:v>
                </c:pt>
                <c:pt idx="10">
                  <c:v>0.3426017497695073</c:v>
                </c:pt>
                <c:pt idx="11">
                  <c:v>0.14326265942419544</c:v>
                </c:pt>
                <c:pt idx="12">
                  <c:v>-2.8321751396452179E-2</c:v>
                </c:pt>
                <c:pt idx="13">
                  <c:v>-0.2266549076208863</c:v>
                </c:pt>
                <c:pt idx="14">
                  <c:v>-0.33919566041548832</c:v>
                </c:pt>
                <c:pt idx="15">
                  <c:v>-0.26185884641425189</c:v>
                </c:pt>
                <c:pt idx="16">
                  <c:v>-0.302780720980795</c:v>
                </c:pt>
                <c:pt idx="17">
                  <c:v>-0.13114221691073388</c:v>
                </c:pt>
                <c:pt idx="18">
                  <c:v>-6.3560541353128594E-2</c:v>
                </c:pt>
                <c:pt idx="19">
                  <c:v>-4.4360012559824524E-2</c:v>
                </c:pt>
                <c:pt idx="20">
                  <c:v>0.30666158963485507</c:v>
                </c:pt>
                <c:pt idx="21">
                  <c:v>0.29356384181698231</c:v>
                </c:pt>
                <c:pt idx="22">
                  <c:v>0.335451308250589</c:v>
                </c:pt>
              </c:numCache>
            </c:numRef>
          </c:val>
          <c:extLst xmlns:c16r2="http://schemas.microsoft.com/office/drawing/2015/06/chart">
            <c:ext xmlns:c16="http://schemas.microsoft.com/office/drawing/2014/chart" uri="{C3380CC4-5D6E-409C-BE32-E72D297353CC}">
              <c16:uniqueId val="{00000003-A0C5-4F23-B720-3390D0F9E740}"/>
            </c:ext>
          </c:extLst>
        </c:ser>
        <c:ser>
          <c:idx val="0"/>
          <c:order val="4"/>
          <c:tx>
            <c:strRef>
              <c:f>'souhrnná výkonnost 4'!$G$5</c:f>
              <c:strCache>
                <c:ptCount val="1"/>
                <c:pt idx="0">
                  <c:v>Služby (CZ-NACE G až U)</c:v>
                </c:pt>
              </c:strCache>
            </c:strRef>
          </c:tx>
          <c:spPr>
            <a:solidFill>
              <a:srgbClr val="7DBB2D"/>
            </a:solidFill>
            <a:ln>
              <a:noFill/>
            </a:ln>
          </c:spPr>
          <c:val>
            <c:numRef>
              <c:f>'souhrnná výkonnost 4'!$G$10:$G$32</c:f>
              <c:numCache>
                <c:formatCode>#,##0.0</c:formatCode>
                <c:ptCount val="23"/>
                <c:pt idx="0">
                  <c:v>0.33531387573905125</c:v>
                </c:pt>
                <c:pt idx="1">
                  <c:v>0.82602965393403271</c:v>
                </c:pt>
                <c:pt idx="2">
                  <c:v>1.0647317258626734</c:v>
                </c:pt>
                <c:pt idx="3">
                  <c:v>1.3526094152015899</c:v>
                </c:pt>
                <c:pt idx="4">
                  <c:v>1.2015462411733078</c:v>
                </c:pt>
                <c:pt idx="5">
                  <c:v>1.3618962066899361</c:v>
                </c:pt>
                <c:pt idx="6">
                  <c:v>1.6305753628128847</c:v>
                </c:pt>
                <c:pt idx="7">
                  <c:v>1.7371534802280579</c:v>
                </c:pt>
                <c:pt idx="8">
                  <c:v>2.3293944432592837</c:v>
                </c:pt>
                <c:pt idx="9">
                  <c:v>2.9607261994462397</c:v>
                </c:pt>
                <c:pt idx="10">
                  <c:v>3.3104809685977732</c:v>
                </c:pt>
                <c:pt idx="11">
                  <c:v>3.5102997095503552</c:v>
                </c:pt>
                <c:pt idx="12">
                  <c:v>2.8263627195651577</c:v>
                </c:pt>
                <c:pt idx="13">
                  <c:v>2.1630843086592892</c:v>
                </c:pt>
                <c:pt idx="14">
                  <c:v>1.4107617066750757</c:v>
                </c:pt>
                <c:pt idx="15">
                  <c:v>1.1370846005544863</c:v>
                </c:pt>
                <c:pt idx="16">
                  <c:v>1.0783547622951872</c:v>
                </c:pt>
                <c:pt idx="17">
                  <c:v>1.7517053491354078</c:v>
                </c:pt>
                <c:pt idx="18">
                  <c:v>1.5916101463720922</c:v>
                </c:pt>
                <c:pt idx="19">
                  <c:v>1.919300620304905</c:v>
                </c:pt>
                <c:pt idx="20">
                  <c:v>2.2299965554037602</c:v>
                </c:pt>
                <c:pt idx="21">
                  <c:v>1.4909872622450147</c:v>
                </c:pt>
                <c:pt idx="22" formatCode="General">
                  <c:v>1.6192319380810201</c:v>
                </c:pt>
              </c:numCache>
            </c:numRef>
          </c:val>
          <c:extLst xmlns:c16r2="http://schemas.microsoft.com/office/drawing/2015/06/chart">
            <c:ext xmlns:c16="http://schemas.microsoft.com/office/drawing/2014/chart" uri="{C3380CC4-5D6E-409C-BE32-E72D297353CC}">
              <c16:uniqueId val="{00000004-A0C5-4F23-B720-3390D0F9E740}"/>
            </c:ext>
          </c:extLst>
        </c:ser>
        <c:gapWidth val="70"/>
        <c:overlap val="100"/>
        <c:axId val="77894016"/>
        <c:axId val="77895552"/>
      </c:barChart>
      <c:lineChart>
        <c:grouping val="standard"/>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4'!$A$10:$B$32</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2013</c:v>
                  </c:pt>
                  <c:pt idx="4">
                    <c:v>2014</c:v>
                  </c:pt>
                  <c:pt idx="8">
                    <c:v>2015</c:v>
                  </c:pt>
                  <c:pt idx="12">
                    <c:v>2016</c:v>
                  </c:pt>
                  <c:pt idx="16">
                    <c:v>2017</c:v>
                  </c:pt>
                  <c:pt idx="20">
                    <c:v>2018</c:v>
                  </c:pt>
                </c:lvl>
              </c:multiLvlStrCache>
            </c:multiLvlStrRef>
          </c:cat>
          <c:val>
            <c:numRef>
              <c:f>'souhrnná výkonnost 4'!$H$10:$H$32</c:f>
              <c:numCache>
                <c:formatCode>#,##0.0</c:formatCode>
                <c:ptCount val="23"/>
                <c:pt idx="0">
                  <c:v>-1.6029638849506325</c:v>
                </c:pt>
                <c:pt idx="1">
                  <c:v>-0.85391471561866972</c:v>
                </c:pt>
                <c:pt idx="2">
                  <c:v>-0.17856994731182574</c:v>
                </c:pt>
                <c:pt idx="3">
                  <c:v>0.67978995359544436</c:v>
                </c:pt>
                <c:pt idx="4">
                  <c:v>2.3247275605985616</c:v>
                </c:pt>
                <c:pt idx="5">
                  <c:v>2.9677793446742413</c:v>
                </c:pt>
                <c:pt idx="6">
                  <c:v>3.7862627849497223</c:v>
                </c:pt>
                <c:pt idx="7">
                  <c:v>4.5085738953991834</c:v>
                </c:pt>
                <c:pt idx="8">
                  <c:v>4.6449632769543845</c:v>
                </c:pt>
                <c:pt idx="9">
                  <c:v>5.0617095222013724</c:v>
                </c:pt>
                <c:pt idx="10">
                  <c:v>5.1392793226927624</c:v>
                </c:pt>
                <c:pt idx="11">
                  <c:v>4.3837812230315505</c:v>
                </c:pt>
                <c:pt idx="12">
                  <c:v>3.3693001484089842</c:v>
                </c:pt>
                <c:pt idx="13">
                  <c:v>2.3056178950667725</c:v>
                </c:pt>
                <c:pt idx="14">
                  <c:v>1.5499257674343665</c:v>
                </c:pt>
                <c:pt idx="15">
                  <c:v>1.9589295741354551</c:v>
                </c:pt>
                <c:pt idx="16">
                  <c:v>2.8499573664514282</c:v>
                </c:pt>
                <c:pt idx="17">
                  <c:v>4.8940758215988245</c:v>
                </c:pt>
                <c:pt idx="18">
                  <c:v>5.0549371235463942</c:v>
                </c:pt>
                <c:pt idx="19">
                  <c:v>4.7970012594389662</c:v>
                </c:pt>
                <c:pt idx="20">
                  <c:v>4.1863897797296108</c:v>
                </c:pt>
                <c:pt idx="21">
                  <c:v>2.3689129075608504</c:v>
                </c:pt>
                <c:pt idx="22">
                  <c:v>2.4169221964825183</c:v>
                </c:pt>
              </c:numCache>
            </c:numRef>
          </c:val>
          <c:extLst xmlns:c16r2="http://schemas.microsoft.com/office/drawing/2015/06/chart">
            <c:ext xmlns:c16="http://schemas.microsoft.com/office/drawing/2014/chart" uri="{C3380CC4-5D6E-409C-BE32-E72D297353CC}">
              <c16:uniqueId val="{00000005-A0C5-4F23-B720-3390D0F9E740}"/>
            </c:ext>
          </c:extLst>
        </c:ser>
        <c:marker val="1"/>
        <c:axId val="77894016"/>
        <c:axId val="77895552"/>
      </c:lineChart>
      <c:catAx>
        <c:axId val="77894016"/>
        <c:scaling>
          <c:orientation val="minMax"/>
        </c:scaling>
        <c:axPos val="b"/>
        <c:tickLblPos val="low"/>
        <c:spPr>
          <a:ln>
            <a:solidFill>
              <a:schemeClr val="tx1"/>
            </a:solidFill>
          </a:ln>
        </c:spPr>
        <c:txPr>
          <a:bodyPr rot="0" vert="horz"/>
          <a:lstStyle/>
          <a:p>
            <a:pPr>
              <a:defRPr/>
            </a:pPr>
            <a:endParaRPr lang="cs-CZ"/>
          </a:p>
        </c:txPr>
        <c:crossAx val="77895552"/>
        <c:crosses val="autoZero"/>
        <c:auto val="1"/>
        <c:lblAlgn val="ctr"/>
        <c:lblOffset val="100"/>
      </c:catAx>
      <c:valAx>
        <c:axId val="77895552"/>
        <c:scaling>
          <c:orientation val="minMax"/>
          <c:max val="6"/>
          <c:min val="-3"/>
        </c:scaling>
        <c:axPos val="l"/>
        <c:majorGridlines>
          <c:spPr>
            <a:ln w="6350">
              <a:solidFill>
                <a:schemeClr val="bg1">
                  <a:lumMod val="75000"/>
                </a:schemeClr>
              </a:solidFill>
            </a:ln>
          </c:spPr>
        </c:majorGridlines>
        <c:numFmt formatCode="0" sourceLinked="0"/>
        <c:tickLblPos val="nextTo"/>
        <c:spPr>
          <a:ln>
            <a:solidFill>
              <a:schemeClr val="tx1"/>
            </a:solidFill>
          </a:ln>
        </c:spPr>
        <c:crossAx val="77894016"/>
        <c:crosses val="autoZero"/>
        <c:crossBetween val="between"/>
        <c:majorUnit val="1"/>
      </c:valAx>
      <c:spPr>
        <a:ln>
          <a:solidFill>
            <a:schemeClr val="tx1"/>
          </a:solidFill>
        </a:ln>
      </c:spPr>
    </c:plotArea>
    <c:legend>
      <c:legendPos val="b"/>
      <c:layout>
        <c:manualLayout>
          <c:xMode val="edge"/>
          <c:yMode val="edge"/>
          <c:x val="4.8782884397989404E-2"/>
          <c:y val="0.79016604750647301"/>
          <c:w val="0.92922619274506457"/>
          <c:h val="0.19462484520994863"/>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3.2768470688525612E-2"/>
          <c:y val="1.6203558522131629E-2"/>
          <c:w val="0.93666788782242216"/>
          <c:h val="0.71950593410789765"/>
        </c:manualLayout>
      </c:layout>
      <c:barChart>
        <c:barDir val="col"/>
        <c:grouping val="stacked"/>
        <c:ser>
          <c:idx val="0"/>
          <c:order val="0"/>
          <c:tx>
            <c:strRef>
              <c:f>'GRAF příspěvky IPP'!$A$32</c:f>
              <c:strCache>
                <c:ptCount val="1"/>
                <c:pt idx="0">
                  <c:v>Výroba dopravních prostředků (29+30)</c:v>
                </c:pt>
              </c:strCache>
            </c:strRef>
          </c:tx>
          <c:spPr>
            <a:solidFill>
              <a:srgbClr val="E8AFB2"/>
            </a:solidFill>
          </c:spPr>
          <c:cat>
            <c:multiLvlStrRef>
              <c:f>'GRAF příspěvky IPP'!$B$30:$AF$31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IPP'!$B$32:$AF$32</c:f>
              <c:numCache>
                <c:formatCode>0.0</c:formatCode>
                <c:ptCount val="31"/>
                <c:pt idx="0">
                  <c:v>5.1583390189821374</c:v>
                </c:pt>
                <c:pt idx="1">
                  <c:v>4.1940805843592317</c:v>
                </c:pt>
                <c:pt idx="2">
                  <c:v>3.6254585881455803</c:v>
                </c:pt>
                <c:pt idx="3">
                  <c:v>3.2258487674246217</c:v>
                </c:pt>
                <c:pt idx="4">
                  <c:v>1.9477463114435285</c:v>
                </c:pt>
                <c:pt idx="5">
                  <c:v>1.0058302469588418</c:v>
                </c:pt>
                <c:pt idx="6">
                  <c:v>-0.47327260667125248</c:v>
                </c:pt>
                <c:pt idx="7">
                  <c:v>-1.6589798300201712</c:v>
                </c:pt>
                <c:pt idx="8">
                  <c:v>-2.5458879361074449</c:v>
                </c:pt>
                <c:pt idx="9">
                  <c:v>-1.3259090973424799</c:v>
                </c:pt>
                <c:pt idx="10">
                  <c:v>0.76388270851172324</c:v>
                </c:pt>
                <c:pt idx="11">
                  <c:v>1.8584636345874879</c:v>
                </c:pt>
                <c:pt idx="12">
                  <c:v>3.3381841003075512</c:v>
                </c:pt>
                <c:pt idx="13">
                  <c:v>2.4352412796453371</c:v>
                </c:pt>
                <c:pt idx="14">
                  <c:v>1.8587530098340042</c:v>
                </c:pt>
                <c:pt idx="15">
                  <c:v>1.4829445473338632</c:v>
                </c:pt>
                <c:pt idx="16">
                  <c:v>1.5560406088862635</c:v>
                </c:pt>
                <c:pt idx="17">
                  <c:v>2.1747965848469462</c:v>
                </c:pt>
                <c:pt idx="18">
                  <c:v>2.225670583560051</c:v>
                </c:pt>
                <c:pt idx="19">
                  <c:v>2.9326959962159198</c:v>
                </c:pt>
                <c:pt idx="20">
                  <c:v>3.4317610615849299</c:v>
                </c:pt>
                <c:pt idx="21">
                  <c:v>2.7916779937104867</c:v>
                </c:pt>
                <c:pt idx="22">
                  <c:v>1.4159459574233138</c:v>
                </c:pt>
                <c:pt idx="23">
                  <c:v>1.0292819674961451</c:v>
                </c:pt>
                <c:pt idx="24">
                  <c:v>1.8337769181325838</c:v>
                </c:pt>
                <c:pt idx="25">
                  <c:v>2.0232440682518602</c:v>
                </c:pt>
                <c:pt idx="26">
                  <c:v>1.4766426933313399</c:v>
                </c:pt>
                <c:pt idx="27">
                  <c:v>1.6947521950851363</c:v>
                </c:pt>
                <c:pt idx="28">
                  <c:v>0.68613379658172513</c:v>
                </c:pt>
                <c:pt idx="29">
                  <c:v>0.32669980690669048</c:v>
                </c:pt>
                <c:pt idx="30">
                  <c:v>4.5335377852403942E-2</c:v>
                </c:pt>
              </c:numCache>
            </c:numRef>
          </c:val>
          <c:extLst xmlns:c16r2="http://schemas.microsoft.com/office/drawing/2015/06/chart">
            <c:ext xmlns:c16="http://schemas.microsoft.com/office/drawing/2014/chart" uri="{C3380CC4-5D6E-409C-BE32-E72D297353CC}">
              <c16:uniqueId val="{00000000-14BA-4817-9220-9C8AE54B832A}"/>
            </c:ext>
          </c:extLst>
        </c:ser>
        <c:ser>
          <c:idx val="1"/>
          <c:order val="1"/>
          <c:tx>
            <c:strRef>
              <c:f>'GRAF příspěvky IPP'!$A$33</c:f>
              <c:strCache>
                <c:ptCount val="1"/>
                <c:pt idx="0">
                  <c:v>Gumárenství, elektrotechnický pr. (22+27)</c:v>
                </c:pt>
              </c:strCache>
            </c:strRef>
          </c:tx>
          <c:spPr>
            <a:solidFill>
              <a:srgbClr val="BD1B21"/>
            </a:solidFill>
          </c:spPr>
          <c:cat>
            <c:multiLvlStrRef>
              <c:f>'GRAF příspěvky IPP'!$B$30:$AF$31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IPP'!$B$33:$AF$33</c:f>
              <c:numCache>
                <c:formatCode>0.0</c:formatCode>
                <c:ptCount val="31"/>
                <c:pt idx="0">
                  <c:v>1.7983691275864537</c:v>
                </c:pt>
                <c:pt idx="1">
                  <c:v>1.4558566523785252</c:v>
                </c:pt>
                <c:pt idx="2">
                  <c:v>0.48746198826577375</c:v>
                </c:pt>
                <c:pt idx="3">
                  <c:v>0.58308022139278459</c:v>
                </c:pt>
                <c:pt idx="4">
                  <c:v>0.8442656282525447</c:v>
                </c:pt>
                <c:pt idx="5">
                  <c:v>0.66654661442767804</c:v>
                </c:pt>
                <c:pt idx="6">
                  <c:v>1.0653762335640964</c:v>
                </c:pt>
                <c:pt idx="7">
                  <c:v>-0.46502811090535123</c:v>
                </c:pt>
                <c:pt idx="8">
                  <c:v>-0.28211107583639117</c:v>
                </c:pt>
                <c:pt idx="9">
                  <c:v>-0.34471853265078234</c:v>
                </c:pt>
                <c:pt idx="10">
                  <c:v>0.38728197932092551</c:v>
                </c:pt>
                <c:pt idx="11">
                  <c:v>0.67444684530708265</c:v>
                </c:pt>
                <c:pt idx="12">
                  <c:v>1.1900587156554803</c:v>
                </c:pt>
                <c:pt idx="13">
                  <c:v>1.3179606079755604</c:v>
                </c:pt>
                <c:pt idx="14">
                  <c:v>0.15682402057671571</c:v>
                </c:pt>
                <c:pt idx="15">
                  <c:v>0.79246998238680644</c:v>
                </c:pt>
                <c:pt idx="16">
                  <c:v>1.0327158178902081</c:v>
                </c:pt>
                <c:pt idx="17">
                  <c:v>1.2401487730750369</c:v>
                </c:pt>
                <c:pt idx="18">
                  <c:v>1.4263615358978559</c:v>
                </c:pt>
                <c:pt idx="19">
                  <c:v>0.62907027961344808</c:v>
                </c:pt>
                <c:pt idx="20">
                  <c:v>0.73623049391962603</c:v>
                </c:pt>
                <c:pt idx="21">
                  <c:v>0.13255877827094117</c:v>
                </c:pt>
                <c:pt idx="22">
                  <c:v>0.2843931356974948</c:v>
                </c:pt>
                <c:pt idx="23">
                  <c:v>0.43251342156214634</c:v>
                </c:pt>
                <c:pt idx="24">
                  <c:v>0.8790130954715587</c:v>
                </c:pt>
                <c:pt idx="25">
                  <c:v>1.4636922494624551</c:v>
                </c:pt>
                <c:pt idx="26">
                  <c:v>0.86660777787350685</c:v>
                </c:pt>
                <c:pt idx="27">
                  <c:v>1.6549188645784989</c:v>
                </c:pt>
                <c:pt idx="28">
                  <c:v>0.88263591522283313</c:v>
                </c:pt>
                <c:pt idx="29">
                  <c:v>0.30216313943135575</c:v>
                </c:pt>
                <c:pt idx="30">
                  <c:v>0.43002190919078287</c:v>
                </c:pt>
              </c:numCache>
            </c:numRef>
          </c:val>
          <c:extLst xmlns:c16r2="http://schemas.microsoft.com/office/drawing/2015/06/chart">
            <c:ext xmlns:c16="http://schemas.microsoft.com/office/drawing/2014/chart" uri="{C3380CC4-5D6E-409C-BE32-E72D297353CC}">
              <c16:uniqueId val="{00000001-14BA-4817-9220-9C8AE54B832A}"/>
            </c:ext>
          </c:extLst>
        </c:ser>
        <c:ser>
          <c:idx val="2"/>
          <c:order val="2"/>
          <c:tx>
            <c:strRef>
              <c:f>'GRAF příspěvky IPP'!$A$34</c:f>
              <c:strCache>
                <c:ptCount val="1"/>
                <c:pt idx="0">
                  <c:v>Strojírenství (28)</c:v>
                </c:pt>
              </c:strCache>
            </c:strRef>
          </c:tx>
          <c:spPr>
            <a:solidFill>
              <a:srgbClr val="BFE3F7"/>
            </a:solidFill>
          </c:spPr>
          <c:cat>
            <c:multiLvlStrRef>
              <c:f>'GRAF příspěvky IPP'!$B$30:$AF$31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IPP'!$B$34:$AF$34</c:f>
              <c:numCache>
                <c:formatCode>0.0</c:formatCode>
                <c:ptCount val="31"/>
                <c:pt idx="0">
                  <c:v>1.2706011457621875</c:v>
                </c:pt>
                <c:pt idx="1">
                  <c:v>1.2888664807252919</c:v>
                </c:pt>
                <c:pt idx="2">
                  <c:v>0.32307846092657022</c:v>
                </c:pt>
                <c:pt idx="3">
                  <c:v>0.70071844497242752</c:v>
                </c:pt>
                <c:pt idx="4">
                  <c:v>0.51659781480962252</c:v>
                </c:pt>
                <c:pt idx="5">
                  <c:v>0.2631231278845213</c:v>
                </c:pt>
                <c:pt idx="6">
                  <c:v>0.23301984566307926</c:v>
                </c:pt>
                <c:pt idx="7">
                  <c:v>-0.13339713383761717</c:v>
                </c:pt>
                <c:pt idx="8">
                  <c:v>7.1737084628029121E-2</c:v>
                </c:pt>
                <c:pt idx="9">
                  <c:v>0.20406264489060291</c:v>
                </c:pt>
                <c:pt idx="10">
                  <c:v>-1.7001944235035409E-2</c:v>
                </c:pt>
                <c:pt idx="11">
                  <c:v>0.64362374734259475</c:v>
                </c:pt>
                <c:pt idx="12">
                  <c:v>0.21470457876175333</c:v>
                </c:pt>
                <c:pt idx="13">
                  <c:v>0.40293012989484872</c:v>
                </c:pt>
                <c:pt idx="14">
                  <c:v>0.21152856009329646</c:v>
                </c:pt>
                <c:pt idx="15">
                  <c:v>0.33012044192863793</c:v>
                </c:pt>
                <c:pt idx="16">
                  <c:v>0.27832699102768477</c:v>
                </c:pt>
                <c:pt idx="17">
                  <c:v>0.29159295435772531</c:v>
                </c:pt>
                <c:pt idx="18">
                  <c:v>0.37916922656306401</c:v>
                </c:pt>
                <c:pt idx="19">
                  <c:v>1.781989990773131E-2</c:v>
                </c:pt>
                <c:pt idx="20">
                  <c:v>0.3645008605298829</c:v>
                </c:pt>
                <c:pt idx="21">
                  <c:v>-6.9051390149412833E-2</c:v>
                </c:pt>
                <c:pt idx="22">
                  <c:v>0.19850927828339104</c:v>
                </c:pt>
                <c:pt idx="23">
                  <c:v>0.32150601856840738</c:v>
                </c:pt>
                <c:pt idx="24">
                  <c:v>0.36417963216621208</c:v>
                </c:pt>
                <c:pt idx="25">
                  <c:v>1.0647927179276138</c:v>
                </c:pt>
                <c:pt idx="26">
                  <c:v>0.84846050084183544</c:v>
                </c:pt>
                <c:pt idx="27">
                  <c:v>0.80860359811504845</c:v>
                </c:pt>
                <c:pt idx="28">
                  <c:v>0.60464772961501012</c:v>
                </c:pt>
                <c:pt idx="29">
                  <c:v>0.33032635655466119</c:v>
                </c:pt>
                <c:pt idx="30">
                  <c:v>0.28396157538018091</c:v>
                </c:pt>
              </c:numCache>
            </c:numRef>
          </c:val>
          <c:extLst xmlns:c16r2="http://schemas.microsoft.com/office/drawing/2015/06/chart">
            <c:ext xmlns:c16="http://schemas.microsoft.com/office/drawing/2014/chart" uri="{C3380CC4-5D6E-409C-BE32-E72D297353CC}">
              <c16:uniqueId val="{00000002-14BA-4817-9220-9C8AE54B832A}"/>
            </c:ext>
          </c:extLst>
        </c:ser>
        <c:ser>
          <c:idx val="3"/>
          <c:order val="3"/>
          <c:tx>
            <c:strRef>
              <c:f>'GRAF příspěvky IPP'!$A$35</c:f>
              <c:strCache>
                <c:ptCount val="1"/>
                <c:pt idx="0">
                  <c:v>Kovodělný průmysl (25)</c:v>
                </c:pt>
              </c:strCache>
            </c:strRef>
          </c:tx>
          <c:spPr>
            <a:solidFill>
              <a:srgbClr val="48AEE7"/>
            </a:solidFill>
          </c:spPr>
          <c:cat>
            <c:multiLvlStrRef>
              <c:f>'GRAF příspěvky IPP'!$B$30:$AF$31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IPP'!$B$35:$AF$35</c:f>
              <c:numCache>
                <c:formatCode>0.0</c:formatCode>
                <c:ptCount val="31"/>
                <c:pt idx="0">
                  <c:v>1.3529708847357198</c:v>
                </c:pt>
                <c:pt idx="1">
                  <c:v>0.61223141631615474</c:v>
                </c:pt>
                <c:pt idx="2">
                  <c:v>6.1889465402554356E-2</c:v>
                </c:pt>
                <c:pt idx="3">
                  <c:v>-5.0371368079756305E-2</c:v>
                </c:pt>
                <c:pt idx="4">
                  <c:v>-0.10808602428987622</c:v>
                </c:pt>
                <c:pt idx="5">
                  <c:v>-5.7044312227523312E-2</c:v>
                </c:pt>
                <c:pt idx="6">
                  <c:v>0.11227086111396455</c:v>
                </c:pt>
                <c:pt idx="7">
                  <c:v>-0.17759790176716131</c:v>
                </c:pt>
                <c:pt idx="8">
                  <c:v>-4.9295714575087683E-2</c:v>
                </c:pt>
                <c:pt idx="9">
                  <c:v>9.2868962187095644E-2</c:v>
                </c:pt>
                <c:pt idx="10">
                  <c:v>0.374205511065408</c:v>
                </c:pt>
                <c:pt idx="11">
                  <c:v>0.57817330515122456</c:v>
                </c:pt>
                <c:pt idx="12">
                  <c:v>0.75653656295046556</c:v>
                </c:pt>
                <c:pt idx="13">
                  <c:v>0.62179163182191965</c:v>
                </c:pt>
                <c:pt idx="14">
                  <c:v>0.13796392398444496</c:v>
                </c:pt>
                <c:pt idx="15">
                  <c:v>0.35044871686260753</c:v>
                </c:pt>
                <c:pt idx="16">
                  <c:v>0.69752018574312757</c:v>
                </c:pt>
                <c:pt idx="17">
                  <c:v>0.78069864008168266</c:v>
                </c:pt>
                <c:pt idx="18">
                  <c:v>0.92145489387273449</c:v>
                </c:pt>
                <c:pt idx="19">
                  <c:v>0.6256977714332792</c:v>
                </c:pt>
                <c:pt idx="20">
                  <c:v>0.74976781674783555</c:v>
                </c:pt>
                <c:pt idx="21">
                  <c:v>0.40323787298061481</c:v>
                </c:pt>
                <c:pt idx="22">
                  <c:v>0.20786247012396891</c:v>
                </c:pt>
                <c:pt idx="23">
                  <c:v>0.25885378383640545</c:v>
                </c:pt>
                <c:pt idx="24">
                  <c:v>0.5193760395981406</c:v>
                </c:pt>
                <c:pt idx="25">
                  <c:v>0.90938443427805682</c:v>
                </c:pt>
                <c:pt idx="26">
                  <c:v>0.82894658499995399</c:v>
                </c:pt>
                <c:pt idx="27">
                  <c:v>0.9698553990645804</c:v>
                </c:pt>
                <c:pt idx="28">
                  <c:v>0.66803550047886506</c:v>
                </c:pt>
                <c:pt idx="29">
                  <c:v>0.39486272937743744</c:v>
                </c:pt>
                <c:pt idx="30">
                  <c:v>0.49029978501417082</c:v>
                </c:pt>
              </c:numCache>
            </c:numRef>
          </c:val>
          <c:extLst xmlns:c16r2="http://schemas.microsoft.com/office/drawing/2015/06/chart">
            <c:ext xmlns:c16="http://schemas.microsoft.com/office/drawing/2014/chart" uri="{C3380CC4-5D6E-409C-BE32-E72D297353CC}">
              <c16:uniqueId val="{00000003-14BA-4817-9220-9C8AE54B832A}"/>
            </c:ext>
          </c:extLst>
        </c:ser>
        <c:ser>
          <c:idx val="4"/>
          <c:order val="4"/>
          <c:tx>
            <c:strRef>
              <c:f>'GRAF příspěvky IPP'!$A$36</c:f>
              <c:strCache>
                <c:ptCount val="1"/>
                <c:pt idx="0">
                  <c:v>Výroba PC, elektronic. a optic. přístr. (26)</c:v>
                </c:pt>
              </c:strCache>
            </c:strRef>
          </c:tx>
          <c:spPr>
            <a:solidFill>
              <a:srgbClr val="FDDEB3"/>
            </a:solidFill>
          </c:spPr>
          <c:cat>
            <c:multiLvlStrRef>
              <c:f>'GRAF příspěvky IPP'!$B$30:$AF$31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IPP'!$B$36:$AF$36</c:f>
              <c:numCache>
                <c:formatCode>0.0</c:formatCode>
                <c:ptCount val="31"/>
                <c:pt idx="0">
                  <c:v>0.46607738102630258</c:v>
                </c:pt>
                <c:pt idx="1">
                  <c:v>0.2289737073350934</c:v>
                </c:pt>
                <c:pt idx="2">
                  <c:v>-0.24362549730013724</c:v>
                </c:pt>
                <c:pt idx="3">
                  <c:v>-0.78232564519731651</c:v>
                </c:pt>
                <c:pt idx="4">
                  <c:v>-0.62912903530941677</c:v>
                </c:pt>
                <c:pt idx="5">
                  <c:v>-0.77404145043571104</c:v>
                </c:pt>
                <c:pt idx="6">
                  <c:v>-0.66225050698900378</c:v>
                </c:pt>
                <c:pt idx="7">
                  <c:v>-0.44167473994696882</c:v>
                </c:pt>
                <c:pt idx="8">
                  <c:v>0.17307138431247818</c:v>
                </c:pt>
                <c:pt idx="9">
                  <c:v>0.20710305378343791</c:v>
                </c:pt>
                <c:pt idx="10">
                  <c:v>0.28808704980807831</c:v>
                </c:pt>
                <c:pt idx="11">
                  <c:v>0.37118882448330998</c:v>
                </c:pt>
                <c:pt idx="12">
                  <c:v>0.25436485129926839</c:v>
                </c:pt>
                <c:pt idx="13">
                  <c:v>0.35992422249609862</c:v>
                </c:pt>
                <c:pt idx="14">
                  <c:v>0.25073709132947558</c:v>
                </c:pt>
                <c:pt idx="15">
                  <c:v>0.43084138344861367</c:v>
                </c:pt>
                <c:pt idx="16">
                  <c:v>0.10169095278085669</c:v>
                </c:pt>
                <c:pt idx="17">
                  <c:v>1.4154514873228306E-2</c:v>
                </c:pt>
                <c:pt idx="18">
                  <c:v>4.4552452116603837E-2</c:v>
                </c:pt>
                <c:pt idx="19">
                  <c:v>-7.4237264718247278E-2</c:v>
                </c:pt>
                <c:pt idx="20">
                  <c:v>-2.1481481669667441E-3</c:v>
                </c:pt>
                <c:pt idx="21">
                  <c:v>5.1480619698657547E-2</c:v>
                </c:pt>
                <c:pt idx="22">
                  <c:v>5.3821883781074505E-2</c:v>
                </c:pt>
                <c:pt idx="23">
                  <c:v>0.15961607959276725</c:v>
                </c:pt>
                <c:pt idx="24">
                  <c:v>0.12925577438246424</c:v>
                </c:pt>
                <c:pt idx="25">
                  <c:v>0.37526184999298506</c:v>
                </c:pt>
                <c:pt idx="26">
                  <c:v>0.2380055396976837</c:v>
                </c:pt>
                <c:pt idx="27">
                  <c:v>0.23859541569534137</c:v>
                </c:pt>
                <c:pt idx="28">
                  <c:v>0.47222552264673673</c:v>
                </c:pt>
                <c:pt idx="29">
                  <c:v>0.19431603051500956</c:v>
                </c:pt>
                <c:pt idx="30">
                  <c:v>0.64627673778247263</c:v>
                </c:pt>
              </c:numCache>
            </c:numRef>
          </c:val>
          <c:extLst xmlns:c16r2="http://schemas.microsoft.com/office/drawing/2015/06/chart">
            <c:ext xmlns:c16="http://schemas.microsoft.com/office/drawing/2014/chart" uri="{C3380CC4-5D6E-409C-BE32-E72D297353CC}">
              <c16:uniqueId val="{00000004-14BA-4817-9220-9C8AE54B832A}"/>
            </c:ext>
          </c:extLst>
        </c:ser>
        <c:ser>
          <c:idx val="5"/>
          <c:order val="5"/>
          <c:tx>
            <c:strRef>
              <c:f>'GRAF příspěvky IPP'!$A$37</c:f>
              <c:strCache>
                <c:ptCount val="1"/>
                <c:pt idx="0">
                  <c:v>Chemický a farmaceutický pr. (20+21)</c:v>
                </c:pt>
              </c:strCache>
            </c:strRef>
          </c:tx>
          <c:spPr>
            <a:solidFill>
              <a:srgbClr val="F8A124"/>
            </a:solidFill>
          </c:spPr>
          <c:cat>
            <c:multiLvlStrRef>
              <c:f>'GRAF příspěvky IPP'!$B$30:$AF$31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IPP'!$B$37:$AF$37</c:f>
              <c:numCache>
                <c:formatCode>0.0</c:formatCode>
                <c:ptCount val="31"/>
                <c:pt idx="0">
                  <c:v>0.10124729624413728</c:v>
                </c:pt>
                <c:pt idx="1">
                  <c:v>-0.10987307777837718</c:v>
                </c:pt>
                <c:pt idx="2">
                  <c:v>-0.35448780665781165</c:v>
                </c:pt>
                <c:pt idx="3">
                  <c:v>-0.25365533251952127</c:v>
                </c:pt>
                <c:pt idx="4">
                  <c:v>8.2098114440466885E-2</c:v>
                </c:pt>
                <c:pt idx="5">
                  <c:v>-8.0110027441629553E-2</c:v>
                </c:pt>
                <c:pt idx="6">
                  <c:v>0.30586896879336101</c:v>
                </c:pt>
                <c:pt idx="7">
                  <c:v>6.8409485771207784E-2</c:v>
                </c:pt>
                <c:pt idx="8">
                  <c:v>-0.15361204125200914</c:v>
                </c:pt>
                <c:pt idx="9">
                  <c:v>1.822316559951451E-2</c:v>
                </c:pt>
                <c:pt idx="10">
                  <c:v>-0.21418759865827675</c:v>
                </c:pt>
                <c:pt idx="11">
                  <c:v>0.23085083648135049</c:v>
                </c:pt>
                <c:pt idx="12">
                  <c:v>0.41401687752487543</c:v>
                </c:pt>
                <c:pt idx="13">
                  <c:v>0.30065933491628777</c:v>
                </c:pt>
                <c:pt idx="14">
                  <c:v>0.38510686850210024</c:v>
                </c:pt>
                <c:pt idx="15">
                  <c:v>0.11900135459161652</c:v>
                </c:pt>
                <c:pt idx="16">
                  <c:v>7.8782994403983744E-2</c:v>
                </c:pt>
                <c:pt idx="17">
                  <c:v>0.23469012479248291</c:v>
                </c:pt>
                <c:pt idx="18">
                  <c:v>-0.17180717870315537</c:v>
                </c:pt>
                <c:pt idx="19">
                  <c:v>-0.33632275678133638</c:v>
                </c:pt>
                <c:pt idx="20">
                  <c:v>-0.42054564658408849</c:v>
                </c:pt>
                <c:pt idx="21">
                  <c:v>-0.41604329837232795</c:v>
                </c:pt>
                <c:pt idx="22">
                  <c:v>-0.11436029247510612</c:v>
                </c:pt>
                <c:pt idx="23">
                  <c:v>0.2421266841430553</c:v>
                </c:pt>
                <c:pt idx="24">
                  <c:v>0.54456420388154547</c:v>
                </c:pt>
                <c:pt idx="25">
                  <c:v>0.81097014817933744</c:v>
                </c:pt>
                <c:pt idx="26">
                  <c:v>0.64258143893579645</c:v>
                </c:pt>
                <c:pt idx="27">
                  <c:v>0.51006133838638013</c:v>
                </c:pt>
                <c:pt idx="28">
                  <c:v>0.38740414070141038</c:v>
                </c:pt>
                <c:pt idx="29">
                  <c:v>4.6275575122148797E-2</c:v>
                </c:pt>
                <c:pt idx="30">
                  <c:v>-9.69601691442811E-2</c:v>
                </c:pt>
              </c:numCache>
            </c:numRef>
          </c:val>
          <c:extLst xmlns:c16r2="http://schemas.microsoft.com/office/drawing/2015/06/chart">
            <c:ext xmlns:c16="http://schemas.microsoft.com/office/drawing/2014/chart" uri="{C3380CC4-5D6E-409C-BE32-E72D297353CC}">
              <c16:uniqueId val="{00000005-14BA-4817-9220-9C8AE54B832A}"/>
            </c:ext>
          </c:extLst>
        </c:ser>
        <c:ser>
          <c:idx val="6"/>
          <c:order val="6"/>
          <c:tx>
            <c:strRef>
              <c:f>'GRAF příspěvky IPP'!$A$38</c:f>
              <c:strCache>
                <c:ptCount val="1"/>
                <c:pt idx="0">
                  <c:v>Zbývající zpracovatelský průmysl</c:v>
                </c:pt>
              </c:strCache>
            </c:strRef>
          </c:tx>
          <c:spPr>
            <a:solidFill>
              <a:schemeClr val="bg1">
                <a:lumMod val="85000"/>
              </a:schemeClr>
            </a:solidFill>
          </c:spPr>
          <c:cat>
            <c:multiLvlStrRef>
              <c:f>'GRAF příspěvky IPP'!$B$30:$AF$31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IPP'!$B$38:$AF$38</c:f>
              <c:numCache>
                <c:formatCode>0.0</c:formatCode>
                <c:ptCount val="31"/>
                <c:pt idx="0">
                  <c:v>0.31552663311963136</c:v>
                </c:pt>
                <c:pt idx="1">
                  <c:v>8.0724819058620556E-2</c:v>
                </c:pt>
                <c:pt idx="2">
                  <c:v>-1.3196696952264537</c:v>
                </c:pt>
                <c:pt idx="3">
                  <c:v>0.11842987325758272</c:v>
                </c:pt>
                <c:pt idx="4">
                  <c:v>-1.2660773466306161</c:v>
                </c:pt>
                <c:pt idx="5">
                  <c:v>-0.47802730548721833</c:v>
                </c:pt>
                <c:pt idx="6">
                  <c:v>-0.34646761815323956</c:v>
                </c:pt>
                <c:pt idx="7">
                  <c:v>-1.3200846686145966</c:v>
                </c:pt>
                <c:pt idx="8">
                  <c:v>-2.5962486433354387E-2</c:v>
                </c:pt>
                <c:pt idx="9">
                  <c:v>-0.14296973602391649</c:v>
                </c:pt>
                <c:pt idx="10">
                  <c:v>0.16463257251793845</c:v>
                </c:pt>
                <c:pt idx="11">
                  <c:v>1.1277581264641281</c:v>
                </c:pt>
                <c:pt idx="12">
                  <c:v>1.3601037593510723</c:v>
                </c:pt>
                <c:pt idx="13">
                  <c:v>0.98430790289276371</c:v>
                </c:pt>
                <c:pt idx="14">
                  <c:v>0.25133426220692345</c:v>
                </c:pt>
                <c:pt idx="15">
                  <c:v>1.2962625167285506</c:v>
                </c:pt>
                <c:pt idx="16">
                  <c:v>1.0074721701935661</c:v>
                </c:pt>
                <c:pt idx="17">
                  <c:v>0.80495652892223912</c:v>
                </c:pt>
                <c:pt idx="18">
                  <c:v>1.5513791726730484</c:v>
                </c:pt>
                <c:pt idx="19">
                  <c:v>-0.36725300514759718</c:v>
                </c:pt>
                <c:pt idx="20">
                  <c:v>-0.13589925939302241</c:v>
                </c:pt>
                <c:pt idx="21">
                  <c:v>-0.77642186080498765</c:v>
                </c:pt>
                <c:pt idx="22">
                  <c:v>0.22786640880518444</c:v>
                </c:pt>
                <c:pt idx="23">
                  <c:v>0.45056967876598808</c:v>
                </c:pt>
                <c:pt idx="24">
                  <c:v>-0.10520398627042619</c:v>
                </c:pt>
                <c:pt idx="25">
                  <c:v>2.0188591664367967</c:v>
                </c:pt>
                <c:pt idx="26">
                  <c:v>1.0351557674089027</c:v>
                </c:pt>
                <c:pt idx="27">
                  <c:v>0.97534987761747083</c:v>
                </c:pt>
                <c:pt idx="28">
                  <c:v>0.88447871486978313</c:v>
                </c:pt>
                <c:pt idx="29">
                  <c:v>0.76694961364091541</c:v>
                </c:pt>
                <c:pt idx="30">
                  <c:v>1.0262021221541793</c:v>
                </c:pt>
              </c:numCache>
            </c:numRef>
          </c:val>
          <c:extLst xmlns:c16r2="http://schemas.microsoft.com/office/drawing/2015/06/chart">
            <c:ext xmlns:c16="http://schemas.microsoft.com/office/drawing/2014/chart" uri="{C3380CC4-5D6E-409C-BE32-E72D297353CC}">
              <c16:uniqueId val="{00000006-14BA-4817-9220-9C8AE54B832A}"/>
            </c:ext>
          </c:extLst>
        </c:ser>
        <c:ser>
          <c:idx val="7"/>
          <c:order val="7"/>
          <c:tx>
            <c:strRef>
              <c:f>'GRAF příspěvky IPP'!$A$39</c:f>
              <c:strCache>
                <c:ptCount val="1"/>
                <c:pt idx="0">
                  <c:v>Těžba a energetika (B)</c:v>
                </c:pt>
              </c:strCache>
            </c:strRef>
          </c:tx>
          <c:spPr>
            <a:solidFill>
              <a:srgbClr val="808080"/>
            </a:solidFill>
          </c:spPr>
          <c:cat>
            <c:multiLvlStrRef>
              <c:f>'GRAF příspěvky IPP'!$B$30:$AF$31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IPP'!$B$39:$AF$39</c:f>
              <c:numCache>
                <c:formatCode>0.0</c:formatCode>
                <c:ptCount val="31"/>
                <c:pt idx="0">
                  <c:v>-0.46313148745656374</c:v>
                </c:pt>
                <c:pt idx="1">
                  <c:v>0.44913941760544684</c:v>
                </c:pt>
                <c:pt idx="2">
                  <c:v>-0.28010550355605701</c:v>
                </c:pt>
                <c:pt idx="3">
                  <c:v>-0.14172496125080888</c:v>
                </c:pt>
                <c:pt idx="4">
                  <c:v>1.2584537283747227E-2</c:v>
                </c:pt>
                <c:pt idx="5">
                  <c:v>0.35372310632103926</c:v>
                </c:pt>
                <c:pt idx="6">
                  <c:v>-0.13454517732100951</c:v>
                </c:pt>
                <c:pt idx="7">
                  <c:v>-1.0716369042476055</c:v>
                </c:pt>
                <c:pt idx="8">
                  <c:v>-0.88656305110647016</c:v>
                </c:pt>
                <c:pt idx="9">
                  <c:v>-1.5086604604434219</c:v>
                </c:pt>
                <c:pt idx="10">
                  <c:v>-0.94690027833075763</c:v>
                </c:pt>
                <c:pt idx="11">
                  <c:v>0.51549468018282096</c:v>
                </c:pt>
                <c:pt idx="12">
                  <c:v>-0.62796944585044667</c:v>
                </c:pt>
                <c:pt idx="13">
                  <c:v>-0.322815109642828</c:v>
                </c:pt>
                <c:pt idx="14">
                  <c:v>-0.45224773652695321</c:v>
                </c:pt>
                <c:pt idx="15">
                  <c:v>-0.70208894328074911</c:v>
                </c:pt>
                <c:pt idx="16">
                  <c:v>0.14745027907431846</c:v>
                </c:pt>
                <c:pt idx="17">
                  <c:v>-0.34103812094933217</c:v>
                </c:pt>
                <c:pt idx="18">
                  <c:v>-0.37678068598016029</c:v>
                </c:pt>
                <c:pt idx="19">
                  <c:v>-1.127470920523223</c:v>
                </c:pt>
                <c:pt idx="20">
                  <c:v>-0.62366717863822763</c:v>
                </c:pt>
                <c:pt idx="21">
                  <c:v>8.2561284666029466E-2</c:v>
                </c:pt>
                <c:pt idx="22">
                  <c:v>-0.47403884163932031</c:v>
                </c:pt>
                <c:pt idx="23">
                  <c:v>0.50553236603507457</c:v>
                </c:pt>
                <c:pt idx="24">
                  <c:v>0.63503832263791304</c:v>
                </c:pt>
                <c:pt idx="25">
                  <c:v>-0.16620463452911374</c:v>
                </c:pt>
                <c:pt idx="26">
                  <c:v>0.76359969691098828</c:v>
                </c:pt>
                <c:pt idx="27">
                  <c:v>0.74786331145755525</c:v>
                </c:pt>
                <c:pt idx="28">
                  <c:v>-0.58556132011635742</c:v>
                </c:pt>
                <c:pt idx="29">
                  <c:v>-6.1593251548209084E-2</c:v>
                </c:pt>
                <c:pt idx="30">
                  <c:v>0.77486266177010321</c:v>
                </c:pt>
              </c:numCache>
            </c:numRef>
          </c:val>
          <c:extLst xmlns:c16r2="http://schemas.microsoft.com/office/drawing/2015/06/chart">
            <c:ext xmlns:c16="http://schemas.microsoft.com/office/drawing/2014/chart" uri="{C3380CC4-5D6E-409C-BE32-E72D297353CC}">
              <c16:uniqueId val="{00000007-14BA-4817-9220-9C8AE54B832A}"/>
            </c:ext>
          </c:extLst>
        </c:ser>
        <c:gapWidth val="32"/>
        <c:overlap val="100"/>
        <c:axId val="79303808"/>
        <c:axId val="79305344"/>
      </c:barChart>
      <c:lineChart>
        <c:grouping val="standard"/>
        <c:ser>
          <c:idx val="8"/>
          <c:order val="8"/>
          <c:tx>
            <c:strRef>
              <c:f>'GRAF příspěvky IPP'!$A$40</c:f>
              <c:strCache>
                <c:ptCount val="1"/>
                <c:pt idx="0">
                  <c:v>Průmysl celkem (NACE B až D)</c:v>
                </c:pt>
              </c:strCache>
            </c:strRef>
          </c:tx>
          <c:spPr>
            <a:ln w="19050">
              <a:solidFill>
                <a:schemeClr val="tx1">
                  <a:lumMod val="95000"/>
                  <a:lumOff val="5000"/>
                </a:schemeClr>
              </a:solidFill>
            </a:ln>
          </c:spPr>
          <c:marker>
            <c:symbol val="none"/>
          </c:marker>
          <c:cat>
            <c:multiLvlStrRef>
              <c:f>'GRAF příspěvky IPP'!$B$30:$AF$31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'GRAF příspěvky IPP'!$B$40:$AF$40</c:f>
              <c:numCache>
                <c:formatCode>#,##0.0</c:formatCode>
                <c:ptCount val="31"/>
                <c:pt idx="0">
                  <c:v>10</c:v>
                </c:pt>
                <c:pt idx="1">
                  <c:v>8.2000000000000011</c:v>
                </c:pt>
                <c:pt idx="2">
                  <c:v>2.2999999999999998</c:v>
                </c:pt>
                <c:pt idx="3">
                  <c:v>3.4</c:v>
                </c:pt>
                <c:pt idx="4">
                  <c:v>1.4</c:v>
                </c:pt>
                <c:pt idx="5">
                  <c:v>0.9</c:v>
                </c:pt>
                <c:pt idx="6">
                  <c:v>0.1</c:v>
                </c:pt>
                <c:pt idx="7">
                  <c:v>-5.2</c:v>
                </c:pt>
                <c:pt idx="8">
                  <c:v>-3.7</c:v>
                </c:pt>
                <c:pt idx="9">
                  <c:v>-2.8</c:v>
                </c:pt>
                <c:pt idx="10">
                  <c:v>0.8</c:v>
                </c:pt>
                <c:pt idx="11">
                  <c:v>6</c:v>
                </c:pt>
                <c:pt idx="12">
                  <c:v>6.9</c:v>
                </c:pt>
                <c:pt idx="13">
                  <c:v>6.1</c:v>
                </c:pt>
                <c:pt idx="14">
                  <c:v>2.8</c:v>
                </c:pt>
                <c:pt idx="15">
                  <c:v>4.0999999999999996</c:v>
                </c:pt>
                <c:pt idx="16">
                  <c:v>4.9000000000000004</c:v>
                </c:pt>
                <c:pt idx="17">
                  <c:v>5.2</c:v>
                </c:pt>
                <c:pt idx="18">
                  <c:v>6</c:v>
                </c:pt>
                <c:pt idx="19">
                  <c:v>2.2999999999999998</c:v>
                </c:pt>
                <c:pt idx="20">
                  <c:v>4.0999999999999996</c:v>
                </c:pt>
                <c:pt idx="21">
                  <c:v>2.2000000000000002</c:v>
                </c:pt>
                <c:pt idx="22">
                  <c:v>1.8</c:v>
                </c:pt>
                <c:pt idx="23">
                  <c:v>3.4</c:v>
                </c:pt>
                <c:pt idx="24">
                  <c:v>4.7999999999999927</c:v>
                </c:pt>
                <c:pt idx="25">
                  <c:v>8.5</c:v>
                </c:pt>
                <c:pt idx="26">
                  <c:v>6.7000000000000028</c:v>
                </c:pt>
                <c:pt idx="27">
                  <c:v>7.6</c:v>
                </c:pt>
                <c:pt idx="28">
                  <c:v>3.9999999999999969</c:v>
                </c:pt>
                <c:pt idx="29">
                  <c:v>2.299999999999998</c:v>
                </c:pt>
                <c:pt idx="30">
                  <c:v>3.600000000000009</c:v>
                </c:pt>
              </c:numCache>
            </c:numRef>
          </c:val>
          <c:extLst xmlns:c16r2="http://schemas.microsoft.com/office/drawing/2015/06/chart">
            <c:ext xmlns:c16="http://schemas.microsoft.com/office/drawing/2014/chart" uri="{C3380CC4-5D6E-409C-BE32-E72D297353CC}">
              <c16:uniqueId val="{00000008-14BA-4817-9220-9C8AE54B832A}"/>
            </c:ext>
          </c:extLst>
        </c:ser>
        <c:marker val="1"/>
        <c:axId val="79303808"/>
        <c:axId val="79305344"/>
      </c:lineChart>
      <c:catAx>
        <c:axId val="79303808"/>
        <c:scaling>
          <c:orientation val="minMax"/>
        </c:scaling>
        <c:axPos val="b"/>
        <c:numFmt formatCode="General" sourceLinked="1"/>
        <c:tickLblPos val="low"/>
        <c:txPr>
          <a:bodyPr/>
          <a:lstStyle/>
          <a:p>
            <a:pPr>
              <a:defRPr sz="800">
                <a:latin typeface="Arial" pitchFamily="34" charset="0"/>
                <a:cs typeface="Arial" pitchFamily="34" charset="0"/>
              </a:defRPr>
            </a:pPr>
            <a:endParaRPr lang="cs-CZ"/>
          </a:p>
        </c:txPr>
        <c:crossAx val="79305344"/>
        <c:crosses val="autoZero"/>
        <c:auto val="1"/>
        <c:lblAlgn val="ctr"/>
        <c:lblOffset val="0"/>
      </c:catAx>
      <c:valAx>
        <c:axId val="79305344"/>
        <c:scaling>
          <c:orientation val="minMax"/>
          <c:max val="11"/>
          <c:min val="-6"/>
        </c:scaling>
        <c:axPos val="l"/>
        <c:majorGridlines/>
        <c:numFmt formatCode="0" sourceLinked="0"/>
        <c:tickLblPos val="nextTo"/>
        <c:txPr>
          <a:bodyPr/>
          <a:lstStyle/>
          <a:p>
            <a:pPr>
              <a:defRPr sz="800">
                <a:latin typeface="Arial" pitchFamily="34" charset="0"/>
                <a:cs typeface="Arial" pitchFamily="34" charset="0"/>
              </a:defRPr>
            </a:pPr>
            <a:endParaRPr lang="cs-CZ"/>
          </a:p>
        </c:txPr>
        <c:crossAx val="79303808"/>
        <c:crosses val="autoZero"/>
        <c:crossBetween val="between"/>
        <c:majorUnit val="1"/>
      </c:valAx>
      <c:spPr>
        <a:noFill/>
        <a:ln w="6350">
          <a:solidFill>
            <a:prstClr val="black">
              <a:lumMod val="95000"/>
              <a:lumOff val="5000"/>
            </a:prstClr>
          </a:solidFill>
        </a:ln>
      </c:spPr>
    </c:plotArea>
    <c:legend>
      <c:legendPos val="r"/>
      <c:layout>
        <c:manualLayout>
          <c:xMode val="edge"/>
          <c:yMode val="edge"/>
          <c:x val="4.1107372900550457E-2"/>
          <c:y val="0.82802404283095155"/>
          <c:w val="0.93932449951909514"/>
          <c:h val="0.1618891920953385"/>
        </c:manualLayout>
      </c:layout>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2277854581154255E-2"/>
          <c:y val="1.643251153889452E-2"/>
          <c:w val="0.88814529285961863"/>
          <c:h val="0.77409039738827856"/>
        </c:manualLayout>
      </c:layout>
      <c:barChart>
        <c:barDir val="col"/>
        <c:grouping val="clustered"/>
        <c:ser>
          <c:idx val="0"/>
          <c:order val="0"/>
          <c:tx>
            <c:strRef>
              <c:f>'výkonnost odvětví 2'!$B$31</c:f>
              <c:strCache>
                <c:ptCount val="1"/>
                <c:pt idx="0">
                  <c:v>Průmyslové zakázky celkem</c:v>
                </c:pt>
              </c:strCache>
            </c:strRef>
          </c:tx>
          <c:spPr>
            <a:solidFill>
              <a:schemeClr val="bg1">
                <a:lumMod val="65000"/>
              </a:schemeClr>
            </a:solidFill>
            <a:ln w="12700">
              <a:noFill/>
              <a:prstDash val="solid"/>
            </a:ln>
          </c:spPr>
          <c:cat>
            <c:multiLvlStrRef>
              <c:f>'výkonnost odvětví 2'!$C$29:$AG$30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2'!$C$31:$AG$31</c:f>
              <c:numCache>
                <c:formatCode>#,##0.0__</c:formatCode>
                <c:ptCount val="31"/>
                <c:pt idx="0">
                  <c:v>12.043107093421796</c:v>
                </c:pt>
                <c:pt idx="1">
                  <c:v>5.3292904020963094</c:v>
                </c:pt>
                <c:pt idx="2">
                  <c:v>-1.503823629327437</c:v>
                </c:pt>
                <c:pt idx="3">
                  <c:v>0.49985199872995401</c:v>
                </c:pt>
                <c:pt idx="4">
                  <c:v>7.8919882289544265</c:v>
                </c:pt>
                <c:pt idx="5">
                  <c:v>0.24363263911027391</c:v>
                </c:pt>
                <c:pt idx="6">
                  <c:v>2.6780600325356119</c:v>
                </c:pt>
                <c:pt idx="7">
                  <c:v>-2.2927798243121345</c:v>
                </c:pt>
                <c:pt idx="8">
                  <c:v>-6.7566875441004868</c:v>
                </c:pt>
                <c:pt idx="9">
                  <c:v>-0.77743908810788365</c:v>
                </c:pt>
                <c:pt idx="10">
                  <c:v>12.110592029586039</c:v>
                </c:pt>
                <c:pt idx="11">
                  <c:v>12.611542535334834</c:v>
                </c:pt>
                <c:pt idx="12">
                  <c:v>18.45457625725863</c:v>
                </c:pt>
                <c:pt idx="13">
                  <c:v>13.812603337719374</c:v>
                </c:pt>
                <c:pt idx="14">
                  <c:v>11.164927309703883</c:v>
                </c:pt>
                <c:pt idx="15">
                  <c:v>7.3250322249586759</c:v>
                </c:pt>
                <c:pt idx="16">
                  <c:v>8.5397251010390089</c:v>
                </c:pt>
                <c:pt idx="17">
                  <c:v>6.48948340315685</c:v>
                </c:pt>
                <c:pt idx="18">
                  <c:v>4.1045761314248068</c:v>
                </c:pt>
                <c:pt idx="19">
                  <c:v>6.0151063810169205</c:v>
                </c:pt>
                <c:pt idx="20">
                  <c:v>1.3550678522953064</c:v>
                </c:pt>
                <c:pt idx="21">
                  <c:v>10.856046878525524</c:v>
                </c:pt>
                <c:pt idx="22">
                  <c:v>1.6431282237439291</c:v>
                </c:pt>
                <c:pt idx="23">
                  <c:v>6.7220844736941086</c:v>
                </c:pt>
                <c:pt idx="24">
                  <c:v>10.841479121555905</c:v>
                </c:pt>
                <c:pt idx="25">
                  <c:v>4.5315942367003705</c:v>
                </c:pt>
                <c:pt idx="26">
                  <c:v>6.9082617878945998</c:v>
                </c:pt>
                <c:pt idx="27">
                  <c:v>7.5112613571588724</c:v>
                </c:pt>
                <c:pt idx="28">
                  <c:v>1.9174044931699488</c:v>
                </c:pt>
                <c:pt idx="29">
                  <c:v>4.5205907145015232</c:v>
                </c:pt>
                <c:pt idx="30">
                  <c:v>3.7380158017195271</c:v>
                </c:pt>
              </c:numCache>
            </c:numRef>
          </c:val>
          <c:extLst xmlns:c16r2="http://schemas.microsoft.com/office/drawing/2015/06/chart">
            <c:ext xmlns:c16="http://schemas.microsoft.com/office/drawing/2014/chart" uri="{C3380CC4-5D6E-409C-BE32-E72D297353CC}">
              <c16:uniqueId val="{00000000-048A-467E-9642-22B15C141D48}"/>
            </c:ext>
          </c:extLst>
        </c:ser>
        <c:gapWidth val="34"/>
        <c:overlap val="28"/>
        <c:axId val="80824192"/>
        <c:axId val="80825728"/>
      </c:barChart>
      <c:lineChart>
        <c:grouping val="standard"/>
        <c:ser>
          <c:idx val="2"/>
          <c:order val="1"/>
          <c:tx>
            <c:strRef>
              <c:f>'výkonnost odvětví 2'!$B$32</c:f>
              <c:strCache>
                <c:ptCount val="1"/>
                <c:pt idx="0">
                  <c:v>Průmyslové zakázky z tuzemska</c:v>
                </c:pt>
              </c:strCache>
            </c:strRef>
          </c:tx>
          <c:spPr>
            <a:ln w="15875">
              <a:solidFill>
                <a:srgbClr val="BD1B21"/>
              </a:solidFill>
              <a:prstDash val="solid"/>
            </a:ln>
          </c:spPr>
          <c:marker>
            <c:symbol val="none"/>
          </c:marker>
          <c:cat>
            <c:multiLvlStrRef>
              <c:f>'výkonnost odvětví 2'!$C$29:$AG$30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2'!$C$32:$AG$32</c:f>
              <c:numCache>
                <c:formatCode>#,##0.0__</c:formatCode>
                <c:ptCount val="31"/>
                <c:pt idx="0">
                  <c:v>2.8145814762462464</c:v>
                </c:pt>
                <c:pt idx="1">
                  <c:v>-0.65160361804250466</c:v>
                </c:pt>
                <c:pt idx="2">
                  <c:v>-11.671782921579478</c:v>
                </c:pt>
                <c:pt idx="3">
                  <c:v>-10.696553890943122</c:v>
                </c:pt>
                <c:pt idx="4">
                  <c:v>2.6214056871317126</c:v>
                </c:pt>
                <c:pt idx="5">
                  <c:v>-9.2467743432498679</c:v>
                </c:pt>
                <c:pt idx="6">
                  <c:v>-2.8571545096936277</c:v>
                </c:pt>
                <c:pt idx="7">
                  <c:v>-4.0487324448534139</c:v>
                </c:pt>
                <c:pt idx="8">
                  <c:v>-7.112663177047466</c:v>
                </c:pt>
                <c:pt idx="9">
                  <c:v>-0.59561460542927591</c:v>
                </c:pt>
                <c:pt idx="10">
                  <c:v>9.3847374388735147</c:v>
                </c:pt>
                <c:pt idx="11">
                  <c:v>7.0782158358476011</c:v>
                </c:pt>
                <c:pt idx="12">
                  <c:v>14.183839645941402</c:v>
                </c:pt>
                <c:pt idx="13">
                  <c:v>7.7929541685001915</c:v>
                </c:pt>
                <c:pt idx="14">
                  <c:v>16.845115352064926</c:v>
                </c:pt>
                <c:pt idx="15">
                  <c:v>9.6787104542652713</c:v>
                </c:pt>
                <c:pt idx="16">
                  <c:v>4.3419613010107314</c:v>
                </c:pt>
                <c:pt idx="17">
                  <c:v>10.024449168168022</c:v>
                </c:pt>
                <c:pt idx="18">
                  <c:v>-4.7604240586837046</c:v>
                </c:pt>
                <c:pt idx="19">
                  <c:v>0.56107209694786753</c:v>
                </c:pt>
                <c:pt idx="20">
                  <c:v>0.20304376106223357</c:v>
                </c:pt>
                <c:pt idx="21">
                  <c:v>4.9376200007964304</c:v>
                </c:pt>
                <c:pt idx="22">
                  <c:v>-0.65834656713856565</c:v>
                </c:pt>
                <c:pt idx="23">
                  <c:v>2.8730898893806995</c:v>
                </c:pt>
                <c:pt idx="24">
                  <c:v>16.722989365311626</c:v>
                </c:pt>
                <c:pt idx="25">
                  <c:v>11.567742610098026</c:v>
                </c:pt>
                <c:pt idx="26">
                  <c:v>14.702871802754668</c:v>
                </c:pt>
                <c:pt idx="27">
                  <c:v>15.641374658030248</c:v>
                </c:pt>
                <c:pt idx="28">
                  <c:v>-0.60650382327463603</c:v>
                </c:pt>
                <c:pt idx="29">
                  <c:v>3.3658740827299312</c:v>
                </c:pt>
                <c:pt idx="30">
                  <c:v>4.2656182775668245</c:v>
                </c:pt>
              </c:numCache>
            </c:numRef>
          </c:val>
          <c:extLst xmlns:c16r2="http://schemas.microsoft.com/office/drawing/2015/06/chart">
            <c:ext xmlns:c16="http://schemas.microsoft.com/office/drawing/2014/chart" uri="{C3380CC4-5D6E-409C-BE32-E72D297353CC}">
              <c16:uniqueId val="{00000001-048A-467E-9642-22B15C141D48}"/>
            </c:ext>
          </c:extLst>
        </c:ser>
        <c:ser>
          <c:idx val="5"/>
          <c:order val="2"/>
          <c:tx>
            <c:strRef>
              <c:f>'výkonnost odvětví 2'!$B$33</c:f>
              <c:strCache>
                <c:ptCount val="1"/>
                <c:pt idx="0">
                  <c:v>Průmyslové zakázky ze zahraničí</c:v>
                </c:pt>
              </c:strCache>
            </c:strRef>
          </c:tx>
          <c:spPr>
            <a:ln w="15875">
              <a:solidFill>
                <a:srgbClr val="0071BC"/>
              </a:solidFill>
              <a:prstDash val="solid"/>
            </a:ln>
          </c:spPr>
          <c:marker>
            <c:symbol val="none"/>
          </c:marker>
          <c:cat>
            <c:multiLvlStrRef>
              <c:f>'výkonnost odvětví 2'!$C$29:$AG$30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2'!$C$33:$AG$33</c:f>
              <c:numCache>
                <c:formatCode>#,##0.0__</c:formatCode>
                <c:ptCount val="31"/>
                <c:pt idx="0">
                  <c:v>18.348366232181952</c:v>
                </c:pt>
                <c:pt idx="1">
                  <c:v>9.5205491734487566</c:v>
                </c:pt>
                <c:pt idx="2">
                  <c:v>5.6720014781022305</c:v>
                </c:pt>
                <c:pt idx="3">
                  <c:v>8.6383031975398179</c:v>
                </c:pt>
                <c:pt idx="4">
                  <c:v>11.020383939537369</c:v>
                </c:pt>
                <c:pt idx="5">
                  <c:v>6.2765650038583534</c:v>
                </c:pt>
                <c:pt idx="6">
                  <c:v>5.9432769293397172</c:v>
                </c:pt>
                <c:pt idx="7">
                  <c:v>-1.2435728368122061</c:v>
                </c:pt>
                <c:pt idx="8">
                  <c:v>-6.561380185987848</c:v>
                </c:pt>
                <c:pt idx="9">
                  <c:v>-0.8761398590468904</c:v>
                </c:pt>
                <c:pt idx="10">
                  <c:v>13.585000036266157</c:v>
                </c:pt>
                <c:pt idx="11">
                  <c:v>15.823871636824705</c:v>
                </c:pt>
                <c:pt idx="12">
                  <c:v>20.558652721652535</c:v>
                </c:pt>
                <c:pt idx="13">
                  <c:v>16.687921882537509</c:v>
                </c:pt>
                <c:pt idx="14">
                  <c:v>8.5531225813094967</c:v>
                </c:pt>
                <c:pt idx="15">
                  <c:v>6.3161284689543784</c:v>
                </c:pt>
                <c:pt idx="16">
                  <c:v>10.348522192193441</c:v>
                </c:pt>
                <c:pt idx="17">
                  <c:v>5.0066840085656965</c:v>
                </c:pt>
                <c:pt idx="18">
                  <c:v>8.2506299270615511</c:v>
                </c:pt>
                <c:pt idx="19">
                  <c:v>8.5340301032502452</c:v>
                </c:pt>
                <c:pt idx="20">
                  <c:v>1.8244492596639788</c:v>
                </c:pt>
                <c:pt idx="21">
                  <c:v>13.457258781079091</c:v>
                </c:pt>
                <c:pt idx="22">
                  <c:v>2.5901270212493452</c:v>
                </c:pt>
                <c:pt idx="23">
                  <c:v>8.3691406681191598</c:v>
                </c:pt>
                <c:pt idx="24">
                  <c:v>8.483271558879153</c:v>
                </c:pt>
                <c:pt idx="25">
                  <c:v>1.6713484154001037</c:v>
                </c:pt>
                <c:pt idx="26">
                  <c:v>3.8025338260982608</c:v>
                </c:pt>
                <c:pt idx="27">
                  <c:v>4.2086773810061491</c:v>
                </c:pt>
                <c:pt idx="28">
                  <c:v>3.0062352307807028</c:v>
                </c:pt>
                <c:pt idx="29">
                  <c:v>5.0356815867785674</c:v>
                </c:pt>
                <c:pt idx="30">
                  <c:v>3.5057195590977281</c:v>
                </c:pt>
              </c:numCache>
            </c:numRef>
          </c:val>
          <c:extLst xmlns:c16r2="http://schemas.microsoft.com/office/drawing/2015/06/chart">
            <c:ext xmlns:c16="http://schemas.microsoft.com/office/drawing/2014/chart" uri="{C3380CC4-5D6E-409C-BE32-E72D297353CC}">
              <c16:uniqueId val="{00000002-048A-467E-9642-22B15C141D48}"/>
            </c:ext>
          </c:extLst>
        </c:ser>
        <c:ser>
          <c:idx val="3"/>
          <c:order val="3"/>
          <c:tx>
            <c:strRef>
              <c:f>'výkonnost odvětví 2'!$B$34</c:f>
              <c:strCache>
                <c:ptCount val="1"/>
                <c:pt idx="0">
                  <c:v>Celk. zakázky ve výrobě motor. voz.</c:v>
                </c:pt>
              </c:strCache>
            </c:strRef>
          </c:tx>
          <c:spPr>
            <a:ln w="19050">
              <a:noFill/>
              <a:prstDash val="sysDash"/>
            </a:ln>
          </c:spPr>
          <c:marker>
            <c:symbol val="diamond"/>
            <c:size val="5"/>
            <c:spPr>
              <a:solidFill>
                <a:srgbClr val="FFFF00"/>
              </a:solidFill>
              <a:ln>
                <a:solidFill>
                  <a:prstClr val="black">
                    <a:lumMod val="95000"/>
                    <a:lumOff val="5000"/>
                  </a:prstClr>
                </a:solidFill>
              </a:ln>
            </c:spPr>
          </c:marker>
          <c:cat>
            <c:multiLvlStrRef>
              <c:f>'výkonnost odvětví 2'!$C$29:$AG$30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2'!$C$34:$AG$34</c:f>
              <c:numCache>
                <c:formatCode>#,##0.0__</c:formatCode>
                <c:ptCount val="31"/>
                <c:pt idx="0">
                  <c:v>11.429400379513879</c:v>
                </c:pt>
                <c:pt idx="1">
                  <c:v>9.2048286805520476</c:v>
                </c:pt>
                <c:pt idx="2">
                  <c:v>4.4139955552265207</c:v>
                </c:pt>
                <c:pt idx="3">
                  <c:v>5.3718735076924125</c:v>
                </c:pt>
                <c:pt idx="4">
                  <c:v>19.54636851917148</c:v>
                </c:pt>
                <c:pt idx="5">
                  <c:v>4.6887564118292016</c:v>
                </c:pt>
                <c:pt idx="6">
                  <c:v>1.3322326875189248</c:v>
                </c:pt>
                <c:pt idx="7">
                  <c:v>-2.0219087809167182</c:v>
                </c:pt>
                <c:pt idx="8">
                  <c:v>-15.423726227988524</c:v>
                </c:pt>
                <c:pt idx="9">
                  <c:v>-3.0233686336023182</c:v>
                </c:pt>
                <c:pt idx="10">
                  <c:v>24.654149056071926</c:v>
                </c:pt>
                <c:pt idx="11">
                  <c:v>18.470996489023321</c:v>
                </c:pt>
                <c:pt idx="12">
                  <c:v>33.791068906341536</c:v>
                </c:pt>
                <c:pt idx="13">
                  <c:v>22.392943648551302</c:v>
                </c:pt>
                <c:pt idx="14">
                  <c:v>16.969041222835056</c:v>
                </c:pt>
                <c:pt idx="15">
                  <c:v>12.211301534151092</c:v>
                </c:pt>
                <c:pt idx="16">
                  <c:v>15.316352438277956</c:v>
                </c:pt>
                <c:pt idx="17">
                  <c:v>5.5843434565174555</c:v>
                </c:pt>
                <c:pt idx="18">
                  <c:v>13.898535777390734</c:v>
                </c:pt>
                <c:pt idx="19">
                  <c:v>18.975191723154538</c:v>
                </c:pt>
                <c:pt idx="20">
                  <c:v>11.460497347422486</c:v>
                </c:pt>
                <c:pt idx="21">
                  <c:v>33.0851310312921</c:v>
                </c:pt>
                <c:pt idx="22">
                  <c:v>5.912380139380474</c:v>
                </c:pt>
                <c:pt idx="23">
                  <c:v>12.001000805244416</c:v>
                </c:pt>
                <c:pt idx="24">
                  <c:v>7.9804719471503214</c:v>
                </c:pt>
                <c:pt idx="25">
                  <c:v>-1.759261247336487</c:v>
                </c:pt>
                <c:pt idx="26">
                  <c:v>3.8626497182263222</c:v>
                </c:pt>
                <c:pt idx="27">
                  <c:v>0.3737671056841238</c:v>
                </c:pt>
                <c:pt idx="28">
                  <c:v>0.16803199459185691</c:v>
                </c:pt>
                <c:pt idx="29">
                  <c:v>3.1477893347092731</c:v>
                </c:pt>
                <c:pt idx="30">
                  <c:v>9.2070545356165226E-2</c:v>
                </c:pt>
              </c:numCache>
            </c:numRef>
          </c:val>
          <c:extLst xmlns:c16r2="http://schemas.microsoft.com/office/drawing/2015/06/chart">
            <c:ext xmlns:c16="http://schemas.microsoft.com/office/drawing/2014/chart" uri="{C3380CC4-5D6E-409C-BE32-E72D297353CC}">
              <c16:uniqueId val="{00000003-048A-467E-9642-22B15C141D48}"/>
            </c:ext>
          </c:extLst>
        </c:ser>
        <c:ser>
          <c:idx val="1"/>
          <c:order val="4"/>
          <c:tx>
            <c:strRef>
              <c:f>'výkonnost odvětví 2'!$B$35</c:f>
              <c:strCache>
                <c:ptCount val="1"/>
                <c:pt idx="0">
                  <c:v>Saldo souhr. indikát. důvěry v průmyslu</c:v>
                </c:pt>
              </c:strCache>
            </c:strRef>
          </c:tx>
          <c:spPr>
            <a:ln>
              <a:noFill/>
            </a:ln>
          </c:spPr>
          <c:marker>
            <c:symbol val="dash"/>
            <c:size val="9"/>
            <c:spPr>
              <a:solidFill>
                <a:srgbClr val="984807"/>
              </a:solidFill>
              <a:ln>
                <a:noFill/>
              </a:ln>
            </c:spPr>
          </c:marker>
          <c:cat>
            <c:multiLvlStrRef>
              <c:f>'výkonnost odvětví 2'!$C$29:$AG$30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2'!$C$35:$AG$35</c:f>
              <c:numCache>
                <c:formatCode>0.0</c:formatCode>
                <c:ptCount val="31"/>
                <c:pt idx="0">
                  <c:v>12.200000000000001</c:v>
                </c:pt>
                <c:pt idx="1">
                  <c:v>5.8999999999999995</c:v>
                </c:pt>
                <c:pt idx="2">
                  <c:v>2.4333333333333331</c:v>
                </c:pt>
                <c:pt idx="3">
                  <c:v>1.8</c:v>
                </c:pt>
                <c:pt idx="4">
                  <c:v>1.5666666666666667</c:v>
                </c:pt>
                <c:pt idx="5">
                  <c:v>-2.5666666666666669</c:v>
                </c:pt>
                <c:pt idx="6">
                  <c:v>-8.9</c:v>
                </c:pt>
                <c:pt idx="7">
                  <c:v>-10.200000000000001</c:v>
                </c:pt>
                <c:pt idx="8">
                  <c:v>-8.9</c:v>
                </c:pt>
                <c:pt idx="9">
                  <c:v>-10</c:v>
                </c:pt>
                <c:pt idx="10">
                  <c:v>-6.2333333333333583</c:v>
                </c:pt>
                <c:pt idx="11">
                  <c:v>1.7000000000000002</c:v>
                </c:pt>
                <c:pt idx="12">
                  <c:v>2.3333333333333335</c:v>
                </c:pt>
                <c:pt idx="13">
                  <c:v>3.6333333333333342</c:v>
                </c:pt>
                <c:pt idx="14">
                  <c:v>2.5333333333333332</c:v>
                </c:pt>
                <c:pt idx="15">
                  <c:v>2.6666666666666665</c:v>
                </c:pt>
                <c:pt idx="16">
                  <c:v>3</c:v>
                </c:pt>
                <c:pt idx="17">
                  <c:v>3.7666666666666671</c:v>
                </c:pt>
                <c:pt idx="18">
                  <c:v>3.7666666666666671</c:v>
                </c:pt>
                <c:pt idx="19">
                  <c:v>0.76666666666666661</c:v>
                </c:pt>
                <c:pt idx="20">
                  <c:v>3.5666666666666664</c:v>
                </c:pt>
                <c:pt idx="21">
                  <c:v>1.9000000000000001</c:v>
                </c:pt>
                <c:pt idx="22">
                  <c:v>3.7666666666666671</c:v>
                </c:pt>
                <c:pt idx="23">
                  <c:v>5.3333333333333526</c:v>
                </c:pt>
                <c:pt idx="24">
                  <c:v>3.3333333333333335</c:v>
                </c:pt>
                <c:pt idx="25">
                  <c:v>0.8333333333333337</c:v>
                </c:pt>
                <c:pt idx="26">
                  <c:v>3.8666666666666667</c:v>
                </c:pt>
                <c:pt idx="27">
                  <c:v>5.8</c:v>
                </c:pt>
                <c:pt idx="28">
                  <c:v>3.9</c:v>
                </c:pt>
                <c:pt idx="29">
                  <c:v>3.4333333333333336</c:v>
                </c:pt>
                <c:pt idx="30">
                  <c:v>1.9666666666666681</c:v>
                </c:pt>
              </c:numCache>
            </c:numRef>
          </c:val>
          <c:extLst xmlns:c16r2="http://schemas.microsoft.com/office/drawing/2015/06/chart">
            <c:ext xmlns:c16="http://schemas.microsoft.com/office/drawing/2014/chart" uri="{C3380CC4-5D6E-409C-BE32-E72D297353CC}">
              <c16:uniqueId val="{00000004-048A-467E-9642-22B15C141D48}"/>
            </c:ext>
          </c:extLst>
        </c:ser>
        <c:marker val="1"/>
        <c:axId val="80824192"/>
        <c:axId val="80825728"/>
      </c:lineChart>
      <c:lineChart>
        <c:grouping val="standard"/>
        <c:ser>
          <c:idx val="4"/>
          <c:order val="5"/>
          <c:tx>
            <c:strRef>
              <c:f>'výkonnost odvětví 2'!$B$36</c:f>
              <c:strCache>
                <c:ptCount val="1"/>
                <c:pt idx="0">
                  <c:v>Využití výrob. kapacit v prům. (pr. osa)</c:v>
                </c:pt>
              </c:strCache>
            </c:strRef>
          </c:tx>
          <c:spPr>
            <a:ln w="19050">
              <a:solidFill>
                <a:srgbClr val="7DBB2D"/>
              </a:solidFill>
              <a:prstDash val="sysDash"/>
            </a:ln>
          </c:spPr>
          <c:marker>
            <c:symbol val="none"/>
          </c:marker>
          <c:cat>
            <c:multiLvlStrRef>
              <c:f>'výkonnost odvětví 2'!$C$29:$AG$30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2'!$C$36:$AG$36</c:f>
              <c:numCache>
                <c:formatCode>0.0</c:formatCode>
                <c:ptCount val="31"/>
                <c:pt idx="0">
                  <c:v>83.7</c:v>
                </c:pt>
                <c:pt idx="1">
                  <c:v>85.5</c:v>
                </c:pt>
                <c:pt idx="2">
                  <c:v>84.7</c:v>
                </c:pt>
                <c:pt idx="3">
                  <c:v>82.8</c:v>
                </c:pt>
                <c:pt idx="4">
                  <c:v>84.6</c:v>
                </c:pt>
                <c:pt idx="5">
                  <c:v>83.6</c:v>
                </c:pt>
                <c:pt idx="6">
                  <c:v>81.2</c:v>
                </c:pt>
                <c:pt idx="7">
                  <c:v>81.2</c:v>
                </c:pt>
                <c:pt idx="8">
                  <c:v>80.900000000000006</c:v>
                </c:pt>
                <c:pt idx="9">
                  <c:v>82.2</c:v>
                </c:pt>
                <c:pt idx="10">
                  <c:v>80.7</c:v>
                </c:pt>
                <c:pt idx="11">
                  <c:v>82.2</c:v>
                </c:pt>
                <c:pt idx="12">
                  <c:v>81.2</c:v>
                </c:pt>
                <c:pt idx="13">
                  <c:v>83.5</c:v>
                </c:pt>
                <c:pt idx="14">
                  <c:v>82.8</c:v>
                </c:pt>
                <c:pt idx="15">
                  <c:v>84.4</c:v>
                </c:pt>
                <c:pt idx="16">
                  <c:v>86.2</c:v>
                </c:pt>
                <c:pt idx="17">
                  <c:v>85</c:v>
                </c:pt>
                <c:pt idx="18">
                  <c:v>85.6</c:v>
                </c:pt>
                <c:pt idx="19">
                  <c:v>83.9</c:v>
                </c:pt>
                <c:pt idx="20">
                  <c:v>84.5</c:v>
                </c:pt>
                <c:pt idx="21">
                  <c:v>84.7</c:v>
                </c:pt>
                <c:pt idx="22">
                  <c:v>84.7</c:v>
                </c:pt>
                <c:pt idx="23">
                  <c:v>84.1</c:v>
                </c:pt>
                <c:pt idx="24">
                  <c:v>84.9</c:v>
                </c:pt>
                <c:pt idx="25">
                  <c:v>83.1</c:v>
                </c:pt>
                <c:pt idx="26">
                  <c:v>84.4</c:v>
                </c:pt>
                <c:pt idx="27">
                  <c:v>84.3</c:v>
                </c:pt>
                <c:pt idx="28">
                  <c:v>85.8</c:v>
                </c:pt>
                <c:pt idx="29">
                  <c:v>85.4</c:v>
                </c:pt>
                <c:pt idx="30">
                  <c:v>86.2</c:v>
                </c:pt>
              </c:numCache>
            </c:numRef>
          </c:val>
          <c:extLst xmlns:c16r2="http://schemas.microsoft.com/office/drawing/2015/06/chart">
            <c:ext xmlns:c16="http://schemas.microsoft.com/office/drawing/2014/chart" uri="{C3380CC4-5D6E-409C-BE32-E72D297353CC}">
              <c16:uniqueId val="{00000005-048A-467E-9642-22B15C141D48}"/>
            </c:ext>
          </c:extLst>
        </c:ser>
        <c:marker val="1"/>
        <c:axId val="80857728"/>
        <c:axId val="80856192"/>
      </c:lineChart>
      <c:catAx>
        <c:axId val="80824192"/>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80825728"/>
        <c:crossesAt val="0"/>
        <c:lblAlgn val="ctr"/>
        <c:lblOffset val="0"/>
        <c:tickLblSkip val="1"/>
        <c:tickMarkSkip val="4"/>
      </c:catAx>
      <c:valAx>
        <c:axId val="80825728"/>
        <c:scaling>
          <c:orientation val="minMax"/>
          <c:max val="25"/>
          <c:min val="-16"/>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80824192"/>
        <c:crosses val="autoZero"/>
        <c:crossBetween val="between"/>
        <c:majorUnit val="4"/>
      </c:valAx>
      <c:valAx>
        <c:axId val="80856192"/>
        <c:scaling>
          <c:orientation val="minMax"/>
          <c:max val="102.5"/>
          <c:min val="0"/>
        </c:scaling>
        <c:axPos val="r"/>
        <c:numFmt formatCode="0" sourceLinked="0"/>
        <c:tickLblPos val="nextTo"/>
        <c:crossAx val="80857728"/>
        <c:crosses val="max"/>
        <c:crossBetween val="between"/>
        <c:majorUnit val="10"/>
      </c:valAx>
      <c:catAx>
        <c:axId val="80857728"/>
        <c:scaling>
          <c:orientation val="minMax"/>
        </c:scaling>
        <c:delete val="1"/>
        <c:axPos val="b"/>
        <c:numFmt formatCode="General" sourceLinked="1"/>
        <c:tickLblPos val="none"/>
        <c:crossAx val="80856192"/>
        <c:crosses val="autoZero"/>
        <c:auto val="1"/>
        <c:lblAlgn val="ctr"/>
        <c:lblOffset val="100"/>
      </c:catAx>
      <c:spPr>
        <a:solidFill>
          <a:srgbClr val="FFFFFF"/>
        </a:solidFill>
        <a:ln w="9525">
          <a:solidFill>
            <a:schemeClr val="tx1"/>
          </a:solidFill>
        </a:ln>
      </c:spPr>
    </c:plotArea>
    <c:legend>
      <c:legendPos val="b"/>
      <c:layout>
        <c:manualLayout>
          <c:xMode val="edge"/>
          <c:yMode val="edge"/>
          <c:x val="3.4890404821680654E-2"/>
          <c:y val="0.88253517955645189"/>
          <c:w val="0.92313671290543453"/>
          <c:h val="0.10687971406056511"/>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6.15040945877997E-2"/>
          <c:y val="1.6563187842952836E-2"/>
          <c:w val="0.92847707700101312"/>
          <c:h val="0.72462484520995163"/>
        </c:manualLayout>
      </c:layout>
      <c:barChart>
        <c:barDir val="col"/>
        <c:grouping val="clustered"/>
        <c:ser>
          <c:idx val="0"/>
          <c:order val="0"/>
          <c:tx>
            <c:strRef>
              <c:f>'výkonnost odvětví 3'!$C$10</c:f>
              <c:strCache>
                <c:ptCount val="1"/>
                <c:pt idx="0">
                  <c:v>Index stavební produkce (ISP)*</c:v>
                </c:pt>
              </c:strCache>
            </c:strRef>
          </c:tx>
          <c:spPr>
            <a:solidFill>
              <a:schemeClr val="bg1">
                <a:lumMod val="65000"/>
              </a:schemeClr>
            </a:solidFill>
            <a:ln w="12700">
              <a:noFill/>
              <a:prstDash val="solid"/>
            </a:ln>
          </c:spPr>
          <c:cat>
            <c:multiLvlStrRef>
              <c:f>'výkonnost odvětví 3'!$A$11:$B$45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3'!$C$11:$C$45</c:f>
              <c:numCache>
                <c:formatCode>0.0</c:formatCode>
                <c:ptCount val="35"/>
                <c:pt idx="0">
                  <c:v>-23.120879058299195</c:v>
                </c:pt>
                <c:pt idx="1">
                  <c:v>-9.2339152496535419</c:v>
                </c:pt>
                <c:pt idx="2">
                  <c:v>-2.5123557632612528</c:v>
                </c:pt>
                <c:pt idx="3">
                  <c:v>-2.4696856605889508</c:v>
                </c:pt>
                <c:pt idx="4">
                  <c:v>5.4547967684881087</c:v>
                </c:pt>
                <c:pt idx="5">
                  <c:v>-5.1734325285670018</c:v>
                </c:pt>
                <c:pt idx="6">
                  <c:v>-9.0565782351273025</c:v>
                </c:pt>
                <c:pt idx="7">
                  <c:v>-0.49270322945649525</c:v>
                </c:pt>
                <c:pt idx="8">
                  <c:v>-9.8158539490479289</c:v>
                </c:pt>
                <c:pt idx="9">
                  <c:v>-4.9399811658649009</c:v>
                </c:pt>
                <c:pt idx="10">
                  <c:v>-5.6510757148012516</c:v>
                </c:pt>
                <c:pt idx="11">
                  <c:v>-9.499054465131703</c:v>
                </c:pt>
                <c:pt idx="12">
                  <c:v>-10.572618150498869</c:v>
                </c:pt>
                <c:pt idx="13">
                  <c:v>-11.627766064039051</c:v>
                </c:pt>
                <c:pt idx="14">
                  <c:v>-4.9398947451908395</c:v>
                </c:pt>
                <c:pt idx="15">
                  <c:v>-2.6212387790635887</c:v>
                </c:pt>
                <c:pt idx="16">
                  <c:v>13.06540445759325</c:v>
                </c:pt>
                <c:pt idx="17">
                  <c:v>5.5566493948498925</c:v>
                </c:pt>
                <c:pt idx="18">
                  <c:v>2.446634556092429</c:v>
                </c:pt>
                <c:pt idx="19">
                  <c:v>1.1198511878155839</c:v>
                </c:pt>
                <c:pt idx="20">
                  <c:v>9.1960028555017548</c:v>
                </c:pt>
                <c:pt idx="21">
                  <c:v>11.97873044320497</c:v>
                </c:pt>
                <c:pt idx="22">
                  <c:v>7.8527866781581608</c:v>
                </c:pt>
                <c:pt idx="23">
                  <c:v>0.93515611046851388</c:v>
                </c:pt>
                <c:pt idx="24">
                  <c:v>-6.2655201570786065</c:v>
                </c:pt>
                <c:pt idx="25">
                  <c:v>-10.232071921410972</c:v>
                </c:pt>
                <c:pt idx="26">
                  <c:v>-5.9099820656760329</c:v>
                </c:pt>
                <c:pt idx="27">
                  <c:v>-1.6489038957721638</c:v>
                </c:pt>
                <c:pt idx="28">
                  <c:v>-0.85013277421342082</c:v>
                </c:pt>
                <c:pt idx="29">
                  <c:v>9.0007470610050877</c:v>
                </c:pt>
                <c:pt idx="30">
                  <c:v>2.0581071575725884</c:v>
                </c:pt>
                <c:pt idx="31">
                  <c:v>2.9381763458613812</c:v>
                </c:pt>
                <c:pt idx="32">
                  <c:v>13.180625736873068</c:v>
                </c:pt>
                <c:pt idx="33">
                  <c:v>6.4272489297362885</c:v>
                </c:pt>
                <c:pt idx="34">
                  <c:v>12.135827326133548</c:v>
                </c:pt>
              </c:numCache>
            </c:numRef>
          </c:val>
          <c:extLst xmlns:c16r2="http://schemas.microsoft.com/office/drawing/2015/06/chart">
            <c:ext xmlns:c16="http://schemas.microsoft.com/office/drawing/2014/chart" uri="{C3380CC4-5D6E-409C-BE32-E72D297353CC}">
              <c16:uniqueId val="{00000000-A7F0-44CB-8B62-C55D7B049117}"/>
            </c:ext>
          </c:extLst>
        </c:ser>
        <c:gapWidth val="31"/>
        <c:axId val="81353728"/>
        <c:axId val="81527936"/>
      </c:barChart>
      <c:lineChart>
        <c:grouping val="standard"/>
        <c:ser>
          <c:idx val="1"/>
          <c:order val="1"/>
          <c:tx>
            <c:strRef>
              <c:f>'výkonnost odvětví 3'!$D$10</c:f>
              <c:strCache>
                <c:ptCount val="1"/>
                <c:pt idx="0">
                  <c:v>ISP v pozemním stavitelství*</c:v>
                </c:pt>
              </c:strCache>
            </c:strRef>
          </c:tx>
          <c:spPr>
            <a:ln w="19050">
              <a:solidFill>
                <a:srgbClr val="0071BC"/>
              </a:solidFill>
              <a:prstDash val="solid"/>
            </a:ln>
          </c:spPr>
          <c:marker>
            <c:symbol val="none"/>
          </c:marker>
          <c:cat>
            <c:multiLvlStrRef>
              <c:f>'výkonnost odvětví 3'!$A$11:$B$45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3'!$D$11:$D$45</c:f>
              <c:numCache>
                <c:formatCode>0.0</c:formatCode>
                <c:ptCount val="35"/>
                <c:pt idx="0">
                  <c:v>-27.388210840645424</c:v>
                </c:pt>
                <c:pt idx="1">
                  <c:v>-10.215756599040372</c:v>
                </c:pt>
                <c:pt idx="2">
                  <c:v>-0.63496288924305588</c:v>
                </c:pt>
                <c:pt idx="3">
                  <c:v>0.29177688199027568</c:v>
                </c:pt>
                <c:pt idx="4">
                  <c:v>8.643687148281515</c:v>
                </c:pt>
                <c:pt idx="5">
                  <c:v>-1.7629575853668247</c:v>
                </c:pt>
                <c:pt idx="6">
                  <c:v>-6.4095020002379499</c:v>
                </c:pt>
                <c:pt idx="7">
                  <c:v>2.1112324310021933</c:v>
                </c:pt>
                <c:pt idx="8">
                  <c:v>-7.1532412146404596</c:v>
                </c:pt>
                <c:pt idx="9">
                  <c:v>-2.3484865143246028</c:v>
                </c:pt>
                <c:pt idx="10">
                  <c:v>-5.1485451817733594</c:v>
                </c:pt>
                <c:pt idx="11">
                  <c:v>-9.6734545797586389</c:v>
                </c:pt>
                <c:pt idx="12">
                  <c:v>-9.7993229316906589</c:v>
                </c:pt>
                <c:pt idx="13">
                  <c:v>-11.07864863156108</c:v>
                </c:pt>
                <c:pt idx="14">
                  <c:v>-1.5544956967322878</c:v>
                </c:pt>
                <c:pt idx="15">
                  <c:v>-2.8814188410152184</c:v>
                </c:pt>
                <c:pt idx="16">
                  <c:v>16.321006513626514</c:v>
                </c:pt>
                <c:pt idx="17">
                  <c:v>5.2628048628393262</c:v>
                </c:pt>
                <c:pt idx="18">
                  <c:v>-0.63581651846185161</c:v>
                </c:pt>
                <c:pt idx="19">
                  <c:v>-0.52994003482804464</c:v>
                </c:pt>
                <c:pt idx="20">
                  <c:v>7.7256468103625622</c:v>
                </c:pt>
                <c:pt idx="21">
                  <c:v>7.3251629054349925</c:v>
                </c:pt>
                <c:pt idx="22">
                  <c:v>1.2043700315632861</c:v>
                </c:pt>
                <c:pt idx="23">
                  <c:v>-2.6463735386968072</c:v>
                </c:pt>
                <c:pt idx="24">
                  <c:v>-6.4584025270336314</c:v>
                </c:pt>
                <c:pt idx="25">
                  <c:v>-7.5484465898539304</c:v>
                </c:pt>
                <c:pt idx="26">
                  <c:v>1.2341559267486077</c:v>
                </c:pt>
                <c:pt idx="27">
                  <c:v>6.1457971578372455</c:v>
                </c:pt>
                <c:pt idx="28">
                  <c:v>3.0113147792611699</c:v>
                </c:pt>
                <c:pt idx="29">
                  <c:v>14.58606830794295</c:v>
                </c:pt>
                <c:pt idx="30">
                  <c:v>5.0006934347103718</c:v>
                </c:pt>
                <c:pt idx="31">
                  <c:v>3.8225430782295997</c:v>
                </c:pt>
                <c:pt idx="32">
                  <c:v>14.688677478613148</c:v>
                </c:pt>
                <c:pt idx="33">
                  <c:v>7.4327659505443426</c:v>
                </c:pt>
                <c:pt idx="34">
                  <c:v>10.486359424223465</c:v>
                </c:pt>
              </c:numCache>
            </c:numRef>
          </c:val>
          <c:extLst xmlns:c16r2="http://schemas.microsoft.com/office/drawing/2015/06/chart">
            <c:ext xmlns:c16="http://schemas.microsoft.com/office/drawing/2014/chart" uri="{C3380CC4-5D6E-409C-BE32-E72D297353CC}">
              <c16:uniqueId val="{00000001-A7F0-44CB-8B62-C55D7B049117}"/>
            </c:ext>
          </c:extLst>
        </c:ser>
        <c:ser>
          <c:idx val="2"/>
          <c:order val="2"/>
          <c:tx>
            <c:strRef>
              <c:f>'výkonnost odvětví 3'!$E$10</c:f>
              <c:strCache>
                <c:ptCount val="1"/>
                <c:pt idx="0">
                  <c:v>ISP v inženýrském stavitelství*</c:v>
                </c:pt>
              </c:strCache>
            </c:strRef>
          </c:tx>
          <c:spPr>
            <a:ln w="19050">
              <a:solidFill>
                <a:srgbClr val="BD1B21"/>
              </a:solidFill>
              <a:prstDash val="solid"/>
            </a:ln>
          </c:spPr>
          <c:marker>
            <c:symbol val="none"/>
          </c:marker>
          <c:cat>
            <c:multiLvlStrRef>
              <c:f>'výkonnost odvětví 3'!$A$11:$B$45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3'!$E$11:$E$45</c:f>
              <c:numCache>
                <c:formatCode>0.0</c:formatCode>
                <c:ptCount val="35"/>
                <c:pt idx="0">
                  <c:v>-9.348212129667548</c:v>
                </c:pt>
                <c:pt idx="1">
                  <c:v>-7.2672646577616149</c:v>
                </c:pt>
                <c:pt idx="2">
                  <c:v>-6.0782565063688985</c:v>
                </c:pt>
                <c:pt idx="3">
                  <c:v>-7.7551427017186834</c:v>
                </c:pt>
                <c:pt idx="4">
                  <c:v>-2.789089448865008</c:v>
                </c:pt>
                <c:pt idx="5">
                  <c:v>-11.787487635893656</c:v>
                </c:pt>
                <c:pt idx="6">
                  <c:v>-14.375798659442045</c:v>
                </c:pt>
                <c:pt idx="7">
                  <c:v>-5.9114243768010475</c:v>
                </c:pt>
                <c:pt idx="8">
                  <c:v>-17.508750433219717</c:v>
                </c:pt>
                <c:pt idx="9">
                  <c:v>-10.536891513552632</c:v>
                </c:pt>
                <c:pt idx="10">
                  <c:v>-6.7548473187488005</c:v>
                </c:pt>
                <c:pt idx="11">
                  <c:v>-9.1051871494778283</c:v>
                </c:pt>
                <c:pt idx="12">
                  <c:v>-13.087317526163702</c:v>
                </c:pt>
                <c:pt idx="13">
                  <c:v>-12.92225475103762</c:v>
                </c:pt>
                <c:pt idx="14">
                  <c:v>-12.503770089076568</c:v>
                </c:pt>
                <c:pt idx="15">
                  <c:v>-2.0373185905058597</c:v>
                </c:pt>
                <c:pt idx="16">
                  <c:v>2.0779090558675608</c:v>
                </c:pt>
                <c:pt idx="17">
                  <c:v>6.2640240917004775</c:v>
                </c:pt>
                <c:pt idx="18">
                  <c:v>10.195484215252085</c:v>
                </c:pt>
                <c:pt idx="19">
                  <c:v>4.7905616685082855</c:v>
                </c:pt>
                <c:pt idx="20">
                  <c:v>14.850790359833061</c:v>
                </c:pt>
                <c:pt idx="21">
                  <c:v>23.075756570990805</c:v>
                </c:pt>
                <c:pt idx="22">
                  <c:v>22.923206180836129</c:v>
                </c:pt>
                <c:pt idx="23">
                  <c:v>8.4993021566949665</c:v>
                </c:pt>
                <c:pt idx="24">
                  <c:v>-5.5697409692054745</c:v>
                </c:pt>
                <c:pt idx="25">
                  <c:v>-15.812551358433454</c:v>
                </c:pt>
                <c:pt idx="26">
                  <c:v>-19.242811842824889</c:v>
                </c:pt>
                <c:pt idx="27">
                  <c:v>-16.420111674620692</c:v>
                </c:pt>
                <c:pt idx="28">
                  <c:v>-14.648339343580091</c:v>
                </c:pt>
                <c:pt idx="29">
                  <c:v>-3.7537885685544254</c:v>
                </c:pt>
                <c:pt idx="30">
                  <c:v>-4.8259993710043565</c:v>
                </c:pt>
                <c:pt idx="31">
                  <c:v>0.80979248445301477</c:v>
                </c:pt>
                <c:pt idx="32">
                  <c:v>6.6769218050612977</c:v>
                </c:pt>
                <c:pt idx="33">
                  <c:v>3.6935297166521899</c:v>
                </c:pt>
                <c:pt idx="34">
                  <c:v>16.393808136148351</c:v>
                </c:pt>
              </c:numCache>
            </c:numRef>
          </c:val>
          <c:extLst xmlns:c16r2="http://schemas.microsoft.com/office/drawing/2015/06/chart">
            <c:ext xmlns:c16="http://schemas.microsoft.com/office/drawing/2014/chart" uri="{C3380CC4-5D6E-409C-BE32-E72D297353CC}">
              <c16:uniqueId val="{00000002-A7F0-44CB-8B62-C55D7B049117}"/>
            </c:ext>
          </c:extLst>
        </c:ser>
        <c:ser>
          <c:idx val="3"/>
          <c:order val="3"/>
          <c:tx>
            <c:strRef>
              <c:f>'výkonnost odvětví 3'!$F$10</c:f>
              <c:strCache>
                <c:ptCount val="1"/>
                <c:pt idx="0">
                  <c:v>Nové zakázky ve stavebnictví celkem</c:v>
                </c:pt>
              </c:strCache>
            </c:strRef>
          </c:tx>
          <c:spPr>
            <a:ln w="19050">
              <a:solidFill>
                <a:srgbClr val="7DBB2D"/>
              </a:solidFill>
              <a:prstDash val="sysDash"/>
            </a:ln>
          </c:spPr>
          <c:marker>
            <c:symbol val="none"/>
          </c:marker>
          <c:cat>
            <c:multiLvlStrRef>
              <c:f>'výkonnost odvětví 3'!$A$11:$B$45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3'!$F$11:$F$45</c:f>
              <c:numCache>
                <c:formatCode>0.0</c:formatCode>
                <c:ptCount val="35"/>
                <c:pt idx="0">
                  <c:v>0.82757088505651666</c:v>
                </c:pt>
                <c:pt idx="1">
                  <c:v>8.7687755178484537</c:v>
                </c:pt>
                <c:pt idx="2">
                  <c:v>30.894711890703729</c:v>
                </c:pt>
                <c:pt idx="3">
                  <c:v>-13.415413805192964</c:v>
                </c:pt>
                <c:pt idx="4">
                  <c:v>37.795405718063279</c:v>
                </c:pt>
                <c:pt idx="5">
                  <c:v>-23.565672566981071</c:v>
                </c:pt>
                <c:pt idx="6">
                  <c:v>-23.360716461156017</c:v>
                </c:pt>
                <c:pt idx="7">
                  <c:v>-9.1653963414634205</c:v>
                </c:pt>
                <c:pt idx="8">
                  <c:v>-46.322059646598035</c:v>
                </c:pt>
                <c:pt idx="9">
                  <c:v>-13.714800630772698</c:v>
                </c:pt>
                <c:pt idx="10">
                  <c:v>-7.6729748888363645</c:v>
                </c:pt>
                <c:pt idx="11">
                  <c:v>7.5624082232011753</c:v>
                </c:pt>
                <c:pt idx="12">
                  <c:v>-17.695687793252475</c:v>
                </c:pt>
                <c:pt idx="13">
                  <c:v>-1.584773641063137</c:v>
                </c:pt>
                <c:pt idx="14">
                  <c:v>-1.3308205951467045</c:v>
                </c:pt>
                <c:pt idx="15">
                  <c:v>16.153096050706978</c:v>
                </c:pt>
                <c:pt idx="16">
                  <c:v>67.509727626458783</c:v>
                </c:pt>
                <c:pt idx="17">
                  <c:v>18.978644382543994</c:v>
                </c:pt>
                <c:pt idx="18">
                  <c:v>34.050931384107542</c:v>
                </c:pt>
                <c:pt idx="19">
                  <c:v>-1</c:v>
                </c:pt>
                <c:pt idx="20">
                  <c:v>-3.1547956675580053</c:v>
                </c:pt>
                <c:pt idx="21">
                  <c:v>9.7504961091663684</c:v>
                </c:pt>
                <c:pt idx="22">
                  <c:v>-1.0976060227612561</c:v>
                </c:pt>
                <c:pt idx="23">
                  <c:v>-2.3987783410040464</c:v>
                </c:pt>
                <c:pt idx="24">
                  <c:v>-6.6406358945753805</c:v>
                </c:pt>
                <c:pt idx="25">
                  <c:v>-0.49977652269311085</c:v>
                </c:pt>
                <c:pt idx="26">
                  <c:v>-7.0322087253454839</c:v>
                </c:pt>
                <c:pt idx="27">
                  <c:v>10.122126124559955</c:v>
                </c:pt>
                <c:pt idx="28">
                  <c:v>16.177217458847526</c:v>
                </c:pt>
                <c:pt idx="29">
                  <c:v>9.5350878984013523</c:v>
                </c:pt>
                <c:pt idx="30">
                  <c:v>-1.2817324431350698</c:v>
                </c:pt>
                <c:pt idx="31">
                  <c:v>15.620806693503823</c:v>
                </c:pt>
                <c:pt idx="32">
                  <c:v>28.623225673729607</c:v>
                </c:pt>
                <c:pt idx="33">
                  <c:v>32.039070218278894</c:v>
                </c:pt>
                <c:pt idx="34">
                  <c:v>5.2962037090867025</c:v>
                </c:pt>
              </c:numCache>
            </c:numRef>
          </c:val>
          <c:extLst xmlns:c16r2="http://schemas.microsoft.com/office/drawing/2015/06/chart">
            <c:ext xmlns:c16="http://schemas.microsoft.com/office/drawing/2014/chart" uri="{C3380CC4-5D6E-409C-BE32-E72D297353CC}">
              <c16:uniqueId val="{00000003-A7F0-44CB-8B62-C55D7B049117}"/>
            </c:ext>
          </c:extLst>
        </c:ser>
        <c:ser>
          <c:idx val="4"/>
          <c:order val="4"/>
          <c:tx>
            <c:strRef>
              <c:f>'výkonnost odvětví 4'!$B$58</c:f>
              <c:strCache>
                <c:ptCount val="1"/>
                <c:pt idx="0">
                  <c:v>Saldo indik.důvěry ve vybr. službách (pr.osa)</c:v>
                </c:pt>
              </c:strCache>
            </c:strRef>
          </c:tx>
          <c:spPr>
            <a:ln w="19050">
              <a:noFill/>
              <a:prstDash val="solid"/>
            </a:ln>
          </c:spPr>
          <c:marker>
            <c:symbol val="dash"/>
            <c:size val="9"/>
            <c:spPr>
              <a:solidFill>
                <a:srgbClr val="984807"/>
              </a:solidFill>
              <a:ln>
                <a:noFill/>
              </a:ln>
            </c:spPr>
          </c:marker>
          <c:cat>
            <c:multiLvlStrRef>
              <c:f>'výkonnost odvětví 3'!$A$11:$B$45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'výkonnost odvětví 3'!$G$11:$G$45</c:f>
              <c:numCache>
                <c:formatCode>0.0</c:formatCode>
                <c:ptCount val="35"/>
                <c:pt idx="0">
                  <c:v>-32.166666666666409</c:v>
                </c:pt>
                <c:pt idx="1">
                  <c:v>-32.5</c:v>
                </c:pt>
                <c:pt idx="2">
                  <c:v>-37</c:v>
                </c:pt>
                <c:pt idx="3">
                  <c:v>-42.5</c:v>
                </c:pt>
                <c:pt idx="4">
                  <c:v>-40</c:v>
                </c:pt>
                <c:pt idx="5">
                  <c:v>-40.333333333333336</c:v>
                </c:pt>
                <c:pt idx="6">
                  <c:v>-39.166666666666409</c:v>
                </c:pt>
                <c:pt idx="7">
                  <c:v>-39.333333333333336</c:v>
                </c:pt>
                <c:pt idx="8">
                  <c:v>-46</c:v>
                </c:pt>
                <c:pt idx="9">
                  <c:v>-45.333333333333336</c:v>
                </c:pt>
                <c:pt idx="10">
                  <c:v>-43.5</c:v>
                </c:pt>
                <c:pt idx="11">
                  <c:v>-44.666666666666409</c:v>
                </c:pt>
                <c:pt idx="12">
                  <c:v>-46</c:v>
                </c:pt>
                <c:pt idx="13">
                  <c:v>-53.333333333333336</c:v>
                </c:pt>
                <c:pt idx="14">
                  <c:v>-49.5</c:v>
                </c:pt>
                <c:pt idx="15">
                  <c:v>-50.833333333333336</c:v>
                </c:pt>
                <c:pt idx="16">
                  <c:v>-45.166666666666409</c:v>
                </c:pt>
                <c:pt idx="17">
                  <c:v>-38.333333333333336</c:v>
                </c:pt>
                <c:pt idx="18">
                  <c:v>-32</c:v>
                </c:pt>
                <c:pt idx="19">
                  <c:v>-25.166666666666668</c:v>
                </c:pt>
                <c:pt idx="20">
                  <c:v>-20.833333333333211</c:v>
                </c:pt>
                <c:pt idx="21">
                  <c:v>-16.333333333333211</c:v>
                </c:pt>
                <c:pt idx="22">
                  <c:v>-18.666666666666668</c:v>
                </c:pt>
                <c:pt idx="23">
                  <c:v>-15.666666666666705</c:v>
                </c:pt>
                <c:pt idx="24">
                  <c:v>-17.166666666666668</c:v>
                </c:pt>
                <c:pt idx="25">
                  <c:v>-24</c:v>
                </c:pt>
                <c:pt idx="26">
                  <c:v>-26.666666666666668</c:v>
                </c:pt>
                <c:pt idx="27">
                  <c:v>-25.833333333333211</c:v>
                </c:pt>
                <c:pt idx="28">
                  <c:v>-24.5</c:v>
                </c:pt>
                <c:pt idx="29">
                  <c:v>-22.666666666666668</c:v>
                </c:pt>
                <c:pt idx="30">
                  <c:v>-19.833333333333211</c:v>
                </c:pt>
                <c:pt idx="31">
                  <c:v>-15.166666666666705</c:v>
                </c:pt>
                <c:pt idx="32">
                  <c:v>-9.6666666666666767</c:v>
                </c:pt>
                <c:pt idx="33">
                  <c:v>-5.666666666666667</c:v>
                </c:pt>
                <c:pt idx="34">
                  <c:v>-3.1666666666666665</c:v>
                </c:pt>
              </c:numCache>
            </c:numRef>
          </c:val>
          <c:extLst xmlns:c16r2="http://schemas.microsoft.com/office/drawing/2015/06/chart">
            <c:ext xmlns:c16="http://schemas.microsoft.com/office/drawing/2014/chart" uri="{C3380CC4-5D6E-409C-BE32-E72D297353CC}">
              <c16:uniqueId val="{00000004-A7F0-44CB-8B62-C55D7B049117}"/>
            </c:ext>
          </c:extLst>
        </c:ser>
        <c:marker val="1"/>
        <c:axId val="81353728"/>
        <c:axId val="81527936"/>
      </c:lineChart>
      <c:catAx>
        <c:axId val="81353728"/>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81527936"/>
        <c:crossesAt val="0"/>
        <c:lblAlgn val="ctr"/>
        <c:lblOffset val="0"/>
        <c:tickLblSkip val="1"/>
        <c:tickMarkSkip val="4"/>
      </c:catAx>
      <c:valAx>
        <c:axId val="81527936"/>
        <c:scaling>
          <c:orientation val="minMax"/>
          <c:max val="50"/>
          <c:min val="-60"/>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81353728"/>
        <c:crosses val="autoZero"/>
        <c:crossBetween val="between"/>
        <c:majorUnit val="10"/>
      </c:valAx>
      <c:spPr>
        <a:solidFill>
          <a:srgbClr val="FFFFFF"/>
        </a:solidFill>
        <a:ln w="9525">
          <a:solidFill>
            <a:schemeClr val="tx1"/>
          </a:solidFill>
        </a:ln>
      </c:spPr>
    </c:plotArea>
    <c:legend>
      <c:legendPos val="b"/>
      <c:layout>
        <c:manualLayout>
          <c:xMode val="edge"/>
          <c:yMode val="edge"/>
          <c:x val="6.0104910389042733E-2"/>
          <c:y val="0.83786080153101461"/>
          <c:w val="0.92926297419604986"/>
          <c:h val="0.14782224473713884"/>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3337294494629933E-2"/>
          <c:y val="2.1718077717576709E-2"/>
          <c:w val="0.91372590696101663"/>
          <c:h val="0.725991032361056"/>
        </c:manualLayout>
      </c:layout>
      <c:barChart>
        <c:barDir val="col"/>
        <c:grouping val="clustered"/>
        <c:ser>
          <c:idx val="0"/>
          <c:order val="0"/>
          <c:tx>
            <c:strRef>
              <c:f>'výkonnost odvětví 4'!$B$51</c:f>
              <c:strCache>
                <c:ptCount val="1"/>
                <c:pt idx="0">
                  <c:v>Služby celkem</c:v>
                </c:pt>
              </c:strCache>
            </c:strRef>
          </c:tx>
          <c:spPr>
            <a:solidFill>
              <a:schemeClr val="bg1">
                <a:lumMod val="65000"/>
              </a:schemeClr>
            </a:solidFill>
          </c:spPr>
          <c:cat>
            <c:multiLvlStrRef>
              <c:f>'výkonnost odvětví 4'!$C$49:$AG$50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4'!$C$51:$AG$51</c:f>
              <c:numCache>
                <c:formatCode>##0.0</c:formatCode>
                <c:ptCount val="31"/>
                <c:pt idx="0">
                  <c:v>97.52438716999967</c:v>
                </c:pt>
                <c:pt idx="1">
                  <c:v>97.808977759999536</c:v>
                </c:pt>
                <c:pt idx="2">
                  <c:v>95.661178983300005</c:v>
                </c:pt>
                <c:pt idx="3">
                  <c:v>96.444285576699983</c:v>
                </c:pt>
                <c:pt idx="4">
                  <c:v>97.180872209999535</c:v>
                </c:pt>
                <c:pt idx="5">
                  <c:v>96.603815529999949</c:v>
                </c:pt>
                <c:pt idx="6">
                  <c:v>96.808917023299699</c:v>
                </c:pt>
                <c:pt idx="7">
                  <c:v>95.468823243299994</c:v>
                </c:pt>
                <c:pt idx="8">
                  <c:v>96.759004336699547</c:v>
                </c:pt>
                <c:pt idx="9">
                  <c:v>95.813450313299569</c:v>
                </c:pt>
                <c:pt idx="10">
                  <c:v>95.395745099999758</c:v>
                </c:pt>
                <c:pt idx="11">
                  <c:v>97.116506240000007</c:v>
                </c:pt>
                <c:pt idx="12">
                  <c:v>95.911863713299994</c:v>
                </c:pt>
                <c:pt idx="13">
                  <c:v>97.35501068329998</c:v>
                </c:pt>
                <c:pt idx="14">
                  <c:v>97.449551993300346</c:v>
                </c:pt>
                <c:pt idx="15">
                  <c:v>98.010406649999993</c:v>
                </c:pt>
                <c:pt idx="16">
                  <c:v>98.887587676699525</c:v>
                </c:pt>
                <c:pt idx="17">
                  <c:v>100.17384461330001</c:v>
                </c:pt>
                <c:pt idx="18">
                  <c:v>100.44897340330027</c:v>
                </c:pt>
                <c:pt idx="19">
                  <c:v>100.48959431670001</c:v>
                </c:pt>
                <c:pt idx="20">
                  <c:v>99.596912619999998</c:v>
                </c:pt>
                <c:pt idx="21">
                  <c:v>99.43109862000027</c:v>
                </c:pt>
                <c:pt idx="22">
                  <c:v>101.87421341000002</c:v>
                </c:pt>
                <c:pt idx="23">
                  <c:v>102.63949452670001</c:v>
                </c:pt>
                <c:pt idx="24">
                  <c:v>104.27122674669998</c:v>
                </c:pt>
                <c:pt idx="25">
                  <c:v>105.20118394329999</c:v>
                </c:pt>
                <c:pt idx="26">
                  <c:v>105.65847000999953</c:v>
                </c:pt>
                <c:pt idx="27">
                  <c:v>105.65955313000001</c:v>
                </c:pt>
                <c:pt idx="28">
                  <c:v>108.29062550330043</c:v>
                </c:pt>
                <c:pt idx="29">
                  <c:v>108.2277493133</c:v>
                </c:pt>
                <c:pt idx="30">
                  <c:v>108.76745769670002</c:v>
                </c:pt>
              </c:numCache>
            </c:numRef>
          </c:val>
          <c:extLst xmlns:c16r2="http://schemas.microsoft.com/office/drawing/2015/06/chart">
            <c:ext xmlns:c16="http://schemas.microsoft.com/office/drawing/2014/chart" uri="{C3380CC4-5D6E-409C-BE32-E72D297353CC}">
              <c16:uniqueId val="{00000000-CD58-40B5-AD2A-E758B92E30B1}"/>
            </c:ext>
          </c:extLst>
        </c:ser>
        <c:gapWidth val="31"/>
        <c:axId val="82266368"/>
        <c:axId val="82497920"/>
      </c:barChart>
      <c:lineChart>
        <c:grouping val="standard"/>
        <c:ser>
          <c:idx val="1"/>
          <c:order val="1"/>
          <c:tx>
            <c:strRef>
              <c:f>'výkonnost odvětví 4'!$B$52</c:f>
              <c:strCache>
                <c:ptCount val="1"/>
                <c:pt idx="0">
                  <c:v>Doprava a skladování</c:v>
                </c:pt>
              </c:strCache>
            </c:strRef>
          </c:tx>
          <c:spPr>
            <a:ln w="19050">
              <a:solidFill>
                <a:srgbClr val="BD1B21"/>
              </a:solidFill>
              <a:prstDash val="solid"/>
            </a:ln>
          </c:spPr>
          <c:marker>
            <c:symbol val="none"/>
          </c:marker>
          <c:cat>
            <c:multiLvlStrRef>
              <c:f>'výkonnost odvětví 4'!$C$49:$AG$50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4'!$C$52:$AG$52</c:f>
              <c:numCache>
                <c:formatCode>##0.0</c:formatCode>
                <c:ptCount val="31"/>
                <c:pt idx="0">
                  <c:v>92.199196003300003</c:v>
                </c:pt>
                <c:pt idx="1">
                  <c:v>92.21071858669967</c:v>
                </c:pt>
                <c:pt idx="2">
                  <c:v>91.413468510000001</c:v>
                </c:pt>
                <c:pt idx="3">
                  <c:v>92.902991023300004</c:v>
                </c:pt>
                <c:pt idx="4">
                  <c:v>92.788468656699536</c:v>
                </c:pt>
                <c:pt idx="5">
                  <c:v>93.980037889999949</c:v>
                </c:pt>
                <c:pt idx="6">
                  <c:v>94.611365449999994</c:v>
                </c:pt>
                <c:pt idx="7">
                  <c:v>91.233464889999993</c:v>
                </c:pt>
                <c:pt idx="8">
                  <c:v>95.677913790000005</c:v>
                </c:pt>
                <c:pt idx="9">
                  <c:v>96.7623394867</c:v>
                </c:pt>
                <c:pt idx="10">
                  <c:v>96.728895366699547</c:v>
                </c:pt>
                <c:pt idx="11">
                  <c:v>100.4145521067</c:v>
                </c:pt>
                <c:pt idx="12">
                  <c:v>98.878824203299729</c:v>
                </c:pt>
                <c:pt idx="13">
                  <c:v>99.329041236699354</c:v>
                </c:pt>
                <c:pt idx="14">
                  <c:v>100.20529218999998</c:v>
                </c:pt>
                <c:pt idx="15">
                  <c:v>100.2296388833</c:v>
                </c:pt>
                <c:pt idx="16">
                  <c:v>99.271054590000006</c:v>
                </c:pt>
                <c:pt idx="17">
                  <c:v>99.378200843299524</c:v>
                </c:pt>
                <c:pt idx="18">
                  <c:v>100.87247285999932</c:v>
                </c:pt>
                <c:pt idx="19">
                  <c:v>100.47827171329953</c:v>
                </c:pt>
                <c:pt idx="20">
                  <c:v>99.458882779999641</c:v>
                </c:pt>
                <c:pt idx="21">
                  <c:v>100.3771628933</c:v>
                </c:pt>
                <c:pt idx="22">
                  <c:v>101.4634469467</c:v>
                </c:pt>
                <c:pt idx="23">
                  <c:v>103.55813719669935</c:v>
                </c:pt>
                <c:pt idx="24">
                  <c:v>104.89195202329998</c:v>
                </c:pt>
                <c:pt idx="25">
                  <c:v>104.1256339867</c:v>
                </c:pt>
                <c:pt idx="26">
                  <c:v>105.39050368670027</c:v>
                </c:pt>
                <c:pt idx="27">
                  <c:v>106.04726956670046</c:v>
                </c:pt>
                <c:pt idx="28">
                  <c:v>110.5103767633</c:v>
                </c:pt>
                <c:pt idx="29">
                  <c:v>110.29707408330032</c:v>
                </c:pt>
                <c:pt idx="30">
                  <c:v>110.4878685867</c:v>
                </c:pt>
              </c:numCache>
            </c:numRef>
          </c:val>
          <c:extLst xmlns:c16r2="http://schemas.microsoft.com/office/drawing/2015/06/chart">
            <c:ext xmlns:c16="http://schemas.microsoft.com/office/drawing/2014/chart" uri="{C3380CC4-5D6E-409C-BE32-E72D297353CC}">
              <c16:uniqueId val="{00000001-CD58-40B5-AD2A-E758B92E30B1}"/>
            </c:ext>
          </c:extLst>
        </c:ser>
        <c:ser>
          <c:idx val="2"/>
          <c:order val="2"/>
          <c:tx>
            <c:strRef>
              <c:f>'výkonnost odvětví 4'!$B$53</c:f>
              <c:strCache>
                <c:ptCount val="1"/>
                <c:pt idx="0">
                  <c:v>Ubytování, stravování a pohostinství</c:v>
                </c:pt>
              </c:strCache>
            </c:strRef>
          </c:tx>
          <c:spPr>
            <a:ln w="19050">
              <a:solidFill>
                <a:srgbClr val="F8A124"/>
              </a:solidFill>
              <a:prstDash val="solid"/>
            </a:ln>
          </c:spPr>
          <c:marker>
            <c:symbol val="none"/>
          </c:marker>
          <c:cat>
            <c:multiLvlStrRef>
              <c:f>'výkonnost odvětví 4'!$C$49:$AG$50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4'!$C$53:$AG$53</c:f>
              <c:numCache>
                <c:formatCode>##0.0</c:formatCode>
                <c:ptCount val="31"/>
                <c:pt idx="0">
                  <c:v>96.032953383299983</c:v>
                </c:pt>
                <c:pt idx="1">
                  <c:v>96.364741773299656</c:v>
                </c:pt>
                <c:pt idx="2">
                  <c:v>94.880471886699354</c:v>
                </c:pt>
                <c:pt idx="3">
                  <c:v>94.376022873299547</c:v>
                </c:pt>
                <c:pt idx="4">
                  <c:v>93.54943637329967</c:v>
                </c:pt>
                <c:pt idx="5">
                  <c:v>93.175718459999487</c:v>
                </c:pt>
                <c:pt idx="6">
                  <c:v>92.874961226699554</c:v>
                </c:pt>
                <c:pt idx="7">
                  <c:v>92.56481985329998</c:v>
                </c:pt>
                <c:pt idx="8">
                  <c:v>93.531310280000127</c:v>
                </c:pt>
                <c:pt idx="9">
                  <c:v>93.169892616699386</c:v>
                </c:pt>
                <c:pt idx="10">
                  <c:v>93.799393366700002</c:v>
                </c:pt>
                <c:pt idx="11">
                  <c:v>92.591428653299999</c:v>
                </c:pt>
                <c:pt idx="12">
                  <c:v>93.386335243299641</c:v>
                </c:pt>
                <c:pt idx="13">
                  <c:v>93.561050173300004</c:v>
                </c:pt>
                <c:pt idx="14">
                  <c:v>94.137600123300004</c:v>
                </c:pt>
                <c:pt idx="15">
                  <c:v>97.003660370000006</c:v>
                </c:pt>
                <c:pt idx="16">
                  <c:v>97.483054123299979</c:v>
                </c:pt>
                <c:pt idx="17">
                  <c:v>100.0607042733</c:v>
                </c:pt>
                <c:pt idx="18">
                  <c:v>100.73991414000002</c:v>
                </c:pt>
                <c:pt idx="19">
                  <c:v>101.71632746000027</c:v>
                </c:pt>
                <c:pt idx="20">
                  <c:v>102.84325577000027</c:v>
                </c:pt>
                <c:pt idx="21">
                  <c:v>103.65975306</c:v>
                </c:pt>
                <c:pt idx="22">
                  <c:v>107.8981423332995</c:v>
                </c:pt>
                <c:pt idx="23">
                  <c:v>110.40510438000022</c:v>
                </c:pt>
                <c:pt idx="24">
                  <c:v>113.82963784669944</c:v>
                </c:pt>
                <c:pt idx="25">
                  <c:v>116.64217695669947</c:v>
                </c:pt>
                <c:pt idx="26">
                  <c:v>116.50182459330027</c:v>
                </c:pt>
                <c:pt idx="27">
                  <c:v>117.2054602133</c:v>
                </c:pt>
                <c:pt idx="28">
                  <c:v>117.3600025933</c:v>
                </c:pt>
                <c:pt idx="29">
                  <c:v>117.40915467000045</c:v>
                </c:pt>
                <c:pt idx="30">
                  <c:v>117.9793041033</c:v>
                </c:pt>
              </c:numCache>
            </c:numRef>
          </c:val>
          <c:extLst xmlns:c16r2="http://schemas.microsoft.com/office/drawing/2015/06/chart">
            <c:ext xmlns:c16="http://schemas.microsoft.com/office/drawing/2014/chart" uri="{C3380CC4-5D6E-409C-BE32-E72D297353CC}">
              <c16:uniqueId val="{00000002-CD58-40B5-AD2A-E758B92E30B1}"/>
            </c:ext>
          </c:extLst>
        </c:ser>
        <c:ser>
          <c:idx val="3"/>
          <c:order val="3"/>
          <c:tx>
            <c:strRef>
              <c:f>'výkonnost odvětví 4'!$B$54</c:f>
              <c:strCache>
                <c:ptCount val="1"/>
                <c:pt idx="0">
                  <c:v>Informační a komunikační činnosti</c:v>
                </c:pt>
              </c:strCache>
            </c:strRef>
          </c:tx>
          <c:spPr>
            <a:ln w="19050">
              <a:solidFill>
                <a:srgbClr val="48AEE7"/>
              </a:solidFill>
            </a:ln>
          </c:spPr>
          <c:marker>
            <c:symbol val="none"/>
          </c:marker>
          <c:cat>
            <c:multiLvlStrRef>
              <c:f>'výkonnost odvětví 4'!$C$49:$AG$50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4'!$C$54:$AG$54</c:f>
              <c:numCache>
                <c:formatCode>##0.0</c:formatCode>
                <c:ptCount val="31"/>
                <c:pt idx="0">
                  <c:v>94.184159910000005</c:v>
                </c:pt>
                <c:pt idx="1">
                  <c:v>93.762291143300004</c:v>
                </c:pt>
                <c:pt idx="2">
                  <c:v>93.175373743299517</c:v>
                </c:pt>
                <c:pt idx="3">
                  <c:v>93.571281126699546</c:v>
                </c:pt>
                <c:pt idx="4">
                  <c:v>94.538750529999959</c:v>
                </c:pt>
                <c:pt idx="5">
                  <c:v>93.771314556699537</c:v>
                </c:pt>
                <c:pt idx="6">
                  <c:v>94.702239596699656</c:v>
                </c:pt>
                <c:pt idx="7">
                  <c:v>93.108962956699401</c:v>
                </c:pt>
                <c:pt idx="8">
                  <c:v>92.7406808267</c:v>
                </c:pt>
                <c:pt idx="9">
                  <c:v>94.070243966700005</c:v>
                </c:pt>
                <c:pt idx="10">
                  <c:v>92.961210916699983</c:v>
                </c:pt>
                <c:pt idx="11">
                  <c:v>93.253250726700003</c:v>
                </c:pt>
                <c:pt idx="12">
                  <c:v>92.680975536699279</c:v>
                </c:pt>
                <c:pt idx="13">
                  <c:v>94.825018029999598</c:v>
                </c:pt>
                <c:pt idx="14">
                  <c:v>95.11007519999967</c:v>
                </c:pt>
                <c:pt idx="15">
                  <c:v>96.0961471366994</c:v>
                </c:pt>
                <c:pt idx="16">
                  <c:v>98.836975196699356</c:v>
                </c:pt>
                <c:pt idx="17">
                  <c:v>99.133871039999548</c:v>
                </c:pt>
                <c:pt idx="18">
                  <c:v>99.599211556699714</c:v>
                </c:pt>
                <c:pt idx="19">
                  <c:v>102.42994220999998</c:v>
                </c:pt>
                <c:pt idx="20">
                  <c:v>100.80094099</c:v>
                </c:pt>
                <c:pt idx="21">
                  <c:v>99.619054833299714</c:v>
                </c:pt>
                <c:pt idx="22">
                  <c:v>101.48996259330002</c:v>
                </c:pt>
                <c:pt idx="23">
                  <c:v>103.09628406669998</c:v>
                </c:pt>
                <c:pt idx="24">
                  <c:v>103.6136665467</c:v>
                </c:pt>
                <c:pt idx="25">
                  <c:v>105.76029986670002</c:v>
                </c:pt>
                <c:pt idx="26">
                  <c:v>105.7039528533</c:v>
                </c:pt>
                <c:pt idx="27">
                  <c:v>106.43055969330049</c:v>
                </c:pt>
                <c:pt idx="28">
                  <c:v>110.28407402329998</c:v>
                </c:pt>
                <c:pt idx="29">
                  <c:v>109.58785014</c:v>
                </c:pt>
                <c:pt idx="30">
                  <c:v>112.46224276000002</c:v>
                </c:pt>
              </c:numCache>
            </c:numRef>
          </c:val>
          <c:extLst xmlns:c16r2="http://schemas.microsoft.com/office/drawing/2015/06/chart">
            <c:ext xmlns:c16="http://schemas.microsoft.com/office/drawing/2014/chart" uri="{C3380CC4-5D6E-409C-BE32-E72D297353CC}">
              <c16:uniqueId val="{00000003-CD58-40B5-AD2A-E758B92E30B1}"/>
            </c:ext>
          </c:extLst>
        </c:ser>
        <c:ser>
          <c:idx val="4"/>
          <c:order val="4"/>
          <c:tx>
            <c:strRef>
              <c:f>'výkonnost odvětví 4'!$B$55</c:f>
              <c:strCache>
                <c:ptCount val="1"/>
                <c:pt idx="0">
                  <c:v>Činnosti v oblasti nemovitostí</c:v>
                </c:pt>
              </c:strCache>
            </c:strRef>
          </c:tx>
          <c:spPr>
            <a:ln w="19050">
              <a:solidFill>
                <a:srgbClr val="7DBB2D"/>
              </a:solidFill>
            </a:ln>
          </c:spPr>
          <c:marker>
            <c:symbol val="none"/>
          </c:marker>
          <c:cat>
            <c:multiLvlStrRef>
              <c:f>'výkonnost odvětví 4'!$C$49:$AG$50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4'!$C$55:$AG$55</c:f>
              <c:numCache>
                <c:formatCode>##0.0</c:formatCode>
                <c:ptCount val="31"/>
                <c:pt idx="0">
                  <c:v>109.78245018</c:v>
                </c:pt>
                <c:pt idx="1">
                  <c:v>108.15350727329964</c:v>
                </c:pt>
                <c:pt idx="2">
                  <c:v>106.95039860670001</c:v>
                </c:pt>
                <c:pt idx="3">
                  <c:v>105.5320158233</c:v>
                </c:pt>
                <c:pt idx="4">
                  <c:v>103.7645429067</c:v>
                </c:pt>
                <c:pt idx="5">
                  <c:v>102.96754826000027</c:v>
                </c:pt>
                <c:pt idx="6">
                  <c:v>101.1073144567</c:v>
                </c:pt>
                <c:pt idx="7">
                  <c:v>102.1358298433</c:v>
                </c:pt>
                <c:pt idx="8">
                  <c:v>101.82858099669947</c:v>
                </c:pt>
                <c:pt idx="9">
                  <c:v>99.760008943299979</c:v>
                </c:pt>
                <c:pt idx="10">
                  <c:v>100.22850104669953</c:v>
                </c:pt>
                <c:pt idx="11">
                  <c:v>99.094817919999983</c:v>
                </c:pt>
                <c:pt idx="12">
                  <c:v>98.874820080000006</c:v>
                </c:pt>
                <c:pt idx="13">
                  <c:v>99.987606170000007</c:v>
                </c:pt>
                <c:pt idx="14">
                  <c:v>99.879496389999858</c:v>
                </c:pt>
                <c:pt idx="15">
                  <c:v>99.159881119999355</c:v>
                </c:pt>
                <c:pt idx="16">
                  <c:v>99.197738453299536</c:v>
                </c:pt>
                <c:pt idx="17">
                  <c:v>99.822349263299699</c:v>
                </c:pt>
                <c:pt idx="18">
                  <c:v>100.32267680669932</c:v>
                </c:pt>
                <c:pt idx="19">
                  <c:v>100.65723547330002</c:v>
                </c:pt>
                <c:pt idx="20">
                  <c:v>100.5186256133003</c:v>
                </c:pt>
                <c:pt idx="21">
                  <c:v>100.3192356367</c:v>
                </c:pt>
                <c:pt idx="22">
                  <c:v>101.74836116</c:v>
                </c:pt>
                <c:pt idx="23">
                  <c:v>101.0793899066995</c:v>
                </c:pt>
                <c:pt idx="24">
                  <c:v>103.02063072</c:v>
                </c:pt>
                <c:pt idx="25">
                  <c:v>103.2673367533</c:v>
                </c:pt>
                <c:pt idx="26">
                  <c:v>102.35031558</c:v>
                </c:pt>
                <c:pt idx="27">
                  <c:v>102.47694823669947</c:v>
                </c:pt>
                <c:pt idx="28">
                  <c:v>102.14060110669953</c:v>
                </c:pt>
                <c:pt idx="29">
                  <c:v>101.95882680669953</c:v>
                </c:pt>
                <c:pt idx="30">
                  <c:v>101.41662787999999</c:v>
                </c:pt>
              </c:numCache>
            </c:numRef>
          </c:val>
          <c:extLst xmlns:c16r2="http://schemas.microsoft.com/office/drawing/2015/06/chart">
            <c:ext xmlns:c16="http://schemas.microsoft.com/office/drawing/2014/chart" uri="{C3380CC4-5D6E-409C-BE32-E72D297353CC}">
              <c16:uniqueId val="{00000004-CD58-40B5-AD2A-E758B92E30B1}"/>
            </c:ext>
          </c:extLst>
        </c:ser>
        <c:ser>
          <c:idx val="5"/>
          <c:order val="5"/>
          <c:tx>
            <c:strRef>
              <c:f>'výkonnost odvětví 4'!$B$56</c:f>
              <c:strCache>
                <c:ptCount val="1"/>
                <c:pt idx="0">
                  <c:v>Profesní, vědecké a technické činnosti</c:v>
                </c:pt>
              </c:strCache>
            </c:strRef>
          </c:tx>
          <c:spPr>
            <a:ln w="19050">
              <a:solidFill>
                <a:srgbClr val="0071BC"/>
              </a:solidFill>
            </a:ln>
          </c:spPr>
          <c:marker>
            <c:symbol val="none"/>
          </c:marker>
          <c:cat>
            <c:multiLvlStrRef>
              <c:f>'výkonnost odvětví 4'!$C$49:$AG$50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4'!$C$56:$AG$56</c:f>
              <c:numCache>
                <c:formatCode>##0.0</c:formatCode>
                <c:ptCount val="31"/>
                <c:pt idx="0">
                  <c:v>111.10653365669967</c:v>
                </c:pt>
                <c:pt idx="1">
                  <c:v>112.22643161000001</c:v>
                </c:pt>
                <c:pt idx="2">
                  <c:v>101.51024174330027</c:v>
                </c:pt>
                <c:pt idx="3">
                  <c:v>104.61548807669938</c:v>
                </c:pt>
                <c:pt idx="4">
                  <c:v>108.44130821</c:v>
                </c:pt>
                <c:pt idx="5">
                  <c:v>106.09409359330027</c:v>
                </c:pt>
                <c:pt idx="6">
                  <c:v>104.37589122999964</c:v>
                </c:pt>
                <c:pt idx="7">
                  <c:v>103.80891251669938</c:v>
                </c:pt>
                <c:pt idx="8">
                  <c:v>102.18948138330001</c:v>
                </c:pt>
                <c:pt idx="9">
                  <c:v>98.359594990000005</c:v>
                </c:pt>
                <c:pt idx="10">
                  <c:v>95.430096759999998</c:v>
                </c:pt>
                <c:pt idx="11">
                  <c:v>98.422146103299539</c:v>
                </c:pt>
                <c:pt idx="12">
                  <c:v>95.353874159999535</c:v>
                </c:pt>
                <c:pt idx="13">
                  <c:v>97.392315776699547</c:v>
                </c:pt>
                <c:pt idx="14">
                  <c:v>97.656247929999978</c:v>
                </c:pt>
                <c:pt idx="15">
                  <c:v>97.377308759999536</c:v>
                </c:pt>
                <c:pt idx="16">
                  <c:v>99.736654799999997</c:v>
                </c:pt>
                <c:pt idx="17">
                  <c:v>101.29295796330022</c:v>
                </c:pt>
                <c:pt idx="18">
                  <c:v>100.2633669067</c:v>
                </c:pt>
                <c:pt idx="19">
                  <c:v>98.70702033329998</c:v>
                </c:pt>
                <c:pt idx="20">
                  <c:v>97.575635489999982</c:v>
                </c:pt>
                <c:pt idx="21">
                  <c:v>96.204544993300331</c:v>
                </c:pt>
                <c:pt idx="22">
                  <c:v>98.789855129999978</c:v>
                </c:pt>
                <c:pt idx="23">
                  <c:v>98.388707689999919</c:v>
                </c:pt>
                <c:pt idx="24">
                  <c:v>99.417916833299998</c:v>
                </c:pt>
                <c:pt idx="25">
                  <c:v>100.0629603133</c:v>
                </c:pt>
                <c:pt idx="26">
                  <c:v>100.66396656329998</c:v>
                </c:pt>
                <c:pt idx="27">
                  <c:v>100.70434208</c:v>
                </c:pt>
                <c:pt idx="28">
                  <c:v>101.7407313833</c:v>
                </c:pt>
                <c:pt idx="29">
                  <c:v>101.12359403000001</c:v>
                </c:pt>
                <c:pt idx="30">
                  <c:v>100.83531763329964</c:v>
                </c:pt>
              </c:numCache>
            </c:numRef>
          </c:val>
          <c:extLst xmlns:c16r2="http://schemas.microsoft.com/office/drawing/2015/06/chart">
            <c:ext xmlns:c16="http://schemas.microsoft.com/office/drawing/2014/chart" uri="{C3380CC4-5D6E-409C-BE32-E72D297353CC}">
              <c16:uniqueId val="{00000005-CD58-40B5-AD2A-E758B92E30B1}"/>
            </c:ext>
          </c:extLst>
        </c:ser>
        <c:ser>
          <c:idx val="6"/>
          <c:order val="6"/>
          <c:tx>
            <c:strRef>
              <c:f>'výkonnost odvětví 4'!$B$57</c:f>
              <c:strCache>
                <c:ptCount val="1"/>
                <c:pt idx="0">
                  <c:v>Administrativní a podpůrné činnosti</c:v>
                </c:pt>
              </c:strCache>
            </c:strRef>
          </c:tx>
          <c:spPr>
            <a:ln w="19050">
              <a:solidFill>
                <a:srgbClr val="808080"/>
              </a:solidFill>
            </a:ln>
          </c:spPr>
          <c:marker>
            <c:symbol val="none"/>
          </c:marker>
          <c:cat>
            <c:multiLvlStrRef>
              <c:f>'výkonnost odvětví 4'!$C$49:$AG$50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4'!$C$57:$AG$57</c:f>
              <c:numCache>
                <c:formatCode>##0.0</c:formatCode>
                <c:ptCount val="31"/>
                <c:pt idx="0">
                  <c:v>88.52385194</c:v>
                </c:pt>
                <c:pt idx="1">
                  <c:v>89.81933969329998</c:v>
                </c:pt>
                <c:pt idx="2">
                  <c:v>90.138377376699069</c:v>
                </c:pt>
                <c:pt idx="3">
                  <c:v>91.544595619999996</c:v>
                </c:pt>
                <c:pt idx="4">
                  <c:v>92.469594343300329</c:v>
                </c:pt>
                <c:pt idx="5">
                  <c:v>91.787595690000344</c:v>
                </c:pt>
                <c:pt idx="6">
                  <c:v>92.76685942330036</c:v>
                </c:pt>
                <c:pt idx="7">
                  <c:v>90.957217203300345</c:v>
                </c:pt>
                <c:pt idx="8">
                  <c:v>92.966546293299999</c:v>
                </c:pt>
                <c:pt idx="9">
                  <c:v>92.150237789999949</c:v>
                </c:pt>
                <c:pt idx="10">
                  <c:v>92.992247840000005</c:v>
                </c:pt>
                <c:pt idx="11">
                  <c:v>93.65769649329998</c:v>
                </c:pt>
                <c:pt idx="12">
                  <c:v>93.328295316699354</c:v>
                </c:pt>
                <c:pt idx="13">
                  <c:v>95.605061893299535</c:v>
                </c:pt>
                <c:pt idx="14">
                  <c:v>96.372225433300002</c:v>
                </c:pt>
                <c:pt idx="15">
                  <c:v>97.500607406699729</c:v>
                </c:pt>
                <c:pt idx="16">
                  <c:v>98.023334823299535</c:v>
                </c:pt>
                <c:pt idx="17">
                  <c:v>100.0150064533</c:v>
                </c:pt>
                <c:pt idx="18">
                  <c:v>100.51789901330002</c:v>
                </c:pt>
                <c:pt idx="19">
                  <c:v>101.44375970670002</c:v>
                </c:pt>
                <c:pt idx="20">
                  <c:v>101.16501263329967</c:v>
                </c:pt>
                <c:pt idx="21">
                  <c:v>101.90611103000002</c:v>
                </c:pt>
                <c:pt idx="22">
                  <c:v>104.25402626330039</c:v>
                </c:pt>
                <c:pt idx="23">
                  <c:v>106.88254410330001</c:v>
                </c:pt>
                <c:pt idx="24">
                  <c:v>109.36198511669947</c:v>
                </c:pt>
                <c:pt idx="25">
                  <c:v>110.50166766000046</c:v>
                </c:pt>
                <c:pt idx="26">
                  <c:v>110.86304917</c:v>
                </c:pt>
                <c:pt idx="27">
                  <c:v>110.81762986330054</c:v>
                </c:pt>
                <c:pt idx="28">
                  <c:v>112.36649746330002</c:v>
                </c:pt>
                <c:pt idx="29">
                  <c:v>113.6956220533</c:v>
                </c:pt>
                <c:pt idx="30">
                  <c:v>114.63272901000001</c:v>
                </c:pt>
              </c:numCache>
            </c:numRef>
          </c:val>
          <c:extLst xmlns:c16r2="http://schemas.microsoft.com/office/drawing/2015/06/chart">
            <c:ext xmlns:c16="http://schemas.microsoft.com/office/drawing/2014/chart" uri="{C3380CC4-5D6E-409C-BE32-E72D297353CC}">
              <c16:uniqueId val="{00000006-CD58-40B5-AD2A-E758B92E30B1}"/>
            </c:ext>
          </c:extLst>
        </c:ser>
        <c:marker val="1"/>
        <c:axId val="82266368"/>
        <c:axId val="82497920"/>
      </c:lineChart>
      <c:lineChart>
        <c:grouping val="standard"/>
        <c:ser>
          <c:idx val="7"/>
          <c:order val="7"/>
          <c:tx>
            <c:strRef>
              <c:f>'výkonnost odvětví 4'!$B$58</c:f>
              <c:strCache>
                <c:ptCount val="1"/>
                <c:pt idx="0">
                  <c:v>Saldo indik.důvěry ve vybr. službách (pr.osa)</c:v>
                </c:pt>
              </c:strCache>
            </c:strRef>
          </c:tx>
          <c:spPr>
            <a:ln>
              <a:noFill/>
            </a:ln>
          </c:spPr>
          <c:marker>
            <c:symbol val="diamond"/>
            <c:size val="5"/>
            <c:spPr>
              <a:solidFill>
                <a:srgbClr val="FFFF00"/>
              </a:solidFill>
              <a:ln>
                <a:solidFill>
                  <a:schemeClr val="tx1">
                    <a:lumMod val="95000"/>
                    <a:lumOff val="5000"/>
                  </a:schemeClr>
                </a:solidFill>
              </a:ln>
            </c:spPr>
          </c:marker>
          <c:cat>
            <c:multiLvlStrRef>
              <c:f>'výkonnost odvětví 4'!$C$49:$AG$50</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4'!$C$58:$AG$58</c:f>
              <c:numCache>
                <c:formatCode>0.0</c:formatCode>
                <c:ptCount val="31"/>
                <c:pt idx="0">
                  <c:v>26.766666666666666</c:v>
                </c:pt>
                <c:pt idx="1">
                  <c:v>28.566666666666666</c:v>
                </c:pt>
                <c:pt idx="2">
                  <c:v>26.766666666666666</c:v>
                </c:pt>
                <c:pt idx="3">
                  <c:v>23.2</c:v>
                </c:pt>
                <c:pt idx="4">
                  <c:v>26.333333333333211</c:v>
                </c:pt>
                <c:pt idx="5">
                  <c:v>25.666666666666668</c:v>
                </c:pt>
                <c:pt idx="6">
                  <c:v>23.866666666666664</c:v>
                </c:pt>
                <c:pt idx="7">
                  <c:v>23.3</c:v>
                </c:pt>
                <c:pt idx="8">
                  <c:v>23.666666666666668</c:v>
                </c:pt>
                <c:pt idx="9">
                  <c:v>22.233333333333189</c:v>
                </c:pt>
                <c:pt idx="10">
                  <c:v>22.366666666666664</c:v>
                </c:pt>
                <c:pt idx="11">
                  <c:v>26.333333333333211</c:v>
                </c:pt>
                <c:pt idx="12">
                  <c:v>26.900000000000002</c:v>
                </c:pt>
                <c:pt idx="13">
                  <c:v>26.666666666666668</c:v>
                </c:pt>
                <c:pt idx="14">
                  <c:v>29.233333333333189</c:v>
                </c:pt>
                <c:pt idx="15">
                  <c:v>31.666666666666668</c:v>
                </c:pt>
                <c:pt idx="16">
                  <c:v>29.466666666666669</c:v>
                </c:pt>
                <c:pt idx="17">
                  <c:v>29.133333333333237</c:v>
                </c:pt>
                <c:pt idx="18">
                  <c:v>30.633333333333237</c:v>
                </c:pt>
                <c:pt idx="19">
                  <c:v>32.466666666666342</c:v>
                </c:pt>
                <c:pt idx="20">
                  <c:v>33.566666666666386</c:v>
                </c:pt>
                <c:pt idx="21">
                  <c:v>32.43333333333333</c:v>
                </c:pt>
                <c:pt idx="22">
                  <c:v>33.666666666666409</c:v>
                </c:pt>
                <c:pt idx="23">
                  <c:v>36.700000000000003</c:v>
                </c:pt>
                <c:pt idx="24">
                  <c:v>35.300000000000004</c:v>
                </c:pt>
                <c:pt idx="25">
                  <c:v>37.366666666666326</c:v>
                </c:pt>
                <c:pt idx="26">
                  <c:v>37.533333333333331</c:v>
                </c:pt>
                <c:pt idx="27">
                  <c:v>35.9</c:v>
                </c:pt>
                <c:pt idx="28">
                  <c:v>37.20000000000001</c:v>
                </c:pt>
                <c:pt idx="29">
                  <c:v>37.566666666666386</c:v>
                </c:pt>
                <c:pt idx="30">
                  <c:v>38.1</c:v>
                </c:pt>
              </c:numCache>
            </c:numRef>
          </c:val>
          <c:extLst xmlns:c16r2="http://schemas.microsoft.com/office/drawing/2015/06/chart">
            <c:ext xmlns:c16="http://schemas.microsoft.com/office/drawing/2014/chart" uri="{C3380CC4-5D6E-409C-BE32-E72D297353CC}">
              <c16:uniqueId val="{00000007-CD58-40B5-AD2A-E758B92E30B1}"/>
            </c:ext>
          </c:extLst>
        </c:ser>
        <c:marker val="1"/>
        <c:axId val="82500992"/>
        <c:axId val="82499456"/>
      </c:lineChart>
      <c:catAx>
        <c:axId val="82266368"/>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82497920"/>
        <c:crossesAt val="100"/>
        <c:lblAlgn val="ctr"/>
        <c:lblOffset val="0"/>
        <c:tickLblSkip val="1"/>
        <c:tickMarkSkip val="4"/>
      </c:catAx>
      <c:valAx>
        <c:axId val="82497920"/>
        <c:scaling>
          <c:orientation val="minMax"/>
          <c:max val="120"/>
          <c:min val="80"/>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82266368"/>
        <c:crosses val="autoZero"/>
        <c:crossBetween val="between"/>
        <c:majorUnit val="5"/>
      </c:valAx>
      <c:valAx>
        <c:axId val="82499456"/>
        <c:scaling>
          <c:orientation val="minMax"/>
          <c:max val="40"/>
          <c:min val="0"/>
        </c:scaling>
        <c:axPos val="r"/>
        <c:numFmt formatCode="0" sourceLinked="0"/>
        <c:tickLblPos val="nextTo"/>
        <c:crossAx val="82500992"/>
        <c:crosses val="max"/>
        <c:crossBetween val="between"/>
      </c:valAx>
      <c:catAx>
        <c:axId val="82500992"/>
        <c:scaling>
          <c:orientation val="minMax"/>
        </c:scaling>
        <c:delete val="1"/>
        <c:axPos val="b"/>
        <c:numFmt formatCode="General" sourceLinked="1"/>
        <c:tickLblPos val="none"/>
        <c:crossAx val="82499456"/>
        <c:crosses val="autoZero"/>
        <c:auto val="1"/>
        <c:lblAlgn val="ctr"/>
        <c:lblOffset val="100"/>
      </c:catAx>
      <c:spPr>
        <a:solidFill>
          <a:srgbClr val="FFFFFF"/>
        </a:solidFill>
        <a:ln w="9525">
          <a:solidFill>
            <a:schemeClr val="tx1"/>
          </a:solidFill>
        </a:ln>
      </c:spPr>
    </c:plotArea>
    <c:legend>
      <c:legendPos val="b"/>
      <c:layout>
        <c:manualLayout>
          <c:xMode val="edge"/>
          <c:yMode val="edge"/>
          <c:x val="1.0671156909393756E-2"/>
          <c:y val="0.86232190601657976"/>
          <c:w val="0.97812867614926191"/>
          <c:h val="0.13393680940894773"/>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3337294494629933E-2"/>
          <c:y val="2.1873600091567656E-2"/>
          <c:w val="0.91372590696101663"/>
          <c:h val="0.72182682958253064"/>
        </c:manualLayout>
      </c:layout>
      <c:barChart>
        <c:barDir val="col"/>
        <c:grouping val="clustered"/>
        <c:ser>
          <c:idx val="0"/>
          <c:order val="0"/>
          <c:tx>
            <c:strRef>
              <c:f>'výkonnost odvětví 5'!$C$10</c:f>
              <c:strCache>
                <c:ptCount val="1"/>
                <c:pt idx="0">
                  <c:v>Maloobchod (bez motor. segmentu)</c:v>
                </c:pt>
              </c:strCache>
            </c:strRef>
          </c:tx>
          <c:spPr>
            <a:solidFill>
              <a:schemeClr val="bg1">
                <a:lumMod val="65000"/>
              </a:schemeClr>
            </a:solidFill>
            <a:ln w="12700">
              <a:noFill/>
              <a:prstDash val="solid"/>
            </a:ln>
          </c:spPr>
          <c:cat>
            <c:multiLvlStrRef>
              <c:f>'výkonnost odvětví 5'!$A$11:$B$41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5'!$C$11:$C$41</c:f>
              <c:numCache>
                <c:formatCode>0.0</c:formatCode>
                <c:ptCount val="31"/>
                <c:pt idx="0">
                  <c:v>1.8</c:v>
                </c:pt>
                <c:pt idx="1">
                  <c:v>0.9</c:v>
                </c:pt>
                <c:pt idx="2">
                  <c:v>-1.1000000000000001</c:v>
                </c:pt>
                <c:pt idx="3">
                  <c:v>0</c:v>
                </c:pt>
                <c:pt idx="4">
                  <c:v>-1</c:v>
                </c:pt>
                <c:pt idx="5">
                  <c:v>-1.1000000000000001</c:v>
                </c:pt>
                <c:pt idx="6">
                  <c:v>-0.30000000000000032</c:v>
                </c:pt>
                <c:pt idx="7">
                  <c:v>-1</c:v>
                </c:pt>
                <c:pt idx="8">
                  <c:v>0.4</c:v>
                </c:pt>
                <c:pt idx="9">
                  <c:v>-0.70000000000000062</c:v>
                </c:pt>
                <c:pt idx="10">
                  <c:v>-0.5</c:v>
                </c:pt>
                <c:pt idx="11">
                  <c:v>1.3</c:v>
                </c:pt>
                <c:pt idx="12">
                  <c:v>1.2</c:v>
                </c:pt>
                <c:pt idx="13">
                  <c:v>2.2999999999999998</c:v>
                </c:pt>
                <c:pt idx="14">
                  <c:v>2.6</c:v>
                </c:pt>
                <c:pt idx="15">
                  <c:v>4.9000000000000004</c:v>
                </c:pt>
                <c:pt idx="16">
                  <c:v>5.9</c:v>
                </c:pt>
                <c:pt idx="17">
                  <c:v>5.5</c:v>
                </c:pt>
                <c:pt idx="18">
                  <c:v>5.5</c:v>
                </c:pt>
                <c:pt idx="19">
                  <c:v>6</c:v>
                </c:pt>
                <c:pt idx="20">
                  <c:v>5.2</c:v>
                </c:pt>
                <c:pt idx="21">
                  <c:v>5.2</c:v>
                </c:pt>
                <c:pt idx="22">
                  <c:v>4.8</c:v>
                </c:pt>
                <c:pt idx="23">
                  <c:v>4.0999999999999996</c:v>
                </c:pt>
                <c:pt idx="24">
                  <c:v>5.4</c:v>
                </c:pt>
                <c:pt idx="25">
                  <c:v>6.3</c:v>
                </c:pt>
                <c:pt idx="26">
                  <c:v>6</c:v>
                </c:pt>
                <c:pt idx="27">
                  <c:v>6.1</c:v>
                </c:pt>
                <c:pt idx="28">
                  <c:v>6.3</c:v>
                </c:pt>
                <c:pt idx="29">
                  <c:v>4.5</c:v>
                </c:pt>
                <c:pt idx="30">
                  <c:v>3.7</c:v>
                </c:pt>
              </c:numCache>
            </c:numRef>
          </c:val>
        </c:ser>
        <c:gapWidth val="31"/>
        <c:axId val="82616320"/>
        <c:axId val="82618240"/>
      </c:barChart>
      <c:lineChart>
        <c:grouping val="standard"/>
        <c:ser>
          <c:idx val="1"/>
          <c:order val="1"/>
          <c:tx>
            <c:strRef>
              <c:f>'výkonnost odvětví 5'!$D$10</c:f>
              <c:strCache>
                <c:ptCount val="1"/>
                <c:pt idx="0">
                  <c:v>Maloobchod s potravinami celkem </c:v>
                </c:pt>
              </c:strCache>
            </c:strRef>
          </c:tx>
          <c:spPr>
            <a:ln w="19050">
              <a:solidFill>
                <a:srgbClr val="0071BC"/>
              </a:solidFill>
              <a:prstDash val="solid"/>
            </a:ln>
          </c:spPr>
          <c:marker>
            <c:symbol val="none"/>
          </c:marker>
          <c:cat>
            <c:multiLvlStrRef>
              <c:f>'výkonnost odvětví 5'!$A$11:$B$41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5'!$D$11:$D$41</c:f>
              <c:numCache>
                <c:formatCode>0.0</c:formatCode>
                <c:ptCount val="31"/>
                <c:pt idx="0">
                  <c:v>1</c:v>
                </c:pt>
                <c:pt idx="1">
                  <c:v>-0.70000000000000062</c:v>
                </c:pt>
                <c:pt idx="2">
                  <c:v>-2.2000000000000002</c:v>
                </c:pt>
                <c:pt idx="3">
                  <c:v>-2.6</c:v>
                </c:pt>
                <c:pt idx="4">
                  <c:v>-4.2</c:v>
                </c:pt>
                <c:pt idx="5">
                  <c:v>-2.6</c:v>
                </c:pt>
                <c:pt idx="6">
                  <c:v>-1.7</c:v>
                </c:pt>
                <c:pt idx="7">
                  <c:v>-2</c:v>
                </c:pt>
                <c:pt idx="8">
                  <c:v>-1</c:v>
                </c:pt>
                <c:pt idx="9">
                  <c:v>-2</c:v>
                </c:pt>
                <c:pt idx="10">
                  <c:v>-0.60000000000000064</c:v>
                </c:pt>
                <c:pt idx="11">
                  <c:v>-0.2</c:v>
                </c:pt>
                <c:pt idx="12">
                  <c:v>-0.70000000000000062</c:v>
                </c:pt>
                <c:pt idx="13">
                  <c:v>2.6</c:v>
                </c:pt>
                <c:pt idx="14">
                  <c:v>-0.2</c:v>
                </c:pt>
                <c:pt idx="15">
                  <c:v>2.8</c:v>
                </c:pt>
                <c:pt idx="16">
                  <c:v>4.5999999999999996</c:v>
                </c:pt>
                <c:pt idx="17">
                  <c:v>3</c:v>
                </c:pt>
                <c:pt idx="18">
                  <c:v>4.9000000000000004</c:v>
                </c:pt>
                <c:pt idx="19">
                  <c:v>4</c:v>
                </c:pt>
                <c:pt idx="20">
                  <c:v>4.7</c:v>
                </c:pt>
                <c:pt idx="21">
                  <c:v>3.8</c:v>
                </c:pt>
                <c:pt idx="22">
                  <c:v>2.6</c:v>
                </c:pt>
                <c:pt idx="23">
                  <c:v>-0.30000000000000032</c:v>
                </c:pt>
                <c:pt idx="24">
                  <c:v>1.9000000000000001</c:v>
                </c:pt>
                <c:pt idx="25">
                  <c:v>3.8</c:v>
                </c:pt>
                <c:pt idx="26">
                  <c:v>3.1</c:v>
                </c:pt>
                <c:pt idx="27">
                  <c:v>2.6</c:v>
                </c:pt>
                <c:pt idx="28">
                  <c:v>3.4</c:v>
                </c:pt>
                <c:pt idx="29">
                  <c:v>1</c:v>
                </c:pt>
                <c:pt idx="30">
                  <c:v>2.1</c:v>
                </c:pt>
              </c:numCache>
            </c:numRef>
          </c:val>
        </c:ser>
        <c:ser>
          <c:idx val="2"/>
          <c:order val="2"/>
          <c:tx>
            <c:strRef>
              <c:f>'výkonnost odvětví 5'!$E$10</c:f>
              <c:strCache>
                <c:ptCount val="1"/>
                <c:pt idx="0">
                  <c:v>Maloobchod s nepotravinářs. zbožím</c:v>
                </c:pt>
              </c:strCache>
            </c:strRef>
          </c:tx>
          <c:spPr>
            <a:ln w="19050">
              <a:solidFill>
                <a:srgbClr val="48AEE7"/>
              </a:solidFill>
              <a:prstDash val="solid"/>
            </a:ln>
          </c:spPr>
          <c:marker>
            <c:symbol val="none"/>
          </c:marker>
          <c:cat>
            <c:multiLvlStrRef>
              <c:f>'výkonnost odvětví 5'!$A$11:$B$41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5'!$E$11:$E$41</c:f>
              <c:numCache>
                <c:formatCode>0.0</c:formatCode>
                <c:ptCount val="31"/>
                <c:pt idx="0">
                  <c:v>4.5</c:v>
                </c:pt>
                <c:pt idx="1">
                  <c:v>3.2</c:v>
                </c:pt>
                <c:pt idx="2">
                  <c:v>0.4</c:v>
                </c:pt>
                <c:pt idx="3">
                  <c:v>2.5</c:v>
                </c:pt>
                <c:pt idx="4">
                  <c:v>1.4</c:v>
                </c:pt>
                <c:pt idx="5">
                  <c:v>0.8</c:v>
                </c:pt>
                <c:pt idx="6">
                  <c:v>1.3</c:v>
                </c:pt>
                <c:pt idx="7">
                  <c:v>0.1</c:v>
                </c:pt>
                <c:pt idx="8">
                  <c:v>1.6</c:v>
                </c:pt>
                <c:pt idx="9">
                  <c:v>0.8</c:v>
                </c:pt>
                <c:pt idx="10">
                  <c:v>0.8</c:v>
                </c:pt>
                <c:pt idx="11">
                  <c:v>3</c:v>
                </c:pt>
                <c:pt idx="12">
                  <c:v>2.8</c:v>
                </c:pt>
                <c:pt idx="13">
                  <c:v>2.2000000000000002</c:v>
                </c:pt>
                <c:pt idx="14">
                  <c:v>4.3</c:v>
                </c:pt>
                <c:pt idx="15">
                  <c:v>7.6</c:v>
                </c:pt>
                <c:pt idx="16">
                  <c:v>7.3</c:v>
                </c:pt>
                <c:pt idx="17">
                  <c:v>8.5</c:v>
                </c:pt>
                <c:pt idx="18">
                  <c:v>5.9</c:v>
                </c:pt>
                <c:pt idx="19">
                  <c:v>7.2</c:v>
                </c:pt>
                <c:pt idx="20">
                  <c:v>5.7</c:v>
                </c:pt>
                <c:pt idx="21">
                  <c:v>5.5</c:v>
                </c:pt>
                <c:pt idx="22">
                  <c:v>6.9</c:v>
                </c:pt>
                <c:pt idx="23">
                  <c:v>7</c:v>
                </c:pt>
                <c:pt idx="24">
                  <c:v>9.1</c:v>
                </c:pt>
                <c:pt idx="25">
                  <c:v>9</c:v>
                </c:pt>
                <c:pt idx="26">
                  <c:v>8.5</c:v>
                </c:pt>
                <c:pt idx="27">
                  <c:v>8.8000000000000007</c:v>
                </c:pt>
                <c:pt idx="28">
                  <c:v>8.6</c:v>
                </c:pt>
                <c:pt idx="29">
                  <c:v>7.3</c:v>
                </c:pt>
                <c:pt idx="30">
                  <c:v>5.9</c:v>
                </c:pt>
              </c:numCache>
            </c:numRef>
          </c:val>
        </c:ser>
        <c:ser>
          <c:idx val="3"/>
          <c:order val="3"/>
          <c:tx>
            <c:strRef>
              <c:f>'výkonnost odvětví 5'!$F$10</c:f>
              <c:strCache>
                <c:ptCount val="1"/>
                <c:pt idx="0">
                  <c:v>Maloobchodní prodej PHM</c:v>
                </c:pt>
              </c:strCache>
            </c:strRef>
          </c:tx>
          <c:spPr>
            <a:ln w="19050">
              <a:solidFill>
                <a:srgbClr val="BD1B21"/>
              </a:solidFill>
            </a:ln>
          </c:spPr>
          <c:marker>
            <c:symbol val="none"/>
          </c:marker>
          <c:cat>
            <c:multiLvlStrRef>
              <c:f>'výkonnost odvětví 5'!$A$11:$B$41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5'!$F$11:$F$41</c:f>
              <c:numCache>
                <c:formatCode>0.0</c:formatCode>
                <c:ptCount val="31"/>
                <c:pt idx="0">
                  <c:v>-4.5999999999999996</c:v>
                </c:pt>
                <c:pt idx="1">
                  <c:v>-3.9</c:v>
                </c:pt>
                <c:pt idx="2">
                  <c:v>-2.2000000000000002</c:v>
                </c:pt>
                <c:pt idx="3">
                  <c:v>-3</c:v>
                </c:pt>
                <c:pt idx="4">
                  <c:v>-2</c:v>
                </c:pt>
                <c:pt idx="5">
                  <c:v>-3.6</c:v>
                </c:pt>
                <c:pt idx="6">
                  <c:v>0.8</c:v>
                </c:pt>
                <c:pt idx="7">
                  <c:v>-2</c:v>
                </c:pt>
                <c:pt idx="8">
                  <c:v>0.5</c:v>
                </c:pt>
                <c:pt idx="9">
                  <c:v>-0.5</c:v>
                </c:pt>
                <c:pt idx="10">
                  <c:v>-5.3</c:v>
                </c:pt>
                <c:pt idx="11">
                  <c:v>-0.9</c:v>
                </c:pt>
                <c:pt idx="12">
                  <c:v>0.5</c:v>
                </c:pt>
                <c:pt idx="13">
                  <c:v>0.1</c:v>
                </c:pt>
                <c:pt idx="14">
                  <c:v>2.6</c:v>
                </c:pt>
                <c:pt idx="15">
                  <c:v>3.4</c:v>
                </c:pt>
                <c:pt idx="16">
                  <c:v>6.2</c:v>
                </c:pt>
                <c:pt idx="17">
                  <c:v>4.5</c:v>
                </c:pt>
                <c:pt idx="18">
                  <c:v>6.1</c:v>
                </c:pt>
                <c:pt idx="19">
                  <c:v>9</c:v>
                </c:pt>
                <c:pt idx="20">
                  <c:v>4.8</c:v>
                </c:pt>
                <c:pt idx="21">
                  <c:v>5.4</c:v>
                </c:pt>
                <c:pt idx="22">
                  <c:v>4.5999999999999996</c:v>
                </c:pt>
                <c:pt idx="23">
                  <c:v>5.2</c:v>
                </c:pt>
                <c:pt idx="24">
                  <c:v>4</c:v>
                </c:pt>
                <c:pt idx="25">
                  <c:v>5.9</c:v>
                </c:pt>
                <c:pt idx="26">
                  <c:v>6.2</c:v>
                </c:pt>
                <c:pt idx="27">
                  <c:v>6.3</c:v>
                </c:pt>
                <c:pt idx="28">
                  <c:v>5.8</c:v>
                </c:pt>
                <c:pt idx="29">
                  <c:v>4.7</c:v>
                </c:pt>
                <c:pt idx="30">
                  <c:v>3.1</c:v>
                </c:pt>
              </c:numCache>
            </c:numRef>
          </c:val>
        </c:ser>
        <c:ser>
          <c:idx val="4"/>
          <c:order val="4"/>
          <c:tx>
            <c:strRef>
              <c:f>'výkonnost odvětví 5'!$G$10</c:f>
              <c:strCache>
                <c:ptCount val="1"/>
                <c:pt idx="0">
                  <c:v>Obchod, opravy a údržba motorových voz.</c:v>
                </c:pt>
              </c:strCache>
            </c:strRef>
          </c:tx>
          <c:spPr>
            <a:ln w="19050">
              <a:noFill/>
            </a:ln>
          </c:spPr>
          <c:marker>
            <c:symbol val="circle"/>
            <c:size val="5"/>
            <c:spPr>
              <a:solidFill>
                <a:srgbClr val="FFFF00"/>
              </a:solidFill>
              <a:ln>
                <a:solidFill>
                  <a:schemeClr val="tx1">
                    <a:lumMod val="95000"/>
                    <a:lumOff val="5000"/>
                  </a:schemeClr>
                </a:solidFill>
              </a:ln>
            </c:spPr>
          </c:marker>
          <c:cat>
            <c:multiLvlStrRef>
              <c:f>'výkonnost odvětví 5'!$A$11:$B$41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5'!$G$11:$G$41</c:f>
              <c:numCache>
                <c:formatCode>0.0</c:formatCode>
                <c:ptCount val="31"/>
                <c:pt idx="0">
                  <c:v>12.4</c:v>
                </c:pt>
                <c:pt idx="1">
                  <c:v>1.6</c:v>
                </c:pt>
                <c:pt idx="2">
                  <c:v>4.0999999999999996</c:v>
                </c:pt>
                <c:pt idx="3">
                  <c:v>4.7</c:v>
                </c:pt>
                <c:pt idx="4">
                  <c:v>2.7</c:v>
                </c:pt>
                <c:pt idx="5">
                  <c:v>-0.9</c:v>
                </c:pt>
                <c:pt idx="6">
                  <c:v>-1</c:v>
                </c:pt>
                <c:pt idx="7">
                  <c:v>-5.3</c:v>
                </c:pt>
                <c:pt idx="8">
                  <c:v>-6.1</c:v>
                </c:pt>
                <c:pt idx="9">
                  <c:v>4.0999999999999996</c:v>
                </c:pt>
                <c:pt idx="10">
                  <c:v>5.5</c:v>
                </c:pt>
                <c:pt idx="11">
                  <c:v>12.8</c:v>
                </c:pt>
                <c:pt idx="12">
                  <c:v>14.9</c:v>
                </c:pt>
                <c:pt idx="13">
                  <c:v>7</c:v>
                </c:pt>
                <c:pt idx="14">
                  <c:v>12.9</c:v>
                </c:pt>
                <c:pt idx="15">
                  <c:v>12.6</c:v>
                </c:pt>
                <c:pt idx="16">
                  <c:v>11.6</c:v>
                </c:pt>
                <c:pt idx="17">
                  <c:v>14.1</c:v>
                </c:pt>
                <c:pt idx="18">
                  <c:v>10.9</c:v>
                </c:pt>
                <c:pt idx="19">
                  <c:v>12.2</c:v>
                </c:pt>
                <c:pt idx="20">
                  <c:v>10</c:v>
                </c:pt>
                <c:pt idx="21">
                  <c:v>9.2000000000000011</c:v>
                </c:pt>
                <c:pt idx="22">
                  <c:v>6.7</c:v>
                </c:pt>
                <c:pt idx="23">
                  <c:v>4.8</c:v>
                </c:pt>
                <c:pt idx="24">
                  <c:v>6.2</c:v>
                </c:pt>
                <c:pt idx="25">
                  <c:v>4.4000000000000004</c:v>
                </c:pt>
                <c:pt idx="26">
                  <c:v>-0.1</c:v>
                </c:pt>
                <c:pt idx="27">
                  <c:v>1.5</c:v>
                </c:pt>
                <c:pt idx="28">
                  <c:v>-1.2</c:v>
                </c:pt>
                <c:pt idx="29">
                  <c:v>-0.9</c:v>
                </c:pt>
                <c:pt idx="30">
                  <c:v>-0.8</c:v>
                </c:pt>
              </c:numCache>
            </c:numRef>
          </c:val>
        </c:ser>
        <c:marker val="1"/>
        <c:axId val="82616320"/>
        <c:axId val="82618240"/>
      </c:lineChart>
      <c:lineChart>
        <c:grouping val="standard"/>
        <c:ser>
          <c:idx val="6"/>
          <c:order val="5"/>
          <c:tx>
            <c:strRef>
              <c:f>'výkonnost odvětví 5'!$H$10</c:f>
              <c:strCache>
                <c:ptCount val="1"/>
                <c:pt idx="0">
                  <c:v>Saldo souhr.indik.důvěry spotřebitelů</c:v>
                </c:pt>
              </c:strCache>
            </c:strRef>
          </c:tx>
          <c:spPr>
            <a:ln w="19050">
              <a:noFill/>
            </a:ln>
          </c:spPr>
          <c:marker>
            <c:symbol val="dash"/>
            <c:size val="9"/>
            <c:spPr>
              <a:solidFill>
                <a:srgbClr val="984807"/>
              </a:solidFill>
              <a:ln>
                <a:noFill/>
              </a:ln>
            </c:spPr>
          </c:marker>
          <c:cat>
            <c:multiLvlStrRef>
              <c:f>'výkonnost odvětví 5'!$A$11:$B$41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2011</c:v>
                  </c:pt>
                  <c:pt idx="4">
                    <c:v>2012</c:v>
                  </c:pt>
                  <c:pt idx="8">
                    <c:v>2013</c:v>
                  </c:pt>
                  <c:pt idx="12">
                    <c:v>2014</c:v>
                  </c:pt>
                  <c:pt idx="16">
                    <c:v>2015</c:v>
                  </c:pt>
                  <c:pt idx="20">
                    <c:v>2016</c:v>
                  </c:pt>
                  <c:pt idx="24">
                    <c:v>2017</c:v>
                  </c:pt>
                  <c:pt idx="28">
                    <c:v>2018</c:v>
                  </c:pt>
                </c:lvl>
              </c:multiLvlStrCache>
            </c:multiLvlStrRef>
          </c:cat>
          <c:val>
            <c:numRef>
              <c:f>'výkonnost odvětví 5'!$H$11:$H$41</c:f>
              <c:numCache>
                <c:formatCode>0.0</c:formatCode>
                <c:ptCount val="31"/>
                <c:pt idx="0">
                  <c:v>-13.433333333333332</c:v>
                </c:pt>
                <c:pt idx="1">
                  <c:v>-20.099999999999987</c:v>
                </c:pt>
                <c:pt idx="2">
                  <c:v>-22.433333333333195</c:v>
                </c:pt>
                <c:pt idx="3">
                  <c:v>-26.7</c:v>
                </c:pt>
                <c:pt idx="4">
                  <c:v>-26.766666666666666</c:v>
                </c:pt>
                <c:pt idx="5">
                  <c:v>-29.866666666666664</c:v>
                </c:pt>
                <c:pt idx="6">
                  <c:v>-28.466666666666669</c:v>
                </c:pt>
                <c:pt idx="7">
                  <c:v>-26.433333333333195</c:v>
                </c:pt>
                <c:pt idx="8">
                  <c:v>-23.633333333333251</c:v>
                </c:pt>
                <c:pt idx="9">
                  <c:v>-20.866666666666667</c:v>
                </c:pt>
                <c:pt idx="10">
                  <c:v>-17.266666666666666</c:v>
                </c:pt>
                <c:pt idx="11">
                  <c:v>-10.766666666666676</c:v>
                </c:pt>
                <c:pt idx="12">
                  <c:v>-6.6000000000000005</c:v>
                </c:pt>
                <c:pt idx="13">
                  <c:v>-3.5333333333333332</c:v>
                </c:pt>
                <c:pt idx="14">
                  <c:v>-4.1333333333333488</c:v>
                </c:pt>
                <c:pt idx="15">
                  <c:v>0.69999999999999984</c:v>
                </c:pt>
                <c:pt idx="16">
                  <c:v>3.6333333333333342</c:v>
                </c:pt>
                <c:pt idx="17">
                  <c:v>1.7666666666666666</c:v>
                </c:pt>
                <c:pt idx="18">
                  <c:v>1.2</c:v>
                </c:pt>
                <c:pt idx="19">
                  <c:v>3.5</c:v>
                </c:pt>
                <c:pt idx="20">
                  <c:v>4.6000000000000005</c:v>
                </c:pt>
                <c:pt idx="21">
                  <c:v>1.8333333333333333</c:v>
                </c:pt>
                <c:pt idx="22">
                  <c:v>2</c:v>
                </c:pt>
                <c:pt idx="23">
                  <c:v>6.1000000000000005</c:v>
                </c:pt>
                <c:pt idx="24">
                  <c:v>6.5333333333333536</c:v>
                </c:pt>
                <c:pt idx="25">
                  <c:v>5.2666666666666684</c:v>
                </c:pt>
                <c:pt idx="26">
                  <c:v>5.2</c:v>
                </c:pt>
                <c:pt idx="27">
                  <c:v>7.2</c:v>
                </c:pt>
                <c:pt idx="28">
                  <c:v>9.8666666666667115</c:v>
                </c:pt>
                <c:pt idx="29">
                  <c:v>10.6</c:v>
                </c:pt>
                <c:pt idx="30">
                  <c:v>8.5333333333333332</c:v>
                </c:pt>
              </c:numCache>
            </c:numRef>
          </c:val>
        </c:ser>
        <c:marker val="1"/>
        <c:axId val="82633856"/>
        <c:axId val="82619776"/>
      </c:lineChart>
      <c:catAx>
        <c:axId val="82616320"/>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82618240"/>
        <c:crosses val="autoZero"/>
        <c:lblAlgn val="ctr"/>
        <c:lblOffset val="0"/>
        <c:tickLblSkip val="1"/>
        <c:tickMarkSkip val="4"/>
      </c:catAx>
      <c:valAx>
        <c:axId val="82618240"/>
        <c:scaling>
          <c:orientation val="minMax"/>
          <c:max val="15"/>
          <c:min val="-15"/>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82616320"/>
        <c:crosses val="autoZero"/>
        <c:crossBetween val="between"/>
        <c:majorUnit val="5"/>
      </c:valAx>
      <c:valAx>
        <c:axId val="82619776"/>
        <c:scaling>
          <c:orientation val="minMax"/>
          <c:max val="30"/>
          <c:min val="-30"/>
        </c:scaling>
        <c:axPos val="r"/>
        <c:numFmt formatCode="0" sourceLinked="0"/>
        <c:tickLblPos val="nextTo"/>
        <c:spPr>
          <a:ln w="9525">
            <a:solidFill>
              <a:schemeClr val="tx1"/>
            </a:solidFill>
          </a:ln>
        </c:spPr>
        <c:crossAx val="82633856"/>
        <c:crosses val="max"/>
        <c:crossBetween val="between"/>
      </c:valAx>
      <c:catAx>
        <c:axId val="82633856"/>
        <c:scaling>
          <c:orientation val="minMax"/>
        </c:scaling>
        <c:delete val="1"/>
        <c:axPos val="b"/>
        <c:numFmt formatCode="General" sourceLinked="1"/>
        <c:tickLblPos val="none"/>
        <c:crossAx val="82619776"/>
        <c:crosses val="autoZero"/>
        <c:auto val="1"/>
        <c:lblAlgn val="ctr"/>
        <c:lblOffset val="100"/>
      </c:catAx>
      <c:spPr>
        <a:solidFill>
          <a:srgbClr val="FFFFFF"/>
        </a:solidFill>
        <a:ln w="9525">
          <a:solidFill>
            <a:schemeClr val="tx1"/>
          </a:solidFill>
        </a:ln>
      </c:spPr>
    </c:plotArea>
    <c:legend>
      <c:legendPos val="b"/>
      <c:layout>
        <c:manualLayout>
          <c:xMode val="edge"/>
          <c:yMode val="edge"/>
          <c:x val="2.1017674121208772E-2"/>
          <c:y val="0.84801642578021685"/>
          <c:w val="0.95271683206702473"/>
          <c:h val="0.13389587922459187"/>
        </c:manualLayout>
      </c:layout>
      <c:spPr>
        <a:noFill/>
        <a:ln w="6350">
          <a:solidFill>
            <a:schemeClr val="tx1"/>
          </a:solidFill>
        </a:ln>
      </c:spPr>
    </c:legend>
    <c:plotVisOnly val="1"/>
    <c:dispBlanksAs val="gap"/>
  </c:chart>
  <c:spPr>
    <a:solidFill>
      <a:schemeClr val="bg1"/>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drawings/drawing1.xml><?xml version="1.0" encoding="utf-8"?>
<c:userShapes xmlns:c="http://schemas.openxmlformats.org/drawingml/2006/chart">
  <cdr:relSizeAnchor xmlns:cdr="http://schemas.openxmlformats.org/drawingml/2006/chartDrawing">
    <cdr:from>
      <cdr:x>0.51265</cdr:x>
      <cdr:y>0.01715</cdr:y>
    </cdr:from>
    <cdr:to>
      <cdr:x>0.56078</cdr:x>
      <cdr:y>0.05473</cdr:y>
    </cdr:to>
    <cdr:sp macro="" textlink="">
      <cdr:nvSpPr>
        <cdr:cNvPr id="2" name="Přímá spojovací šipka 1"/>
        <cdr:cNvSpPr/>
      </cdr:nvSpPr>
      <cdr:spPr>
        <a:xfrm xmlns:a="http://schemas.openxmlformats.org/drawingml/2006/main" flipH="1" flipV="1">
          <a:off x="2427979" y="60781"/>
          <a:ext cx="227950" cy="133199"/>
        </a:xfrm>
        <a:prstGeom xmlns:a="http://schemas.openxmlformats.org/drawingml/2006/main" prst="straightConnector1">
          <a:avLst/>
        </a:prstGeom>
        <a:noFill xmlns:a="http://schemas.openxmlformats.org/drawingml/2006/main"/>
        <a:ln xmlns:a="http://schemas.openxmlformats.org/drawingml/2006/main" w="6350" cap="flat" cmpd="sng" algn="ctr">
          <a:solidFill>
            <a:srgbClr val="7DBB2D"/>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cs-CZ"/>
        </a:p>
      </cdr:txBody>
    </cdr:sp>
  </cdr:relSizeAnchor>
  <cdr:relSizeAnchor xmlns:cdr="http://schemas.openxmlformats.org/drawingml/2006/chartDrawing">
    <cdr:from>
      <cdr:x>0.56997</cdr:x>
      <cdr:y>0.03698</cdr:y>
    </cdr:from>
    <cdr:to>
      <cdr:x>0.6249</cdr:x>
      <cdr:y>0.07772</cdr:y>
    </cdr:to>
    <cdr:sp macro="" textlink="">
      <cdr:nvSpPr>
        <cdr:cNvPr id="3" name="TextovéPole 2"/>
        <cdr:cNvSpPr txBox="1"/>
      </cdr:nvSpPr>
      <cdr:spPr>
        <a:xfrm xmlns:a="http://schemas.openxmlformats.org/drawingml/2006/main">
          <a:off x="2699472" y="131068"/>
          <a:ext cx="260156" cy="144399"/>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a:solidFill>
                <a:srgbClr val="7DBB2D"/>
              </a:solidFill>
              <a:latin typeface="Arial" pitchFamily="34" charset="0"/>
              <a:cs typeface="Arial" pitchFamily="34" charset="0"/>
            </a:rPr>
            <a:t>67,5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334FF-DB37-4B37-BCCE-70E8333D7255}">
  <ds:schemaRefs>
    <ds:schemaRef ds:uri="http://schemas.openxmlformats.org/officeDocument/2006/bibliography"/>
  </ds:schemaRefs>
</ds:datastoreItem>
</file>

<file path=customXml/itemProps2.xml><?xml version="1.0" encoding="utf-8"?>
<ds:datastoreItem xmlns:ds="http://schemas.openxmlformats.org/officeDocument/2006/customXml" ds:itemID="{2C5F56CB-41B8-4B7B-8C38-2B6A4CA2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0</TotalTime>
  <Pages>31</Pages>
  <Words>10643</Words>
  <Characters>62800</Characters>
  <Application>Microsoft Office Word</Application>
  <DocSecurity>0</DocSecurity>
  <Lines>523</Lines>
  <Paragraphs>146</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73297</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Súkupová</cp:lastModifiedBy>
  <cp:revision>2</cp:revision>
  <cp:lastPrinted>2018-12-19T13:53:00Z</cp:lastPrinted>
  <dcterms:created xsi:type="dcterms:W3CDTF">2018-12-20T11:15:00Z</dcterms:created>
  <dcterms:modified xsi:type="dcterms:W3CDTF">2018-12-20T11:15:00Z</dcterms:modified>
</cp:coreProperties>
</file>