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28" w:rsidRPr="009110F7" w:rsidRDefault="00C62828" w:rsidP="00C62828">
      <w:pPr>
        <w:pStyle w:val="Nadpis11"/>
      </w:pPr>
      <w:bookmarkStart w:id="0" w:name="_Toc532558282"/>
      <w:r w:rsidRPr="009110F7">
        <w:t>2. Souhrnná výkonnost</w:t>
      </w:r>
      <w:bookmarkEnd w:id="0"/>
    </w:p>
    <w:tbl>
      <w:tblPr>
        <w:tblW w:w="9639" w:type="dxa"/>
        <w:tblInd w:w="-15" w:type="dxa"/>
        <w:tblCellMar>
          <w:left w:w="0" w:type="dxa"/>
          <w:right w:w="0" w:type="dxa"/>
        </w:tblCellMar>
        <w:tblLook w:val="00A0"/>
      </w:tblPr>
      <w:tblGrid>
        <w:gridCol w:w="1888"/>
        <w:gridCol w:w="250"/>
        <w:gridCol w:w="7501"/>
      </w:tblGrid>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Domácí poptávka byla nadále klíčová pro pokračující hospodářský růst.</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B83E07" w:rsidRDefault="009A24F1" w:rsidP="009A24F1">
            <w:pPr>
              <w:spacing w:after="220"/>
              <w:rPr>
                <w:spacing w:val="-2"/>
              </w:rPr>
            </w:pPr>
            <w:r w:rsidRPr="00422B23">
              <w:rPr>
                <w:spacing w:val="-2"/>
              </w:rPr>
              <w:t xml:space="preserve">Ve 3. čtvrtletí 2018 </w:t>
            </w:r>
            <w:r>
              <w:rPr>
                <w:spacing w:val="-2"/>
              </w:rPr>
              <w:t>př</w:t>
            </w:r>
            <w:r w:rsidRPr="00422B23">
              <w:rPr>
                <w:spacing w:val="-2"/>
              </w:rPr>
              <w:t>etrvalo oslabení meziročního růstu hrubého domácího produktu (HDP)</w:t>
            </w:r>
            <w:r>
              <w:rPr>
                <w:spacing w:val="-2"/>
              </w:rPr>
              <w:t xml:space="preserve"> české ekonomiky</w:t>
            </w:r>
            <w:r w:rsidRPr="00422B23">
              <w:rPr>
                <w:spacing w:val="-2"/>
              </w:rPr>
              <w:t>. Ten vzrostl oproti stejnému období minulého roku o</w:t>
            </w:r>
            <w:r>
              <w:rPr>
                <w:spacing w:val="-2"/>
              </w:rPr>
              <w:t> </w:t>
            </w:r>
            <w:r w:rsidRPr="00422B23">
              <w:rPr>
                <w:spacing w:val="-2"/>
              </w:rPr>
              <w:t>2,4</w:t>
            </w:r>
            <w:r>
              <w:rPr>
                <w:spacing w:val="-2"/>
              </w:rPr>
              <w:t> </w:t>
            </w:r>
            <w:r w:rsidRPr="00422B23">
              <w:rPr>
                <w:spacing w:val="-2"/>
              </w:rPr>
              <w:t>%</w:t>
            </w:r>
            <w:r w:rsidRPr="00B83E07">
              <w:rPr>
                <w:rStyle w:val="Znakapoznpodarou"/>
                <w:rFonts w:cs="Arial"/>
                <w:spacing w:val="-2"/>
              </w:rPr>
              <w:footnoteReference w:id="1"/>
            </w:r>
            <w:r w:rsidRPr="00422B23">
              <w:rPr>
                <w:spacing w:val="-2"/>
              </w:rPr>
              <w:t xml:space="preserve">, tedy stejně jako v předchozím kvartálu. Dominantně k růstu přispívala domácí poptávka. Růst nadále z většiny podporovaly výdaje na konečnou spotřebu. Výrazně se zvyšovala i investiční aktivita. Oslabil však příspěvek bilance zahraničního obchodu, zčásti i kvůli tomu, že domácí poptávku pokrýval ve zvýšené míře dovoz. Mezičtvrtletní přírůstek HDP ve 3. kvartálu dosáhl 0,6 %. V blízkosti této úrovně se </w:t>
            </w:r>
            <w:proofErr w:type="spellStart"/>
            <w:r w:rsidRPr="00422B23">
              <w:rPr>
                <w:spacing w:val="-2"/>
              </w:rPr>
              <w:t>mezi</w:t>
            </w:r>
            <w:r>
              <w:rPr>
                <w:spacing w:val="-2"/>
              </w:rPr>
              <w:t>kvartální</w:t>
            </w:r>
            <w:proofErr w:type="spellEnd"/>
            <w:r w:rsidRPr="00422B23">
              <w:rPr>
                <w:spacing w:val="-2"/>
              </w:rPr>
              <w:t xml:space="preserve"> růst udržuje již pět čtvrtletí. Pozorované zpomalení meziročního růstu tak </w:t>
            </w:r>
            <w:r>
              <w:rPr>
                <w:spacing w:val="-2"/>
              </w:rPr>
              <w:t>lze</w:t>
            </w:r>
            <w:r w:rsidRPr="00422B23">
              <w:rPr>
                <w:spacing w:val="-2"/>
              </w:rPr>
              <w:t xml:space="preserve"> vysvětlit zejména vysokou srovnávací základnou minulého roku. Hrubá přidaná hodnota (HPH) se meziročně zvýšila o 2,4 %. Výrazně k tomu přispíval příznivý vývoj ve stavebnictví i domácí poptávkou stimulovaných službách. Mezičtvrtletně se HPH zvýšila o 0,6 %.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rPr>
            </w:pPr>
            <w:r w:rsidRPr="0041745D">
              <w:rPr>
                <w:rFonts w:cs="Arial"/>
                <w:b/>
                <w:bCs/>
                <w:color w:val="000000"/>
                <w:sz w:val="18"/>
                <w:szCs w:val="18"/>
              </w:rPr>
              <w:t xml:space="preserve">Graf </w:t>
            </w:r>
            <w:proofErr w:type="gramStart"/>
            <w:r w:rsidRPr="0041745D">
              <w:rPr>
                <w:rFonts w:cs="Arial"/>
                <w:b/>
                <w:bCs/>
                <w:color w:val="000000"/>
                <w:sz w:val="18"/>
                <w:szCs w:val="18"/>
              </w:rPr>
              <w:t xml:space="preserve">č. </w:t>
            </w:r>
            <w:r w:rsidRPr="00663018">
              <w:rPr>
                <w:rFonts w:cs="Arial"/>
                <w:b/>
                <w:bCs/>
                <w:color w:val="000000"/>
                <w:sz w:val="18"/>
                <w:szCs w:val="18"/>
              </w:rPr>
              <w:t xml:space="preserve">1  </w:t>
            </w:r>
            <w:r w:rsidRPr="00663018">
              <w:rPr>
                <w:rFonts w:cs="Arial"/>
                <w:b/>
                <w:sz w:val="18"/>
                <w:szCs w:val="18"/>
                <w:lang w:eastAsia="en-US"/>
              </w:rPr>
              <w:t>HDP</w:t>
            </w:r>
            <w:proofErr w:type="gramEnd"/>
            <w:r w:rsidRPr="00663018">
              <w:rPr>
                <w:rFonts w:cs="Arial"/>
                <w:b/>
                <w:sz w:val="18"/>
                <w:szCs w:val="18"/>
                <w:lang w:eastAsia="en-US"/>
              </w:rPr>
              <w:t xml:space="preserve"> (objemové indexy, očištěno o sezónní a kalendářní vlivy,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8B3A11">
              <w:rPr>
                <w:noProof/>
              </w:rPr>
              <w:drawing>
                <wp:inline distT="0" distB="0" distL="0" distR="0">
                  <wp:extent cx="4737600" cy="3553200"/>
                  <wp:effectExtent l="19050" t="0" r="0" b="0"/>
                  <wp:docPr id="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B83E07">
            <w:pPr>
              <w:spacing w:after="220"/>
              <w:rPr>
                <w:sz w:val="14"/>
                <w:szCs w:val="14"/>
              </w:rPr>
            </w:pPr>
            <w:r>
              <w:rPr>
                <w:sz w:val="14"/>
                <w:szCs w:val="14"/>
              </w:rPr>
              <w:t xml:space="preserve">Zdroj: ČSÚ, </w:t>
            </w:r>
            <w:proofErr w:type="spellStart"/>
            <w:r>
              <w:rPr>
                <w:sz w:val="14"/>
                <w:szCs w:val="14"/>
              </w:rPr>
              <w:t>Eurostat</w:t>
            </w:r>
            <w:proofErr w:type="spellEnd"/>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 xml:space="preserve">Ke zpomalení růstu došlo i v EU. </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pPr>
              <w:spacing w:after="0"/>
            </w:pPr>
            <w:r>
              <w:t>Meziroční tempo růstu HDP v Evropské unii od počátku roku zpomaluje, což má vliv i na výkon české ekonomiky, která je významně závislá na zahraničním obchodu. Hrubý domácí produkt v EU ve 3. čtvrtletí meziročně vzrostl o 1,9 %</w:t>
            </w:r>
            <w:r w:rsidRPr="009110F7">
              <w:rPr>
                <w:rStyle w:val="Znakapoznpodarou"/>
                <w:spacing w:val="-2"/>
              </w:rPr>
              <w:footnoteReference w:id="2"/>
            </w:r>
            <w:r>
              <w:t>. Mezičtvrtletní přírůstek rovněž zmírnil (na 0,3 %). Na rozdíl od předchozích čtvrtletí HDP několika zemí mezičtvrtletně poklesl, což naznačuje, že vrchol růstu již byl překonán. Celkové tempo výrazně ovlivnilo zpomalení meziročního růstu v Německu (1,2 %), kde rovněž došlo k mezičtvrtletnímu poklesu o 0,2 %. Nejrychleji</w:t>
            </w:r>
            <w:r>
              <w:rPr>
                <w:rStyle w:val="Znakapoznpodarou"/>
              </w:rPr>
              <w:footnoteReference w:id="3"/>
            </w:r>
            <w:r>
              <w:t xml:space="preserve"> rostl HDP na Maltě (7,9 %), v Polsku (5,7 %) a v Lotyšsku (5,3 %). Nejnižší a zpomalující meziroční dynamiku měl HDP v Itálii (0,7 %), dále v již zmíněném Německu a ve Francii (1,4 %).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sz w:val="18"/>
                <w:szCs w:val="18"/>
              </w:rPr>
            </w:pPr>
            <w:r w:rsidRPr="0041745D">
              <w:rPr>
                <w:b/>
                <w:spacing w:val="-4"/>
                <w:sz w:val="18"/>
                <w:szCs w:val="18"/>
                <w:lang w:eastAsia="en-US"/>
              </w:rPr>
              <w:t xml:space="preserve">Graf </w:t>
            </w:r>
            <w:proofErr w:type="gramStart"/>
            <w:r w:rsidRPr="0041745D">
              <w:rPr>
                <w:b/>
                <w:spacing w:val="-4"/>
                <w:sz w:val="18"/>
                <w:szCs w:val="18"/>
                <w:lang w:eastAsia="en-US"/>
              </w:rPr>
              <w:t xml:space="preserve">č. 2  </w:t>
            </w:r>
            <w:r w:rsidRPr="00663018">
              <w:rPr>
                <w:rFonts w:cs="Arial"/>
                <w:b/>
                <w:sz w:val="18"/>
                <w:szCs w:val="18"/>
                <w:lang w:eastAsia="en-US"/>
              </w:rPr>
              <w:t>HDP</w:t>
            </w:r>
            <w:proofErr w:type="gramEnd"/>
            <w:r w:rsidRPr="00663018">
              <w:rPr>
                <w:rFonts w:cs="Arial"/>
                <w:b/>
                <w:sz w:val="18"/>
                <w:szCs w:val="18"/>
                <w:lang w:eastAsia="en-US"/>
              </w:rPr>
              <w:t xml:space="preserve"> (objemové indexy, očištěno o sezónní a kalendářní vlivy, meziročně v %, pravá osa) a indikátory důvěry (2005</w:t>
            </w:r>
            <w:r>
              <w:rPr>
                <w:rFonts w:cs="Arial"/>
                <w:b/>
                <w:sz w:val="18"/>
                <w:szCs w:val="18"/>
                <w:lang w:eastAsia="en-US"/>
              </w:rPr>
              <w:t xml:space="preserve"> </w:t>
            </w:r>
            <w:r w:rsidRPr="00663018">
              <w:rPr>
                <w:rFonts w:cs="Arial"/>
                <w:b/>
                <w:sz w:val="18"/>
                <w:szCs w:val="18"/>
                <w:lang w:eastAsia="en-US"/>
              </w:rPr>
              <w:t>=</w:t>
            </w:r>
            <w:r>
              <w:rPr>
                <w:rFonts w:cs="Arial"/>
                <w:b/>
                <w:sz w:val="18"/>
                <w:szCs w:val="18"/>
                <w:lang w:eastAsia="en-US"/>
              </w:rPr>
              <w:t xml:space="preserve"> </w:t>
            </w:r>
            <w:r w:rsidRPr="00663018">
              <w:rPr>
                <w:rFonts w:cs="Arial"/>
                <w:b/>
                <w:sz w:val="18"/>
                <w:szCs w:val="18"/>
                <w:lang w:eastAsia="en-US"/>
              </w:rPr>
              <w:t>100, levá osa)</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797ED7">
              <w:rPr>
                <w:noProof/>
              </w:rPr>
              <w:drawing>
                <wp:inline distT="0" distB="0" distL="0" distR="0">
                  <wp:extent cx="4737600" cy="3553200"/>
                  <wp:effectExtent l="0" t="0" r="0" b="0"/>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rPr>
                <w:sz w:val="14"/>
                <w:szCs w:val="14"/>
              </w:rPr>
            </w:pPr>
            <w:r>
              <w:rPr>
                <w:sz w:val="14"/>
                <w:szCs w:val="14"/>
              </w:rPr>
              <w:t>Zdroj: ČSÚ</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Domácnosti nadále zvyšovaly své výdaje na spotřebu. Jejich dynamiku však překonala spotřeba vládního sektoru.</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rsidRPr="00422B23">
              <w:t>Výdaje na konečnou spotřebu ve 3. čtvrtletí meziročně vzrostly o 3,8 %. Domácnosti si udržely poměrně silné tempo růstu výdajů (3,1 %) a k celkovému růstu HDP přispěly 1,0 p. b.</w:t>
            </w:r>
            <w:r w:rsidRPr="009110F7">
              <w:rPr>
                <w:rStyle w:val="Znakapoznpodarou"/>
              </w:rPr>
              <w:footnoteReference w:id="4"/>
            </w:r>
            <w:r w:rsidRPr="00422B23">
              <w:t xml:space="preserve"> Meziroční dynamiku výrazně ovlivnily i výdaje vládního sektoru, které se zvýšily o 5,3 % (nejvíce od 1. čtvrtletí 2003). Příspěvek k růstu dosáhl rovněž 1,0 p. b. Zejména díky skokovému nárůstu vládních spotřebních výdajů (2,3</w:t>
            </w:r>
            <w:r>
              <w:t> </w:t>
            </w:r>
            <w:r w:rsidRPr="00422B23">
              <w:t xml:space="preserve">%) se celková spotřeba mezičtvrtletně navýšila o 1,2 %. I domácnosti výdaje mezikvartálně posílily (0,8 %). </w:t>
            </w:r>
            <w:r>
              <w:t xml:space="preserve">Dynamika </w:t>
            </w:r>
            <w:r w:rsidRPr="00422B23">
              <w:t>spotřeby domácností měl</w:t>
            </w:r>
            <w:r>
              <w:t>a</w:t>
            </w:r>
            <w:r w:rsidRPr="00422B23">
              <w:t xml:space="preserve"> ve velké míře formu statků dlouho</w:t>
            </w:r>
            <w:r>
              <w:t>do</w:t>
            </w:r>
            <w:r w:rsidRPr="00422B23">
              <w:t>b</w:t>
            </w:r>
            <w:r>
              <w:t>é</w:t>
            </w:r>
            <w:r w:rsidRPr="00422B23">
              <w:t xml:space="preserve"> spotřeby (meziroční nárůst o 6,2 %</w:t>
            </w:r>
            <w:r w:rsidRPr="009110F7">
              <w:rPr>
                <w:rStyle w:val="Znakapoznpodarou"/>
              </w:rPr>
              <w:footnoteReference w:id="5"/>
            </w:r>
            <w:r w:rsidRPr="00422B23">
              <w:t>). Přes zpomalení se udržel poměrně siln</w:t>
            </w:r>
            <w:r>
              <w:t>ý růst</w:t>
            </w:r>
            <w:r w:rsidRPr="00422B23">
              <w:t xml:space="preserve"> u spotřeby zboží střednědobé trvanlivosti. Spotřeba netrvanlivých statků vzrostla o 2,2 % a mírně oslabila i dynamika spotřeby služeb (2,8 %).</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 xml:space="preserve">Mírné zpomalení meziročního růstu výdajů na mzdy a platy se </w:t>
            </w:r>
            <w:r w:rsidR="00DF4369">
              <w:t xml:space="preserve">dalo </w:t>
            </w:r>
            <w:r>
              <w:t>přičíst i nižšímu nárůstu celkové zaměstnanosti.</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B83E07" w:rsidRDefault="009A24F1" w:rsidP="009A24F1">
            <w:pPr>
              <w:rPr>
                <w:spacing w:val="-2"/>
              </w:rPr>
            </w:pPr>
            <w:r>
              <w:rPr>
                <w:spacing w:val="-2"/>
              </w:rPr>
              <w:t>Výrazný růst spotřeby domácností byl podpořen pokračujícím zvyšováním jejich výdělků. Celkový objem vyplacených mezd a platů ve 3. čtvrtletí vzrostl o 9,3 %, což je mírně nižší tempo než v 1. pololetí, kdy dynamika překročila 10 %. Výrazněji však zpomalil meziroční růst celkové zaměstnanosti (v osobách), když dosáhl 1,2 %</w:t>
            </w:r>
            <w:r w:rsidRPr="00B83E07">
              <w:rPr>
                <w:rStyle w:val="Znakapoznpodarou"/>
                <w:spacing w:val="-2"/>
              </w:rPr>
              <w:footnoteReference w:id="6"/>
            </w:r>
            <w:r>
              <w:rPr>
                <w:spacing w:val="-2"/>
              </w:rPr>
              <w:t>. Přitom celkový počet odpracovaných hodin ve 3. kvartálu rostl silněji než dříve (2,3 %). Vzhledem k výraznějšímu růstu cenové hladiny byl reálný nárůst kupní síly rovněž nižší než v 1. pololetí (6,3 %</w:t>
            </w:r>
            <w:r w:rsidRPr="00B83E07">
              <w:rPr>
                <w:rStyle w:val="Znakapoznpodarou"/>
                <w:spacing w:val="-2"/>
              </w:rPr>
              <w:footnoteReference w:id="7"/>
            </w:r>
            <w:r>
              <w:rPr>
                <w:spacing w:val="-2"/>
              </w:rPr>
              <w:t xml:space="preserve">). Ve zpracovatelském průmyslu, kde je zaměstnáno nejvíce osob, došlo k mírnému zpomalení růstu vyplacených mezd (z 9,0 % na 7,7 %). Vliv mělo i snížení tempa růstu zaměstnanosti na 1,5 % (jedním z důvodů je přitom nedostatek pracovní síly). Podobně zpomalilo meziroční tempo ve skupině obchod, doprava, ubytování a pohostinství. Ve 3. čtvrtletí zde objem vyplacených mezd meziročně vzrostl o 8,4 % (celková zaměstnanost o 1,5 %). Uvedené obory patří k těm </w:t>
            </w:r>
            <w:r>
              <w:rPr>
                <w:spacing w:val="-2"/>
              </w:rPr>
              <w:lastRenderedPageBreak/>
              <w:t xml:space="preserve">s nejnižší úrovní mezd a v poslední době se zde mimo jiné projevilo navýšení minimální mzdy. Mezi odvětvími služeb </w:t>
            </w:r>
            <w:r w:rsidR="00DF4369">
              <w:rPr>
                <w:spacing w:val="-2"/>
              </w:rPr>
              <w:t xml:space="preserve">vévodila </w:t>
            </w:r>
            <w:r>
              <w:rPr>
                <w:spacing w:val="-2"/>
              </w:rPr>
              <w:t>mzdovému růstu odvětví s dominancí veřejného sektoru</w:t>
            </w:r>
            <w:r>
              <w:rPr>
                <w:rStyle w:val="Znakapoznpodarou"/>
                <w:spacing w:val="-2"/>
              </w:rPr>
              <w:footnoteReference w:id="8"/>
            </w:r>
            <w:r>
              <w:rPr>
                <w:spacing w:val="-2"/>
              </w:rPr>
              <w:t>, kde růst objemu vyplacených prostředků o 12,9 % podpořilo i zvýšení zaměstnanosti o 2,2 %. Silně rostl objem vyplacených mzdových prostředků v odvětví informační a komunikační činnosti (10,8 %, doprovázeno nárůstem zaměstnanosti o 4,7 %). Situace na trhu nemovitostí se projevila i výrazným nárůstem objemu vyplacených mezd (13,9 % při současném poklesu zaměstnanosti o 1,1 %). Pozitivní vývoj ve stavebnictví vedl i ke zrychlení růstu mezd (vyplacené prostředky se zvýšily o 7,2 %, zaměstnanost klesla o 0,8 %).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sz w:val="18"/>
                <w:szCs w:val="18"/>
              </w:rPr>
            </w:pPr>
            <w:r w:rsidRPr="0041745D">
              <w:rPr>
                <w:b/>
                <w:sz w:val="18"/>
                <w:szCs w:val="18"/>
              </w:rPr>
              <w:t xml:space="preserve">Graf </w:t>
            </w:r>
            <w:proofErr w:type="gramStart"/>
            <w:r w:rsidRPr="0041745D">
              <w:rPr>
                <w:b/>
                <w:sz w:val="18"/>
                <w:szCs w:val="18"/>
              </w:rPr>
              <w:t xml:space="preserve">č. 3  </w:t>
            </w:r>
            <w:r w:rsidRPr="00663018">
              <w:rPr>
                <w:rFonts w:cs="Arial"/>
                <w:b/>
                <w:sz w:val="18"/>
                <w:szCs w:val="18"/>
                <w:lang w:eastAsia="en-US"/>
              </w:rPr>
              <w:t>Příspěvky</w:t>
            </w:r>
            <w:proofErr w:type="gramEnd"/>
            <w:r w:rsidRPr="00663018">
              <w:rPr>
                <w:rFonts w:cs="Arial"/>
                <w:b/>
                <w:sz w:val="18"/>
                <w:szCs w:val="18"/>
                <w:lang w:eastAsia="en-US"/>
              </w:rPr>
              <w:t xml:space="preserve"> výdajových složek k reálné změně HDP* (objemové indexy, meziroční růst, příspěvky v p. b., HDP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4A1066">
              <w:rPr>
                <w:noProof/>
              </w:rPr>
              <w:drawing>
                <wp:inline distT="0" distB="0" distL="0" distR="0">
                  <wp:extent cx="4738255" cy="3764478"/>
                  <wp:effectExtent l="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Default="009A24F1" w:rsidP="009A24F1">
            <w:pPr>
              <w:spacing w:after="0"/>
              <w:rPr>
                <w:sz w:val="14"/>
                <w:szCs w:val="14"/>
              </w:rPr>
            </w:pPr>
            <w:r>
              <w:rPr>
                <w:sz w:val="14"/>
                <w:szCs w:val="14"/>
              </w:rPr>
              <w:t>Zdroj: ČSÚ</w:t>
            </w:r>
          </w:p>
          <w:p w:rsidR="009A24F1" w:rsidRPr="009110F7" w:rsidRDefault="009A24F1" w:rsidP="00965797">
            <w:pPr>
              <w:rPr>
                <w:sz w:val="14"/>
                <w:szCs w:val="14"/>
              </w:rPr>
            </w:pPr>
            <w:r>
              <w:rPr>
                <w:sz w:val="14"/>
                <w:szCs w:val="14"/>
              </w:rPr>
              <w:t>*po vyloučení dovozu pro konečné užití</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Investiční aktivita výrazně přispívala k růstu HDP.</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CE6833">
            <w:r w:rsidRPr="00422B23">
              <w:t>Tvorba hrubého kapitálu meziročně vzrostla o 3,3 %. Výdaje na tvorbu hrubého fixního kapitálu, kter</w:t>
            </w:r>
            <w:r w:rsidR="00CE6833">
              <w:t>é</w:t>
            </w:r>
            <w:r w:rsidRPr="00422B23">
              <w:t xml:space="preserve"> reprezentuj</w:t>
            </w:r>
            <w:r w:rsidR="00CE6833">
              <w:t>í</w:t>
            </w:r>
            <w:r w:rsidRPr="00422B23">
              <w:t xml:space="preserve"> investiční aktivitu v</w:t>
            </w:r>
            <w:r>
              <w:t> </w:t>
            </w:r>
            <w:r w:rsidRPr="00422B23">
              <w:t>ekonomice</w:t>
            </w:r>
            <w:r>
              <w:t>,</w:t>
            </w:r>
            <w:r w:rsidRPr="00422B23">
              <w:t xml:space="preserve"> přitom </w:t>
            </w:r>
            <w:r w:rsidR="003C68CC">
              <w:t>rostly</w:t>
            </w:r>
            <w:r w:rsidR="003C68CC" w:rsidRPr="00422B23">
              <w:t xml:space="preserve"> </w:t>
            </w:r>
            <w:r w:rsidRPr="00422B23">
              <w:t>o</w:t>
            </w:r>
            <w:r>
              <w:t> </w:t>
            </w:r>
            <w:r w:rsidRPr="00422B23">
              <w:t>9,3</w:t>
            </w:r>
            <w:r w:rsidR="00CE6833">
              <w:t> </w:t>
            </w:r>
            <w:r w:rsidRPr="00422B23">
              <w:t>%. Ve směru meziročního poklesu však působila změna zásob, na které se velmi výrazně podepisovala vysoká srovnávací základna minulého roku</w:t>
            </w:r>
            <w:r>
              <w:rPr>
                <w:rStyle w:val="Znakapoznpodarou"/>
              </w:rPr>
              <w:footnoteReference w:id="9"/>
            </w:r>
            <w:r w:rsidRPr="00422B23">
              <w:t xml:space="preserve"> (podobně jako ve 2. čtvrtletí). Z vývoje investiční aktivity podle věcného členění</w:t>
            </w:r>
            <w:r w:rsidRPr="009110F7">
              <w:rPr>
                <w:rStyle w:val="Znakapoznpodarou"/>
              </w:rPr>
              <w:footnoteReference w:id="10"/>
            </w:r>
            <w:r w:rsidRPr="00422B23">
              <w:t xml:space="preserve"> nepřímo vyplývá posílení vládních investičních výdajů (které potvrzuje vývoj výdajů státního rozpočtu). Zrychlila meziroční dynamika investic do ostatních budov a staveb (na 14,4 %). Silný růst si udržely investice do dopravních prostředků a zařízení (11,6 %). Výrazně narostly investice do produktů duševního vlastnictví (9,4 %). Na 6,7 % oslabil přírůstek kapitálových výdajů na ICT a ostatní stroje a zařízení. Po vysokých tempech první poloviny roku oslabil i růst výdajů na obydlí (na 6,4 %).</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lastRenderedPageBreak/>
              <w:t xml:space="preserve">Růst domácí poptávky uspokojoval dovoz. Přebytek bilance zahraničního obchodu tak meziročně klesal. </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rsidRPr="00422B23">
              <w:t xml:space="preserve">Pohled na příspěvky k růstu HDP po </w:t>
            </w:r>
            <w:r w:rsidR="006E53AD">
              <w:t xml:space="preserve">vyloučení </w:t>
            </w:r>
            <w:r w:rsidRPr="00422B23">
              <w:t xml:space="preserve">a před vyloučením dovozu pro konečné užití odhaluje, že současný nárůst spotřeby domácností i investiční aktivity je z velké části živen dovozem. Odečtení dovozu pro konečné užití tak zredukovalo příspěvek spotřeby domácností z 1,5 p. b. </w:t>
            </w:r>
            <w:proofErr w:type="gramStart"/>
            <w:r w:rsidRPr="00422B23">
              <w:t>na</w:t>
            </w:r>
            <w:proofErr w:type="gramEnd"/>
            <w:r w:rsidRPr="00422B23">
              <w:t xml:space="preserve"> 1,0 p. b. U výdajů na tvorbu hrubého fixního kapitálu je redukce ještě výraznější (z 2,3 p. b. </w:t>
            </w:r>
            <w:proofErr w:type="gramStart"/>
            <w:r w:rsidRPr="00422B23">
              <w:t>na</w:t>
            </w:r>
            <w:proofErr w:type="gramEnd"/>
            <w:r w:rsidRPr="00422B23">
              <w:t xml:space="preserve"> 1,7 p. b.).</w:t>
            </w:r>
            <w:r>
              <w:t xml:space="preserve"> Bilance zahraničního obchodu tak ve 3. čtvrtletí dosáhla 70,7 mld. korun</w:t>
            </w:r>
            <w:r w:rsidRPr="009110F7">
              <w:rPr>
                <w:rStyle w:val="Znakapoznpodarou"/>
              </w:rPr>
              <w:footnoteReference w:id="11"/>
            </w:r>
            <w:r>
              <w:t xml:space="preserve"> a meziročně se snížila o 22,5 mld., zejména kvůli rychle rostoucímu dovozu. Přebytek bilance obchodu se zbožím klesl výrazněji (o 13,5 mld. korun) než přebytek u služeb (9,</w:t>
            </w:r>
            <w:r w:rsidR="006E53AD">
              <w:t>0 </w:t>
            </w:r>
            <w:r>
              <w:t>mld.).</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Ve 3. čtvrtletí došlo k výrazné redukci příspěvku zpracovatelského průmyslu k růstu HPH.</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t xml:space="preserve">Meziroční růst hrubé přidané hodnoty byl z více než poloviny podpořen odvětvími služeb (1,6 p. b.). Skupina obchod, doprava, ubytování a pohostinství k tomu přidala 0,6 p. b. Na </w:t>
            </w:r>
            <w:r w:rsidR="006E53AD">
              <w:t>druhé straně</w:t>
            </w:r>
            <w:r>
              <w:t xml:space="preserve"> zde došlo ke zpomalení meziroční dynamiky na 3,3 % a </w:t>
            </w:r>
            <w:r w:rsidR="006E53AD">
              <w:t>k </w:t>
            </w:r>
            <w:proofErr w:type="spellStart"/>
            <w:r>
              <w:t>mezičtvrtletní</w:t>
            </w:r>
            <w:proofErr w:type="spellEnd"/>
            <w:r>
              <w:t xml:space="preserve"> stagnaci. Shodně 0,3 p. b. </w:t>
            </w:r>
            <w:proofErr w:type="gramStart"/>
            <w:r>
              <w:t>pak</w:t>
            </w:r>
            <w:proofErr w:type="gramEnd"/>
            <w:r>
              <w:t xml:space="preserve"> přispěly informační a komunikační činnosti (růst HPH o 5,7 %) a odvětví s dominancí veřejného sektoru (+2,0 %). Vzhledem ke zpomalení růstu ve zpracovatelském průmyslu na 1,0 % se jeho příspěvek snížil na 0,3 p. b., což je nejméně za poslední pětileté období hospodářského růstu. Na meziroční dynamice zpracovatelského průmyslu se projevovala vysoká srovnávací základna loňského roku, výrazně však zpomalil </w:t>
            </w:r>
            <w:r w:rsidR="006E53AD">
              <w:t>i </w:t>
            </w:r>
            <w:proofErr w:type="spellStart"/>
            <w:r>
              <w:t>mezičtvrtletní</w:t>
            </w:r>
            <w:proofErr w:type="spellEnd"/>
            <w:r>
              <w:t xml:space="preserve"> růst (0,3 % ve 3. čtvrtletí). Naopak dařilo se stavebnictví, jehož HPH ve 3. čtvrtletí vzrostla o 6,3 % a k celkovému růstu </w:t>
            </w:r>
            <w:r w:rsidR="00B55A97">
              <w:t xml:space="preserve">toto </w:t>
            </w:r>
            <w:r>
              <w:t>odvětví přidalo 0,3 p. b. Kladně k růstu HPH přispěla i ostatní průmyslová odvětví (0,2 p. b.), která v posledních letech spíš</w:t>
            </w:r>
            <w:r w:rsidR="00B55A97">
              <w:t>e</w:t>
            </w:r>
            <w:r>
              <w:t xml:space="preserve"> stagnovala.</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pPr>
              <w:spacing w:after="0"/>
            </w:pPr>
            <w:r w:rsidRPr="00A85DE1">
              <w:rPr>
                <w:b/>
                <w:sz w:val="18"/>
                <w:szCs w:val="18"/>
              </w:rPr>
              <w:t xml:space="preserve">Graf </w:t>
            </w:r>
            <w:proofErr w:type="gramStart"/>
            <w:r w:rsidRPr="00A85DE1">
              <w:rPr>
                <w:b/>
                <w:sz w:val="18"/>
                <w:szCs w:val="18"/>
              </w:rPr>
              <w:t xml:space="preserve">č. 4  </w:t>
            </w:r>
            <w:r w:rsidRPr="00663018">
              <w:rPr>
                <w:rFonts w:cs="Arial"/>
                <w:b/>
                <w:sz w:val="18"/>
                <w:szCs w:val="18"/>
                <w:lang w:eastAsia="en-US"/>
              </w:rPr>
              <w:t>Příspěvky</w:t>
            </w:r>
            <w:proofErr w:type="gramEnd"/>
            <w:r w:rsidRPr="00663018">
              <w:rPr>
                <w:rFonts w:cs="Arial"/>
                <w:b/>
                <w:sz w:val="18"/>
                <w:szCs w:val="18"/>
                <w:lang w:eastAsia="en-US"/>
              </w:rPr>
              <w:t xml:space="preserve"> odvětví k reálné změně HPH (objemové indexy, meziroční příspěvky v p. b., HPH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797ED7">
              <w:rPr>
                <w:noProof/>
              </w:rPr>
              <w:drawing>
                <wp:inline distT="0" distB="0" distL="0" distR="0">
                  <wp:extent cx="4737600" cy="3553200"/>
                  <wp:effectExtent l="0" t="0" r="0" b="0"/>
                  <wp:docPr id="2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E54698">
            <w:pPr>
              <w:rPr>
                <w:sz w:val="14"/>
                <w:szCs w:val="14"/>
              </w:rPr>
            </w:pPr>
            <w:r w:rsidRPr="00A85DE1">
              <w:rPr>
                <w:sz w:val="14"/>
                <w:szCs w:val="14"/>
              </w:rPr>
              <w:t>Zdroj: ČSÚ</w:t>
            </w:r>
          </w:p>
        </w:tc>
      </w:tr>
    </w:tbl>
    <w:p w:rsidR="00A50D73" w:rsidRPr="009110F7" w:rsidRDefault="00A50D73" w:rsidP="00E1444C">
      <w:pPr>
        <w:rPr>
          <w:sz w:val="2"/>
          <w:szCs w:val="2"/>
        </w:rPr>
      </w:pPr>
    </w:p>
    <w:sectPr w:rsidR="00A50D73" w:rsidRPr="009110F7" w:rsidSect="00F4367B">
      <w:headerReference w:type="even" r:id="rId13"/>
      <w:headerReference w:type="default" r:id="rId14"/>
      <w:footerReference w:type="even" r:id="rId15"/>
      <w:footerReference w:type="default" r:id="rId16"/>
      <w:pgSz w:w="11906" w:h="16838" w:code="9"/>
      <w:pgMar w:top="1134" w:right="1134" w:bottom="1418" w:left="1134" w:header="680" w:footer="737" w:gutter="0"/>
      <w:pgNumType w:start="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2CEEF" w15:done="0"/>
  <w15:commentEx w15:paraId="510EBE5F" w15:done="0"/>
  <w15:commentEx w15:paraId="2BBC27AD" w15:done="0"/>
  <w15:commentEx w15:paraId="64F0BE47" w15:done="0"/>
  <w15:commentEx w15:paraId="061FEE45" w15:done="0"/>
  <w15:commentEx w15:paraId="180AB565" w15:done="0"/>
  <w15:commentEx w15:paraId="4FDB8EDF" w15:done="0"/>
  <w15:commentEx w15:paraId="6709F746" w15:done="0"/>
  <w15:commentEx w15:paraId="2323FC13" w15:done="0"/>
  <w15:commentEx w15:paraId="28C26757" w15:done="0"/>
  <w15:commentEx w15:paraId="28F690F6" w15:done="0"/>
  <w15:commentEx w15:paraId="72A0F35B" w15:done="0"/>
  <w15:commentEx w15:paraId="17D51B1D" w15:done="0"/>
  <w15:commentEx w15:paraId="1905EDB9" w15:done="0"/>
  <w15:commentEx w15:paraId="769B3E23" w15:done="0"/>
  <w15:commentEx w15:paraId="4941CE09" w15:done="0"/>
  <w15:commentEx w15:paraId="3F6235A8" w15:done="0"/>
  <w15:commentEx w15:paraId="57663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2CEEF" w16cid:durableId="1FBE60B2"/>
  <w16cid:commentId w16cid:paraId="510EBE5F" w16cid:durableId="1FBE6564"/>
  <w16cid:commentId w16cid:paraId="2BBC27AD" w16cid:durableId="1FBE6E48"/>
  <w16cid:commentId w16cid:paraId="64F0BE47" w16cid:durableId="1FBE7339"/>
  <w16cid:commentId w16cid:paraId="061FEE45" w16cid:durableId="1FBE868D"/>
  <w16cid:commentId w16cid:paraId="180AB565" w16cid:durableId="1FBE8A4D"/>
  <w16cid:commentId w16cid:paraId="4FDB8EDF" w16cid:durableId="1FBE88D5"/>
  <w16cid:commentId w16cid:paraId="6709F746" w16cid:durableId="1FBE975B"/>
  <w16cid:commentId w16cid:paraId="2323FC13" w16cid:durableId="1FBE984D"/>
  <w16cid:commentId w16cid:paraId="28C26757" w16cid:durableId="1FBE9A64"/>
  <w16cid:commentId w16cid:paraId="28F690F6" w16cid:durableId="1FBEA05F"/>
  <w16cid:commentId w16cid:paraId="72A0F35B" w16cid:durableId="1FBF3BF8"/>
  <w16cid:commentId w16cid:paraId="17D51B1D" w16cid:durableId="1FBF3D1F"/>
  <w16cid:commentId w16cid:paraId="1905EDB9" w16cid:durableId="1FBFAD59"/>
  <w16cid:commentId w16cid:paraId="769B3E23" w16cid:durableId="1FBFC02F"/>
  <w16cid:commentId w16cid:paraId="4941CE09" w16cid:durableId="1FBFC811"/>
  <w16cid:commentId w16cid:paraId="3F6235A8" w16cid:durableId="1FC0B704"/>
  <w16cid:commentId w16cid:paraId="57663EE7" w16cid:durableId="1FC11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72" w:rsidRDefault="00C45E72" w:rsidP="00E71A58">
      <w:r>
        <w:separator/>
      </w:r>
    </w:p>
  </w:endnote>
  <w:endnote w:type="continuationSeparator" w:id="0">
    <w:p w:rsidR="00C45E72" w:rsidRDefault="00C45E7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82111D" w:rsidRPr="00932443">
      <w:rPr>
        <w:szCs w:val="16"/>
      </w:rPr>
      <w:fldChar w:fldCharType="begin"/>
    </w:r>
    <w:r w:rsidRPr="00932443">
      <w:rPr>
        <w:szCs w:val="16"/>
      </w:rPr>
      <w:instrText>PAGE   \* MERGEFORMAT</w:instrText>
    </w:r>
    <w:r w:rsidR="0082111D" w:rsidRPr="00932443">
      <w:rPr>
        <w:szCs w:val="16"/>
      </w:rPr>
      <w:fldChar w:fldCharType="separate"/>
    </w:r>
    <w:r w:rsidR="00F4367B">
      <w:rPr>
        <w:szCs w:val="16"/>
      </w:rPr>
      <w:t>6</w:t>
    </w:r>
    <w:r w:rsidR="0082111D" w:rsidRPr="00932443">
      <w:rPr>
        <w:szCs w:val="16"/>
      </w:rPr>
      <w:fldChar w:fldCharType="end"/>
    </w:r>
    <w:r w:rsidRPr="00932443">
      <w:rPr>
        <w:szCs w:val="16"/>
      </w:rPr>
      <w:tab/>
    </w:r>
    <w:r>
      <w:t>1. až 3.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až 3. čtvrtletí 2018</w:t>
    </w:r>
    <w:r w:rsidRPr="00932443">
      <w:rPr>
        <w:szCs w:val="16"/>
      </w:rPr>
      <w:tab/>
    </w:r>
    <w:r w:rsidR="0082111D" w:rsidRPr="00932443">
      <w:rPr>
        <w:rStyle w:val="ZpatChar"/>
        <w:szCs w:val="16"/>
      </w:rPr>
      <w:fldChar w:fldCharType="begin"/>
    </w:r>
    <w:r w:rsidRPr="00932443">
      <w:rPr>
        <w:rStyle w:val="ZpatChar"/>
        <w:szCs w:val="16"/>
      </w:rPr>
      <w:instrText>PAGE   \* MERGEFORMAT</w:instrText>
    </w:r>
    <w:r w:rsidR="0082111D" w:rsidRPr="00932443">
      <w:rPr>
        <w:rStyle w:val="ZpatChar"/>
        <w:szCs w:val="16"/>
      </w:rPr>
      <w:fldChar w:fldCharType="separate"/>
    </w:r>
    <w:r w:rsidR="00F4367B">
      <w:rPr>
        <w:rStyle w:val="ZpatChar"/>
        <w:szCs w:val="16"/>
      </w:rPr>
      <w:t>5</w:t>
    </w:r>
    <w:r w:rsidR="0082111D"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72" w:rsidRDefault="00C45E72" w:rsidP="00E71A58">
      <w:r>
        <w:separator/>
      </w:r>
    </w:p>
  </w:footnote>
  <w:footnote w:type="continuationSeparator" w:id="0">
    <w:p w:rsidR="00C45E72" w:rsidRDefault="00C45E72" w:rsidP="00E71A58">
      <w:r>
        <w:continuationSeparator/>
      </w:r>
    </w:p>
  </w:footnote>
  <w:footnote w:id="1">
    <w:p w:rsidR="00157CC9" w:rsidRPr="00EF1EE3" w:rsidRDefault="00157CC9" w:rsidP="009A24F1">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po</w:t>
      </w:r>
      <w:r w:rsidRPr="00EF1EE3">
        <w:rPr>
          <w:sz w:val="16"/>
          <w:szCs w:val="16"/>
        </w:rPr>
        <w:t> očištění o</w:t>
      </w:r>
      <w:r>
        <w:rPr>
          <w:sz w:val="16"/>
          <w:szCs w:val="16"/>
        </w:rPr>
        <w:t> </w:t>
      </w:r>
      <w:r w:rsidRPr="00EF1EE3">
        <w:rPr>
          <w:sz w:val="16"/>
          <w:szCs w:val="16"/>
        </w:rPr>
        <w:t>sezónní a kalendářn</w:t>
      </w:r>
      <w:r>
        <w:rPr>
          <w:sz w:val="16"/>
          <w:szCs w:val="16"/>
        </w:rPr>
        <w:t>í vlivy. Údaje byly zveřejněny 30. 11. </w:t>
      </w:r>
      <w:r w:rsidRPr="00EF1EE3">
        <w:rPr>
          <w:sz w:val="16"/>
          <w:szCs w:val="16"/>
        </w:rPr>
        <w:t>2018 a</w:t>
      </w:r>
      <w:r>
        <w:rPr>
          <w:sz w:val="16"/>
          <w:szCs w:val="16"/>
        </w:rPr>
        <w:t> </w:t>
      </w:r>
      <w:r w:rsidRPr="00EF1EE3">
        <w:rPr>
          <w:sz w:val="16"/>
          <w:szCs w:val="16"/>
        </w:rPr>
        <w:t>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11. 1. 2019</w:t>
      </w:r>
      <w:r w:rsidRPr="00EF1EE3">
        <w:rPr>
          <w:sz w:val="16"/>
          <w:szCs w:val="16"/>
        </w:rPr>
        <w:t>.</w:t>
      </w:r>
    </w:p>
  </w:footnote>
  <w:footnote w:id="2">
    <w:p w:rsidR="00157CC9" w:rsidRPr="00BB319F" w:rsidRDefault="00157CC9" w:rsidP="009A24F1">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xml:space="preserve"> </w:t>
      </w:r>
      <w:r w:rsidRPr="00BB319F">
        <w:rPr>
          <w:sz w:val="16"/>
          <w:szCs w:val="16"/>
        </w:rPr>
        <w:t>a</w:t>
      </w:r>
      <w:r>
        <w:rPr>
          <w:sz w:val="16"/>
          <w:szCs w:val="16"/>
        </w:rPr>
        <w:t> </w:t>
      </w:r>
      <w:r w:rsidRPr="00BB319F">
        <w:rPr>
          <w:sz w:val="16"/>
          <w:szCs w:val="16"/>
        </w:rPr>
        <w:t>Lucembursko.</w:t>
      </w:r>
      <w:r>
        <w:rPr>
          <w:sz w:val="16"/>
          <w:szCs w:val="16"/>
        </w:rPr>
        <w:t xml:space="preserve"> Data za Slovensko nejsou očištěna o kalendářní vlivy.</w:t>
      </w:r>
    </w:p>
  </w:footnote>
  <w:footnote w:id="3">
    <w:p w:rsidR="00157CC9" w:rsidRPr="00892258" w:rsidRDefault="00157CC9">
      <w:pPr>
        <w:pStyle w:val="Textpoznpodarou"/>
        <w:rPr>
          <w:sz w:val="16"/>
          <w:szCs w:val="16"/>
        </w:rPr>
      </w:pPr>
      <w:r w:rsidRPr="00892258">
        <w:rPr>
          <w:rStyle w:val="Znakapoznpodarou"/>
          <w:sz w:val="16"/>
          <w:szCs w:val="16"/>
        </w:rPr>
        <w:footnoteRef/>
      </w:r>
      <w:r w:rsidRPr="00892258">
        <w:rPr>
          <w:sz w:val="16"/>
          <w:szCs w:val="16"/>
        </w:rPr>
        <w:t xml:space="preserve"> Vzhledem k vývoji v 1. pololetí</w:t>
      </w:r>
      <w:r>
        <w:rPr>
          <w:sz w:val="16"/>
          <w:szCs w:val="16"/>
        </w:rPr>
        <w:t xml:space="preserve"> (10,2 %, 9,1 %)</w:t>
      </w:r>
      <w:r w:rsidRPr="00892258">
        <w:rPr>
          <w:sz w:val="16"/>
          <w:szCs w:val="16"/>
        </w:rPr>
        <w:t xml:space="preserve"> se dá předpokládat, že po zveřejnění příslušných údajů dosáhne nejvyššího meziročního nárůstu ve 3. čtvrtletí HDP v Irsku.</w:t>
      </w:r>
    </w:p>
  </w:footnote>
  <w:footnote w:id="4">
    <w:p w:rsidR="00157CC9" w:rsidRPr="009C6EA8" w:rsidRDefault="00157CC9" w:rsidP="009A24F1">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rsidR="00157CC9" w:rsidRPr="007933CD" w:rsidRDefault="00157CC9" w:rsidP="009A24F1">
      <w:pPr>
        <w:pStyle w:val="Textpoznpodarou"/>
        <w:rPr>
          <w:sz w:val="16"/>
          <w:szCs w:val="16"/>
        </w:rPr>
      </w:pPr>
      <w:r w:rsidRPr="007933CD">
        <w:rPr>
          <w:rStyle w:val="Znakapoznpodarou"/>
          <w:sz w:val="16"/>
          <w:szCs w:val="16"/>
        </w:rPr>
        <w:footnoteRef/>
      </w:r>
      <w:r w:rsidRPr="007933CD">
        <w:rPr>
          <w:sz w:val="16"/>
          <w:szCs w:val="16"/>
        </w:rPr>
        <w:t xml:space="preserve"> Údaje o</w:t>
      </w:r>
      <w:r>
        <w:rPr>
          <w:sz w:val="16"/>
          <w:szCs w:val="16"/>
        </w:rPr>
        <w:t> </w:t>
      </w:r>
      <w:r w:rsidRPr="007933CD">
        <w:rPr>
          <w:sz w:val="16"/>
          <w:szCs w:val="16"/>
        </w:rPr>
        <w:t>spotřebě domácností podle trvanlivosti statků nejsou sezónně očištěny.</w:t>
      </w:r>
    </w:p>
  </w:footnote>
  <w:footnote w:id="6">
    <w:p w:rsidR="00157CC9" w:rsidRDefault="00157CC9" w:rsidP="009A24F1">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o osobách i odpracovaných hodinách je </w:t>
      </w:r>
      <w:r w:rsidRPr="009C6EA8">
        <w:rPr>
          <w:sz w:val="16"/>
          <w:szCs w:val="16"/>
        </w:rPr>
        <w:t>sezónně očištěn</w:t>
      </w:r>
      <w:r w:rsidRPr="00004BA8">
        <w:rPr>
          <w:sz w:val="16"/>
        </w:rPr>
        <w:t>.</w:t>
      </w:r>
    </w:p>
  </w:footnote>
  <w:footnote w:id="7">
    <w:p w:rsidR="00157CC9" w:rsidRPr="009C6EA8" w:rsidRDefault="00157CC9" w:rsidP="009A24F1">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rsidR="00157CC9" w:rsidRPr="00771972" w:rsidRDefault="00157CC9" w:rsidP="009A24F1">
      <w:pPr>
        <w:pStyle w:val="Textpoznpodarou"/>
        <w:rPr>
          <w:sz w:val="16"/>
          <w:szCs w:val="16"/>
        </w:rPr>
      </w:pPr>
      <w:r w:rsidRPr="00771972">
        <w:rPr>
          <w:rStyle w:val="Znakapoznpodarou"/>
          <w:sz w:val="16"/>
          <w:szCs w:val="16"/>
        </w:rPr>
        <w:footnoteRef/>
      </w:r>
      <w:r w:rsidRPr="00771972">
        <w:rPr>
          <w:sz w:val="16"/>
          <w:szCs w:val="16"/>
        </w:rPr>
        <w:t xml:space="preserve"> Veřejná správa a obrana, vzdělávání, zdravotní a sociální péče.</w:t>
      </w:r>
    </w:p>
  </w:footnote>
  <w:footnote w:id="9">
    <w:p w:rsidR="00157CC9" w:rsidRPr="00457568" w:rsidRDefault="00157CC9">
      <w:pPr>
        <w:pStyle w:val="Textpoznpodarou"/>
        <w:rPr>
          <w:sz w:val="16"/>
          <w:szCs w:val="16"/>
        </w:rPr>
      </w:pPr>
      <w:r w:rsidRPr="00457568">
        <w:rPr>
          <w:rStyle w:val="Znakapoznpodarou"/>
          <w:sz w:val="16"/>
          <w:szCs w:val="16"/>
        </w:rPr>
        <w:footnoteRef/>
      </w:r>
      <w:r w:rsidRPr="00457568">
        <w:rPr>
          <w:sz w:val="16"/>
          <w:szCs w:val="16"/>
        </w:rPr>
        <w:t xml:space="preserve"> Po celý loňský rok zásoby výrazně </w:t>
      </w:r>
      <w:r>
        <w:rPr>
          <w:sz w:val="16"/>
          <w:szCs w:val="16"/>
        </w:rPr>
        <w:t xml:space="preserve">meziročně </w:t>
      </w:r>
      <w:r w:rsidRPr="00457568">
        <w:rPr>
          <w:sz w:val="16"/>
          <w:szCs w:val="16"/>
        </w:rPr>
        <w:t>rostly. Ve 3. čtvrtletí roku 2017 dosáhla položka změny zásob více než +14 mld. korun, zatímco letos ve stejném období zásoby mírně poklesly.</w:t>
      </w:r>
    </w:p>
  </w:footnote>
  <w:footnote w:id="10">
    <w:p w:rsidR="00157CC9" w:rsidRPr="0021552C" w:rsidRDefault="00157CC9" w:rsidP="009A24F1">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rsidR="00157CC9" w:rsidRPr="00167B30" w:rsidRDefault="00157CC9" w:rsidP="009A24F1">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209D"/>
    <w:rsid w:val="00003F5C"/>
    <w:rsid w:val="00004D5A"/>
    <w:rsid w:val="000056D5"/>
    <w:rsid w:val="000063D5"/>
    <w:rsid w:val="00006ABD"/>
    <w:rsid w:val="000073A0"/>
    <w:rsid w:val="0000767A"/>
    <w:rsid w:val="00010256"/>
    <w:rsid w:val="00010702"/>
    <w:rsid w:val="0001128E"/>
    <w:rsid w:val="00011912"/>
    <w:rsid w:val="00016420"/>
    <w:rsid w:val="00017B01"/>
    <w:rsid w:val="00020F22"/>
    <w:rsid w:val="0002195D"/>
    <w:rsid w:val="000233D1"/>
    <w:rsid w:val="000234D6"/>
    <w:rsid w:val="00023D29"/>
    <w:rsid w:val="00024348"/>
    <w:rsid w:val="00026389"/>
    <w:rsid w:val="00031AE0"/>
    <w:rsid w:val="000322EF"/>
    <w:rsid w:val="00033FCD"/>
    <w:rsid w:val="00034DF7"/>
    <w:rsid w:val="00034E68"/>
    <w:rsid w:val="000350C8"/>
    <w:rsid w:val="00036195"/>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2EC5"/>
    <w:rsid w:val="00062F22"/>
    <w:rsid w:val="00063975"/>
    <w:rsid w:val="000645FC"/>
    <w:rsid w:val="0006533F"/>
    <w:rsid w:val="00065348"/>
    <w:rsid w:val="00065A75"/>
    <w:rsid w:val="00070A87"/>
    <w:rsid w:val="000712B3"/>
    <w:rsid w:val="0007474E"/>
    <w:rsid w:val="0007512B"/>
    <w:rsid w:val="00075551"/>
    <w:rsid w:val="00077FF0"/>
    <w:rsid w:val="00081A55"/>
    <w:rsid w:val="0008263E"/>
    <w:rsid w:val="00082C19"/>
    <w:rsid w:val="000837CD"/>
    <w:rsid w:val="00084BFF"/>
    <w:rsid w:val="00085395"/>
    <w:rsid w:val="00086AC1"/>
    <w:rsid w:val="00086D19"/>
    <w:rsid w:val="00087634"/>
    <w:rsid w:val="00087F2B"/>
    <w:rsid w:val="00090694"/>
    <w:rsid w:val="000913B1"/>
    <w:rsid w:val="00094A84"/>
    <w:rsid w:val="00095025"/>
    <w:rsid w:val="00095135"/>
    <w:rsid w:val="0009626E"/>
    <w:rsid w:val="00097191"/>
    <w:rsid w:val="000974D1"/>
    <w:rsid w:val="0009799E"/>
    <w:rsid w:val="000A1183"/>
    <w:rsid w:val="000A256D"/>
    <w:rsid w:val="000A3A2C"/>
    <w:rsid w:val="000A4A54"/>
    <w:rsid w:val="000A4ED9"/>
    <w:rsid w:val="000A7377"/>
    <w:rsid w:val="000B03CC"/>
    <w:rsid w:val="000B4212"/>
    <w:rsid w:val="000C0EA8"/>
    <w:rsid w:val="000C13A2"/>
    <w:rsid w:val="000C3408"/>
    <w:rsid w:val="000C35AB"/>
    <w:rsid w:val="000C6AFD"/>
    <w:rsid w:val="000D3058"/>
    <w:rsid w:val="000D310A"/>
    <w:rsid w:val="000D5637"/>
    <w:rsid w:val="000E0E96"/>
    <w:rsid w:val="000E2C7D"/>
    <w:rsid w:val="000E440D"/>
    <w:rsid w:val="000E4AC5"/>
    <w:rsid w:val="000E6253"/>
    <w:rsid w:val="000E6E4D"/>
    <w:rsid w:val="000E6FBD"/>
    <w:rsid w:val="000E6FCB"/>
    <w:rsid w:val="00100F5C"/>
    <w:rsid w:val="00101CDA"/>
    <w:rsid w:val="00102037"/>
    <w:rsid w:val="00103DCB"/>
    <w:rsid w:val="00104C4C"/>
    <w:rsid w:val="001057C2"/>
    <w:rsid w:val="00112CAB"/>
    <w:rsid w:val="00116D3F"/>
    <w:rsid w:val="00117623"/>
    <w:rsid w:val="001200CF"/>
    <w:rsid w:val="0012192F"/>
    <w:rsid w:val="00122994"/>
    <w:rsid w:val="00124B46"/>
    <w:rsid w:val="00125D69"/>
    <w:rsid w:val="0012799C"/>
    <w:rsid w:val="00130ADC"/>
    <w:rsid w:val="00130D9F"/>
    <w:rsid w:val="00132C4D"/>
    <w:rsid w:val="00133FC1"/>
    <w:rsid w:val="00134659"/>
    <w:rsid w:val="001405FA"/>
    <w:rsid w:val="00140D1A"/>
    <w:rsid w:val="00141315"/>
    <w:rsid w:val="001425C3"/>
    <w:rsid w:val="0014262D"/>
    <w:rsid w:val="001459BC"/>
    <w:rsid w:val="001554C2"/>
    <w:rsid w:val="001571C0"/>
    <w:rsid w:val="0015753D"/>
    <w:rsid w:val="00157CC9"/>
    <w:rsid w:val="001612F4"/>
    <w:rsid w:val="00161553"/>
    <w:rsid w:val="0016256B"/>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92F05"/>
    <w:rsid w:val="00194729"/>
    <w:rsid w:val="00195234"/>
    <w:rsid w:val="00196016"/>
    <w:rsid w:val="00197A70"/>
    <w:rsid w:val="00197C0F"/>
    <w:rsid w:val="001A0487"/>
    <w:rsid w:val="001A1F68"/>
    <w:rsid w:val="001A4EF0"/>
    <w:rsid w:val="001A552F"/>
    <w:rsid w:val="001B2CA9"/>
    <w:rsid w:val="001B3110"/>
    <w:rsid w:val="001B3E38"/>
    <w:rsid w:val="001B4729"/>
    <w:rsid w:val="001B4F0E"/>
    <w:rsid w:val="001B6310"/>
    <w:rsid w:val="001B6C09"/>
    <w:rsid w:val="001C05CD"/>
    <w:rsid w:val="001C0F17"/>
    <w:rsid w:val="001C1B66"/>
    <w:rsid w:val="001C31A2"/>
    <w:rsid w:val="001D22C2"/>
    <w:rsid w:val="001D54C1"/>
    <w:rsid w:val="001D556E"/>
    <w:rsid w:val="001D5DF2"/>
    <w:rsid w:val="001D68B2"/>
    <w:rsid w:val="001D7F60"/>
    <w:rsid w:val="001E504C"/>
    <w:rsid w:val="001E5A17"/>
    <w:rsid w:val="001F2F90"/>
    <w:rsid w:val="001F4597"/>
    <w:rsid w:val="001F7CE0"/>
    <w:rsid w:val="00200085"/>
    <w:rsid w:val="00203332"/>
    <w:rsid w:val="00203CD5"/>
    <w:rsid w:val="00203D8F"/>
    <w:rsid w:val="00203DA4"/>
    <w:rsid w:val="00205186"/>
    <w:rsid w:val="002071D5"/>
    <w:rsid w:val="002118B9"/>
    <w:rsid w:val="002142C0"/>
    <w:rsid w:val="00217C5B"/>
    <w:rsid w:val="00220A43"/>
    <w:rsid w:val="0022139E"/>
    <w:rsid w:val="00222729"/>
    <w:rsid w:val="0022441D"/>
    <w:rsid w:val="002252E0"/>
    <w:rsid w:val="002255F6"/>
    <w:rsid w:val="00227605"/>
    <w:rsid w:val="00227850"/>
    <w:rsid w:val="00227A53"/>
    <w:rsid w:val="00227E2E"/>
    <w:rsid w:val="00227F53"/>
    <w:rsid w:val="00230C6E"/>
    <w:rsid w:val="00233603"/>
    <w:rsid w:val="002340EF"/>
    <w:rsid w:val="00236443"/>
    <w:rsid w:val="00240AF3"/>
    <w:rsid w:val="002418D5"/>
    <w:rsid w:val="00241B06"/>
    <w:rsid w:val="002436BA"/>
    <w:rsid w:val="00244A15"/>
    <w:rsid w:val="002452D9"/>
    <w:rsid w:val="00247319"/>
    <w:rsid w:val="0024799E"/>
    <w:rsid w:val="00247E60"/>
    <w:rsid w:val="00252AB9"/>
    <w:rsid w:val="00253C0F"/>
    <w:rsid w:val="002558C1"/>
    <w:rsid w:val="00256207"/>
    <w:rsid w:val="002603E1"/>
    <w:rsid w:val="0026120E"/>
    <w:rsid w:val="0026291D"/>
    <w:rsid w:val="00267B49"/>
    <w:rsid w:val="0027025F"/>
    <w:rsid w:val="002709CC"/>
    <w:rsid w:val="00271022"/>
    <w:rsid w:val="00271465"/>
    <w:rsid w:val="00272DF4"/>
    <w:rsid w:val="0027583D"/>
    <w:rsid w:val="00275DEF"/>
    <w:rsid w:val="00276B33"/>
    <w:rsid w:val="002812E3"/>
    <w:rsid w:val="002837AE"/>
    <w:rsid w:val="002853FA"/>
    <w:rsid w:val="00285412"/>
    <w:rsid w:val="00291640"/>
    <w:rsid w:val="0029237E"/>
    <w:rsid w:val="00292997"/>
    <w:rsid w:val="0029588F"/>
    <w:rsid w:val="00297256"/>
    <w:rsid w:val="00297D51"/>
    <w:rsid w:val="002A0122"/>
    <w:rsid w:val="002A016B"/>
    <w:rsid w:val="002A16D4"/>
    <w:rsid w:val="002A1E4F"/>
    <w:rsid w:val="002A230C"/>
    <w:rsid w:val="002A2AF7"/>
    <w:rsid w:val="002A3EA2"/>
    <w:rsid w:val="002A532A"/>
    <w:rsid w:val="002A5846"/>
    <w:rsid w:val="002A5D97"/>
    <w:rsid w:val="002A603E"/>
    <w:rsid w:val="002A63B9"/>
    <w:rsid w:val="002B4845"/>
    <w:rsid w:val="002C27A6"/>
    <w:rsid w:val="002C40D2"/>
    <w:rsid w:val="002C43BD"/>
    <w:rsid w:val="002D0E59"/>
    <w:rsid w:val="002E02A1"/>
    <w:rsid w:val="002E196A"/>
    <w:rsid w:val="002E20C7"/>
    <w:rsid w:val="002E222E"/>
    <w:rsid w:val="002E37D1"/>
    <w:rsid w:val="002E3BEE"/>
    <w:rsid w:val="002E4E4C"/>
    <w:rsid w:val="002E4EA7"/>
    <w:rsid w:val="002E5846"/>
    <w:rsid w:val="002F333D"/>
    <w:rsid w:val="002F351A"/>
    <w:rsid w:val="002F498A"/>
    <w:rsid w:val="002F4AD8"/>
    <w:rsid w:val="002F5820"/>
    <w:rsid w:val="00304771"/>
    <w:rsid w:val="003052D4"/>
    <w:rsid w:val="00306C5B"/>
    <w:rsid w:val="00307DB3"/>
    <w:rsid w:val="00307ED2"/>
    <w:rsid w:val="0031076D"/>
    <w:rsid w:val="00311AA6"/>
    <w:rsid w:val="00311C4D"/>
    <w:rsid w:val="003121AB"/>
    <w:rsid w:val="003153C8"/>
    <w:rsid w:val="00315524"/>
    <w:rsid w:val="0032058C"/>
    <w:rsid w:val="003209D6"/>
    <w:rsid w:val="003217B9"/>
    <w:rsid w:val="00321924"/>
    <w:rsid w:val="00321EB6"/>
    <w:rsid w:val="003220A5"/>
    <w:rsid w:val="0032656E"/>
    <w:rsid w:val="00332190"/>
    <w:rsid w:val="00333CD0"/>
    <w:rsid w:val="0033448D"/>
    <w:rsid w:val="00334AD2"/>
    <w:rsid w:val="003370C5"/>
    <w:rsid w:val="00341D26"/>
    <w:rsid w:val="00341F05"/>
    <w:rsid w:val="0034335E"/>
    <w:rsid w:val="00344668"/>
    <w:rsid w:val="003462D9"/>
    <w:rsid w:val="00352B43"/>
    <w:rsid w:val="00352C28"/>
    <w:rsid w:val="0036077F"/>
    <w:rsid w:val="00360C86"/>
    <w:rsid w:val="00360FBC"/>
    <w:rsid w:val="00361537"/>
    <w:rsid w:val="0036242A"/>
    <w:rsid w:val="00362E90"/>
    <w:rsid w:val="00364FA0"/>
    <w:rsid w:val="003657F3"/>
    <w:rsid w:val="00367F84"/>
    <w:rsid w:val="003712BC"/>
    <w:rsid w:val="003738BD"/>
    <w:rsid w:val="003746F0"/>
    <w:rsid w:val="00374A20"/>
    <w:rsid w:val="00374E21"/>
    <w:rsid w:val="003818DC"/>
    <w:rsid w:val="00383388"/>
    <w:rsid w:val="003834F8"/>
    <w:rsid w:val="003838D0"/>
    <w:rsid w:val="00384327"/>
    <w:rsid w:val="00385086"/>
    <w:rsid w:val="00385D98"/>
    <w:rsid w:val="003908A6"/>
    <w:rsid w:val="003927F6"/>
    <w:rsid w:val="003A04F6"/>
    <w:rsid w:val="003A2B4D"/>
    <w:rsid w:val="003A2D12"/>
    <w:rsid w:val="003A45E3"/>
    <w:rsid w:val="003A478C"/>
    <w:rsid w:val="003A5525"/>
    <w:rsid w:val="003A5889"/>
    <w:rsid w:val="003A6B38"/>
    <w:rsid w:val="003A6B83"/>
    <w:rsid w:val="003A722F"/>
    <w:rsid w:val="003B0DF4"/>
    <w:rsid w:val="003B1F9D"/>
    <w:rsid w:val="003B461F"/>
    <w:rsid w:val="003B4998"/>
    <w:rsid w:val="003B5A32"/>
    <w:rsid w:val="003C3490"/>
    <w:rsid w:val="003C6221"/>
    <w:rsid w:val="003C68CC"/>
    <w:rsid w:val="003C7E62"/>
    <w:rsid w:val="003D242B"/>
    <w:rsid w:val="003D2492"/>
    <w:rsid w:val="003D29AA"/>
    <w:rsid w:val="003D2A99"/>
    <w:rsid w:val="003D6920"/>
    <w:rsid w:val="003E4C91"/>
    <w:rsid w:val="003E52D8"/>
    <w:rsid w:val="003F313C"/>
    <w:rsid w:val="003F37FC"/>
    <w:rsid w:val="003F4B2C"/>
    <w:rsid w:val="003F551C"/>
    <w:rsid w:val="003F72ED"/>
    <w:rsid w:val="003F7D23"/>
    <w:rsid w:val="00400050"/>
    <w:rsid w:val="004002C8"/>
    <w:rsid w:val="00400468"/>
    <w:rsid w:val="0040099D"/>
    <w:rsid w:val="00402ADB"/>
    <w:rsid w:val="0040368D"/>
    <w:rsid w:val="004059D2"/>
    <w:rsid w:val="00406C2E"/>
    <w:rsid w:val="00406EB0"/>
    <w:rsid w:val="00407C13"/>
    <w:rsid w:val="00410638"/>
    <w:rsid w:val="00412511"/>
    <w:rsid w:val="004125C2"/>
    <w:rsid w:val="00412DFA"/>
    <w:rsid w:val="00413465"/>
    <w:rsid w:val="0041501E"/>
    <w:rsid w:val="004159C3"/>
    <w:rsid w:val="00415A57"/>
    <w:rsid w:val="00416DAC"/>
    <w:rsid w:val="00420880"/>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7490"/>
    <w:rsid w:val="00457953"/>
    <w:rsid w:val="00460FB3"/>
    <w:rsid w:val="00464851"/>
    <w:rsid w:val="00467B14"/>
    <w:rsid w:val="004707FE"/>
    <w:rsid w:val="0047276D"/>
    <w:rsid w:val="00472AF6"/>
    <w:rsid w:val="00474A04"/>
    <w:rsid w:val="00476240"/>
    <w:rsid w:val="00476439"/>
    <w:rsid w:val="0047735C"/>
    <w:rsid w:val="004776BC"/>
    <w:rsid w:val="00477820"/>
    <w:rsid w:val="00477B96"/>
    <w:rsid w:val="0048139F"/>
    <w:rsid w:val="00481E40"/>
    <w:rsid w:val="00482405"/>
    <w:rsid w:val="004826A7"/>
    <w:rsid w:val="0048368C"/>
    <w:rsid w:val="00484ECE"/>
    <w:rsid w:val="00486A4D"/>
    <w:rsid w:val="004915CB"/>
    <w:rsid w:val="004924DC"/>
    <w:rsid w:val="00492879"/>
    <w:rsid w:val="004A14E4"/>
    <w:rsid w:val="004A26A5"/>
    <w:rsid w:val="004A27F0"/>
    <w:rsid w:val="004A3212"/>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384C"/>
    <w:rsid w:val="004C3867"/>
    <w:rsid w:val="004C3DB0"/>
    <w:rsid w:val="004C4720"/>
    <w:rsid w:val="004C4CD0"/>
    <w:rsid w:val="004C5165"/>
    <w:rsid w:val="004C6E0E"/>
    <w:rsid w:val="004C70DC"/>
    <w:rsid w:val="004D0211"/>
    <w:rsid w:val="004D0794"/>
    <w:rsid w:val="004D5B0F"/>
    <w:rsid w:val="004E1A40"/>
    <w:rsid w:val="004E200A"/>
    <w:rsid w:val="004E23FC"/>
    <w:rsid w:val="004E6DE6"/>
    <w:rsid w:val="004E765E"/>
    <w:rsid w:val="004F06F5"/>
    <w:rsid w:val="004F12A4"/>
    <w:rsid w:val="004F253F"/>
    <w:rsid w:val="004F33A0"/>
    <w:rsid w:val="004F3BD2"/>
    <w:rsid w:val="00506603"/>
    <w:rsid w:val="0050689D"/>
    <w:rsid w:val="005108C0"/>
    <w:rsid w:val="0051094F"/>
    <w:rsid w:val="00511873"/>
    <w:rsid w:val="00512461"/>
    <w:rsid w:val="00512A2F"/>
    <w:rsid w:val="00513B7E"/>
    <w:rsid w:val="0051475D"/>
    <w:rsid w:val="00514B11"/>
    <w:rsid w:val="00515BE9"/>
    <w:rsid w:val="00515C74"/>
    <w:rsid w:val="00517113"/>
    <w:rsid w:val="0052007E"/>
    <w:rsid w:val="00522E01"/>
    <w:rsid w:val="0052337A"/>
    <w:rsid w:val="005246BE"/>
    <w:rsid w:val="00525137"/>
    <w:rsid w:val="005251DD"/>
    <w:rsid w:val="005301A6"/>
    <w:rsid w:val="00530A68"/>
    <w:rsid w:val="00532CE7"/>
    <w:rsid w:val="00532D8B"/>
    <w:rsid w:val="0053324C"/>
    <w:rsid w:val="00534A28"/>
    <w:rsid w:val="00535018"/>
    <w:rsid w:val="00537571"/>
    <w:rsid w:val="005410E2"/>
    <w:rsid w:val="00541508"/>
    <w:rsid w:val="00541AE3"/>
    <w:rsid w:val="00543498"/>
    <w:rsid w:val="00544BE5"/>
    <w:rsid w:val="00550160"/>
    <w:rsid w:val="00552F2C"/>
    <w:rsid w:val="00553A25"/>
    <w:rsid w:val="005547EB"/>
    <w:rsid w:val="005555E0"/>
    <w:rsid w:val="0055599F"/>
    <w:rsid w:val="00556D68"/>
    <w:rsid w:val="005570D6"/>
    <w:rsid w:val="00563EB8"/>
    <w:rsid w:val="005647BF"/>
    <w:rsid w:val="00564AF1"/>
    <w:rsid w:val="005655DB"/>
    <w:rsid w:val="00570BC3"/>
    <w:rsid w:val="0057182A"/>
    <w:rsid w:val="00571E59"/>
    <w:rsid w:val="00572079"/>
    <w:rsid w:val="00573602"/>
    <w:rsid w:val="0057364B"/>
    <w:rsid w:val="00574773"/>
    <w:rsid w:val="00577C07"/>
    <w:rsid w:val="00577DB1"/>
    <w:rsid w:val="00580DE7"/>
    <w:rsid w:val="00583E52"/>
    <w:rsid w:val="00583FFD"/>
    <w:rsid w:val="0058519A"/>
    <w:rsid w:val="005856BD"/>
    <w:rsid w:val="00590B28"/>
    <w:rsid w:val="005911BE"/>
    <w:rsid w:val="00591273"/>
    <w:rsid w:val="005927A4"/>
    <w:rsid w:val="00593152"/>
    <w:rsid w:val="005956A3"/>
    <w:rsid w:val="00595CAB"/>
    <w:rsid w:val="00597BBF"/>
    <w:rsid w:val="005A10F2"/>
    <w:rsid w:val="005A21E0"/>
    <w:rsid w:val="005A28FF"/>
    <w:rsid w:val="005A2C09"/>
    <w:rsid w:val="005A3778"/>
    <w:rsid w:val="005A3DF8"/>
    <w:rsid w:val="005A5549"/>
    <w:rsid w:val="005B121D"/>
    <w:rsid w:val="005B4853"/>
    <w:rsid w:val="005B6CA1"/>
    <w:rsid w:val="005B770C"/>
    <w:rsid w:val="005C06ED"/>
    <w:rsid w:val="005C11B8"/>
    <w:rsid w:val="005C2609"/>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5469"/>
    <w:rsid w:val="005F63F3"/>
    <w:rsid w:val="005F6D7F"/>
    <w:rsid w:val="00601EEF"/>
    <w:rsid w:val="00604307"/>
    <w:rsid w:val="0060487F"/>
    <w:rsid w:val="00604EAD"/>
    <w:rsid w:val="0060513F"/>
    <w:rsid w:val="006104FB"/>
    <w:rsid w:val="00612A2F"/>
    <w:rsid w:val="00612AAE"/>
    <w:rsid w:val="006139E0"/>
    <w:rsid w:val="006156B4"/>
    <w:rsid w:val="00615DAF"/>
    <w:rsid w:val="00616E05"/>
    <w:rsid w:val="00617985"/>
    <w:rsid w:val="00624093"/>
    <w:rsid w:val="00631698"/>
    <w:rsid w:val="00631E44"/>
    <w:rsid w:val="00634C57"/>
    <w:rsid w:val="00634CE7"/>
    <w:rsid w:val="006350D5"/>
    <w:rsid w:val="0063642C"/>
    <w:rsid w:val="00637858"/>
    <w:rsid w:val="006404A7"/>
    <w:rsid w:val="00640A38"/>
    <w:rsid w:val="00644137"/>
    <w:rsid w:val="0064478C"/>
    <w:rsid w:val="006451E4"/>
    <w:rsid w:val="00645B33"/>
    <w:rsid w:val="006516CB"/>
    <w:rsid w:val="00653BD0"/>
    <w:rsid w:val="00654110"/>
    <w:rsid w:val="00656CFB"/>
    <w:rsid w:val="00657E87"/>
    <w:rsid w:val="00660D2D"/>
    <w:rsid w:val="00662469"/>
    <w:rsid w:val="00664647"/>
    <w:rsid w:val="00664803"/>
    <w:rsid w:val="00665BA4"/>
    <w:rsid w:val="00667AF2"/>
    <w:rsid w:val="00670489"/>
    <w:rsid w:val="006710C9"/>
    <w:rsid w:val="006741CD"/>
    <w:rsid w:val="00674D89"/>
    <w:rsid w:val="00675E37"/>
    <w:rsid w:val="0067673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74AC"/>
    <w:rsid w:val="006B78D8"/>
    <w:rsid w:val="006B79EA"/>
    <w:rsid w:val="006C0C5D"/>
    <w:rsid w:val="006C113F"/>
    <w:rsid w:val="006C123E"/>
    <w:rsid w:val="006C15A1"/>
    <w:rsid w:val="006C1752"/>
    <w:rsid w:val="006C28CA"/>
    <w:rsid w:val="006C4355"/>
    <w:rsid w:val="006C469D"/>
    <w:rsid w:val="006C46B5"/>
    <w:rsid w:val="006C52EC"/>
    <w:rsid w:val="006C56D4"/>
    <w:rsid w:val="006C6681"/>
    <w:rsid w:val="006C683C"/>
    <w:rsid w:val="006C6924"/>
    <w:rsid w:val="006C6C1E"/>
    <w:rsid w:val="006C7CA6"/>
    <w:rsid w:val="006D18B3"/>
    <w:rsid w:val="006D3E8A"/>
    <w:rsid w:val="006D61F6"/>
    <w:rsid w:val="006E1332"/>
    <w:rsid w:val="006E279A"/>
    <w:rsid w:val="006E313B"/>
    <w:rsid w:val="006E3A45"/>
    <w:rsid w:val="006E53AD"/>
    <w:rsid w:val="006E7227"/>
    <w:rsid w:val="006F0741"/>
    <w:rsid w:val="006F1C27"/>
    <w:rsid w:val="006F42BB"/>
    <w:rsid w:val="006F438E"/>
    <w:rsid w:val="006F440B"/>
    <w:rsid w:val="006F5416"/>
    <w:rsid w:val="006F624B"/>
    <w:rsid w:val="0070398A"/>
    <w:rsid w:val="00705242"/>
    <w:rsid w:val="007055E0"/>
    <w:rsid w:val="007065C5"/>
    <w:rsid w:val="00706AA0"/>
    <w:rsid w:val="00706AD4"/>
    <w:rsid w:val="00707150"/>
    <w:rsid w:val="00713549"/>
    <w:rsid w:val="007140BE"/>
    <w:rsid w:val="00715E4D"/>
    <w:rsid w:val="00716F48"/>
    <w:rsid w:val="00717114"/>
    <w:rsid w:val="0071779F"/>
    <w:rsid w:val="007211F5"/>
    <w:rsid w:val="007240E2"/>
    <w:rsid w:val="0072583E"/>
    <w:rsid w:val="00725BB5"/>
    <w:rsid w:val="00727C02"/>
    <w:rsid w:val="00730AE8"/>
    <w:rsid w:val="00730F1B"/>
    <w:rsid w:val="0073186D"/>
    <w:rsid w:val="007343D9"/>
    <w:rsid w:val="00741493"/>
    <w:rsid w:val="007434E5"/>
    <w:rsid w:val="00752180"/>
    <w:rsid w:val="00752323"/>
    <w:rsid w:val="007532B7"/>
    <w:rsid w:val="00753CAB"/>
    <w:rsid w:val="00754A70"/>
    <w:rsid w:val="00755202"/>
    <w:rsid w:val="00755D3A"/>
    <w:rsid w:val="0075751D"/>
    <w:rsid w:val="007578D3"/>
    <w:rsid w:val="00760391"/>
    <w:rsid w:val="007609C6"/>
    <w:rsid w:val="007615F3"/>
    <w:rsid w:val="0076175D"/>
    <w:rsid w:val="00763B85"/>
    <w:rsid w:val="00764974"/>
    <w:rsid w:val="0076521E"/>
    <w:rsid w:val="007661E9"/>
    <w:rsid w:val="00767062"/>
    <w:rsid w:val="00771972"/>
    <w:rsid w:val="00774D2C"/>
    <w:rsid w:val="00776169"/>
    <w:rsid w:val="00776527"/>
    <w:rsid w:val="00777040"/>
    <w:rsid w:val="00777CE6"/>
    <w:rsid w:val="00780EF1"/>
    <w:rsid w:val="00781A91"/>
    <w:rsid w:val="00786C87"/>
    <w:rsid w:val="007877C9"/>
    <w:rsid w:val="00790764"/>
    <w:rsid w:val="0079085F"/>
    <w:rsid w:val="00791005"/>
    <w:rsid w:val="00793D78"/>
    <w:rsid w:val="0079453C"/>
    <w:rsid w:val="00794677"/>
    <w:rsid w:val="007A33E2"/>
    <w:rsid w:val="007A3CAF"/>
    <w:rsid w:val="007A516D"/>
    <w:rsid w:val="007A5E65"/>
    <w:rsid w:val="007A775D"/>
    <w:rsid w:val="007B0834"/>
    <w:rsid w:val="007B0E83"/>
    <w:rsid w:val="007B11FA"/>
    <w:rsid w:val="007B1396"/>
    <w:rsid w:val="007B2011"/>
    <w:rsid w:val="007B2CFE"/>
    <w:rsid w:val="007B3D5E"/>
    <w:rsid w:val="007B3DCB"/>
    <w:rsid w:val="007B5725"/>
    <w:rsid w:val="007B6689"/>
    <w:rsid w:val="007B6747"/>
    <w:rsid w:val="007B6F72"/>
    <w:rsid w:val="007C1F0C"/>
    <w:rsid w:val="007C1FFB"/>
    <w:rsid w:val="007C2D94"/>
    <w:rsid w:val="007C5F92"/>
    <w:rsid w:val="007C6227"/>
    <w:rsid w:val="007C6BBD"/>
    <w:rsid w:val="007D0382"/>
    <w:rsid w:val="007D1A1F"/>
    <w:rsid w:val="007D2E18"/>
    <w:rsid w:val="007D40DF"/>
    <w:rsid w:val="007D4458"/>
    <w:rsid w:val="007E0D4A"/>
    <w:rsid w:val="007E1788"/>
    <w:rsid w:val="007E29B4"/>
    <w:rsid w:val="007E435A"/>
    <w:rsid w:val="007E49F7"/>
    <w:rsid w:val="007E4C70"/>
    <w:rsid w:val="007E78B6"/>
    <w:rsid w:val="007E7E61"/>
    <w:rsid w:val="007F0845"/>
    <w:rsid w:val="007F20F3"/>
    <w:rsid w:val="007F2390"/>
    <w:rsid w:val="007F708D"/>
    <w:rsid w:val="008006B3"/>
    <w:rsid w:val="00801E13"/>
    <w:rsid w:val="00803069"/>
    <w:rsid w:val="0080734C"/>
    <w:rsid w:val="00807C82"/>
    <w:rsid w:val="008117CC"/>
    <w:rsid w:val="00813DCA"/>
    <w:rsid w:val="008161A6"/>
    <w:rsid w:val="00816905"/>
    <w:rsid w:val="00817A17"/>
    <w:rsid w:val="00817EC1"/>
    <w:rsid w:val="0082111D"/>
    <w:rsid w:val="0082112D"/>
    <w:rsid w:val="00821FF6"/>
    <w:rsid w:val="00822574"/>
    <w:rsid w:val="00825C4D"/>
    <w:rsid w:val="00826A08"/>
    <w:rsid w:val="00827186"/>
    <w:rsid w:val="00827C8E"/>
    <w:rsid w:val="00830AEA"/>
    <w:rsid w:val="00830E86"/>
    <w:rsid w:val="0083143E"/>
    <w:rsid w:val="008315D5"/>
    <w:rsid w:val="00831CDE"/>
    <w:rsid w:val="00834304"/>
    <w:rsid w:val="00834FAA"/>
    <w:rsid w:val="008354FB"/>
    <w:rsid w:val="00836086"/>
    <w:rsid w:val="0083630F"/>
    <w:rsid w:val="00836A06"/>
    <w:rsid w:val="008374BC"/>
    <w:rsid w:val="00840293"/>
    <w:rsid w:val="008417B5"/>
    <w:rsid w:val="00841901"/>
    <w:rsid w:val="008458BD"/>
    <w:rsid w:val="00846121"/>
    <w:rsid w:val="008466C6"/>
    <w:rsid w:val="0084708F"/>
    <w:rsid w:val="008477C8"/>
    <w:rsid w:val="008478A6"/>
    <w:rsid w:val="0085114D"/>
    <w:rsid w:val="008520A8"/>
    <w:rsid w:val="00852217"/>
    <w:rsid w:val="00855408"/>
    <w:rsid w:val="00856D65"/>
    <w:rsid w:val="00861B41"/>
    <w:rsid w:val="00861B9F"/>
    <w:rsid w:val="00861BE3"/>
    <w:rsid w:val="008625D3"/>
    <w:rsid w:val="00863434"/>
    <w:rsid w:val="008641AC"/>
    <w:rsid w:val="00865E4C"/>
    <w:rsid w:val="00867DAB"/>
    <w:rsid w:val="008701E4"/>
    <w:rsid w:val="008734E7"/>
    <w:rsid w:val="0087368D"/>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972D2"/>
    <w:rsid w:val="0089754C"/>
    <w:rsid w:val="008A0ADD"/>
    <w:rsid w:val="008A37E2"/>
    <w:rsid w:val="008A388E"/>
    <w:rsid w:val="008A3CBA"/>
    <w:rsid w:val="008A4B59"/>
    <w:rsid w:val="008B3C07"/>
    <w:rsid w:val="008B3F7B"/>
    <w:rsid w:val="008B6106"/>
    <w:rsid w:val="008B7C02"/>
    <w:rsid w:val="008B7D2B"/>
    <w:rsid w:val="008B7EF9"/>
    <w:rsid w:val="008C0049"/>
    <w:rsid w:val="008C0E88"/>
    <w:rsid w:val="008C4B50"/>
    <w:rsid w:val="008C7569"/>
    <w:rsid w:val="008D0DBD"/>
    <w:rsid w:val="008D127E"/>
    <w:rsid w:val="008D1CA8"/>
    <w:rsid w:val="008D1E6A"/>
    <w:rsid w:val="008D2A16"/>
    <w:rsid w:val="008D33F5"/>
    <w:rsid w:val="008D35E4"/>
    <w:rsid w:val="008E292B"/>
    <w:rsid w:val="008E2C57"/>
    <w:rsid w:val="008E31FF"/>
    <w:rsid w:val="008E6DCB"/>
    <w:rsid w:val="008E6F06"/>
    <w:rsid w:val="008E7B8E"/>
    <w:rsid w:val="008E7FC9"/>
    <w:rsid w:val="008F029B"/>
    <w:rsid w:val="008F2A5D"/>
    <w:rsid w:val="008F3636"/>
    <w:rsid w:val="008F3FC9"/>
    <w:rsid w:val="008F585B"/>
    <w:rsid w:val="009003A8"/>
    <w:rsid w:val="009021DA"/>
    <w:rsid w:val="00902500"/>
    <w:rsid w:val="00902EFF"/>
    <w:rsid w:val="0090432C"/>
    <w:rsid w:val="00904F96"/>
    <w:rsid w:val="009052A3"/>
    <w:rsid w:val="009056D7"/>
    <w:rsid w:val="00905B8D"/>
    <w:rsid w:val="00906401"/>
    <w:rsid w:val="0090786F"/>
    <w:rsid w:val="009110F7"/>
    <w:rsid w:val="0091155E"/>
    <w:rsid w:val="00912437"/>
    <w:rsid w:val="00912A92"/>
    <w:rsid w:val="00915D07"/>
    <w:rsid w:val="009162AE"/>
    <w:rsid w:val="00917251"/>
    <w:rsid w:val="0091728D"/>
    <w:rsid w:val="00920EC4"/>
    <w:rsid w:val="0092180B"/>
    <w:rsid w:val="00921F14"/>
    <w:rsid w:val="00923CB0"/>
    <w:rsid w:val="00924871"/>
    <w:rsid w:val="00924AC8"/>
    <w:rsid w:val="00925429"/>
    <w:rsid w:val="0092597A"/>
    <w:rsid w:val="00926520"/>
    <w:rsid w:val="0093033E"/>
    <w:rsid w:val="009305FC"/>
    <w:rsid w:val="00930FB1"/>
    <w:rsid w:val="0093139F"/>
    <w:rsid w:val="00932443"/>
    <w:rsid w:val="00933F4A"/>
    <w:rsid w:val="00935BD4"/>
    <w:rsid w:val="009373B2"/>
    <w:rsid w:val="00937AE2"/>
    <w:rsid w:val="0094416B"/>
    <w:rsid w:val="0094427A"/>
    <w:rsid w:val="00944C7C"/>
    <w:rsid w:val="00945245"/>
    <w:rsid w:val="00945523"/>
    <w:rsid w:val="009568DC"/>
    <w:rsid w:val="0095759C"/>
    <w:rsid w:val="009618EE"/>
    <w:rsid w:val="009624D2"/>
    <w:rsid w:val="009628D9"/>
    <w:rsid w:val="009637AE"/>
    <w:rsid w:val="00964776"/>
    <w:rsid w:val="00964A4E"/>
    <w:rsid w:val="00964B35"/>
    <w:rsid w:val="009651C7"/>
    <w:rsid w:val="00965797"/>
    <w:rsid w:val="00965A10"/>
    <w:rsid w:val="009670A3"/>
    <w:rsid w:val="009674BE"/>
    <w:rsid w:val="00971C77"/>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24F1"/>
    <w:rsid w:val="009A4D57"/>
    <w:rsid w:val="009A60D1"/>
    <w:rsid w:val="009A64F5"/>
    <w:rsid w:val="009B00D2"/>
    <w:rsid w:val="009B05B3"/>
    <w:rsid w:val="009B3764"/>
    <w:rsid w:val="009B66CE"/>
    <w:rsid w:val="009B6FD3"/>
    <w:rsid w:val="009B7DB2"/>
    <w:rsid w:val="009C1750"/>
    <w:rsid w:val="009C2E29"/>
    <w:rsid w:val="009C3E8F"/>
    <w:rsid w:val="009C554B"/>
    <w:rsid w:val="009C719E"/>
    <w:rsid w:val="009C7799"/>
    <w:rsid w:val="009D07A9"/>
    <w:rsid w:val="009D3ACD"/>
    <w:rsid w:val="009D7731"/>
    <w:rsid w:val="009E1922"/>
    <w:rsid w:val="009E4715"/>
    <w:rsid w:val="009E5273"/>
    <w:rsid w:val="009E57A8"/>
    <w:rsid w:val="009E5B85"/>
    <w:rsid w:val="009E5DDB"/>
    <w:rsid w:val="009F4982"/>
    <w:rsid w:val="009F4CA7"/>
    <w:rsid w:val="009F7D36"/>
    <w:rsid w:val="00A00E71"/>
    <w:rsid w:val="00A03B10"/>
    <w:rsid w:val="00A04616"/>
    <w:rsid w:val="00A04717"/>
    <w:rsid w:val="00A05EE4"/>
    <w:rsid w:val="00A10D66"/>
    <w:rsid w:val="00A14114"/>
    <w:rsid w:val="00A16413"/>
    <w:rsid w:val="00A16545"/>
    <w:rsid w:val="00A16AED"/>
    <w:rsid w:val="00A16E1D"/>
    <w:rsid w:val="00A17A15"/>
    <w:rsid w:val="00A17D5B"/>
    <w:rsid w:val="00A23E43"/>
    <w:rsid w:val="00A24ED9"/>
    <w:rsid w:val="00A25216"/>
    <w:rsid w:val="00A2628E"/>
    <w:rsid w:val="00A2731E"/>
    <w:rsid w:val="00A309AC"/>
    <w:rsid w:val="00A30F65"/>
    <w:rsid w:val="00A3279E"/>
    <w:rsid w:val="00A35900"/>
    <w:rsid w:val="00A40EAC"/>
    <w:rsid w:val="00A418BC"/>
    <w:rsid w:val="00A41FCF"/>
    <w:rsid w:val="00A43CF8"/>
    <w:rsid w:val="00A43DF2"/>
    <w:rsid w:val="00A445A8"/>
    <w:rsid w:val="00A44B0D"/>
    <w:rsid w:val="00A45087"/>
    <w:rsid w:val="00A45489"/>
    <w:rsid w:val="00A46DE0"/>
    <w:rsid w:val="00A50D73"/>
    <w:rsid w:val="00A52A88"/>
    <w:rsid w:val="00A52CAD"/>
    <w:rsid w:val="00A53FC7"/>
    <w:rsid w:val="00A55569"/>
    <w:rsid w:val="00A626FF"/>
    <w:rsid w:val="00A62CE1"/>
    <w:rsid w:val="00A655D3"/>
    <w:rsid w:val="00A662D9"/>
    <w:rsid w:val="00A6741E"/>
    <w:rsid w:val="00A7016A"/>
    <w:rsid w:val="00A7018D"/>
    <w:rsid w:val="00A722F9"/>
    <w:rsid w:val="00A72D42"/>
    <w:rsid w:val="00A75E40"/>
    <w:rsid w:val="00A77D1D"/>
    <w:rsid w:val="00A81652"/>
    <w:rsid w:val="00A83150"/>
    <w:rsid w:val="00A83398"/>
    <w:rsid w:val="00A857C0"/>
    <w:rsid w:val="00A90FED"/>
    <w:rsid w:val="00A9189D"/>
    <w:rsid w:val="00A91E71"/>
    <w:rsid w:val="00A925B1"/>
    <w:rsid w:val="00A96116"/>
    <w:rsid w:val="00A9614E"/>
    <w:rsid w:val="00A96C0F"/>
    <w:rsid w:val="00AA212F"/>
    <w:rsid w:val="00AA2996"/>
    <w:rsid w:val="00AA2AF4"/>
    <w:rsid w:val="00AA52BF"/>
    <w:rsid w:val="00AA559A"/>
    <w:rsid w:val="00AA6C31"/>
    <w:rsid w:val="00AA7CE8"/>
    <w:rsid w:val="00AB2AF1"/>
    <w:rsid w:val="00AB5A64"/>
    <w:rsid w:val="00AB5CA1"/>
    <w:rsid w:val="00AB6456"/>
    <w:rsid w:val="00AC044E"/>
    <w:rsid w:val="00AC2395"/>
    <w:rsid w:val="00AC2960"/>
    <w:rsid w:val="00AC2AC4"/>
    <w:rsid w:val="00AC4284"/>
    <w:rsid w:val="00AC45BD"/>
    <w:rsid w:val="00AD0EE7"/>
    <w:rsid w:val="00AD168E"/>
    <w:rsid w:val="00AD306C"/>
    <w:rsid w:val="00AD5AD2"/>
    <w:rsid w:val="00AD6462"/>
    <w:rsid w:val="00AD66C5"/>
    <w:rsid w:val="00AD68C4"/>
    <w:rsid w:val="00AD71F9"/>
    <w:rsid w:val="00AE09B3"/>
    <w:rsid w:val="00AE1A83"/>
    <w:rsid w:val="00AE7CE7"/>
    <w:rsid w:val="00AE7FAB"/>
    <w:rsid w:val="00AF1E87"/>
    <w:rsid w:val="00AF436B"/>
    <w:rsid w:val="00AF5179"/>
    <w:rsid w:val="00AF5CC2"/>
    <w:rsid w:val="00AF6776"/>
    <w:rsid w:val="00AF6F98"/>
    <w:rsid w:val="00B00913"/>
    <w:rsid w:val="00B01593"/>
    <w:rsid w:val="00B01FF9"/>
    <w:rsid w:val="00B023F2"/>
    <w:rsid w:val="00B06DB4"/>
    <w:rsid w:val="00B10A4D"/>
    <w:rsid w:val="00B10C90"/>
    <w:rsid w:val="00B11002"/>
    <w:rsid w:val="00B121B2"/>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7D3A"/>
    <w:rsid w:val="00B402FC"/>
    <w:rsid w:val="00B422E2"/>
    <w:rsid w:val="00B439DA"/>
    <w:rsid w:val="00B4411A"/>
    <w:rsid w:val="00B46604"/>
    <w:rsid w:val="00B47089"/>
    <w:rsid w:val="00B52151"/>
    <w:rsid w:val="00B530CD"/>
    <w:rsid w:val="00B53E56"/>
    <w:rsid w:val="00B55A97"/>
    <w:rsid w:val="00B55F5E"/>
    <w:rsid w:val="00B56B6F"/>
    <w:rsid w:val="00B5752E"/>
    <w:rsid w:val="00B62316"/>
    <w:rsid w:val="00B63A11"/>
    <w:rsid w:val="00B64425"/>
    <w:rsid w:val="00B64C24"/>
    <w:rsid w:val="00B65CEF"/>
    <w:rsid w:val="00B6608F"/>
    <w:rsid w:val="00B679FB"/>
    <w:rsid w:val="00B7680F"/>
    <w:rsid w:val="00B76D1E"/>
    <w:rsid w:val="00B77543"/>
    <w:rsid w:val="00B80EC6"/>
    <w:rsid w:val="00B81288"/>
    <w:rsid w:val="00B81D70"/>
    <w:rsid w:val="00B83E07"/>
    <w:rsid w:val="00B84CF6"/>
    <w:rsid w:val="00B85016"/>
    <w:rsid w:val="00B8561A"/>
    <w:rsid w:val="00B92D1D"/>
    <w:rsid w:val="00B938C5"/>
    <w:rsid w:val="00B95940"/>
    <w:rsid w:val="00B95ACA"/>
    <w:rsid w:val="00B97ACC"/>
    <w:rsid w:val="00BA3787"/>
    <w:rsid w:val="00BA46E8"/>
    <w:rsid w:val="00BA6436"/>
    <w:rsid w:val="00BA684E"/>
    <w:rsid w:val="00BA6C2B"/>
    <w:rsid w:val="00BA7B64"/>
    <w:rsid w:val="00BB02A3"/>
    <w:rsid w:val="00BB0351"/>
    <w:rsid w:val="00BB15C3"/>
    <w:rsid w:val="00BB1AF4"/>
    <w:rsid w:val="00BB46F3"/>
    <w:rsid w:val="00BB4CB1"/>
    <w:rsid w:val="00BB4F98"/>
    <w:rsid w:val="00BB5ABF"/>
    <w:rsid w:val="00BB6EA2"/>
    <w:rsid w:val="00BB7B5B"/>
    <w:rsid w:val="00BC003F"/>
    <w:rsid w:val="00BC327F"/>
    <w:rsid w:val="00BC5332"/>
    <w:rsid w:val="00BC5C12"/>
    <w:rsid w:val="00BC7154"/>
    <w:rsid w:val="00BC731E"/>
    <w:rsid w:val="00BC7614"/>
    <w:rsid w:val="00BD25BB"/>
    <w:rsid w:val="00BD2AF8"/>
    <w:rsid w:val="00BD366B"/>
    <w:rsid w:val="00BD6C75"/>
    <w:rsid w:val="00BD6D50"/>
    <w:rsid w:val="00BE0AD1"/>
    <w:rsid w:val="00BE0EF9"/>
    <w:rsid w:val="00BE18B9"/>
    <w:rsid w:val="00BE190A"/>
    <w:rsid w:val="00BE2495"/>
    <w:rsid w:val="00BE24DD"/>
    <w:rsid w:val="00BE386D"/>
    <w:rsid w:val="00BF02C8"/>
    <w:rsid w:val="00BF1578"/>
    <w:rsid w:val="00BF1D12"/>
    <w:rsid w:val="00BF1D3A"/>
    <w:rsid w:val="00BF2B5B"/>
    <w:rsid w:val="00BF32DC"/>
    <w:rsid w:val="00BF4E43"/>
    <w:rsid w:val="00BF5C4C"/>
    <w:rsid w:val="00C01410"/>
    <w:rsid w:val="00C04B78"/>
    <w:rsid w:val="00C052AA"/>
    <w:rsid w:val="00C06EE3"/>
    <w:rsid w:val="00C07749"/>
    <w:rsid w:val="00C11D48"/>
    <w:rsid w:val="00C1493E"/>
    <w:rsid w:val="00C15DBD"/>
    <w:rsid w:val="00C21430"/>
    <w:rsid w:val="00C21E61"/>
    <w:rsid w:val="00C21F94"/>
    <w:rsid w:val="00C2479A"/>
    <w:rsid w:val="00C24903"/>
    <w:rsid w:val="00C2590D"/>
    <w:rsid w:val="00C27913"/>
    <w:rsid w:val="00C31F21"/>
    <w:rsid w:val="00C33311"/>
    <w:rsid w:val="00C33B68"/>
    <w:rsid w:val="00C35570"/>
    <w:rsid w:val="00C36A79"/>
    <w:rsid w:val="00C401D2"/>
    <w:rsid w:val="00C4031A"/>
    <w:rsid w:val="00C405D4"/>
    <w:rsid w:val="00C419D5"/>
    <w:rsid w:val="00C4513B"/>
    <w:rsid w:val="00C45E72"/>
    <w:rsid w:val="00C5390B"/>
    <w:rsid w:val="00C54697"/>
    <w:rsid w:val="00C553A5"/>
    <w:rsid w:val="00C55402"/>
    <w:rsid w:val="00C5603B"/>
    <w:rsid w:val="00C61F47"/>
    <w:rsid w:val="00C62828"/>
    <w:rsid w:val="00C71D2F"/>
    <w:rsid w:val="00C72984"/>
    <w:rsid w:val="00C73885"/>
    <w:rsid w:val="00C73C93"/>
    <w:rsid w:val="00C7435A"/>
    <w:rsid w:val="00C747B1"/>
    <w:rsid w:val="00C82191"/>
    <w:rsid w:val="00C83134"/>
    <w:rsid w:val="00C832F3"/>
    <w:rsid w:val="00C85545"/>
    <w:rsid w:val="00C855B5"/>
    <w:rsid w:val="00C85F0E"/>
    <w:rsid w:val="00C90CF4"/>
    <w:rsid w:val="00C922DE"/>
    <w:rsid w:val="00C92843"/>
    <w:rsid w:val="00C92EB6"/>
    <w:rsid w:val="00C93389"/>
    <w:rsid w:val="00CA0346"/>
    <w:rsid w:val="00CA37FF"/>
    <w:rsid w:val="00CA6AB4"/>
    <w:rsid w:val="00CB2351"/>
    <w:rsid w:val="00CB4930"/>
    <w:rsid w:val="00CB5E10"/>
    <w:rsid w:val="00CC0834"/>
    <w:rsid w:val="00CC20FE"/>
    <w:rsid w:val="00CC2E7D"/>
    <w:rsid w:val="00CC655F"/>
    <w:rsid w:val="00CC6FE5"/>
    <w:rsid w:val="00CC76BD"/>
    <w:rsid w:val="00CD10A5"/>
    <w:rsid w:val="00CD1129"/>
    <w:rsid w:val="00CD1A80"/>
    <w:rsid w:val="00CD2076"/>
    <w:rsid w:val="00CD24CE"/>
    <w:rsid w:val="00CD29B5"/>
    <w:rsid w:val="00CD2B78"/>
    <w:rsid w:val="00CD5C3E"/>
    <w:rsid w:val="00CD6331"/>
    <w:rsid w:val="00CE14BE"/>
    <w:rsid w:val="00CE1BA9"/>
    <w:rsid w:val="00CE2D8F"/>
    <w:rsid w:val="00CE62FA"/>
    <w:rsid w:val="00CE670B"/>
    <w:rsid w:val="00CE6833"/>
    <w:rsid w:val="00CF4908"/>
    <w:rsid w:val="00CF51EC"/>
    <w:rsid w:val="00CF545D"/>
    <w:rsid w:val="00CF5873"/>
    <w:rsid w:val="00CF73AE"/>
    <w:rsid w:val="00D03A72"/>
    <w:rsid w:val="00D040DD"/>
    <w:rsid w:val="00D05C65"/>
    <w:rsid w:val="00D06D68"/>
    <w:rsid w:val="00D075BE"/>
    <w:rsid w:val="00D10C15"/>
    <w:rsid w:val="00D12C25"/>
    <w:rsid w:val="00D133B4"/>
    <w:rsid w:val="00D13986"/>
    <w:rsid w:val="00D14C5B"/>
    <w:rsid w:val="00D15FED"/>
    <w:rsid w:val="00D214EF"/>
    <w:rsid w:val="00D21D6D"/>
    <w:rsid w:val="00D21D83"/>
    <w:rsid w:val="00D235B7"/>
    <w:rsid w:val="00D25F28"/>
    <w:rsid w:val="00D26071"/>
    <w:rsid w:val="00D27973"/>
    <w:rsid w:val="00D31E1E"/>
    <w:rsid w:val="00D334E2"/>
    <w:rsid w:val="00D35BBB"/>
    <w:rsid w:val="00D35E1A"/>
    <w:rsid w:val="00D36DFB"/>
    <w:rsid w:val="00D36E1C"/>
    <w:rsid w:val="00D373AF"/>
    <w:rsid w:val="00D40556"/>
    <w:rsid w:val="00D41F74"/>
    <w:rsid w:val="00D43ED2"/>
    <w:rsid w:val="00D50F46"/>
    <w:rsid w:val="00D544E7"/>
    <w:rsid w:val="00D56FBF"/>
    <w:rsid w:val="00D57677"/>
    <w:rsid w:val="00D60415"/>
    <w:rsid w:val="00D63BE5"/>
    <w:rsid w:val="00D6475F"/>
    <w:rsid w:val="00D66223"/>
    <w:rsid w:val="00D70822"/>
    <w:rsid w:val="00D72076"/>
    <w:rsid w:val="00D726A9"/>
    <w:rsid w:val="00D743E0"/>
    <w:rsid w:val="00D77252"/>
    <w:rsid w:val="00D8084C"/>
    <w:rsid w:val="00D82EF1"/>
    <w:rsid w:val="00D84F43"/>
    <w:rsid w:val="00D85821"/>
    <w:rsid w:val="00D8598C"/>
    <w:rsid w:val="00D87C06"/>
    <w:rsid w:val="00D915EA"/>
    <w:rsid w:val="00D922A1"/>
    <w:rsid w:val="00D928BE"/>
    <w:rsid w:val="00D95C5D"/>
    <w:rsid w:val="00D97D00"/>
    <w:rsid w:val="00DA096C"/>
    <w:rsid w:val="00DA1AB6"/>
    <w:rsid w:val="00DA5F8E"/>
    <w:rsid w:val="00DA6364"/>
    <w:rsid w:val="00DA7114"/>
    <w:rsid w:val="00DA7C0C"/>
    <w:rsid w:val="00DB08A9"/>
    <w:rsid w:val="00DB2DFA"/>
    <w:rsid w:val="00DB2EC8"/>
    <w:rsid w:val="00DB5E9A"/>
    <w:rsid w:val="00DB657E"/>
    <w:rsid w:val="00DB7342"/>
    <w:rsid w:val="00DC17D0"/>
    <w:rsid w:val="00DC2B41"/>
    <w:rsid w:val="00DC435B"/>
    <w:rsid w:val="00DC56FE"/>
    <w:rsid w:val="00DC5B3B"/>
    <w:rsid w:val="00DC6C2D"/>
    <w:rsid w:val="00DC7B1A"/>
    <w:rsid w:val="00DD129F"/>
    <w:rsid w:val="00DD32DD"/>
    <w:rsid w:val="00DE0D8B"/>
    <w:rsid w:val="00DF3643"/>
    <w:rsid w:val="00DF42FF"/>
    <w:rsid w:val="00DF4369"/>
    <w:rsid w:val="00DF4423"/>
    <w:rsid w:val="00DF5D1E"/>
    <w:rsid w:val="00E01C0E"/>
    <w:rsid w:val="00E0368F"/>
    <w:rsid w:val="00E03D73"/>
    <w:rsid w:val="00E03F9A"/>
    <w:rsid w:val="00E04694"/>
    <w:rsid w:val="00E129E7"/>
    <w:rsid w:val="00E12ABE"/>
    <w:rsid w:val="00E12B1E"/>
    <w:rsid w:val="00E1444C"/>
    <w:rsid w:val="00E17262"/>
    <w:rsid w:val="00E20016"/>
    <w:rsid w:val="00E2009B"/>
    <w:rsid w:val="00E2251C"/>
    <w:rsid w:val="00E2363D"/>
    <w:rsid w:val="00E253A2"/>
    <w:rsid w:val="00E27127"/>
    <w:rsid w:val="00E27233"/>
    <w:rsid w:val="00E31771"/>
    <w:rsid w:val="00E32080"/>
    <w:rsid w:val="00E3309D"/>
    <w:rsid w:val="00E417BE"/>
    <w:rsid w:val="00E41CD5"/>
    <w:rsid w:val="00E43A9E"/>
    <w:rsid w:val="00E453F9"/>
    <w:rsid w:val="00E45D7D"/>
    <w:rsid w:val="00E4665D"/>
    <w:rsid w:val="00E47854"/>
    <w:rsid w:val="00E47EBA"/>
    <w:rsid w:val="00E50156"/>
    <w:rsid w:val="00E5076C"/>
    <w:rsid w:val="00E50D2E"/>
    <w:rsid w:val="00E53470"/>
    <w:rsid w:val="00E539F6"/>
    <w:rsid w:val="00E54698"/>
    <w:rsid w:val="00E55791"/>
    <w:rsid w:val="00E578A2"/>
    <w:rsid w:val="00E61740"/>
    <w:rsid w:val="00E61EB5"/>
    <w:rsid w:val="00E6519D"/>
    <w:rsid w:val="00E66062"/>
    <w:rsid w:val="00E67305"/>
    <w:rsid w:val="00E67696"/>
    <w:rsid w:val="00E71A58"/>
    <w:rsid w:val="00E72A26"/>
    <w:rsid w:val="00E72A7A"/>
    <w:rsid w:val="00E747DC"/>
    <w:rsid w:val="00E75C94"/>
    <w:rsid w:val="00E76B9B"/>
    <w:rsid w:val="00E76E61"/>
    <w:rsid w:val="00E80CA3"/>
    <w:rsid w:val="00E82618"/>
    <w:rsid w:val="00E90CA8"/>
    <w:rsid w:val="00E930A1"/>
    <w:rsid w:val="00E93820"/>
    <w:rsid w:val="00E94A86"/>
    <w:rsid w:val="00E96143"/>
    <w:rsid w:val="00E96833"/>
    <w:rsid w:val="00EA0C68"/>
    <w:rsid w:val="00EA2841"/>
    <w:rsid w:val="00EA32BC"/>
    <w:rsid w:val="00EA35A7"/>
    <w:rsid w:val="00EA3B32"/>
    <w:rsid w:val="00EA4402"/>
    <w:rsid w:val="00EA513E"/>
    <w:rsid w:val="00EB0E32"/>
    <w:rsid w:val="00EB4511"/>
    <w:rsid w:val="00EB4A8E"/>
    <w:rsid w:val="00EB5BF7"/>
    <w:rsid w:val="00EB5E79"/>
    <w:rsid w:val="00EB6FAC"/>
    <w:rsid w:val="00EC03D7"/>
    <w:rsid w:val="00EC13A7"/>
    <w:rsid w:val="00ED0EF0"/>
    <w:rsid w:val="00ED12B9"/>
    <w:rsid w:val="00ED16B8"/>
    <w:rsid w:val="00ED2EA1"/>
    <w:rsid w:val="00ED4D04"/>
    <w:rsid w:val="00ED62C6"/>
    <w:rsid w:val="00ED64C1"/>
    <w:rsid w:val="00EE3446"/>
    <w:rsid w:val="00EE3E78"/>
    <w:rsid w:val="00EE4B1B"/>
    <w:rsid w:val="00EE5FBA"/>
    <w:rsid w:val="00EE6E06"/>
    <w:rsid w:val="00EF150D"/>
    <w:rsid w:val="00EF1F5A"/>
    <w:rsid w:val="00EF47BF"/>
    <w:rsid w:val="00EF5A13"/>
    <w:rsid w:val="00EF5FF9"/>
    <w:rsid w:val="00F0160B"/>
    <w:rsid w:val="00F03F8D"/>
    <w:rsid w:val="00F04811"/>
    <w:rsid w:val="00F0488C"/>
    <w:rsid w:val="00F073ED"/>
    <w:rsid w:val="00F07C4C"/>
    <w:rsid w:val="00F10F11"/>
    <w:rsid w:val="00F12CFB"/>
    <w:rsid w:val="00F15AAA"/>
    <w:rsid w:val="00F15BEF"/>
    <w:rsid w:val="00F17898"/>
    <w:rsid w:val="00F207C2"/>
    <w:rsid w:val="00F219A1"/>
    <w:rsid w:val="00F23E20"/>
    <w:rsid w:val="00F24407"/>
    <w:rsid w:val="00F24FAA"/>
    <w:rsid w:val="00F25040"/>
    <w:rsid w:val="00F27071"/>
    <w:rsid w:val="00F27331"/>
    <w:rsid w:val="00F27EE5"/>
    <w:rsid w:val="00F30C65"/>
    <w:rsid w:val="00F3364D"/>
    <w:rsid w:val="00F349BF"/>
    <w:rsid w:val="00F4367B"/>
    <w:rsid w:val="00F437CC"/>
    <w:rsid w:val="00F44537"/>
    <w:rsid w:val="00F46185"/>
    <w:rsid w:val="00F46423"/>
    <w:rsid w:val="00F4696A"/>
    <w:rsid w:val="00F47067"/>
    <w:rsid w:val="00F525EB"/>
    <w:rsid w:val="00F52CB5"/>
    <w:rsid w:val="00F63AAE"/>
    <w:rsid w:val="00F63DDE"/>
    <w:rsid w:val="00F63FB7"/>
    <w:rsid w:val="00F6421B"/>
    <w:rsid w:val="00F649D2"/>
    <w:rsid w:val="00F6602B"/>
    <w:rsid w:val="00F7150B"/>
    <w:rsid w:val="00F73A0C"/>
    <w:rsid w:val="00F756DB"/>
    <w:rsid w:val="00F767A8"/>
    <w:rsid w:val="00F84E7D"/>
    <w:rsid w:val="00F85066"/>
    <w:rsid w:val="00F87A4D"/>
    <w:rsid w:val="00F93688"/>
    <w:rsid w:val="00F939F3"/>
    <w:rsid w:val="00FA0105"/>
    <w:rsid w:val="00FA05A0"/>
    <w:rsid w:val="00FA17CC"/>
    <w:rsid w:val="00FA1F01"/>
    <w:rsid w:val="00FA5112"/>
    <w:rsid w:val="00FA5526"/>
    <w:rsid w:val="00FA5D4D"/>
    <w:rsid w:val="00FA70D3"/>
    <w:rsid w:val="00FB0AEA"/>
    <w:rsid w:val="00FB0EE2"/>
    <w:rsid w:val="00FB1A79"/>
    <w:rsid w:val="00FB208B"/>
    <w:rsid w:val="00FB2B2D"/>
    <w:rsid w:val="00FB542E"/>
    <w:rsid w:val="00FB7DBB"/>
    <w:rsid w:val="00FC05F8"/>
    <w:rsid w:val="00FC0E5F"/>
    <w:rsid w:val="00FC1A95"/>
    <w:rsid w:val="00FC3BEC"/>
    <w:rsid w:val="00FC440B"/>
    <w:rsid w:val="00FC56DE"/>
    <w:rsid w:val="00FC64DE"/>
    <w:rsid w:val="00FC684B"/>
    <w:rsid w:val="00FC7D98"/>
    <w:rsid w:val="00FD1135"/>
    <w:rsid w:val="00FD3265"/>
    <w:rsid w:val="00FD3CF7"/>
    <w:rsid w:val="00FD4916"/>
    <w:rsid w:val="00FD4D12"/>
    <w:rsid w:val="00FE27C7"/>
    <w:rsid w:val="00FE2C7E"/>
    <w:rsid w:val="00FE2F78"/>
    <w:rsid w:val="00FE3137"/>
    <w:rsid w:val="00FE48E4"/>
    <w:rsid w:val="00FE634C"/>
    <w:rsid w:val="00FE6E69"/>
    <w:rsid w:val="00FF3D76"/>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01E-2"/>
          <c:w val="0.93617042384329663"/>
          <c:h val="0.74192840256672143"/>
        </c:manualLayout>
      </c:layout>
      <c:barChart>
        <c:barDir val="col"/>
        <c:grouping val="clustered"/>
        <c:ser>
          <c:idx val="0"/>
          <c:order val="0"/>
          <c:tx>
            <c:strRef>
              <c:f>'souhrnná výkonnost 1'!$C$4</c:f>
              <c:strCache>
                <c:ptCount val="1"/>
                <c:pt idx="0">
                  <c:v>ČR meziroční změna</c:v>
                </c:pt>
              </c:strCache>
            </c:strRef>
          </c:tx>
          <c:spPr>
            <a:solidFill>
              <a:srgbClr val="A6A6A6"/>
            </a:solidFill>
            <a:ln>
              <a:noFill/>
            </a:ln>
          </c:spP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1'!$C$9:$C$31</c:f>
              <c:numCache>
                <c:formatCode>#,##0.0</c:formatCode>
                <c:ptCount val="23"/>
                <c:pt idx="0">
                  <c:v>-1.8</c:v>
                </c:pt>
                <c:pt idx="1">
                  <c:v>-1.1000000000000001</c:v>
                </c:pt>
                <c:pt idx="2">
                  <c:v>-0.30000000000000032</c:v>
                </c:pt>
                <c:pt idx="3">
                  <c:v>1.3</c:v>
                </c:pt>
                <c:pt idx="4">
                  <c:v>1.599692644421808</c:v>
                </c:pt>
                <c:pt idx="5">
                  <c:v>2.4019552100365473</c:v>
                </c:pt>
                <c:pt idx="6">
                  <c:v>3.4030564515715742</c:v>
                </c:pt>
                <c:pt idx="7">
                  <c:v>3.4380052076485867</c:v>
                </c:pt>
                <c:pt idx="8">
                  <c:v>5.2550726107844694</c:v>
                </c:pt>
                <c:pt idx="9">
                  <c:v>5.7987847820089087</c:v>
                </c:pt>
                <c:pt idx="10">
                  <c:v>5.5707669225332523</c:v>
                </c:pt>
                <c:pt idx="11">
                  <c:v>4.9148252973919755</c:v>
                </c:pt>
                <c:pt idx="12">
                  <c:v>3.5623906099722142</c:v>
                </c:pt>
                <c:pt idx="13">
                  <c:v>2.4146777549828045</c:v>
                </c:pt>
                <c:pt idx="14">
                  <c:v>1.6940486553423995</c:v>
                </c:pt>
                <c:pt idx="15">
                  <c:v>1.803752537221833</c:v>
                </c:pt>
                <c:pt idx="16">
                  <c:v>2.8712499788678167</c:v>
                </c:pt>
                <c:pt idx="17">
                  <c:v>4.9310728663161996</c:v>
                </c:pt>
                <c:pt idx="18">
                  <c:v>5.0995207171135633</c:v>
                </c:pt>
                <c:pt idx="19">
                  <c:v>4.9881960614611103</c:v>
                </c:pt>
                <c:pt idx="20">
                  <c:v>4.0922025174160375</c:v>
                </c:pt>
                <c:pt idx="21" formatCode="General">
                  <c:v>2.3962322301197574</c:v>
                </c:pt>
                <c:pt idx="22" formatCode="General">
                  <c:v>2.4370477383683071</c:v>
                </c:pt>
              </c:numCache>
            </c:numRef>
          </c:val>
          <c:extLst xmlns:c16r2="http://schemas.microsoft.com/office/drawing/2015/06/chart">
            <c:ext xmlns:c16="http://schemas.microsoft.com/office/drawing/2014/chart" uri="{C3380CC4-5D6E-409C-BE32-E72D297353CC}">
              <c16:uniqueId val="{00000000-D1C0-40E4-8E39-F6472427424F}"/>
            </c:ext>
          </c:extLst>
        </c:ser>
        <c:ser>
          <c:idx val="1"/>
          <c:order val="1"/>
          <c:tx>
            <c:strRef>
              <c:f>'souhrnná výkonnost 1'!$D$4</c:f>
              <c:strCache>
                <c:ptCount val="1"/>
                <c:pt idx="0">
                  <c:v>EU28 meziroční změna</c:v>
                </c:pt>
              </c:strCache>
            </c:strRef>
          </c:tx>
          <c:spPr>
            <a:solidFill>
              <a:srgbClr val="808080"/>
            </a:solidFill>
            <a:ln>
              <a:noFill/>
            </a:ln>
          </c:spP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1'!$D$9:$D$31</c:f>
              <c:numCache>
                <c:formatCode>#,##0.0</c:formatCode>
                <c:ptCount val="23"/>
                <c:pt idx="0">
                  <c:v>-0.60000000000000064</c:v>
                </c:pt>
                <c:pt idx="1">
                  <c:v>0.1</c:v>
                </c:pt>
                <c:pt idx="2">
                  <c:v>0.5</c:v>
                </c:pt>
                <c:pt idx="3">
                  <c:v>1.2</c:v>
                </c:pt>
                <c:pt idx="4">
                  <c:v>1.8</c:v>
                </c:pt>
                <c:pt idx="5">
                  <c:v>1.6</c:v>
                </c:pt>
                <c:pt idx="6">
                  <c:v>1.7000000000000006</c:v>
                </c:pt>
                <c:pt idx="7">
                  <c:v>1.9000000000000001</c:v>
                </c:pt>
                <c:pt idx="8">
                  <c:v>2.2000000000000002</c:v>
                </c:pt>
                <c:pt idx="9">
                  <c:v>2.2999999999999998</c:v>
                </c:pt>
                <c:pt idx="10">
                  <c:v>2.2000000000000002</c:v>
                </c:pt>
                <c:pt idx="11">
                  <c:v>2.2000000000000002</c:v>
                </c:pt>
                <c:pt idx="12">
                  <c:v>2</c:v>
                </c:pt>
                <c:pt idx="13">
                  <c:v>1.9000000000000001</c:v>
                </c:pt>
                <c:pt idx="14">
                  <c:v>1.8</c:v>
                </c:pt>
                <c:pt idx="15">
                  <c:v>2.1</c:v>
                </c:pt>
                <c:pt idx="16">
                  <c:v>2.2000000000000002</c:v>
                </c:pt>
                <c:pt idx="17">
                  <c:v>2.5</c:v>
                </c:pt>
                <c:pt idx="18">
                  <c:v>2.8</c:v>
                </c:pt>
                <c:pt idx="19">
                  <c:v>2.6</c:v>
                </c:pt>
                <c:pt idx="20">
                  <c:v>2.2999999999999998</c:v>
                </c:pt>
                <c:pt idx="21">
                  <c:v>2.1</c:v>
                </c:pt>
                <c:pt idx="22">
                  <c:v>1.9000000000000001</c:v>
                </c:pt>
              </c:numCache>
            </c:numRef>
          </c:val>
          <c:extLst xmlns:c16r2="http://schemas.microsoft.com/office/drawing/2015/06/chart">
            <c:ext xmlns:c16="http://schemas.microsoft.com/office/drawing/2014/chart" uri="{C3380CC4-5D6E-409C-BE32-E72D297353CC}">
              <c16:uniqueId val="{00000001-D1C0-40E4-8E39-F6472427424F}"/>
            </c:ext>
          </c:extLst>
        </c:ser>
        <c:gapWidth val="100"/>
        <c:axId val="149353216"/>
        <c:axId val="149733760"/>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1'!$E$9:$E$31</c:f>
              <c:numCache>
                <c:formatCode>#,##0.0</c:formatCode>
                <c:ptCount val="23"/>
                <c:pt idx="0">
                  <c:v>-0.5</c:v>
                </c:pt>
                <c:pt idx="1">
                  <c:v>0.2</c:v>
                </c:pt>
                <c:pt idx="2">
                  <c:v>0.30000000000000032</c:v>
                </c:pt>
                <c:pt idx="3">
                  <c:v>1.3</c:v>
                </c:pt>
                <c:pt idx="4">
                  <c:v>-0.15199361076162332</c:v>
                </c:pt>
                <c:pt idx="5">
                  <c:v>0.94354943170505123</c:v>
                </c:pt>
                <c:pt idx="6">
                  <c:v>1.3008267106148752</c:v>
                </c:pt>
                <c:pt idx="7">
                  <c:v>1.3092680104703618</c:v>
                </c:pt>
                <c:pt idx="8">
                  <c:v>1.6020092561128079</c:v>
                </c:pt>
                <c:pt idx="9">
                  <c:v>1.4649897297471739</c:v>
                </c:pt>
                <c:pt idx="10">
                  <c:v>1.0825028639160732</c:v>
                </c:pt>
                <c:pt idx="11">
                  <c:v>0.67980430723309282</c:v>
                </c:pt>
                <c:pt idx="12">
                  <c:v>0.29227937532607695</c:v>
                </c:pt>
                <c:pt idx="13">
                  <c:v>0.34052096885529076</c:v>
                </c:pt>
                <c:pt idx="14">
                  <c:v>0.37124745966146122</c:v>
                </c:pt>
                <c:pt idx="15">
                  <c:v>0.78841405879090165</c:v>
                </c:pt>
                <c:pt idx="16">
                  <c:v>1.3439277574509036</c:v>
                </c:pt>
                <c:pt idx="17">
                  <c:v>2.3496702858179792</c:v>
                </c:pt>
                <c:pt idx="18">
                  <c:v>0.53237533584331231</c:v>
                </c:pt>
                <c:pt idx="19">
                  <c:v>0.68165586034911663</c:v>
                </c:pt>
                <c:pt idx="20">
                  <c:v>0.47903524186099844</c:v>
                </c:pt>
                <c:pt idx="21" formatCode="General">
                  <c:v>0.68209100974037595</c:v>
                </c:pt>
                <c:pt idx="22" formatCode="General">
                  <c:v>0.57244790399739998</c:v>
                </c:pt>
              </c:numCache>
            </c:numRef>
          </c:val>
          <c:extLst xmlns:c16r2="http://schemas.microsoft.com/office/drawing/2015/06/chart">
            <c:ext xmlns:c16="http://schemas.microsoft.com/office/drawing/2014/chart" uri="{C3380CC4-5D6E-409C-BE32-E72D297353CC}">
              <c16:uniqueId val="{00000002-D1C0-40E4-8E39-F6472427424F}"/>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1'!$F$9:$F$31</c:f>
              <c:numCache>
                <c:formatCode>#,##0.0</c:formatCode>
                <c:ptCount val="23"/>
                <c:pt idx="0">
                  <c:v>-0.1</c:v>
                </c:pt>
                <c:pt idx="1">
                  <c:v>0.5</c:v>
                </c:pt>
                <c:pt idx="2">
                  <c:v>0.5</c:v>
                </c:pt>
                <c:pt idx="3">
                  <c:v>0.30000000000000032</c:v>
                </c:pt>
                <c:pt idx="4">
                  <c:v>0.5</c:v>
                </c:pt>
                <c:pt idx="5">
                  <c:v>0.30000000000000032</c:v>
                </c:pt>
                <c:pt idx="6">
                  <c:v>0.5</c:v>
                </c:pt>
                <c:pt idx="7">
                  <c:v>0.5</c:v>
                </c:pt>
                <c:pt idx="8">
                  <c:v>0.8</c:v>
                </c:pt>
                <c:pt idx="9">
                  <c:v>0.4</c:v>
                </c:pt>
                <c:pt idx="10">
                  <c:v>0.5</c:v>
                </c:pt>
                <c:pt idx="11">
                  <c:v>0.5</c:v>
                </c:pt>
                <c:pt idx="12">
                  <c:v>0.5</c:v>
                </c:pt>
                <c:pt idx="13">
                  <c:v>0.30000000000000032</c:v>
                </c:pt>
                <c:pt idx="14">
                  <c:v>0.4</c:v>
                </c:pt>
                <c:pt idx="15">
                  <c:v>0.8</c:v>
                </c:pt>
                <c:pt idx="16">
                  <c:v>0.70000000000000062</c:v>
                </c:pt>
                <c:pt idx="17">
                  <c:v>0.60000000000000064</c:v>
                </c:pt>
                <c:pt idx="18">
                  <c:v>0.60000000000000064</c:v>
                </c:pt>
                <c:pt idx="19">
                  <c:v>0.60000000000000064</c:v>
                </c:pt>
                <c:pt idx="20">
                  <c:v>0.4</c:v>
                </c:pt>
                <c:pt idx="21">
                  <c:v>0.5</c:v>
                </c:pt>
                <c:pt idx="22">
                  <c:v>0.30000000000000032</c:v>
                </c:pt>
              </c:numCache>
            </c:numRef>
          </c:val>
          <c:extLst xmlns:c16r2="http://schemas.microsoft.com/office/drawing/2015/06/chart">
            <c:ext xmlns:c16="http://schemas.microsoft.com/office/drawing/2014/chart" uri="{C3380CC4-5D6E-409C-BE32-E72D297353CC}">
              <c16:uniqueId val="{00000003-D1C0-40E4-8E39-F6472427424F}"/>
            </c:ext>
          </c:extLst>
        </c:ser>
        <c:marker val="1"/>
        <c:axId val="149353216"/>
        <c:axId val="149733760"/>
      </c:lineChart>
      <c:catAx>
        <c:axId val="149353216"/>
        <c:scaling>
          <c:orientation val="minMax"/>
        </c:scaling>
        <c:axPos val="b"/>
        <c:numFmt formatCode="General" sourceLinked="0"/>
        <c:tickLblPos val="low"/>
        <c:spPr>
          <a:ln>
            <a:solidFill>
              <a:schemeClr val="tx1"/>
            </a:solidFill>
          </a:ln>
        </c:spPr>
        <c:txPr>
          <a:bodyPr rot="0" vert="horz"/>
          <a:lstStyle/>
          <a:p>
            <a:pPr>
              <a:defRPr/>
            </a:pPr>
            <a:endParaRPr lang="cs-CZ"/>
          </a:p>
        </c:txPr>
        <c:crossAx val="149733760"/>
        <c:crosses val="autoZero"/>
        <c:auto val="1"/>
        <c:lblAlgn val="ctr"/>
        <c:lblOffset val="100"/>
      </c:catAx>
      <c:valAx>
        <c:axId val="149733760"/>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49353216"/>
        <c:crosses val="autoZero"/>
        <c:crossBetween val="between"/>
      </c:valAx>
      <c:spPr>
        <a:ln>
          <a:solidFill>
            <a:schemeClr val="tx1"/>
          </a:solidFill>
        </a:ln>
      </c:spPr>
    </c:plotArea>
    <c:legend>
      <c:legendPos val="b"/>
      <c:layout>
        <c:manualLayout>
          <c:xMode val="edge"/>
          <c:yMode val="edge"/>
          <c:x val="3.9667131036811895E-2"/>
          <c:y val="0.89437255125718029"/>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3724701079031984E-2"/>
          <c:y val="2.6970778117567786E-2"/>
          <c:w val="0.87770649039241588"/>
          <c:h val="0.76009512552065761"/>
        </c:manualLayout>
      </c:layout>
      <c:barChart>
        <c:barDir val="col"/>
        <c:grouping val="clustered"/>
        <c:ser>
          <c:idx val="0"/>
          <c:order val="0"/>
          <c:tx>
            <c:strRef>
              <c:f>'souhrnná výkonnost 2'!$C$5</c:f>
              <c:strCache>
                <c:ptCount val="1"/>
                <c:pt idx="0">
                  <c:v>HDP (pravá osa)</c:v>
                </c:pt>
              </c:strCache>
            </c:strRef>
          </c:tx>
          <c:spPr>
            <a:solidFill>
              <a:srgbClr val="A6A6A6"/>
            </a:solidFill>
            <a:ln>
              <a:noFill/>
            </a:ln>
          </c:spPr>
          <c:val>
            <c:numRef>
              <c:f>'souhrnná výkonnost 2'!$C$18:$C$86</c:f>
              <c:numCache>
                <c:formatCode>0.0</c:formatCode>
                <c:ptCount val="69"/>
                <c:pt idx="0">
                  <c:v>-1.8</c:v>
                </c:pt>
                <c:pt idx="1">
                  <c:v>-1.8</c:v>
                </c:pt>
                <c:pt idx="2">
                  <c:v>-1.8</c:v>
                </c:pt>
                <c:pt idx="3">
                  <c:v>-1.1000000000000001</c:v>
                </c:pt>
                <c:pt idx="4">
                  <c:v>-1.1000000000000001</c:v>
                </c:pt>
                <c:pt idx="5">
                  <c:v>-1.1000000000000001</c:v>
                </c:pt>
                <c:pt idx="6">
                  <c:v>-0.30000000000000032</c:v>
                </c:pt>
                <c:pt idx="7">
                  <c:v>-0.30000000000000032</c:v>
                </c:pt>
                <c:pt idx="8">
                  <c:v>-0.30000000000000032</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5.3</c:v>
                </c:pt>
                <c:pt idx="25">
                  <c:v>5.3</c:v>
                </c:pt>
                <c:pt idx="26">
                  <c:v>5.3</c:v>
                </c:pt>
                <c:pt idx="27">
                  <c:v>5.8</c:v>
                </c:pt>
                <c:pt idx="28">
                  <c:v>5.8</c:v>
                </c:pt>
                <c:pt idx="29">
                  <c:v>5.8</c:v>
                </c:pt>
                <c:pt idx="30">
                  <c:v>5.6</c:v>
                </c:pt>
                <c:pt idx="31">
                  <c:v>5.6</c:v>
                </c:pt>
                <c:pt idx="32">
                  <c:v>5.6</c:v>
                </c:pt>
                <c:pt idx="33">
                  <c:v>4.9000000000000004</c:v>
                </c:pt>
                <c:pt idx="34">
                  <c:v>4.9000000000000004</c:v>
                </c:pt>
                <c:pt idx="35">
                  <c:v>4.9000000000000004</c:v>
                </c:pt>
                <c:pt idx="36">
                  <c:v>3.6</c:v>
                </c:pt>
                <c:pt idx="37">
                  <c:v>3.6</c:v>
                </c:pt>
                <c:pt idx="38">
                  <c:v>3.6</c:v>
                </c:pt>
                <c:pt idx="39">
                  <c:v>2.4</c:v>
                </c:pt>
                <c:pt idx="40">
                  <c:v>2.4</c:v>
                </c:pt>
                <c:pt idx="41" formatCode="General">
                  <c:v>2.4</c:v>
                </c:pt>
                <c:pt idx="42" formatCode="General">
                  <c:v>1.7</c:v>
                </c:pt>
                <c:pt idx="43" formatCode="General">
                  <c:v>1.7</c:v>
                </c:pt>
                <c:pt idx="44" formatCode="General">
                  <c:v>1.7</c:v>
                </c:pt>
                <c:pt idx="45" formatCode="General">
                  <c:v>1.8</c:v>
                </c:pt>
                <c:pt idx="46" formatCode="General">
                  <c:v>1.8</c:v>
                </c:pt>
                <c:pt idx="47" formatCode="General">
                  <c:v>1.8</c:v>
                </c:pt>
                <c:pt idx="48" formatCode="General">
                  <c:v>2.9</c:v>
                </c:pt>
                <c:pt idx="49" formatCode="General">
                  <c:v>2.9</c:v>
                </c:pt>
                <c:pt idx="50" formatCode="General">
                  <c:v>2.9</c:v>
                </c:pt>
                <c:pt idx="51" formatCode="General">
                  <c:v>4.9000000000000004</c:v>
                </c:pt>
                <c:pt idx="52" formatCode="General">
                  <c:v>4.9000000000000004</c:v>
                </c:pt>
                <c:pt idx="53" formatCode="General">
                  <c:v>4.9000000000000004</c:v>
                </c:pt>
                <c:pt idx="54" formatCode="General">
                  <c:v>5.0999999999999996</c:v>
                </c:pt>
                <c:pt idx="55" formatCode="General">
                  <c:v>5.0999999999999996</c:v>
                </c:pt>
                <c:pt idx="56" formatCode="General">
                  <c:v>5.0999999999999996</c:v>
                </c:pt>
                <c:pt idx="57" formatCode="General">
                  <c:v>5</c:v>
                </c:pt>
                <c:pt idx="58" formatCode="General">
                  <c:v>5</c:v>
                </c:pt>
                <c:pt idx="59" formatCode="General">
                  <c:v>5</c:v>
                </c:pt>
                <c:pt idx="60" formatCode="General">
                  <c:v>4.0999999999999996</c:v>
                </c:pt>
                <c:pt idx="61" formatCode="General">
                  <c:v>4.0999999999999996</c:v>
                </c:pt>
                <c:pt idx="62" formatCode="General">
                  <c:v>4.0999999999999996</c:v>
                </c:pt>
                <c:pt idx="63" formatCode="General">
                  <c:v>2.4</c:v>
                </c:pt>
                <c:pt idx="64" formatCode="General">
                  <c:v>2.4</c:v>
                </c:pt>
                <c:pt idx="65" formatCode="General">
                  <c:v>2.4</c:v>
                </c:pt>
                <c:pt idx="66" formatCode="General">
                  <c:v>2.4</c:v>
                </c:pt>
                <c:pt idx="67" formatCode="General">
                  <c:v>2.4</c:v>
                </c:pt>
                <c:pt idx="68" formatCode="General">
                  <c:v>2.4</c:v>
                </c:pt>
              </c:numCache>
            </c:numRef>
          </c:val>
          <c:extLst xmlns:c16r2="http://schemas.microsoft.com/office/drawing/2015/06/chart">
            <c:ext xmlns:c16="http://schemas.microsoft.com/office/drawing/2014/chart" uri="{C3380CC4-5D6E-409C-BE32-E72D297353CC}">
              <c16:uniqueId val="{00000000-6D23-40D8-A3E6-B501DD667E59}"/>
            </c:ext>
          </c:extLst>
        </c:ser>
        <c:gapWidth val="30"/>
        <c:axId val="150080512"/>
        <c:axId val="150078976"/>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2'!$D$18:$D$86</c:f>
              <c:numCache>
                <c:formatCode>###,###,##0.0</c:formatCode>
                <c:ptCount val="69"/>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pt idx="63" formatCode="0.0">
                  <c:v>97.6</c:v>
                </c:pt>
                <c:pt idx="64" formatCode="0.0">
                  <c:v>96.2</c:v>
                </c:pt>
                <c:pt idx="65" formatCode="0.0">
                  <c:v>97.4</c:v>
                </c:pt>
                <c:pt idx="66" formatCode="0.0">
                  <c:v>96.1</c:v>
                </c:pt>
                <c:pt idx="67" formatCode="0.0">
                  <c:v>96.9</c:v>
                </c:pt>
                <c:pt idx="68" formatCode="0.0">
                  <c:v>97.3</c:v>
                </c:pt>
              </c:numCache>
            </c:numRef>
          </c:val>
          <c:extLst xmlns:c16r2="http://schemas.microsoft.com/office/drawing/2015/06/chart">
            <c:ext xmlns:c16="http://schemas.microsoft.com/office/drawing/2014/chart" uri="{C3380CC4-5D6E-409C-BE32-E72D297353CC}">
              <c16:uniqueId val="{00000001-6D23-40D8-A3E6-B501DD667E59}"/>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2'!$E$18:$E$86</c:f>
              <c:numCache>
                <c:formatCode>###,###,##0.0</c:formatCode>
                <c:ptCount val="69"/>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pt idx="63" formatCode="0.0">
                  <c:v>112.5</c:v>
                </c:pt>
                <c:pt idx="64" formatCode="0.0">
                  <c:v>113.8</c:v>
                </c:pt>
                <c:pt idx="65" formatCode="0.0">
                  <c:v>113</c:v>
                </c:pt>
                <c:pt idx="66" formatCode="0.0">
                  <c:v>111.8</c:v>
                </c:pt>
                <c:pt idx="67" formatCode="0.0">
                  <c:v>110.3</c:v>
                </c:pt>
                <c:pt idx="68" formatCode="0.0">
                  <c:v>111</c:v>
                </c:pt>
              </c:numCache>
            </c:numRef>
          </c:val>
          <c:extLst xmlns:c16r2="http://schemas.microsoft.com/office/drawing/2015/06/chart">
            <c:ext xmlns:c16="http://schemas.microsoft.com/office/drawing/2014/chart" uri="{C3380CC4-5D6E-409C-BE32-E72D297353CC}">
              <c16:uniqueId val="{00000002-6D23-40D8-A3E6-B501DD667E59}"/>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2'!$F$18:$F$86</c:f>
              <c:numCache>
                <c:formatCode>###,###,##0.0</c:formatCode>
                <c:ptCount val="69"/>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pt idx="63" formatCode="0.0">
                  <c:v>100.1</c:v>
                </c:pt>
                <c:pt idx="64" formatCode="0.0">
                  <c:v>99.2</c:v>
                </c:pt>
                <c:pt idx="65" formatCode="0.0">
                  <c:v>100</c:v>
                </c:pt>
                <c:pt idx="66" formatCode="0.0">
                  <c:v>98.7</c:v>
                </c:pt>
                <c:pt idx="67" formatCode="0.0">
                  <c:v>99.1</c:v>
                </c:pt>
                <c:pt idx="68" formatCode="0.0">
                  <c:v>99.6</c:v>
                </c:pt>
              </c:numCache>
            </c:numRef>
          </c:val>
          <c:extLst xmlns:c16r2="http://schemas.microsoft.com/office/drawing/2015/06/chart">
            <c:ext xmlns:c16="http://schemas.microsoft.com/office/drawing/2014/chart" uri="{C3380CC4-5D6E-409C-BE32-E72D297353CC}">
              <c16:uniqueId val="{00000003-6D23-40D8-A3E6-B501DD667E59}"/>
            </c:ext>
          </c:extLst>
        </c:ser>
        <c:marker val="1"/>
        <c:axId val="149801984"/>
        <c:axId val="149830272"/>
      </c:lineChart>
      <c:catAx>
        <c:axId val="149801984"/>
        <c:scaling>
          <c:orientation val="minMax"/>
        </c:scaling>
        <c:axPos val="b"/>
        <c:numFmt formatCode="General" sourceLinked="0"/>
        <c:tickLblPos val="low"/>
        <c:spPr>
          <a:ln>
            <a:solidFill>
              <a:schemeClr val="tx1"/>
            </a:solidFill>
          </a:ln>
        </c:spPr>
        <c:crossAx val="149830272"/>
        <c:crossesAt val="100"/>
        <c:auto val="1"/>
        <c:lblAlgn val="ctr"/>
        <c:lblOffset val="100"/>
      </c:catAx>
      <c:valAx>
        <c:axId val="149830272"/>
        <c:scaling>
          <c:orientation val="minMax"/>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49801984"/>
        <c:crosses val="autoZero"/>
        <c:crossBetween val="between"/>
        <c:majorUnit val="5"/>
      </c:valAx>
      <c:valAx>
        <c:axId val="150078976"/>
        <c:scaling>
          <c:orientation val="minMax"/>
          <c:min val="-2"/>
        </c:scaling>
        <c:axPos val="r"/>
        <c:numFmt formatCode="0" sourceLinked="0"/>
        <c:tickLblPos val="nextTo"/>
        <c:spPr>
          <a:ln>
            <a:solidFill>
              <a:schemeClr val="tx1"/>
            </a:solidFill>
          </a:ln>
        </c:spPr>
        <c:crossAx val="150080512"/>
        <c:crosses val="max"/>
        <c:crossBetween val="between"/>
        <c:majorUnit val="1"/>
      </c:valAx>
      <c:catAx>
        <c:axId val="150080512"/>
        <c:scaling>
          <c:orientation val="minMax"/>
        </c:scaling>
        <c:delete val="1"/>
        <c:axPos val="b"/>
        <c:tickLblPos val="none"/>
        <c:crossAx val="150078976"/>
        <c:crossesAt val="0"/>
        <c:auto val="1"/>
        <c:lblAlgn val="ctr"/>
        <c:lblOffset val="100"/>
      </c:catAx>
      <c:spPr>
        <a:ln>
          <a:solidFill>
            <a:schemeClr val="tx1"/>
          </a:solidFill>
        </a:ln>
      </c:spPr>
    </c:plotArea>
    <c:legend>
      <c:legendPos val="b"/>
      <c:layout>
        <c:manualLayout>
          <c:xMode val="edge"/>
          <c:yMode val="edge"/>
          <c:x val="6.2295583422442583E-2"/>
          <c:y val="0.90228835978834843"/>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3'!$D$10:$D$32</c:f>
              <c:numCache>
                <c:formatCode>#,##0.0</c:formatCode>
                <c:ptCount val="23"/>
                <c:pt idx="0">
                  <c:v>0.46725492777732947</c:v>
                </c:pt>
                <c:pt idx="1">
                  <c:v>0.39429278832379183</c:v>
                </c:pt>
                <c:pt idx="2">
                  <c:v>6.7975057170653885E-3</c:v>
                </c:pt>
                <c:pt idx="3">
                  <c:v>-0.11022642210119372</c:v>
                </c:pt>
                <c:pt idx="4">
                  <c:v>-0.3463406609173984</c:v>
                </c:pt>
                <c:pt idx="5">
                  <c:v>1.9385986465040451E-2</c:v>
                </c:pt>
                <c:pt idx="6">
                  <c:v>0.64097595815752095</c:v>
                </c:pt>
                <c:pt idx="7">
                  <c:v>1.1222751214521656</c:v>
                </c:pt>
                <c:pt idx="8">
                  <c:v>0.95324800193997661</c:v>
                </c:pt>
                <c:pt idx="9">
                  <c:v>0.87834008534043184</c:v>
                </c:pt>
                <c:pt idx="10">
                  <c:v>0.98282233736482061</c:v>
                </c:pt>
                <c:pt idx="11">
                  <c:v>1.2011732247886713</c:v>
                </c:pt>
                <c:pt idx="12">
                  <c:v>0.93830506590305751</c:v>
                </c:pt>
                <c:pt idx="13">
                  <c:v>1.0153624426824133</c:v>
                </c:pt>
                <c:pt idx="14">
                  <c:v>1.2128070502408639</c:v>
                </c:pt>
                <c:pt idx="15">
                  <c:v>1.1229514324692931</c:v>
                </c:pt>
                <c:pt idx="16">
                  <c:v>1.9644091733618669</c:v>
                </c:pt>
                <c:pt idx="17">
                  <c:v>2.2808753275662172</c:v>
                </c:pt>
                <c:pt idx="18">
                  <c:v>2.0963173740963614</c:v>
                </c:pt>
                <c:pt idx="19">
                  <c:v>1.9706056528499598</c:v>
                </c:pt>
                <c:pt idx="20">
                  <c:v>1.5529966025092796</c:v>
                </c:pt>
                <c:pt idx="21">
                  <c:v>1.126780424329404</c:v>
                </c:pt>
                <c:pt idx="22">
                  <c:v>0.95636601312264957</c:v>
                </c:pt>
              </c:numCache>
            </c:numRef>
          </c:val>
          <c:extLst xmlns:c16r2="http://schemas.microsoft.com/office/drawing/2015/06/chart">
            <c:ext xmlns:c16="http://schemas.microsoft.com/office/drawing/2014/chart" uri="{C3380CC4-5D6E-409C-BE32-E72D297353CC}">
              <c16:uniqueId val="{00000000-F3D9-4392-8303-B980C7F38899}"/>
            </c:ext>
          </c:extLst>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3'!$E$10:$E$32</c:f>
              <c:numCache>
                <c:formatCode>#,##0.0</c:formatCode>
                <c:ptCount val="23"/>
                <c:pt idx="0">
                  <c:v>0.28453245782978481</c:v>
                </c:pt>
                <c:pt idx="1">
                  <c:v>0.35580734263628233</c:v>
                </c:pt>
                <c:pt idx="2">
                  <c:v>0.6338523119673295</c:v>
                </c:pt>
                <c:pt idx="3">
                  <c:v>0.53511669780358162</c:v>
                </c:pt>
                <c:pt idx="4">
                  <c:v>0.16476504522662691</c:v>
                </c:pt>
                <c:pt idx="5">
                  <c:v>0.35920558983442524</c:v>
                </c:pt>
                <c:pt idx="6">
                  <c:v>3.3755330706183892E-3</c:v>
                </c:pt>
                <c:pt idx="7">
                  <c:v>0.43296248055129682</c:v>
                </c:pt>
                <c:pt idx="8">
                  <c:v>0.38860653049012461</c:v>
                </c:pt>
                <c:pt idx="9">
                  <c:v>0.42050971602096782</c:v>
                </c:pt>
                <c:pt idx="10">
                  <c:v>0.6826406447636606</c:v>
                </c:pt>
                <c:pt idx="11">
                  <c:v>0.45173706288891075</c:v>
                </c:pt>
                <c:pt idx="12">
                  <c:v>0.43519225643702975</c:v>
                </c:pt>
                <c:pt idx="13">
                  <c:v>0.57425071934076943</c:v>
                </c:pt>
                <c:pt idx="14">
                  <c:v>0.47033661242885438</c:v>
                </c:pt>
                <c:pt idx="15">
                  <c:v>0.4456685296104968</c:v>
                </c:pt>
                <c:pt idx="16">
                  <c:v>0.34455668934880129</c:v>
                </c:pt>
                <c:pt idx="17">
                  <c:v>0.24693575632416193</c:v>
                </c:pt>
                <c:pt idx="18">
                  <c:v>0.15049357563703941</c:v>
                </c:pt>
                <c:pt idx="19">
                  <c:v>0.22124454315529182</c:v>
                </c:pt>
                <c:pt idx="20">
                  <c:v>0.64090264653862572</c:v>
                </c:pt>
                <c:pt idx="21">
                  <c:v>0.53316346349440802</c:v>
                </c:pt>
                <c:pt idx="22">
                  <c:v>0.97286869758299388</c:v>
                </c:pt>
              </c:numCache>
            </c:numRef>
          </c:val>
          <c:extLst xmlns:c16r2="http://schemas.microsoft.com/office/drawing/2015/06/chart">
            <c:ext xmlns:c16="http://schemas.microsoft.com/office/drawing/2014/chart" uri="{C3380CC4-5D6E-409C-BE32-E72D297353CC}">
              <c16:uniqueId val="{00000001-F3D9-4392-8303-B980C7F38899}"/>
            </c:ext>
          </c:extLst>
        </c:ser>
        <c:ser>
          <c:idx val="3"/>
          <c:order val="3"/>
          <c:tx>
            <c:strRef>
              <c:f>'souhrnná výkonnost 3'!$J$5</c:f>
              <c:strCache>
                <c:ptCount val="1"/>
                <c:pt idx="0">
                  <c:v>Tvorba hrubého kapitálu</c:v>
                </c:pt>
              </c:strCache>
            </c:strRef>
          </c:tx>
          <c:spPr>
            <a:solidFill>
              <a:srgbClr val="BD1B21"/>
            </a:solidFill>
            <a:ln>
              <a:noFill/>
            </a:ln>
          </c:spPr>
          <c:val>
            <c:numRef>
              <c:f>'souhrnná výkonnost 3'!$J$10:$J$32</c:f>
              <c:numCache>
                <c:formatCode>#,##0.0</c:formatCode>
                <c:ptCount val="23"/>
                <c:pt idx="0">
                  <c:v>-1.5397561288070221</c:v>
                </c:pt>
                <c:pt idx="1">
                  <c:v>-2.8196114680341977</c:v>
                </c:pt>
                <c:pt idx="2">
                  <c:v>0.14424204081739322</c:v>
                </c:pt>
                <c:pt idx="3">
                  <c:v>0.30085195313780738</c:v>
                </c:pt>
                <c:pt idx="4">
                  <c:v>3.1093775840910346E-3</c:v>
                </c:pt>
                <c:pt idx="5">
                  <c:v>1.7228402322588214</c:v>
                </c:pt>
                <c:pt idx="6">
                  <c:v>1.2740748429655091</c:v>
                </c:pt>
                <c:pt idx="7">
                  <c:v>0.34209608794036089</c:v>
                </c:pt>
                <c:pt idx="8">
                  <c:v>3.0940088082175081</c:v>
                </c:pt>
                <c:pt idx="9">
                  <c:v>3.9603163536228392</c:v>
                </c:pt>
                <c:pt idx="10">
                  <c:v>2.4230101905838577</c:v>
                </c:pt>
                <c:pt idx="11">
                  <c:v>1.1383788063935423</c:v>
                </c:pt>
                <c:pt idx="12">
                  <c:v>0.69863508777302163</c:v>
                </c:pt>
                <c:pt idx="13">
                  <c:v>-1.3723494139423089</c:v>
                </c:pt>
                <c:pt idx="14">
                  <c:v>-0.97881672565525746</c:v>
                </c:pt>
                <c:pt idx="15">
                  <c:v>-0.61772712880566016</c:v>
                </c:pt>
                <c:pt idx="16">
                  <c:v>-0.95987523832581856</c:v>
                </c:pt>
                <c:pt idx="17">
                  <c:v>0.35501288090591437</c:v>
                </c:pt>
                <c:pt idx="18">
                  <c:v>1.6689373554815881</c:v>
                </c:pt>
                <c:pt idx="19">
                  <c:v>1.9760464231090271</c:v>
                </c:pt>
                <c:pt idx="20">
                  <c:v>1.2076288106897164</c:v>
                </c:pt>
                <c:pt idx="21">
                  <c:v>0.21383707577056171</c:v>
                </c:pt>
                <c:pt idx="22">
                  <c:v>0.2177321817029518</c:v>
                </c:pt>
              </c:numCache>
            </c:numRef>
          </c:val>
          <c:extLst xmlns:c16r2="http://schemas.microsoft.com/office/drawing/2015/06/chart">
            <c:ext xmlns:c16="http://schemas.microsoft.com/office/drawing/2014/chart" uri="{C3380CC4-5D6E-409C-BE32-E72D297353CC}">
              <c16:uniqueId val="{00000002-F3D9-4392-8303-B980C7F38899}"/>
            </c:ext>
          </c:extLst>
        </c:ser>
        <c:ser>
          <c:idx val="1"/>
          <c:order val="4"/>
          <c:tx>
            <c:strRef>
              <c:f>'souhrnná výkonnost 3'!$H$5</c:f>
              <c:strCache>
                <c:ptCount val="1"/>
                <c:pt idx="0">
                  <c:v>Bilance zahraničního obchodu</c:v>
                </c:pt>
              </c:strCache>
            </c:strRef>
          </c:tx>
          <c:spPr>
            <a:solidFill>
              <a:srgbClr val="7DBB2D"/>
            </a:solidFill>
            <a:ln>
              <a:noFill/>
            </a:ln>
          </c:spPr>
          <c:val>
            <c:numRef>
              <c:f>'souhrnná výkonnost 3'!$H$10:$H$32</c:f>
              <c:numCache>
                <c:formatCode>#,##0.0</c:formatCode>
                <c:ptCount val="23"/>
                <c:pt idx="0">
                  <c:v>-1.0372767403421674</c:v>
                </c:pt>
                <c:pt idx="1">
                  <c:v>0.93468551019220669</c:v>
                </c:pt>
                <c:pt idx="2">
                  <c:v>-1.1121841763544955</c:v>
                </c:pt>
                <c:pt idx="3">
                  <c:v>0.53585053019177464</c:v>
                </c:pt>
                <c:pt idx="4">
                  <c:v>1.7889130945120968</c:v>
                </c:pt>
                <c:pt idx="5">
                  <c:v>0.28187217433750722</c:v>
                </c:pt>
                <c:pt idx="6">
                  <c:v>1.4439285779813962</c:v>
                </c:pt>
                <c:pt idx="7">
                  <c:v>1.4927511797532769</c:v>
                </c:pt>
                <c:pt idx="8">
                  <c:v>0.84168612845165458</c:v>
                </c:pt>
                <c:pt idx="9">
                  <c:v>0.57781958996686456</c:v>
                </c:pt>
                <c:pt idx="10">
                  <c:v>1.5186993594783778</c:v>
                </c:pt>
                <c:pt idx="11">
                  <c:v>2.1434487917698908</c:v>
                </c:pt>
                <c:pt idx="12">
                  <c:v>1.4573635285701179</c:v>
                </c:pt>
                <c:pt idx="13">
                  <c:v>2.1300532057503894</c:v>
                </c:pt>
                <c:pt idx="14">
                  <c:v>0.94178716932770357</c:v>
                </c:pt>
                <c:pt idx="15">
                  <c:v>0.81646850922716041</c:v>
                </c:pt>
                <c:pt idx="16">
                  <c:v>1.4722186892988733</c:v>
                </c:pt>
                <c:pt idx="17">
                  <c:v>2.0042798438347247</c:v>
                </c:pt>
                <c:pt idx="18">
                  <c:v>1.1585684363011164</c:v>
                </c:pt>
                <c:pt idx="19">
                  <c:v>0.81868827817724454</c:v>
                </c:pt>
                <c:pt idx="20">
                  <c:v>0.67260193882048647</c:v>
                </c:pt>
                <c:pt idx="21">
                  <c:v>0.50032277281173232</c:v>
                </c:pt>
                <c:pt idx="22">
                  <c:v>0.23988321425317061</c:v>
                </c:pt>
              </c:numCache>
            </c:numRef>
          </c:val>
          <c:extLst xmlns:c16r2="http://schemas.microsoft.com/office/drawing/2015/06/chart">
            <c:ext xmlns:c16="http://schemas.microsoft.com/office/drawing/2014/chart" uri="{C3380CC4-5D6E-409C-BE32-E72D297353CC}">
              <c16:uniqueId val="{00000003-F3D9-4392-8303-B980C7F38899}"/>
            </c:ext>
          </c:extLst>
        </c:ser>
        <c:gapWidth val="40"/>
        <c:overlap val="100"/>
        <c:axId val="149890560"/>
        <c:axId val="149892096"/>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3'!$A$10:$B$32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3'!$C$10:$C$32</c:f>
              <c:numCache>
                <c:formatCode>#,##0.0</c:formatCode>
                <c:ptCount val="23"/>
                <c:pt idx="0">
                  <c:v>-1.8005209038033041</c:v>
                </c:pt>
                <c:pt idx="1">
                  <c:v>-1.1205041878080806</c:v>
                </c:pt>
                <c:pt idx="2">
                  <c:v>-0.27630427810389335</c:v>
                </c:pt>
                <c:pt idx="3">
                  <c:v>1.279491849251865</c:v>
                </c:pt>
                <c:pt idx="4">
                  <c:v>1.599692644421784</c:v>
                </c:pt>
                <c:pt idx="5">
                  <c:v>2.4019552100365238</c:v>
                </c:pt>
                <c:pt idx="6">
                  <c:v>3.4030564515715609</c:v>
                </c:pt>
                <c:pt idx="7">
                  <c:v>3.4380052076485548</c:v>
                </c:pt>
                <c:pt idx="8">
                  <c:v>5.2550726107844561</c:v>
                </c:pt>
                <c:pt idx="9">
                  <c:v>5.7987847820088794</c:v>
                </c:pt>
                <c:pt idx="10">
                  <c:v>5.5707669225332523</c:v>
                </c:pt>
                <c:pt idx="11">
                  <c:v>4.9148252973919755</c:v>
                </c:pt>
                <c:pt idx="12">
                  <c:v>3.5623906099722102</c:v>
                </c:pt>
                <c:pt idx="13">
                  <c:v>2.4146777549828156</c:v>
                </c:pt>
                <c:pt idx="14">
                  <c:v>1.6940486553423915</c:v>
                </c:pt>
                <c:pt idx="15">
                  <c:v>1.8037525372218299</c:v>
                </c:pt>
                <c:pt idx="16">
                  <c:v>2.8712499788678367</c:v>
                </c:pt>
                <c:pt idx="17">
                  <c:v>4.9310728663161978</c:v>
                </c:pt>
                <c:pt idx="18">
                  <c:v>5.0995207171135899</c:v>
                </c:pt>
                <c:pt idx="19">
                  <c:v>4.9881960614611174</c:v>
                </c:pt>
                <c:pt idx="20">
                  <c:v>4.0922025174160375</c:v>
                </c:pt>
                <c:pt idx="21">
                  <c:v>2.396232230119776</c:v>
                </c:pt>
                <c:pt idx="22">
                  <c:v>2.4370477383683182</c:v>
                </c:pt>
              </c:numCache>
            </c:numRef>
          </c:val>
          <c:extLst xmlns:c16r2="http://schemas.microsoft.com/office/drawing/2015/06/chart">
            <c:ext xmlns:c16="http://schemas.microsoft.com/office/drawing/2014/chart" uri="{C3380CC4-5D6E-409C-BE32-E72D297353CC}">
              <c16:uniqueId val="{00000004-F3D9-4392-8303-B980C7F38899}"/>
            </c:ext>
          </c:extLst>
        </c:ser>
        <c:marker val="1"/>
        <c:axId val="149890560"/>
        <c:axId val="149892096"/>
      </c:lineChart>
      <c:catAx>
        <c:axId val="149890560"/>
        <c:scaling>
          <c:orientation val="minMax"/>
        </c:scaling>
        <c:axPos val="b"/>
        <c:tickLblPos val="low"/>
        <c:spPr>
          <a:ln>
            <a:solidFill>
              <a:schemeClr val="tx1"/>
            </a:solidFill>
          </a:ln>
        </c:spPr>
        <c:txPr>
          <a:bodyPr rot="0" vert="horz"/>
          <a:lstStyle/>
          <a:p>
            <a:pPr>
              <a:defRPr/>
            </a:pPr>
            <a:endParaRPr lang="cs-CZ"/>
          </a:p>
        </c:txPr>
        <c:crossAx val="149892096"/>
        <c:crosses val="autoZero"/>
        <c:auto val="1"/>
        <c:lblAlgn val="ctr"/>
        <c:lblOffset val="100"/>
      </c:catAx>
      <c:valAx>
        <c:axId val="149892096"/>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49890560"/>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4'!$C$10:$C$32</c:f>
              <c:numCache>
                <c:formatCode>#,##0.0</c:formatCode>
                <c:ptCount val="23"/>
                <c:pt idx="0">
                  <c:v>-4.7206269934129533E-2</c:v>
                </c:pt>
                <c:pt idx="1">
                  <c:v>-0.11971862255115057</c:v>
                </c:pt>
                <c:pt idx="2">
                  <c:v>-8.9582831798117532E-2</c:v>
                </c:pt>
                <c:pt idx="3">
                  <c:v>1.1154895629322313E-3</c:v>
                </c:pt>
                <c:pt idx="4">
                  <c:v>0.10484022899366492</c:v>
                </c:pt>
                <c:pt idx="5">
                  <c:v>0.23303189360207821</c:v>
                </c:pt>
                <c:pt idx="6">
                  <c:v>0.28109723711472034</c:v>
                </c:pt>
                <c:pt idx="7">
                  <c:v>0.24717682951386638</c:v>
                </c:pt>
                <c:pt idx="8">
                  <c:v>0.26823173927838573</c:v>
                </c:pt>
                <c:pt idx="9">
                  <c:v>0.14948544343377243</c:v>
                </c:pt>
                <c:pt idx="10">
                  <c:v>9.4306850455799798E-2</c:v>
                </c:pt>
                <c:pt idx="11">
                  <c:v>9.4063144035634733E-2</c:v>
                </c:pt>
                <c:pt idx="12">
                  <c:v>1.5298427987703244E-2</c:v>
                </c:pt>
                <c:pt idx="13">
                  <c:v>0.12019796922604382</c:v>
                </c:pt>
                <c:pt idx="14">
                  <c:v>0.11238136571352395</c:v>
                </c:pt>
                <c:pt idx="15">
                  <c:v>8.4281943656207142E-2</c:v>
                </c:pt>
                <c:pt idx="16">
                  <c:v>1.5223476963877543E-2</c:v>
                </c:pt>
                <c:pt idx="17">
                  <c:v>-7.5339263027045883E-2</c:v>
                </c:pt>
                <c:pt idx="18">
                  <c:v>-0.11205756022716185</c:v>
                </c:pt>
                <c:pt idx="19">
                  <c:v>-0.10204082016621174</c:v>
                </c:pt>
                <c:pt idx="20">
                  <c:v>-0.10517880120125712</c:v>
                </c:pt>
                <c:pt idx="21">
                  <c:v>-7.0572433081671923E-2</c:v>
                </c:pt>
                <c:pt idx="22">
                  <c:v>-5.6599145830036383E-2</c:v>
                </c:pt>
              </c:numCache>
            </c:numRef>
          </c:val>
          <c:extLst xmlns:c16r2="http://schemas.microsoft.com/office/drawing/2015/06/chart">
            <c:ext xmlns:c16="http://schemas.microsoft.com/office/drawing/2014/chart" uri="{C3380CC4-5D6E-409C-BE32-E72D297353CC}">
              <c16:uniqueId val="{00000000-A0C5-4F23-B720-3390D0F9E740}"/>
            </c:ext>
          </c:extLst>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4'!$D$10:$D$32</c:f>
              <c:numCache>
                <c:formatCode>#,##0.0</c:formatCode>
                <c:ptCount val="23"/>
                <c:pt idx="0">
                  <c:v>-0.82108999780391001</c:v>
                </c:pt>
                <c:pt idx="1">
                  <c:v>-0.62795053182774518</c:v>
                </c:pt>
                <c:pt idx="2">
                  <c:v>-0.63177475521929016</c:v>
                </c:pt>
                <c:pt idx="3">
                  <c:v>-0.60159903153105165</c:v>
                </c:pt>
                <c:pt idx="4">
                  <c:v>0.42074322312377183</c:v>
                </c:pt>
                <c:pt idx="5">
                  <c:v>1.1868852285094129</c:v>
                </c:pt>
                <c:pt idx="6">
                  <c:v>1.9567554935777989</c:v>
                </c:pt>
                <c:pt idx="7">
                  <c:v>2.5583690194642377</c:v>
                </c:pt>
                <c:pt idx="8">
                  <c:v>2.0456114828451182</c:v>
                </c:pt>
                <c:pt idx="9">
                  <c:v>1.6702996907805558</c:v>
                </c:pt>
                <c:pt idx="10">
                  <c:v>1.3766545744913488</c:v>
                </c:pt>
                <c:pt idx="11">
                  <c:v>0.74581262523505754</c:v>
                </c:pt>
                <c:pt idx="12">
                  <c:v>1.0172208499984978</c:v>
                </c:pt>
                <c:pt idx="13">
                  <c:v>0.54073292742156021</c:v>
                </c:pt>
                <c:pt idx="14">
                  <c:v>0.74515782437278222</c:v>
                </c:pt>
                <c:pt idx="15">
                  <c:v>1.1608262664011106</c:v>
                </c:pt>
                <c:pt idx="16">
                  <c:v>1.9849859092156101</c:v>
                </c:pt>
                <c:pt idx="17">
                  <c:v>3.3765527579830188</c:v>
                </c:pt>
                <c:pt idx="18">
                  <c:v>3.5064603037509317</c:v>
                </c:pt>
                <c:pt idx="19">
                  <c:v>3.0770501049484777</c:v>
                </c:pt>
                <c:pt idx="20">
                  <c:v>1.849273026605978</c:v>
                </c:pt>
                <c:pt idx="21">
                  <c:v>0.68356477764915491</c:v>
                </c:pt>
                <c:pt idx="22">
                  <c:v>0.27837439954417714</c:v>
                </c:pt>
              </c:numCache>
            </c:numRef>
          </c:val>
          <c:extLst xmlns:c16r2="http://schemas.microsoft.com/office/drawing/2015/06/chart">
            <c:ext xmlns:c16="http://schemas.microsoft.com/office/drawing/2014/chart" uri="{C3380CC4-5D6E-409C-BE32-E72D297353CC}">
              <c16:uniqueId val="{00000001-A0C5-4F23-B720-3390D0F9E740}"/>
            </c:ext>
          </c:extLst>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4'!$E$10:$E$32</c:f>
              <c:numCache>
                <c:formatCode>#,##0.0</c:formatCode>
                <c:ptCount val="23"/>
                <c:pt idx="0">
                  <c:v>-0.98505210312746261</c:v>
                </c:pt>
                <c:pt idx="1">
                  <c:v>-1.0097047828852606</c:v>
                </c:pt>
                <c:pt idx="2">
                  <c:v>-0.65192200514203069</c:v>
                </c:pt>
                <c:pt idx="3">
                  <c:v>-0.22723397016880276</c:v>
                </c:pt>
                <c:pt idx="4">
                  <c:v>0.37424666108655036</c:v>
                </c:pt>
                <c:pt idx="5">
                  <c:v>0.10237488857645771</c:v>
                </c:pt>
                <c:pt idx="6">
                  <c:v>-0.10556119406722519</c:v>
                </c:pt>
                <c:pt idx="7">
                  <c:v>-0.159619194225186</c:v>
                </c:pt>
                <c:pt idx="8">
                  <c:v>-0.12486694839002821</c:v>
                </c:pt>
                <c:pt idx="9">
                  <c:v>9.7685740381325825E-3</c:v>
                </c:pt>
                <c:pt idx="10">
                  <c:v>1.8886282982711888E-2</c:v>
                </c:pt>
                <c:pt idx="11">
                  <c:v>-0.11860623658777802</c:v>
                </c:pt>
                <c:pt idx="12">
                  <c:v>-0.46095331826814501</c:v>
                </c:pt>
                <c:pt idx="13">
                  <c:v>-0.29612577965425929</c:v>
                </c:pt>
                <c:pt idx="14">
                  <c:v>-0.38011145584839146</c:v>
                </c:pt>
                <c:pt idx="15">
                  <c:v>-0.15646644139843421</c:v>
                </c:pt>
                <c:pt idx="16">
                  <c:v>5.7825501486436413E-2</c:v>
                </c:pt>
                <c:pt idx="17">
                  <c:v>-3.0534120793344055E-2</c:v>
                </c:pt>
                <c:pt idx="18">
                  <c:v>0.13762248236176974</c:v>
                </c:pt>
                <c:pt idx="19">
                  <c:v>-3.9145621781268236E-2</c:v>
                </c:pt>
                <c:pt idx="20">
                  <c:v>-0.14891303214053686</c:v>
                </c:pt>
                <c:pt idx="21">
                  <c:v>-3.7000157693111296E-2</c:v>
                </c:pt>
                <c:pt idx="22" formatCode="General">
                  <c:v>0.26996047463347478</c:v>
                </c:pt>
              </c:numCache>
            </c:numRef>
          </c:val>
          <c:extLst xmlns:c16r2="http://schemas.microsoft.com/office/drawing/2015/06/chart">
            <c:ext xmlns:c16="http://schemas.microsoft.com/office/drawing/2014/chart" uri="{C3380CC4-5D6E-409C-BE32-E72D297353CC}">
              <c16:uniqueId val="{00000002-A0C5-4F23-B720-3390D0F9E740}"/>
            </c:ext>
          </c:extLst>
        </c:ser>
        <c:ser>
          <c:idx val="1"/>
          <c:order val="3"/>
          <c:tx>
            <c:strRef>
              <c:f>'souhrnná výkonnost 4'!$F$5</c:f>
              <c:strCache>
                <c:ptCount val="1"/>
                <c:pt idx="0">
                  <c:v>Stavebnictví</c:v>
                </c:pt>
              </c:strCache>
            </c:strRef>
          </c:tx>
          <c:spPr>
            <a:solidFill>
              <a:srgbClr val="E8AFB2"/>
            </a:solidFill>
            <a:ln>
              <a:noFill/>
            </a:ln>
          </c:spPr>
          <c:val>
            <c:numRef>
              <c:f>'souhrnná výkonnost 4'!$F$10:$F$32</c:f>
              <c:numCache>
                <c:formatCode>#,##0.0</c:formatCode>
                <c:ptCount val="23"/>
                <c:pt idx="0">
                  <c:v>-9.3325688188072825E-2</c:v>
                </c:pt>
                <c:pt idx="1">
                  <c:v>6.914261697952713E-2</c:v>
                </c:pt>
                <c:pt idx="2">
                  <c:v>0.13786913343723919</c:v>
                </c:pt>
                <c:pt idx="3">
                  <c:v>0.16383091405829647</c:v>
                </c:pt>
                <c:pt idx="4">
                  <c:v>0.20523242964120891</c:v>
                </c:pt>
                <c:pt idx="5">
                  <c:v>8.047665950390763E-2</c:v>
                </c:pt>
                <c:pt idx="6">
                  <c:v>3.4966330205502577E-2</c:v>
                </c:pt>
                <c:pt idx="7">
                  <c:v>0.13500830058584248</c:v>
                </c:pt>
                <c:pt idx="8">
                  <c:v>0.12988031583912321</c:v>
                </c:pt>
                <c:pt idx="9">
                  <c:v>0.27364277251097802</c:v>
                </c:pt>
                <c:pt idx="10">
                  <c:v>0.3426017497695073</c:v>
                </c:pt>
                <c:pt idx="11">
                  <c:v>0.14326265942419544</c:v>
                </c:pt>
                <c:pt idx="12">
                  <c:v>-2.8321751396452179E-2</c:v>
                </c:pt>
                <c:pt idx="13">
                  <c:v>-0.2266549076208863</c:v>
                </c:pt>
                <c:pt idx="14">
                  <c:v>-0.33919566041548832</c:v>
                </c:pt>
                <c:pt idx="15">
                  <c:v>-0.26185884641425189</c:v>
                </c:pt>
                <c:pt idx="16">
                  <c:v>-0.302780720980795</c:v>
                </c:pt>
                <c:pt idx="17">
                  <c:v>-0.13114221691073388</c:v>
                </c:pt>
                <c:pt idx="18">
                  <c:v>-6.3560541353128594E-2</c:v>
                </c:pt>
                <c:pt idx="19">
                  <c:v>-4.4360012559824524E-2</c:v>
                </c:pt>
                <c:pt idx="20">
                  <c:v>0.30666158963485507</c:v>
                </c:pt>
                <c:pt idx="21">
                  <c:v>0.29356384181698231</c:v>
                </c:pt>
                <c:pt idx="22">
                  <c:v>0.335451308250589</c:v>
                </c:pt>
              </c:numCache>
            </c:numRef>
          </c:val>
          <c:extLst xmlns:c16r2="http://schemas.microsoft.com/office/drawing/2015/06/chart">
            <c:ext xmlns:c16="http://schemas.microsoft.com/office/drawing/2014/chart" uri="{C3380CC4-5D6E-409C-BE32-E72D297353CC}">
              <c16:uniqueId val="{00000003-A0C5-4F23-B720-3390D0F9E740}"/>
            </c:ext>
          </c:extLst>
        </c:ser>
        <c:ser>
          <c:idx val="0"/>
          <c:order val="4"/>
          <c:tx>
            <c:strRef>
              <c:f>'souhrnná výkonnost 4'!$G$5</c:f>
              <c:strCache>
                <c:ptCount val="1"/>
                <c:pt idx="0">
                  <c:v>Služby (CZ-NACE G až U)</c:v>
                </c:pt>
              </c:strCache>
            </c:strRef>
          </c:tx>
          <c:spPr>
            <a:solidFill>
              <a:srgbClr val="7DBB2D"/>
            </a:solidFill>
            <a:ln>
              <a:noFill/>
            </a:ln>
          </c:spPr>
          <c:val>
            <c:numRef>
              <c:f>'souhrnná výkonnost 4'!$G$10:$G$32</c:f>
              <c:numCache>
                <c:formatCode>#,##0.0</c:formatCode>
                <c:ptCount val="23"/>
                <c:pt idx="0">
                  <c:v>0.33531387573905125</c:v>
                </c:pt>
                <c:pt idx="1">
                  <c:v>0.82602965393403271</c:v>
                </c:pt>
                <c:pt idx="2">
                  <c:v>1.0647317258626734</c:v>
                </c:pt>
                <c:pt idx="3">
                  <c:v>1.3526094152015899</c:v>
                </c:pt>
                <c:pt idx="4">
                  <c:v>1.2015462411733078</c:v>
                </c:pt>
                <c:pt idx="5">
                  <c:v>1.3618962066899361</c:v>
                </c:pt>
                <c:pt idx="6">
                  <c:v>1.6305753628128847</c:v>
                </c:pt>
                <c:pt idx="7">
                  <c:v>1.7371534802280579</c:v>
                </c:pt>
                <c:pt idx="8">
                  <c:v>2.3293944432592837</c:v>
                </c:pt>
                <c:pt idx="9">
                  <c:v>2.9607261994462397</c:v>
                </c:pt>
                <c:pt idx="10">
                  <c:v>3.3104809685977732</c:v>
                </c:pt>
                <c:pt idx="11">
                  <c:v>3.5102997095503552</c:v>
                </c:pt>
                <c:pt idx="12">
                  <c:v>2.8263627195651577</c:v>
                </c:pt>
                <c:pt idx="13">
                  <c:v>2.1630843086592892</c:v>
                </c:pt>
                <c:pt idx="14">
                  <c:v>1.4107617066750757</c:v>
                </c:pt>
                <c:pt idx="15">
                  <c:v>1.1370846005544863</c:v>
                </c:pt>
                <c:pt idx="16">
                  <c:v>1.0783547622951872</c:v>
                </c:pt>
                <c:pt idx="17">
                  <c:v>1.7517053491354078</c:v>
                </c:pt>
                <c:pt idx="18">
                  <c:v>1.5916101463720922</c:v>
                </c:pt>
                <c:pt idx="19">
                  <c:v>1.919300620304905</c:v>
                </c:pt>
                <c:pt idx="20">
                  <c:v>2.2299965554037602</c:v>
                </c:pt>
                <c:pt idx="21">
                  <c:v>1.4909872622450147</c:v>
                </c:pt>
                <c:pt idx="22" formatCode="General">
                  <c:v>1.6192319380810201</c:v>
                </c:pt>
              </c:numCache>
            </c:numRef>
          </c:val>
          <c:extLst xmlns:c16r2="http://schemas.microsoft.com/office/drawing/2015/06/chart">
            <c:ext xmlns:c16="http://schemas.microsoft.com/office/drawing/2014/chart" uri="{C3380CC4-5D6E-409C-BE32-E72D297353CC}">
              <c16:uniqueId val="{00000004-A0C5-4F23-B720-3390D0F9E740}"/>
            </c:ext>
          </c:extLst>
        </c:ser>
        <c:gapWidth val="70"/>
        <c:overlap val="100"/>
        <c:axId val="150128128"/>
        <c:axId val="150129664"/>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4'!$A$10:$B$32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4'!$H$10:$H$32</c:f>
              <c:numCache>
                <c:formatCode>#,##0.0</c:formatCode>
                <c:ptCount val="23"/>
                <c:pt idx="0">
                  <c:v>-1.6029638849506325</c:v>
                </c:pt>
                <c:pt idx="1">
                  <c:v>-0.85391471561866972</c:v>
                </c:pt>
                <c:pt idx="2">
                  <c:v>-0.17856994731182574</c:v>
                </c:pt>
                <c:pt idx="3">
                  <c:v>0.67978995359544436</c:v>
                </c:pt>
                <c:pt idx="4">
                  <c:v>2.3247275605985616</c:v>
                </c:pt>
                <c:pt idx="5">
                  <c:v>2.9677793446742413</c:v>
                </c:pt>
                <c:pt idx="6">
                  <c:v>3.7862627849497223</c:v>
                </c:pt>
                <c:pt idx="7">
                  <c:v>4.5085738953991834</c:v>
                </c:pt>
                <c:pt idx="8">
                  <c:v>4.6449632769543845</c:v>
                </c:pt>
                <c:pt idx="9">
                  <c:v>5.0617095222013724</c:v>
                </c:pt>
                <c:pt idx="10">
                  <c:v>5.1392793226927624</c:v>
                </c:pt>
                <c:pt idx="11">
                  <c:v>4.3837812230315505</c:v>
                </c:pt>
                <c:pt idx="12">
                  <c:v>3.3693001484089842</c:v>
                </c:pt>
                <c:pt idx="13">
                  <c:v>2.3056178950667725</c:v>
                </c:pt>
                <c:pt idx="14">
                  <c:v>1.5499257674343665</c:v>
                </c:pt>
                <c:pt idx="15">
                  <c:v>1.9589295741354551</c:v>
                </c:pt>
                <c:pt idx="16">
                  <c:v>2.8499573664514282</c:v>
                </c:pt>
                <c:pt idx="17">
                  <c:v>4.8940758215988245</c:v>
                </c:pt>
                <c:pt idx="18">
                  <c:v>5.0549371235463942</c:v>
                </c:pt>
                <c:pt idx="19">
                  <c:v>4.7970012594389662</c:v>
                </c:pt>
                <c:pt idx="20">
                  <c:v>4.1863897797296108</c:v>
                </c:pt>
                <c:pt idx="21">
                  <c:v>2.3689129075608504</c:v>
                </c:pt>
                <c:pt idx="22">
                  <c:v>2.4169221964825183</c:v>
                </c:pt>
              </c:numCache>
            </c:numRef>
          </c:val>
          <c:extLst xmlns:c16r2="http://schemas.microsoft.com/office/drawing/2015/06/chart">
            <c:ext xmlns:c16="http://schemas.microsoft.com/office/drawing/2014/chart" uri="{C3380CC4-5D6E-409C-BE32-E72D297353CC}">
              <c16:uniqueId val="{00000005-A0C5-4F23-B720-3390D0F9E740}"/>
            </c:ext>
          </c:extLst>
        </c:ser>
        <c:marker val="1"/>
        <c:axId val="150128128"/>
        <c:axId val="150129664"/>
      </c:lineChart>
      <c:catAx>
        <c:axId val="150128128"/>
        <c:scaling>
          <c:orientation val="minMax"/>
        </c:scaling>
        <c:axPos val="b"/>
        <c:tickLblPos val="low"/>
        <c:spPr>
          <a:ln>
            <a:solidFill>
              <a:schemeClr val="tx1"/>
            </a:solidFill>
          </a:ln>
        </c:spPr>
        <c:txPr>
          <a:bodyPr rot="0" vert="horz"/>
          <a:lstStyle/>
          <a:p>
            <a:pPr>
              <a:defRPr/>
            </a:pPr>
            <a:endParaRPr lang="cs-CZ"/>
          </a:p>
        </c:txPr>
        <c:crossAx val="150129664"/>
        <c:crosses val="autoZero"/>
        <c:auto val="1"/>
        <c:lblAlgn val="ctr"/>
        <c:lblOffset val="100"/>
      </c:catAx>
      <c:valAx>
        <c:axId val="150129664"/>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50128128"/>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863"/>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700B-D0F6-4AC0-B866-7523BA2F7FF9}">
  <ds:schemaRefs>
    <ds:schemaRef ds:uri="http://schemas.openxmlformats.org/officeDocument/2006/bibliography"/>
  </ds:schemaRefs>
</ds:datastoreItem>
</file>

<file path=customXml/itemProps2.xml><?xml version="1.0" encoding="utf-8"?>
<ds:datastoreItem xmlns:ds="http://schemas.openxmlformats.org/officeDocument/2006/customXml" ds:itemID="{03D5B9F6-5D8E-4546-861B-CB621252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4</Pages>
  <Words>1138</Words>
  <Characters>6719</Characters>
  <Application>Microsoft Office Word</Application>
  <DocSecurity>0</DocSecurity>
  <Lines>55</Lines>
  <Paragraphs>15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7842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2</cp:revision>
  <cp:lastPrinted>2018-12-19T13:53:00Z</cp:lastPrinted>
  <dcterms:created xsi:type="dcterms:W3CDTF">2018-12-20T10:53:00Z</dcterms:created>
  <dcterms:modified xsi:type="dcterms:W3CDTF">2018-12-20T10:53:00Z</dcterms:modified>
</cp:coreProperties>
</file>