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0D3058">
      <w:pPr>
        <w:pStyle w:val="Nadpis11"/>
      </w:pPr>
      <w:bookmarkStart w:id="0" w:name="_Toc532558287"/>
      <w:r w:rsidRPr="009110F7">
        <w:t>7. Měnové podmínky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4B305C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Marginlie"/>
            </w:pPr>
            <w:r>
              <w:t xml:space="preserve">Růst </w:t>
            </w:r>
            <w:proofErr w:type="spellStart"/>
            <w:r>
              <w:t>měnověpolitických</w:t>
            </w:r>
            <w:proofErr w:type="spellEnd"/>
            <w:r>
              <w:t xml:space="preserve"> sazeb ve 3. čtvrtletí pokračoval.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4B305C" w:rsidRPr="00E66062" w:rsidRDefault="00727C02" w:rsidP="00FE6E69">
            <w:pPr>
              <w:rPr>
                <w:spacing w:val="-2"/>
              </w:rPr>
            </w:pPr>
            <w:r w:rsidRPr="00727C02">
              <w:rPr>
                <w:spacing w:val="-2"/>
              </w:rPr>
              <w:t xml:space="preserve">Vzhledem k celkovým ekonomickým podmínkám (zrychlení inflace, tlak na trhu práce atd.) se ČNB rozhodla pro další zvýšení </w:t>
            </w:r>
            <w:proofErr w:type="spellStart"/>
            <w:r w:rsidRPr="00727C02">
              <w:rPr>
                <w:spacing w:val="-2"/>
              </w:rPr>
              <w:t>měnověpolitických</w:t>
            </w:r>
            <w:proofErr w:type="spellEnd"/>
            <w:r w:rsidRPr="00727C02">
              <w:rPr>
                <w:spacing w:val="-2"/>
              </w:rPr>
              <w:t xml:space="preserve"> sazeb. Ve 3. čtvrtletí došlo dokonce k vícenásobnému navýšení. Dvoutýdenní </w:t>
            </w:r>
            <w:proofErr w:type="spellStart"/>
            <w:r w:rsidRPr="00727C02">
              <w:rPr>
                <w:spacing w:val="-2"/>
              </w:rPr>
              <w:t>repo</w:t>
            </w:r>
            <w:proofErr w:type="spellEnd"/>
            <w:r w:rsidRPr="00727C02">
              <w:rPr>
                <w:spacing w:val="-2"/>
              </w:rPr>
              <w:t xml:space="preserve"> sazba byla navýšena na 1,25</w:t>
            </w:r>
            <w:r w:rsidR="00E66062" w:rsidRPr="00E66062">
              <w:rPr>
                <w:spacing w:val="-2"/>
              </w:rPr>
              <w:t> </w:t>
            </w:r>
            <w:r w:rsidRPr="00727C02">
              <w:rPr>
                <w:spacing w:val="-2"/>
              </w:rPr>
              <w:t>% v srpnu a dále na 1,50 % ke konci září (dopad tohoto posunu však spadá do 4.</w:t>
            </w:r>
            <w:r w:rsidR="00E66062" w:rsidRPr="00E66062">
              <w:rPr>
                <w:spacing w:val="-2"/>
              </w:rPr>
              <w:t> </w:t>
            </w:r>
            <w:r w:rsidRPr="00727C02">
              <w:rPr>
                <w:spacing w:val="-2"/>
              </w:rPr>
              <w:t>kvartálu). Zvýšena byla i diskontní sazba (na 0,25 % a dále na 0,50 %) i lombardní sazba (na 2,25 % a 2,50 %). Vývoj měnových podmínek však byl ovlivněn i změnou sazeb, která proběhla na konci června. Kurz koruny vůči euru začal čtvrtletí nad hranicí 26 korun, ale měl tendence k posílení. Nejsilnější byl v druhé polovině září, kdy dosáhl 25,43</w:t>
            </w:r>
            <w:r w:rsidRPr="00727C02">
              <w:rPr>
                <w:rStyle w:val="Znakapoznpodarou"/>
                <w:spacing w:val="-2"/>
              </w:rPr>
              <w:footnoteReference w:id="1"/>
            </w:r>
            <w:r w:rsidRPr="00727C02">
              <w:rPr>
                <w:spacing w:val="-2"/>
              </w:rPr>
              <w:t xml:space="preserve"> korun za euro. Na konci září se však trend obrátil a v poslední zářijový pracovní den dosáhl kurz 25,72 korun za euro. Kurz vůči dolaru byl více volatilní. V</w:t>
            </w:r>
            <w:r w:rsidR="00E66062" w:rsidRPr="00E66062">
              <w:rPr>
                <w:spacing w:val="-2"/>
              </w:rPr>
              <w:t> </w:t>
            </w:r>
            <w:r w:rsidRPr="00727C02">
              <w:rPr>
                <w:spacing w:val="-2"/>
              </w:rPr>
              <w:t>červenci se kurz držel mezi 22,40 a 21,80 korunami za dolar. Do poloviny srpna měna oslabila až na 22,71 korun za dolar. Následně však posilovala a 20. září dosáhl kurz 21,71 korun.</w:t>
            </w:r>
            <w:r w:rsidR="00FE6E69">
              <w:rPr>
                <w:spacing w:val="-2"/>
              </w:rPr>
              <w:t xml:space="preserve"> Do konce září pak měna mírně oslabila na 21,97 korun za dolar. </w:t>
            </w:r>
          </w:p>
        </w:tc>
      </w:tr>
      <w:tr w:rsidR="004B305C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Marginlie"/>
            </w:pPr>
            <w:r>
              <w:t xml:space="preserve">Rostly i výnosy na krátkodobých </w:t>
            </w:r>
            <w:r w:rsidR="00F27071">
              <w:t>a </w:t>
            </w:r>
            <w:r>
              <w:t>střednědobých dluhopisech. U těch s dlouhodobou splatností však úroky stagnovaly.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4B305C" w:rsidRPr="00E66062" w:rsidRDefault="00727C02" w:rsidP="008458BD">
            <w:pPr>
              <w:rPr>
                <w:spacing w:val="-1"/>
              </w:rPr>
            </w:pPr>
            <w:r w:rsidRPr="00727C02">
              <w:rPr>
                <w:spacing w:val="-1"/>
              </w:rPr>
              <w:t xml:space="preserve">Přímým důsledkem zvýšení </w:t>
            </w:r>
            <w:proofErr w:type="spellStart"/>
            <w:r w:rsidRPr="00727C02">
              <w:rPr>
                <w:spacing w:val="-1"/>
              </w:rPr>
              <w:t>měnověpolitických</w:t>
            </w:r>
            <w:proofErr w:type="spellEnd"/>
            <w:r w:rsidRPr="00727C02">
              <w:rPr>
                <w:spacing w:val="-1"/>
              </w:rPr>
              <w:t xml:space="preserve"> sazeb je růst úrokových sazeb na mezibankovním trhu. Tříměsíční PRIBOR se během 3. čtvrtletí neustále posouval vzhůru. Jeho průměrná hodnota v červenci reagovala na červnový posun </w:t>
            </w:r>
            <w:proofErr w:type="spellStart"/>
            <w:r w:rsidRPr="00727C02">
              <w:rPr>
                <w:spacing w:val="-1"/>
              </w:rPr>
              <w:t>repo</w:t>
            </w:r>
            <w:proofErr w:type="spellEnd"/>
            <w:r w:rsidRPr="00727C02">
              <w:rPr>
                <w:spacing w:val="-1"/>
              </w:rPr>
              <w:t xml:space="preserve"> sazby a dosáhla 1,18 %. V srpnu průměr dosahoval 1,45 % a v září 1,54 %. Účinek zářijového rozhodnutí bankovní rady se pak přenesl do říjnového vývoje. Sazby na českých </w:t>
            </w:r>
            <w:r w:rsidR="00FE6E69">
              <w:rPr>
                <w:spacing w:val="-1"/>
              </w:rPr>
              <w:t xml:space="preserve">státních </w:t>
            </w:r>
            <w:r w:rsidRPr="00727C02">
              <w:rPr>
                <w:spacing w:val="-1"/>
              </w:rPr>
              <w:t xml:space="preserve">dluhopisech se během roku posouvaly nahoru. V samotném 3. čtvrtletí se zvyšovaly jen výnosy na dluhopisech se splatností do 2 (+0,45 p. b.) a 5 let (+0,29 p. b.). Dluhopisy s dlouhodobou splatností se od června držely na stejné úrovni výnosů (2,14 %). </w:t>
            </w:r>
          </w:p>
        </w:tc>
      </w:tr>
      <w:tr w:rsidR="004B305C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Marginlie"/>
            </w:pPr>
            <w:r>
              <w:t>U vkladů s dohodnutou splatností úrokové sazby pomalu rostou.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4B305C" w:rsidRPr="00E66062" w:rsidRDefault="00727C02" w:rsidP="008458BD">
            <w:pPr>
              <w:rPr>
                <w:spacing w:val="-3"/>
              </w:rPr>
            </w:pPr>
            <w:r w:rsidRPr="00727C02">
              <w:rPr>
                <w:spacing w:val="-3"/>
              </w:rPr>
              <w:t xml:space="preserve">Úrokové sazby na běžných účtech domácností nadále setrvávaly na technické nule (0,05 %). Ve 3. čtvrtletí však došlo k výraznějšímu nárůstu sazeb na vkladech s dohodnutou splatností (nárůst o 0,30 p. b. </w:t>
            </w:r>
            <w:proofErr w:type="gramStart"/>
            <w:r w:rsidRPr="00727C02">
              <w:rPr>
                <w:spacing w:val="-3"/>
              </w:rPr>
              <w:t>na</w:t>
            </w:r>
            <w:proofErr w:type="gramEnd"/>
            <w:r w:rsidRPr="00727C02">
              <w:rPr>
                <w:spacing w:val="-3"/>
              </w:rPr>
              <w:t xml:space="preserve"> 1,05 %). U nefinančních podniků se mírně zvýšily průměrné výnosy na běžných účtech, hranici 0,1 % však nepřekonaly. Vklady s dohodnutou splatností pro nefinanční podniky začínají opět představovat lákavější alternativu pro ukládání finančních prostředků. Průměrná úroková sazba se u</w:t>
            </w:r>
            <w:r w:rsidR="00E66062" w:rsidRPr="00E66062">
              <w:rPr>
                <w:spacing w:val="-2"/>
              </w:rPr>
              <w:t> </w:t>
            </w:r>
            <w:r w:rsidRPr="00727C02">
              <w:rPr>
                <w:spacing w:val="-3"/>
              </w:rPr>
              <w:t>nich ve 3. čtvrtletí zdvojnásobila a posunula na 0,95 %. Pohled na strukturu peněžní zásoby pak ukazuje, že zatímco nárůst prostředků ve formě běžných vkladů a hotovosti byl jen mírný, vklady s dohodnutou splatností si udržely dvouciferné meziroční tempo růstu. Od počátku letošního roku jich přibylo o 63,2 mld. korun (39,7 %).</w:t>
            </w:r>
          </w:p>
        </w:tc>
      </w:tr>
      <w:tr w:rsidR="004B305C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Marginlie"/>
            </w:pPr>
            <w:r>
              <w:t>Zdražily se úvěry pro domácnosti i podniky.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601EEF" w:rsidRDefault="004B305C">
            <w:r>
              <w:t>Úrokové sazby na úvěrech na spotřebu pro domácnosti v předchozích letech výrazně klesaly, tento pohyb se však v polovině letošního roku zastavil a úročení se posunulo mírně vzhůru. Průměrná hodnota k 30. 9. 2018 tak činila 8,53 %. Pokračoval postupný růst sazeb na úvěrech na bydlení, který trvá již od počátku roku 2017. Ke konci 3. čtvrtletí dosahovala celková průměrná sazba 2,7 %. Úrokové sazby úvěrů pro nefinanční podniky se v předchozích čtvrtletích posouvaly vzhůru poměrně pomalu, ve 3. čtvrtletí však došlo k většímu nárůstu. Nejvýraznější nárůst zaznamenaly úvěry nad 30 mil. korun, u nichž se sazby v minulém období držely nejníže ze všech sledovaných kategorií. Zatímco k 30. 6. byla průměrná sazba 2,25 %, ke konci září to bylo 2,92 %. Naopak úvěry do 7,5 mil. korun, které jsou tradičně úročeny nejvyšší sazbou (3,87 % k 30. 9.)</w:t>
            </w:r>
            <w:r w:rsidR="00CE2D8F">
              <w:t>,</w:t>
            </w:r>
            <w:r>
              <w:t xml:space="preserve"> se oproti předchozímu čtvrtletí zdražily nejméně (+0,20 p. b.).</w:t>
            </w:r>
          </w:p>
        </w:tc>
      </w:tr>
      <w:tr w:rsidR="004B305C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4B305C" w:rsidRDefault="004B305C" w:rsidP="00140D1A">
            <w:pPr>
              <w:pStyle w:val="Marginlie"/>
            </w:pPr>
            <w:r>
              <w:lastRenderedPageBreak/>
              <w:t>Objem spotřebních úvěrů rostl rychleji než loni. U</w:t>
            </w:r>
            <w:r w:rsidR="00D922A1">
              <w:t> </w:t>
            </w:r>
            <w:r>
              <w:t xml:space="preserve">hypoték rostl objem, počet nových smluv meziročně </w:t>
            </w:r>
            <w:r w:rsidR="00140D1A">
              <w:t>mírně vzrostl.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4B305C" w:rsidRDefault="004B305C" w:rsidP="00140D1A">
            <w:r>
              <w:t xml:space="preserve">Zájem domácností o úvěrové financování neutuchal ani ve 3. čtvrtletí 2018. Meziroční dynamika objemu úvěrů na spotřebu ve druhé polovině roku 2017 mírně zpomalila, ve 3. čtvrtletí </w:t>
            </w:r>
            <w:r w:rsidR="000E6FCB">
              <w:t xml:space="preserve">2018 </w:t>
            </w:r>
            <w:r>
              <w:t xml:space="preserve">však překonala 9 %. Objem úvěrů na spotřebu poskytnutých domácnostem k 30. září dosáhl 212,3 mld. korun a zvýšil se meziročně o 17,8 mld. (9,1 %). Stále silně rostl objem </w:t>
            </w:r>
            <w:r w:rsidR="000E6FCB">
              <w:t xml:space="preserve">úvěrů </w:t>
            </w:r>
            <w:r>
              <w:t xml:space="preserve">poskytnutých na bydlení. Objem hypotečních úvěrů poskytnutých domácnostem ke konci září činil 1 103,3 mld. korun a meziročně se zvýšil o 89,8 mld. </w:t>
            </w:r>
            <w:r w:rsidR="00140D1A">
              <w:t>Mírně (asi o 600) se meziročně zvýšil p</w:t>
            </w:r>
            <w:r>
              <w:t>očet nových hypotečních smluv</w:t>
            </w:r>
            <w:r w:rsidR="00140D1A">
              <w:t>, který klesal</w:t>
            </w:r>
            <w:r>
              <w:t xml:space="preserve"> od 2. čtvrtletí 2017</w:t>
            </w:r>
            <w:r w:rsidR="00140D1A">
              <w:t xml:space="preserve">. </w:t>
            </w:r>
            <w:r>
              <w:t xml:space="preserve">S časovým odstupem je patrný zlom ve vývoji spotřebitelských úvěrů na nemovitosti. Jejich výše silně rostla (dvouciferným meziročním tempem) </w:t>
            </w:r>
            <w:r w:rsidR="000E6FCB">
              <w:t>v letech</w:t>
            </w:r>
            <w:r>
              <w:t xml:space="preserve"> 2015 i 2016, ve 2. pololetí 2017 však došlo k náhlému útlumu růstu. Stagnace pokračovala i v dalším období. Rovněž u překlenovacích úvěrů ze stavebního spoření je zřejmé, že ve 2. pololetí 2016 se poptávka po nich prudce zvýšila</w:t>
            </w:r>
            <w:r w:rsidR="000E6FCB">
              <w:t>,</w:t>
            </w:r>
            <w:r>
              <w:t xml:space="preserve"> pravděpodobně ve snaze využít volnějších podmínek pro poskytování hypoték</w:t>
            </w:r>
            <w:r w:rsidR="000E6FCB">
              <w:t>,</w:t>
            </w:r>
            <w:r>
              <w:t xml:space="preserve"> a následně růst opět zvolnil. Kumulaci úvěrů na bydlení se snažila zabránit ČNB svými doporučeními.</w:t>
            </w:r>
          </w:p>
        </w:tc>
      </w:tr>
      <w:tr w:rsidR="004B305C" w:rsidRPr="009110F7" w:rsidTr="004B305C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Marginlie"/>
            </w:pPr>
            <w:r>
              <w:t>Podniky se stále orientují na úvěry v cizí měně.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4B305C" w:rsidRDefault="004B305C" w:rsidP="008458BD">
            <w:r>
              <w:t xml:space="preserve">Úvěry a pohledávky za nefinanční podniky ukazují, že poptávka po úvěrech v cizí měně, kterou stimuloval počátek intervencí, neutichla ani po jejich ukončení. Ke konci 3. čtvrtletí vzrostl podíl těchto úvěrů a pohledávek na 30,9 %. Nejvyšší podíl měly úvěry v cizí měně u pohledávek se splatností mezi 1 a 5 lety, růst však probíhal u všech kategorií. Celkem (v korunách i cizí měně) vzrostl ve 3. čtvrtletí objem úvěrů a pohledávek u nefinančních podniků meziročně o 5,4 % (56,7 mld. korun). Podniky využívaly zejména úvěry s delší splatností. Zvyšoval se objem úvěrů poskytnutých podnikům ve zpracovatelském průmyslu (+19,8 mld. korun, 7,5 %), výrazné oživení se projevilo u stavebnictví (+7,0 mld. korun, 15,3 %). Konjunktura se projevuje zvýšenou investiční aktivitou v dopravě a skladování, což je provázáno i s nárůstem úvěrového financování (+7,5 mld. korun, 15,6 %). Naopak pokračovala redukce objemu úvěrů v sekci těžba a </w:t>
            </w:r>
            <w:proofErr w:type="gramStart"/>
            <w:r>
              <w:t xml:space="preserve">dobývání </w:t>
            </w:r>
            <w:r w:rsidR="009B7DB2">
              <w:t>(–</w:t>
            </w:r>
            <w:r>
              <w:t>8,5</w:t>
            </w:r>
            <w:proofErr w:type="gramEnd"/>
            <w:r>
              <w:t xml:space="preserve"> mld. korun, </w:t>
            </w:r>
            <w:r w:rsidR="009B7DB2">
              <w:t>–</w:t>
            </w:r>
            <w:r>
              <w:t xml:space="preserve">46,0 %). </w:t>
            </w:r>
          </w:p>
        </w:tc>
      </w:tr>
      <w:tr w:rsidR="004B305C" w:rsidRPr="009110F7" w:rsidTr="004B305C">
        <w:trPr>
          <w:trHeight w:val="304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4B305C" w:rsidRDefault="004B305C" w:rsidP="009B05B3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4B305C" w:rsidRDefault="004B305C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4B305C" w:rsidRDefault="00A925B1" w:rsidP="004B305C">
            <w:pPr>
              <w:spacing w:after="0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18</w:t>
            </w:r>
            <w:r w:rsidR="004B305C"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4B305C">
              <w:rPr>
                <w:b/>
                <w:spacing w:val="-4"/>
                <w:sz w:val="18"/>
                <w:szCs w:val="18"/>
              </w:rPr>
              <w:t>Tržní</w:t>
            </w:r>
            <w:proofErr w:type="gramEnd"/>
            <w:r w:rsidR="004B305C">
              <w:rPr>
                <w:b/>
                <w:spacing w:val="-4"/>
                <w:sz w:val="18"/>
                <w:szCs w:val="18"/>
              </w:rPr>
              <w:t xml:space="preserve"> úrokové sazby (v %)</w:t>
            </w:r>
          </w:p>
        </w:tc>
      </w:tr>
      <w:tr w:rsidR="004B305C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4B305C" w:rsidRPr="009110F7" w:rsidRDefault="004B305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4B305C" w:rsidRPr="009110F7" w:rsidRDefault="004B305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4B305C" w:rsidRPr="009110F7" w:rsidRDefault="004B305C" w:rsidP="008458BD">
            <w:pPr>
              <w:spacing w:after="0"/>
              <w:rPr>
                <w:sz w:val="14"/>
                <w:szCs w:val="14"/>
              </w:rPr>
            </w:pPr>
            <w:r w:rsidRPr="00B00E77">
              <w:rPr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3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B305C" w:rsidRPr="009110F7" w:rsidTr="004B305C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4B305C" w:rsidRPr="009110F7" w:rsidRDefault="004B305C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4B305C" w:rsidRPr="009110F7" w:rsidRDefault="004B305C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4B305C" w:rsidRPr="009110F7" w:rsidRDefault="004B305C" w:rsidP="008458BD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ČNB</w:t>
            </w:r>
          </w:p>
        </w:tc>
      </w:tr>
    </w:tbl>
    <w:p w:rsidR="0083630F" w:rsidRPr="0083630F" w:rsidRDefault="0083630F" w:rsidP="00BA0A72">
      <w:pPr>
        <w:pStyle w:val="Nadpis11"/>
        <w:rPr>
          <w:sz w:val="2"/>
          <w:szCs w:val="2"/>
        </w:rPr>
      </w:pPr>
    </w:p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BA0A7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2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12CEEF" w15:done="0"/>
  <w15:commentEx w15:paraId="510EBE5F" w15:done="0"/>
  <w15:commentEx w15:paraId="2BBC27AD" w15:done="0"/>
  <w15:commentEx w15:paraId="64F0BE47" w15:done="0"/>
  <w15:commentEx w15:paraId="061FEE45" w15:done="0"/>
  <w15:commentEx w15:paraId="180AB565" w15:done="0"/>
  <w15:commentEx w15:paraId="4FDB8EDF" w15:done="0"/>
  <w15:commentEx w15:paraId="6709F746" w15:done="0"/>
  <w15:commentEx w15:paraId="2323FC13" w15:done="0"/>
  <w15:commentEx w15:paraId="28C26757" w15:done="0"/>
  <w15:commentEx w15:paraId="28F690F6" w15:done="0"/>
  <w15:commentEx w15:paraId="72A0F35B" w15:done="0"/>
  <w15:commentEx w15:paraId="17D51B1D" w15:done="0"/>
  <w15:commentEx w15:paraId="1905EDB9" w15:done="0"/>
  <w15:commentEx w15:paraId="769B3E23" w15:done="0"/>
  <w15:commentEx w15:paraId="4941CE09" w15:done="0"/>
  <w15:commentEx w15:paraId="3F6235A8" w15:done="0"/>
  <w15:commentEx w15:paraId="57663E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5C" w:rsidRDefault="00664C5C" w:rsidP="00E71A58">
      <w:r>
        <w:separator/>
      </w:r>
    </w:p>
  </w:endnote>
  <w:endnote w:type="continuationSeparator" w:id="0">
    <w:p w:rsidR="00664C5C" w:rsidRDefault="00664C5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Pr="00932443" w:rsidRDefault="00157CC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389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BE5389" w:rsidRPr="00932443">
      <w:rPr>
        <w:szCs w:val="16"/>
      </w:rPr>
      <w:fldChar w:fldCharType="separate"/>
    </w:r>
    <w:r w:rsidR="00BA0A72">
      <w:rPr>
        <w:szCs w:val="16"/>
      </w:rPr>
      <w:t>26</w:t>
    </w:r>
    <w:r w:rsidR="00BE5389" w:rsidRPr="00932443">
      <w:rPr>
        <w:szCs w:val="16"/>
      </w:rPr>
      <w:fldChar w:fldCharType="end"/>
    </w:r>
    <w:r w:rsidRPr="00932443">
      <w:rPr>
        <w:szCs w:val="16"/>
      </w:rPr>
      <w:tab/>
    </w:r>
    <w:r>
      <w:t>1. až 3. 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Pr="00932443" w:rsidRDefault="00157CC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až 3. čtvrtletí 2018</w:t>
    </w:r>
    <w:r w:rsidRPr="00932443">
      <w:rPr>
        <w:szCs w:val="16"/>
      </w:rPr>
      <w:tab/>
    </w:r>
    <w:r w:rsidR="00BE5389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BE5389" w:rsidRPr="00932443">
      <w:rPr>
        <w:rStyle w:val="ZpatChar"/>
        <w:szCs w:val="16"/>
      </w:rPr>
      <w:fldChar w:fldCharType="separate"/>
    </w:r>
    <w:r w:rsidR="00BA0A72">
      <w:rPr>
        <w:rStyle w:val="ZpatChar"/>
        <w:szCs w:val="16"/>
      </w:rPr>
      <w:t>25</w:t>
    </w:r>
    <w:r w:rsidR="00BE5389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5C" w:rsidRDefault="00664C5C" w:rsidP="00E71A58">
      <w:r>
        <w:separator/>
      </w:r>
    </w:p>
  </w:footnote>
  <w:footnote w:type="continuationSeparator" w:id="0">
    <w:p w:rsidR="00664C5C" w:rsidRDefault="00664C5C" w:rsidP="00E71A58">
      <w:r>
        <w:continuationSeparator/>
      </w:r>
    </w:p>
  </w:footnote>
  <w:footnote w:id="1">
    <w:p w:rsidR="00157CC9" w:rsidRDefault="00157CC9" w:rsidP="008458BD">
      <w:pPr>
        <w:pStyle w:val="Textpoznpodarou"/>
        <w:rPr>
          <w:sz w:val="16"/>
          <w:szCs w:val="16"/>
        </w:rPr>
      </w:pPr>
      <w:r w:rsidRPr="00E83936">
        <w:rPr>
          <w:rStyle w:val="Znakapoznpodarou"/>
          <w:sz w:val="16"/>
          <w:szCs w:val="16"/>
        </w:rPr>
        <w:footnoteRef/>
      </w:r>
      <w:r w:rsidRPr="00E83936">
        <w:rPr>
          <w:sz w:val="16"/>
          <w:szCs w:val="16"/>
        </w:rPr>
        <w:t xml:space="preserve"> Kurzy devizového trhu vyhlašované ČNB</w:t>
      </w:r>
      <w:r>
        <w:rPr>
          <w:sz w:val="16"/>
          <w:szCs w:val="16"/>
        </w:rPr>
        <w:t xml:space="preserve"> v pracovních dnech</w:t>
      </w:r>
      <w:r w:rsidRPr="00E83936">
        <w:rPr>
          <w:sz w:val="16"/>
          <w:szCs w:val="16"/>
        </w:rPr>
        <w:t>.</w:t>
      </w:r>
      <w:r>
        <w:rPr>
          <w:sz w:val="16"/>
          <w:szCs w:val="16"/>
        </w:rPr>
        <w:t xml:space="preserve"> Není-li uvedeno jinak, jsou veškeré údaje převzaty z databáze ARAD České národní banky.</w:t>
      </w:r>
    </w:p>
    <w:p w:rsidR="00157CC9" w:rsidRPr="00E83936" w:rsidRDefault="00157CC9" w:rsidP="008458BD">
      <w:pPr>
        <w:pStyle w:val="Textpoznpodarou"/>
        <w:rPr>
          <w:sz w:val="16"/>
          <w:szCs w:val="16"/>
        </w:rPr>
      </w:pPr>
      <w:r w:rsidRPr="00E8393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Default="00157CC9" w:rsidP="00937AE2">
    <w:pPr>
      <w:pStyle w:val="Zhlav"/>
    </w:pPr>
    <w:r>
      <w:t>Vývoj ekonomiky České republiky</w:t>
    </w:r>
  </w:p>
  <w:p w:rsidR="00157CC9" w:rsidRPr="006F5416" w:rsidRDefault="00157CC9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Default="00157CC9" w:rsidP="00937AE2">
    <w:pPr>
      <w:pStyle w:val="Zhlav"/>
    </w:pPr>
    <w:r>
      <w:t>Vývoj ekonomiky České republiky</w:t>
    </w:r>
  </w:p>
  <w:p w:rsidR="00157CC9" w:rsidRPr="006F5416" w:rsidRDefault="00157CC9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4348"/>
    <w:rsid w:val="00026389"/>
    <w:rsid w:val="00031AE0"/>
    <w:rsid w:val="000322EF"/>
    <w:rsid w:val="00033FCD"/>
    <w:rsid w:val="00034DF7"/>
    <w:rsid w:val="00034E68"/>
    <w:rsid w:val="000350C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7FF0"/>
    <w:rsid w:val="00081A55"/>
    <w:rsid w:val="0008263E"/>
    <w:rsid w:val="00082C19"/>
    <w:rsid w:val="000837CD"/>
    <w:rsid w:val="00084BFF"/>
    <w:rsid w:val="00085395"/>
    <w:rsid w:val="00086AC1"/>
    <w:rsid w:val="00086D19"/>
    <w:rsid w:val="00087634"/>
    <w:rsid w:val="00087F2B"/>
    <w:rsid w:val="00090694"/>
    <w:rsid w:val="000913B1"/>
    <w:rsid w:val="00094A84"/>
    <w:rsid w:val="00095025"/>
    <w:rsid w:val="00095135"/>
    <w:rsid w:val="0009626E"/>
    <w:rsid w:val="00097191"/>
    <w:rsid w:val="000974D1"/>
    <w:rsid w:val="0009799E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40D"/>
    <w:rsid w:val="000E4AC5"/>
    <w:rsid w:val="000E6253"/>
    <w:rsid w:val="000E6E4D"/>
    <w:rsid w:val="000E6FBD"/>
    <w:rsid w:val="000E6FCB"/>
    <w:rsid w:val="00100F5C"/>
    <w:rsid w:val="00101CDA"/>
    <w:rsid w:val="00102037"/>
    <w:rsid w:val="00103DCB"/>
    <w:rsid w:val="00104C4C"/>
    <w:rsid w:val="001057C2"/>
    <w:rsid w:val="00112CAB"/>
    <w:rsid w:val="00116D3F"/>
    <w:rsid w:val="00117623"/>
    <w:rsid w:val="001200CF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25C3"/>
    <w:rsid w:val="0014262D"/>
    <w:rsid w:val="001459BC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2F90"/>
    <w:rsid w:val="001F4597"/>
    <w:rsid w:val="001F7CE0"/>
    <w:rsid w:val="00200085"/>
    <w:rsid w:val="00203332"/>
    <w:rsid w:val="00203CD5"/>
    <w:rsid w:val="00203D8F"/>
    <w:rsid w:val="00203DA4"/>
    <w:rsid w:val="00205186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27F53"/>
    <w:rsid w:val="00230C6E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120E"/>
    <w:rsid w:val="0026291D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C27A6"/>
    <w:rsid w:val="002C40D2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351A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9D6"/>
    <w:rsid w:val="003217B9"/>
    <w:rsid w:val="00321924"/>
    <w:rsid w:val="00321EB6"/>
    <w:rsid w:val="003220A5"/>
    <w:rsid w:val="0032656E"/>
    <w:rsid w:val="00332190"/>
    <w:rsid w:val="00333CD0"/>
    <w:rsid w:val="0033448D"/>
    <w:rsid w:val="00334AD2"/>
    <w:rsid w:val="003370C5"/>
    <w:rsid w:val="00341D26"/>
    <w:rsid w:val="00341F05"/>
    <w:rsid w:val="0034335E"/>
    <w:rsid w:val="00344668"/>
    <w:rsid w:val="003462D9"/>
    <w:rsid w:val="00352B43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12BC"/>
    <w:rsid w:val="003738BD"/>
    <w:rsid w:val="003746F0"/>
    <w:rsid w:val="00374A20"/>
    <w:rsid w:val="00374E21"/>
    <w:rsid w:val="003818DC"/>
    <w:rsid w:val="00383388"/>
    <w:rsid w:val="003834F8"/>
    <w:rsid w:val="003838D0"/>
    <w:rsid w:val="00384327"/>
    <w:rsid w:val="00385086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68CC"/>
    <w:rsid w:val="003C7E62"/>
    <w:rsid w:val="003D242B"/>
    <w:rsid w:val="003D2492"/>
    <w:rsid w:val="003D29AA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2C8"/>
    <w:rsid w:val="00400468"/>
    <w:rsid w:val="0040099D"/>
    <w:rsid w:val="00402ADB"/>
    <w:rsid w:val="0040368D"/>
    <w:rsid w:val="004059D2"/>
    <w:rsid w:val="00406C2E"/>
    <w:rsid w:val="00406EB0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6A5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D5B0F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603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1A6"/>
    <w:rsid w:val="00530A68"/>
    <w:rsid w:val="00532CE7"/>
    <w:rsid w:val="00532D8B"/>
    <w:rsid w:val="0053324C"/>
    <w:rsid w:val="00534A28"/>
    <w:rsid w:val="00535018"/>
    <w:rsid w:val="00537571"/>
    <w:rsid w:val="005410E2"/>
    <w:rsid w:val="00541508"/>
    <w:rsid w:val="00541AE3"/>
    <w:rsid w:val="00543498"/>
    <w:rsid w:val="00544BE5"/>
    <w:rsid w:val="00550160"/>
    <w:rsid w:val="00552F2C"/>
    <w:rsid w:val="00553A25"/>
    <w:rsid w:val="005547EB"/>
    <w:rsid w:val="005555E0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1E59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39E0"/>
    <w:rsid w:val="006156B4"/>
    <w:rsid w:val="00615DAF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478C"/>
    <w:rsid w:val="006451E4"/>
    <w:rsid w:val="00645B33"/>
    <w:rsid w:val="006516CB"/>
    <w:rsid w:val="00653BD0"/>
    <w:rsid w:val="00654110"/>
    <w:rsid w:val="00656CFB"/>
    <w:rsid w:val="00657E87"/>
    <w:rsid w:val="00660D2D"/>
    <w:rsid w:val="00662469"/>
    <w:rsid w:val="00664647"/>
    <w:rsid w:val="00664803"/>
    <w:rsid w:val="00664C5C"/>
    <w:rsid w:val="00665BA4"/>
    <w:rsid w:val="00667AF2"/>
    <w:rsid w:val="00670489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4355"/>
    <w:rsid w:val="006C469D"/>
    <w:rsid w:val="006C46B5"/>
    <w:rsid w:val="006C52EC"/>
    <w:rsid w:val="006C56D4"/>
    <w:rsid w:val="006C6681"/>
    <w:rsid w:val="006C683C"/>
    <w:rsid w:val="006C6924"/>
    <w:rsid w:val="006C6C1E"/>
    <w:rsid w:val="006C7CA6"/>
    <w:rsid w:val="006D18B3"/>
    <w:rsid w:val="006D3E8A"/>
    <w:rsid w:val="006D61F6"/>
    <w:rsid w:val="006E1332"/>
    <w:rsid w:val="006E279A"/>
    <w:rsid w:val="006E313B"/>
    <w:rsid w:val="006E3A45"/>
    <w:rsid w:val="006E53AD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27C02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77CE6"/>
    <w:rsid w:val="00780EF1"/>
    <w:rsid w:val="00781A91"/>
    <w:rsid w:val="00786C87"/>
    <w:rsid w:val="007877C9"/>
    <w:rsid w:val="00790764"/>
    <w:rsid w:val="0079085F"/>
    <w:rsid w:val="00791005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D0382"/>
    <w:rsid w:val="007D1A1F"/>
    <w:rsid w:val="007D2E18"/>
    <w:rsid w:val="007D40DF"/>
    <w:rsid w:val="007D4458"/>
    <w:rsid w:val="007E0D4A"/>
    <w:rsid w:val="007E1788"/>
    <w:rsid w:val="007E29B4"/>
    <w:rsid w:val="007E435A"/>
    <w:rsid w:val="007E49F7"/>
    <w:rsid w:val="007E4C70"/>
    <w:rsid w:val="007E78B6"/>
    <w:rsid w:val="007E7E61"/>
    <w:rsid w:val="007F0845"/>
    <w:rsid w:val="007F20F3"/>
    <w:rsid w:val="007F2390"/>
    <w:rsid w:val="007F708D"/>
    <w:rsid w:val="008006B3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41AC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9754C"/>
    <w:rsid w:val="008A0ADD"/>
    <w:rsid w:val="008A37E2"/>
    <w:rsid w:val="008A388E"/>
    <w:rsid w:val="008A3CBA"/>
    <w:rsid w:val="008A4B59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45523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3764"/>
    <w:rsid w:val="009B66CE"/>
    <w:rsid w:val="009B6FD3"/>
    <w:rsid w:val="009B7DB2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5087"/>
    <w:rsid w:val="00A45489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25B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6C5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39DA"/>
    <w:rsid w:val="00B4411A"/>
    <w:rsid w:val="00B46604"/>
    <w:rsid w:val="00B47089"/>
    <w:rsid w:val="00B52151"/>
    <w:rsid w:val="00B530CD"/>
    <w:rsid w:val="00B53E56"/>
    <w:rsid w:val="00B55A97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80F"/>
    <w:rsid w:val="00B76D1E"/>
    <w:rsid w:val="00B77543"/>
    <w:rsid w:val="00B80EC6"/>
    <w:rsid w:val="00B81288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0A72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389"/>
    <w:rsid w:val="00BF02C8"/>
    <w:rsid w:val="00BF1578"/>
    <w:rsid w:val="00BF1D12"/>
    <w:rsid w:val="00BF1D3A"/>
    <w:rsid w:val="00BF2B5B"/>
    <w:rsid w:val="00BF32DC"/>
    <w:rsid w:val="00BF4E43"/>
    <w:rsid w:val="00BF5C4C"/>
    <w:rsid w:val="00C01410"/>
    <w:rsid w:val="00C04B78"/>
    <w:rsid w:val="00C052AA"/>
    <w:rsid w:val="00C06EE3"/>
    <w:rsid w:val="00C07749"/>
    <w:rsid w:val="00C11D48"/>
    <w:rsid w:val="00C1493E"/>
    <w:rsid w:val="00C15DBD"/>
    <w:rsid w:val="00C21430"/>
    <w:rsid w:val="00C21E61"/>
    <w:rsid w:val="00C21F94"/>
    <w:rsid w:val="00C2479A"/>
    <w:rsid w:val="00C24903"/>
    <w:rsid w:val="00C2590D"/>
    <w:rsid w:val="00C27913"/>
    <w:rsid w:val="00C31F2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2076"/>
    <w:rsid w:val="00CD24CE"/>
    <w:rsid w:val="00CD29B5"/>
    <w:rsid w:val="00CD2B78"/>
    <w:rsid w:val="00CD5C3E"/>
    <w:rsid w:val="00CD6331"/>
    <w:rsid w:val="00CE14BE"/>
    <w:rsid w:val="00CE1BA9"/>
    <w:rsid w:val="00CE2D8F"/>
    <w:rsid w:val="00CE62FA"/>
    <w:rsid w:val="00CE670B"/>
    <w:rsid w:val="00CE6833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0C15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475F"/>
    <w:rsid w:val="00D66223"/>
    <w:rsid w:val="00D70822"/>
    <w:rsid w:val="00D72076"/>
    <w:rsid w:val="00D726A9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F8E"/>
    <w:rsid w:val="00DA6364"/>
    <w:rsid w:val="00DA7114"/>
    <w:rsid w:val="00DA7C0C"/>
    <w:rsid w:val="00DB08A9"/>
    <w:rsid w:val="00DB2DFA"/>
    <w:rsid w:val="00DB2EC8"/>
    <w:rsid w:val="00DB5E9A"/>
    <w:rsid w:val="00DB657E"/>
    <w:rsid w:val="00DB7342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4369"/>
    <w:rsid w:val="00DF4423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36A3F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2841"/>
    <w:rsid w:val="00EA32BC"/>
    <w:rsid w:val="00EA35A7"/>
    <w:rsid w:val="00EA3B32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52CB5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105"/>
    <w:rsid w:val="00FA05A0"/>
    <w:rsid w:val="00FA17CC"/>
    <w:rsid w:val="00FA1F01"/>
    <w:rsid w:val="00FA5112"/>
    <w:rsid w:val="00FA5526"/>
    <w:rsid w:val="00FA5D4D"/>
    <w:rsid w:val="00FA70D3"/>
    <w:rsid w:val="00FB0AEA"/>
    <w:rsid w:val="00FB0EE2"/>
    <w:rsid w:val="00FB1A79"/>
    <w:rsid w:val="00FB208B"/>
    <w:rsid w:val="00FB2B2D"/>
    <w:rsid w:val="00FB542E"/>
    <w:rsid w:val="00FB7DBB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E6E6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557159743329959E-2"/>
          <c:y val="2.1711264016310006E-2"/>
          <c:w val="0.93757303275920301"/>
          <c:h val="0.73130361364405339"/>
        </c:manualLayout>
      </c:layout>
      <c:barChart>
        <c:barDir val="col"/>
        <c:grouping val="clustered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multiLvlStrRef>
              <c:f>'Měnové podmínky 1'!$A$30:$B$86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1'!$C$30:$C$86</c:f>
              <c:numCache>
                <c:formatCode>0.00</c:formatCode>
                <c:ptCount val="57"/>
                <c:pt idx="0">
                  <c:v>5.0000000000000093E-2</c:v>
                </c:pt>
                <c:pt idx="1">
                  <c:v>5.0000000000000093E-2</c:v>
                </c:pt>
                <c:pt idx="2">
                  <c:v>5.0000000000000093E-2</c:v>
                </c:pt>
                <c:pt idx="3">
                  <c:v>5.0000000000000093E-2</c:v>
                </c:pt>
                <c:pt idx="4">
                  <c:v>5.0000000000000093E-2</c:v>
                </c:pt>
                <c:pt idx="5">
                  <c:v>5.0000000000000093E-2</c:v>
                </c:pt>
                <c:pt idx="6">
                  <c:v>5.0000000000000093E-2</c:v>
                </c:pt>
                <c:pt idx="7">
                  <c:v>5.0000000000000093E-2</c:v>
                </c:pt>
                <c:pt idx="8">
                  <c:v>5.0000000000000093E-2</c:v>
                </c:pt>
                <c:pt idx="9">
                  <c:v>5.0000000000000093E-2</c:v>
                </c:pt>
                <c:pt idx="10">
                  <c:v>5.0000000000000093E-2</c:v>
                </c:pt>
                <c:pt idx="11">
                  <c:v>5.0000000000000093E-2</c:v>
                </c:pt>
                <c:pt idx="12">
                  <c:v>5.0000000000000093E-2</c:v>
                </c:pt>
                <c:pt idx="13">
                  <c:v>5.0000000000000093E-2</c:v>
                </c:pt>
                <c:pt idx="14">
                  <c:v>5.0000000000000093E-2</c:v>
                </c:pt>
                <c:pt idx="15">
                  <c:v>5.0000000000000093E-2</c:v>
                </c:pt>
                <c:pt idx="16">
                  <c:v>5.0000000000000093E-2</c:v>
                </c:pt>
                <c:pt idx="17">
                  <c:v>5.0000000000000093E-2</c:v>
                </c:pt>
                <c:pt idx="18">
                  <c:v>5.0000000000000093E-2</c:v>
                </c:pt>
                <c:pt idx="19">
                  <c:v>5.0000000000000093E-2</c:v>
                </c:pt>
                <c:pt idx="20">
                  <c:v>5.0000000000000093E-2</c:v>
                </c:pt>
                <c:pt idx="21">
                  <c:v>5.0000000000000093E-2</c:v>
                </c:pt>
                <c:pt idx="22">
                  <c:v>5.0000000000000093E-2</c:v>
                </c:pt>
                <c:pt idx="23">
                  <c:v>5.0000000000000093E-2</c:v>
                </c:pt>
                <c:pt idx="24" formatCode="General">
                  <c:v>5.0000000000000093E-2</c:v>
                </c:pt>
                <c:pt idx="25" formatCode="General">
                  <c:v>5.0000000000000093E-2</c:v>
                </c:pt>
                <c:pt idx="26" formatCode="General">
                  <c:v>5.0000000000000093E-2</c:v>
                </c:pt>
                <c:pt idx="27" formatCode="General">
                  <c:v>5.0000000000000093E-2</c:v>
                </c:pt>
                <c:pt idx="28" formatCode="General">
                  <c:v>5.0000000000000093E-2</c:v>
                </c:pt>
                <c:pt idx="29" formatCode="General">
                  <c:v>5.0000000000000093E-2</c:v>
                </c:pt>
                <c:pt idx="30" formatCode="General">
                  <c:v>5.0000000000000093E-2</c:v>
                </c:pt>
                <c:pt idx="31" formatCode="General">
                  <c:v>5.0000000000000093E-2</c:v>
                </c:pt>
                <c:pt idx="32" formatCode="General">
                  <c:v>5.0000000000000093E-2</c:v>
                </c:pt>
                <c:pt idx="33" formatCode="General">
                  <c:v>5.0000000000000093E-2</c:v>
                </c:pt>
                <c:pt idx="34" formatCode="General">
                  <c:v>5.0000000000000093E-2</c:v>
                </c:pt>
                <c:pt idx="35" formatCode="General">
                  <c:v>5.0000000000000093E-2</c:v>
                </c:pt>
                <c:pt idx="36" formatCode="General">
                  <c:v>5.0000000000000093E-2</c:v>
                </c:pt>
                <c:pt idx="37" formatCode="General">
                  <c:v>5.0000000000000093E-2</c:v>
                </c:pt>
                <c:pt idx="38" formatCode="General">
                  <c:v>5.0000000000000093E-2</c:v>
                </c:pt>
                <c:pt idx="39" formatCode="General">
                  <c:v>5.0000000000000093E-2</c:v>
                </c:pt>
                <c:pt idx="40" formatCode="General">
                  <c:v>5.0000000000000093E-2</c:v>
                </c:pt>
                <c:pt idx="41" formatCode="General">
                  <c:v>5.0000000000000093E-2</c:v>
                </c:pt>
                <c:pt idx="42" formatCode="General">
                  <c:v>5.0000000000000093E-2</c:v>
                </c:pt>
                <c:pt idx="43" formatCode="General">
                  <c:v>0.25</c:v>
                </c:pt>
                <c:pt idx="44" formatCode="General">
                  <c:v>0.25</c:v>
                </c:pt>
                <c:pt idx="45" formatCode="General">
                  <c:v>0.25</c:v>
                </c:pt>
                <c:pt idx="46" formatCode="General">
                  <c:v>0.5</c:v>
                </c:pt>
                <c:pt idx="47" formatCode="General">
                  <c:v>0.5</c:v>
                </c:pt>
                <c:pt idx="48" formatCode="General">
                  <c:v>0.5</c:v>
                </c:pt>
                <c:pt idx="49" formatCode="General">
                  <c:v>0.75000000000000389</c:v>
                </c:pt>
                <c:pt idx="50" formatCode="General">
                  <c:v>0.75000000000000389</c:v>
                </c:pt>
                <c:pt idx="51" formatCode="General">
                  <c:v>0.75000000000000389</c:v>
                </c:pt>
                <c:pt idx="52" formatCode="General">
                  <c:v>0.75000000000000389</c:v>
                </c:pt>
                <c:pt idx="53" formatCode="General">
                  <c:v>1</c:v>
                </c:pt>
                <c:pt idx="54" formatCode="General">
                  <c:v>1</c:v>
                </c:pt>
                <c:pt idx="55" formatCode="General">
                  <c:v>1.25</c:v>
                </c:pt>
                <c:pt idx="56" formatCode="General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92-46C6-8BF0-3AA34E9A41C2}"/>
            </c:ext>
          </c:extLst>
        </c:ser>
        <c:gapWidth val="31"/>
        <c:axId val="162399744"/>
        <c:axId val="162401280"/>
      </c:barChart>
      <c:lineChart>
        <c:grouping val="standard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1'!$A$30:$B$86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1'!$F$30:$F$86</c:f>
              <c:numCache>
                <c:formatCode>General</c:formatCode>
                <c:ptCount val="57"/>
                <c:pt idx="0">
                  <c:v>0.23</c:v>
                </c:pt>
                <c:pt idx="1">
                  <c:v>0.28000000000000008</c:v>
                </c:pt>
                <c:pt idx="2">
                  <c:v>0.26</c:v>
                </c:pt>
                <c:pt idx="3">
                  <c:v>0.23</c:v>
                </c:pt>
                <c:pt idx="4">
                  <c:v>0.21000000000000021</c:v>
                </c:pt>
                <c:pt idx="5">
                  <c:v>0.24000000000000021</c:v>
                </c:pt>
                <c:pt idx="6">
                  <c:v>0.23</c:v>
                </c:pt>
                <c:pt idx="7">
                  <c:v>0.18000000000000024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9.0000000000000066E-2</c:v>
                </c:pt>
                <c:pt idx="13">
                  <c:v>6.0000000000000102E-2</c:v>
                </c:pt>
                <c:pt idx="14">
                  <c:v>4.0000000000000063E-2</c:v>
                </c:pt>
                <c:pt idx="15">
                  <c:v>-3.0000000000000051E-2</c:v>
                </c:pt>
                <c:pt idx="16">
                  <c:v>4.0000000000000063E-2</c:v>
                </c:pt>
                <c:pt idx="17">
                  <c:v>0.11000000000000004</c:v>
                </c:pt>
                <c:pt idx="18">
                  <c:v>2.0000000000000032E-2</c:v>
                </c:pt>
                <c:pt idx="19">
                  <c:v>-7.0000000000000034E-2</c:v>
                </c:pt>
                <c:pt idx="20">
                  <c:v>-0.30000000000000032</c:v>
                </c:pt>
                <c:pt idx="21">
                  <c:v>-0.28000000000000008</c:v>
                </c:pt>
                <c:pt idx="22">
                  <c:v>-0.3300000000000024</c:v>
                </c:pt>
                <c:pt idx="23">
                  <c:v>-0.38000000000000211</c:v>
                </c:pt>
                <c:pt idx="24">
                  <c:v>-0.21000000000000021</c:v>
                </c:pt>
                <c:pt idx="25">
                  <c:v>-0.18000000000000024</c:v>
                </c:pt>
                <c:pt idx="26">
                  <c:v>-0.17</c:v>
                </c:pt>
                <c:pt idx="27">
                  <c:v>-8.0000000000000127E-2</c:v>
                </c:pt>
                <c:pt idx="28">
                  <c:v>-4.0000000000000063E-2</c:v>
                </c:pt>
                <c:pt idx="29">
                  <c:v>-5.0000000000000093E-2</c:v>
                </c:pt>
                <c:pt idx="30">
                  <c:v>-0.13</c:v>
                </c:pt>
                <c:pt idx="31">
                  <c:v>-0.22000000000000008</c:v>
                </c:pt>
                <c:pt idx="32">
                  <c:v>-0.5</c:v>
                </c:pt>
                <c:pt idx="33">
                  <c:v>-0.74000000000000365</c:v>
                </c:pt>
                <c:pt idx="34">
                  <c:v>-0.73000000000000065</c:v>
                </c:pt>
                <c:pt idx="35">
                  <c:v>-0.81</c:v>
                </c:pt>
                <c:pt idx="36">
                  <c:v>-0.88000000000000034</c:v>
                </c:pt>
                <c:pt idx="37">
                  <c:v>-0.53</c:v>
                </c:pt>
                <c:pt idx="38">
                  <c:v>-0.44000000000000017</c:v>
                </c:pt>
                <c:pt idx="39">
                  <c:v>-0.23</c:v>
                </c:pt>
                <c:pt idx="40">
                  <c:v>-0.24000000000000021</c:v>
                </c:pt>
                <c:pt idx="41">
                  <c:v>-0.25</c:v>
                </c:pt>
                <c:pt idx="42">
                  <c:v>-0.29000000000000031</c:v>
                </c:pt>
                <c:pt idx="43">
                  <c:v>-0.3300000000000024</c:v>
                </c:pt>
                <c:pt idx="44">
                  <c:v>-0.29000000000000031</c:v>
                </c:pt>
                <c:pt idx="45">
                  <c:v>0.12000000000000002</c:v>
                </c:pt>
                <c:pt idx="46">
                  <c:v>0.31000000000000189</c:v>
                </c:pt>
                <c:pt idx="47">
                  <c:v>0.19000000000000009</c:v>
                </c:pt>
                <c:pt idx="48">
                  <c:v>0.46</c:v>
                </c:pt>
                <c:pt idx="49">
                  <c:v>0.55000000000000004</c:v>
                </c:pt>
                <c:pt idx="50">
                  <c:v>0.62000000000000377</c:v>
                </c:pt>
                <c:pt idx="51">
                  <c:v>0.60000000000000064</c:v>
                </c:pt>
                <c:pt idx="52">
                  <c:v>0.70000000000000062</c:v>
                </c:pt>
                <c:pt idx="53">
                  <c:v>0.89000000000000035</c:v>
                </c:pt>
                <c:pt idx="54">
                  <c:v>1.0900000000000001</c:v>
                </c:pt>
                <c:pt idx="55">
                  <c:v>1.26</c:v>
                </c:pt>
                <c:pt idx="56">
                  <c:v>1.34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92-46C6-8BF0-3AA34E9A41C2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1'!$A$30:$B$86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1'!$D$30:$D$86</c:f>
              <c:numCache>
                <c:formatCode>General</c:formatCode>
                <c:ptCount val="57"/>
                <c:pt idx="0">
                  <c:v>0.37000000000000038</c:v>
                </c:pt>
                <c:pt idx="1">
                  <c:v>0.37000000000000038</c:v>
                </c:pt>
                <c:pt idx="2">
                  <c:v>0.37000000000000038</c:v>
                </c:pt>
                <c:pt idx="3">
                  <c:v>0.37000000000000038</c:v>
                </c:pt>
                <c:pt idx="4">
                  <c:v>0.37000000000000038</c:v>
                </c:pt>
                <c:pt idx="5">
                  <c:v>0.35000000000000031</c:v>
                </c:pt>
                <c:pt idx="6">
                  <c:v>0.35000000000000031</c:v>
                </c:pt>
                <c:pt idx="7">
                  <c:v>0.35000000000000031</c:v>
                </c:pt>
                <c:pt idx="8">
                  <c:v>0.35000000000000031</c:v>
                </c:pt>
                <c:pt idx="9">
                  <c:v>0.35000000000000031</c:v>
                </c:pt>
                <c:pt idx="10">
                  <c:v>0.3400000000000003</c:v>
                </c:pt>
                <c:pt idx="11">
                  <c:v>0.3400000000000003</c:v>
                </c:pt>
                <c:pt idx="12">
                  <c:v>0.3300000000000024</c:v>
                </c:pt>
                <c:pt idx="13">
                  <c:v>0.3300000000000024</c:v>
                </c:pt>
                <c:pt idx="14">
                  <c:v>0.32000000000000212</c:v>
                </c:pt>
                <c:pt idx="15">
                  <c:v>0.31000000000000189</c:v>
                </c:pt>
                <c:pt idx="16">
                  <c:v>0.31000000000000189</c:v>
                </c:pt>
                <c:pt idx="17">
                  <c:v>0.31000000000000189</c:v>
                </c:pt>
                <c:pt idx="18">
                  <c:v>0.31000000000000189</c:v>
                </c:pt>
                <c:pt idx="19">
                  <c:v>0.31000000000000189</c:v>
                </c:pt>
                <c:pt idx="20">
                  <c:v>0.30000000000000032</c:v>
                </c:pt>
                <c:pt idx="21">
                  <c:v>0.29000000000000031</c:v>
                </c:pt>
                <c:pt idx="22">
                  <c:v>0.29000000000000031</c:v>
                </c:pt>
                <c:pt idx="23">
                  <c:v>0.29000000000000031</c:v>
                </c:pt>
                <c:pt idx="24">
                  <c:v>0.29000000000000031</c:v>
                </c:pt>
                <c:pt idx="25">
                  <c:v>0.28000000000000008</c:v>
                </c:pt>
                <c:pt idx="26">
                  <c:v>0.29000000000000031</c:v>
                </c:pt>
                <c:pt idx="27">
                  <c:v>0.29000000000000031</c:v>
                </c:pt>
                <c:pt idx="28">
                  <c:v>0.29000000000000031</c:v>
                </c:pt>
                <c:pt idx="29">
                  <c:v>0.29000000000000031</c:v>
                </c:pt>
                <c:pt idx="30">
                  <c:v>0.29000000000000031</c:v>
                </c:pt>
                <c:pt idx="31">
                  <c:v>0.29000000000000031</c:v>
                </c:pt>
                <c:pt idx="32">
                  <c:v>0.29000000000000031</c:v>
                </c:pt>
                <c:pt idx="33">
                  <c:v>0.29000000000000031</c:v>
                </c:pt>
                <c:pt idx="34">
                  <c:v>0.29000000000000031</c:v>
                </c:pt>
                <c:pt idx="35">
                  <c:v>0.29000000000000031</c:v>
                </c:pt>
                <c:pt idx="36">
                  <c:v>0.28000000000000008</c:v>
                </c:pt>
                <c:pt idx="37">
                  <c:v>0.28000000000000008</c:v>
                </c:pt>
                <c:pt idx="38">
                  <c:v>0.28000000000000008</c:v>
                </c:pt>
                <c:pt idx="39">
                  <c:v>0.29000000000000031</c:v>
                </c:pt>
                <c:pt idx="40">
                  <c:v>0.30000000000000032</c:v>
                </c:pt>
                <c:pt idx="41">
                  <c:v>0.30000000000000032</c:v>
                </c:pt>
                <c:pt idx="42">
                  <c:v>0.30000000000000032</c:v>
                </c:pt>
                <c:pt idx="43">
                  <c:v>0.43000000000000038</c:v>
                </c:pt>
                <c:pt idx="44">
                  <c:v>0.46</c:v>
                </c:pt>
                <c:pt idx="45">
                  <c:v>0.51</c:v>
                </c:pt>
                <c:pt idx="46">
                  <c:v>0.71000000000000063</c:v>
                </c:pt>
                <c:pt idx="47">
                  <c:v>0.75000000000000389</c:v>
                </c:pt>
                <c:pt idx="48">
                  <c:v>0.7700000000000039</c:v>
                </c:pt>
                <c:pt idx="49">
                  <c:v>0.9</c:v>
                </c:pt>
                <c:pt idx="50">
                  <c:v>0.9</c:v>
                </c:pt>
                <c:pt idx="51">
                  <c:v>0.9</c:v>
                </c:pt>
                <c:pt idx="52">
                  <c:v>0.9</c:v>
                </c:pt>
                <c:pt idx="53">
                  <c:v>0.93</c:v>
                </c:pt>
                <c:pt idx="54">
                  <c:v>1.1800000000000075</c:v>
                </c:pt>
                <c:pt idx="55">
                  <c:v>1.45</c:v>
                </c:pt>
                <c:pt idx="56">
                  <c:v>1.54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92-46C6-8BF0-3AA34E9A41C2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1'!$A$30:$B$86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1'!$G$30:$G$86</c:f>
              <c:numCache>
                <c:formatCode>General</c:formatCode>
                <c:ptCount val="57"/>
                <c:pt idx="0">
                  <c:v>1.0900000000000001</c:v>
                </c:pt>
                <c:pt idx="1">
                  <c:v>1.2</c:v>
                </c:pt>
                <c:pt idx="2">
                  <c:v>1.1399999999999915</c:v>
                </c:pt>
                <c:pt idx="3">
                  <c:v>0.99</c:v>
                </c:pt>
                <c:pt idx="4">
                  <c:v>0.8</c:v>
                </c:pt>
                <c:pt idx="5">
                  <c:v>0.68000000000000071</c:v>
                </c:pt>
                <c:pt idx="6">
                  <c:v>0.65000000000000435</c:v>
                </c:pt>
                <c:pt idx="7">
                  <c:v>0.62000000000000377</c:v>
                </c:pt>
                <c:pt idx="8">
                  <c:v>0.51</c:v>
                </c:pt>
                <c:pt idx="9">
                  <c:v>0.37000000000000038</c:v>
                </c:pt>
                <c:pt idx="10">
                  <c:v>0.24000000000000021</c:v>
                </c:pt>
                <c:pt idx="11">
                  <c:v>0.22000000000000008</c:v>
                </c:pt>
                <c:pt idx="12">
                  <c:v>0.13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5.0000000000000093E-2</c:v>
                </c:pt>
                <c:pt idx="16">
                  <c:v>0.22000000000000008</c:v>
                </c:pt>
                <c:pt idx="17">
                  <c:v>0.43000000000000038</c:v>
                </c:pt>
                <c:pt idx="18">
                  <c:v>0.35000000000000031</c:v>
                </c:pt>
                <c:pt idx="19">
                  <c:v>0.2</c:v>
                </c:pt>
                <c:pt idx="20">
                  <c:v>6.0000000000000102E-2</c:v>
                </c:pt>
                <c:pt idx="21">
                  <c:v>-5.0000000000000093E-2</c:v>
                </c:pt>
                <c:pt idx="22">
                  <c:v>-5.0000000000000093E-2</c:v>
                </c:pt>
                <c:pt idx="23">
                  <c:v>-0.11000000000000004</c:v>
                </c:pt>
                <c:pt idx="24">
                  <c:v>4.0000000000000063E-2</c:v>
                </c:pt>
                <c:pt idx="25">
                  <c:v>-8.0000000000000127E-2</c:v>
                </c:pt>
                <c:pt idx="26">
                  <c:v>-0.1</c:v>
                </c:pt>
                <c:pt idx="27">
                  <c:v>4.0000000000000063E-2</c:v>
                </c:pt>
                <c:pt idx="28">
                  <c:v>7.0000000000000034E-2</c:v>
                </c:pt>
                <c:pt idx="29">
                  <c:v>5.0000000000000093E-2</c:v>
                </c:pt>
                <c:pt idx="30">
                  <c:v>-2.0000000000000032E-2</c:v>
                </c:pt>
                <c:pt idx="31">
                  <c:v>-9.0000000000000066E-2</c:v>
                </c:pt>
                <c:pt idx="32">
                  <c:v>-0.19000000000000009</c:v>
                </c:pt>
                <c:pt idx="33">
                  <c:v>-0.17</c:v>
                </c:pt>
                <c:pt idx="34">
                  <c:v>-0.17</c:v>
                </c:pt>
                <c:pt idx="35">
                  <c:v>-0.21000000000000021</c:v>
                </c:pt>
                <c:pt idx="36">
                  <c:v>-0.22000000000000008</c:v>
                </c:pt>
                <c:pt idx="37">
                  <c:v>9.0000000000000066E-2</c:v>
                </c:pt>
                <c:pt idx="38">
                  <c:v>0.1</c:v>
                </c:pt>
                <c:pt idx="39">
                  <c:v>0.16000000000000009</c:v>
                </c:pt>
                <c:pt idx="40">
                  <c:v>4.0000000000000063E-2</c:v>
                </c:pt>
                <c:pt idx="41">
                  <c:v>-3.0000000000000051E-2</c:v>
                </c:pt>
                <c:pt idx="42">
                  <c:v>0.14000000000000001</c:v>
                </c:pt>
                <c:pt idx="43">
                  <c:v>9.0000000000000066E-2</c:v>
                </c:pt>
                <c:pt idx="44">
                  <c:v>0.1</c:v>
                </c:pt>
                <c:pt idx="45">
                  <c:v>0.63000000000000422</c:v>
                </c:pt>
                <c:pt idx="46">
                  <c:v>0.87000000000000377</c:v>
                </c:pt>
                <c:pt idx="47">
                  <c:v>0.68000000000000071</c:v>
                </c:pt>
                <c:pt idx="48">
                  <c:v>0.99</c:v>
                </c:pt>
                <c:pt idx="49">
                  <c:v>1.07</c:v>
                </c:pt>
                <c:pt idx="50">
                  <c:v>1.0900000000000001</c:v>
                </c:pt>
                <c:pt idx="51">
                  <c:v>1.05</c:v>
                </c:pt>
                <c:pt idx="52">
                  <c:v>1.21</c:v>
                </c:pt>
                <c:pt idx="53">
                  <c:v>1.41</c:v>
                </c:pt>
                <c:pt idx="54">
                  <c:v>1.44</c:v>
                </c:pt>
                <c:pt idx="55">
                  <c:v>1.55</c:v>
                </c:pt>
                <c:pt idx="56">
                  <c:v>1.7000000000000006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792-46C6-8BF0-3AA34E9A41C2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1'!$A$30:$B$86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1'!$E$30:$E$86</c:f>
              <c:numCache>
                <c:formatCode>General</c:formatCode>
                <c:ptCount val="57"/>
                <c:pt idx="0">
                  <c:v>0.5800000000000004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0.51</c:v>
                </c:pt>
                <c:pt idx="11">
                  <c:v>0.51</c:v>
                </c:pt>
                <c:pt idx="12">
                  <c:v>0.51</c:v>
                </c:pt>
                <c:pt idx="13">
                  <c:v>0.51</c:v>
                </c:pt>
                <c:pt idx="14">
                  <c:v>0.49000000000000032</c:v>
                </c:pt>
                <c:pt idx="15">
                  <c:v>0.48000000000000032</c:v>
                </c:pt>
                <c:pt idx="16">
                  <c:v>0.48000000000000032</c:v>
                </c:pt>
                <c:pt idx="17">
                  <c:v>0.48000000000000032</c:v>
                </c:pt>
                <c:pt idx="18">
                  <c:v>0.48000000000000032</c:v>
                </c:pt>
                <c:pt idx="19">
                  <c:v>0.48000000000000032</c:v>
                </c:pt>
                <c:pt idx="20">
                  <c:v>0.47000000000000008</c:v>
                </c:pt>
                <c:pt idx="21">
                  <c:v>0.46</c:v>
                </c:pt>
                <c:pt idx="22">
                  <c:v>0.46</c:v>
                </c:pt>
                <c:pt idx="23">
                  <c:v>0.46</c:v>
                </c:pt>
                <c:pt idx="24">
                  <c:v>0.45</c:v>
                </c:pt>
                <c:pt idx="25">
                  <c:v>0.45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0.45</c:v>
                </c:pt>
                <c:pt idx="30">
                  <c:v>0.45</c:v>
                </c:pt>
                <c:pt idx="31">
                  <c:v>0.45</c:v>
                </c:pt>
                <c:pt idx="32">
                  <c:v>0.45</c:v>
                </c:pt>
                <c:pt idx="33">
                  <c:v>0.45</c:v>
                </c:pt>
                <c:pt idx="34">
                  <c:v>0.45</c:v>
                </c:pt>
                <c:pt idx="35">
                  <c:v>0.45</c:v>
                </c:pt>
                <c:pt idx="36">
                  <c:v>0.44000000000000017</c:v>
                </c:pt>
                <c:pt idx="37">
                  <c:v>0.44000000000000017</c:v>
                </c:pt>
                <c:pt idx="38">
                  <c:v>0.44000000000000017</c:v>
                </c:pt>
                <c:pt idx="39">
                  <c:v>0.45</c:v>
                </c:pt>
                <c:pt idx="40">
                  <c:v>0.46</c:v>
                </c:pt>
                <c:pt idx="41">
                  <c:v>0.46</c:v>
                </c:pt>
                <c:pt idx="42">
                  <c:v>0.47000000000000008</c:v>
                </c:pt>
                <c:pt idx="43">
                  <c:v>0.60000000000000064</c:v>
                </c:pt>
                <c:pt idx="44">
                  <c:v>0.64000000000000423</c:v>
                </c:pt>
                <c:pt idx="45">
                  <c:v>0.69000000000000072</c:v>
                </c:pt>
                <c:pt idx="46">
                  <c:v>0.91</c:v>
                </c:pt>
                <c:pt idx="47">
                  <c:v>0.96000000000000063</c:v>
                </c:pt>
                <c:pt idx="48">
                  <c:v>0.98</c:v>
                </c:pt>
                <c:pt idx="49">
                  <c:v>1.1100000000000001</c:v>
                </c:pt>
                <c:pt idx="50">
                  <c:v>1.1200000000000001</c:v>
                </c:pt>
                <c:pt idx="51">
                  <c:v>1.1200000000000001</c:v>
                </c:pt>
                <c:pt idx="52">
                  <c:v>1.1200000000000001</c:v>
                </c:pt>
                <c:pt idx="53">
                  <c:v>1.1499999999999915</c:v>
                </c:pt>
                <c:pt idx="54">
                  <c:v>1.3900000000000001</c:v>
                </c:pt>
                <c:pt idx="55">
                  <c:v>1.6700000000000021</c:v>
                </c:pt>
                <c:pt idx="56">
                  <c:v>1.7900000000000007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792-46C6-8BF0-3AA34E9A41C2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1'!$A$30:$B$86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'Měnové podmínky 1'!$H$30:$H$86</c:f>
              <c:numCache>
                <c:formatCode>General</c:formatCode>
                <c:ptCount val="57"/>
                <c:pt idx="0">
                  <c:v>2.4299999999999997</c:v>
                </c:pt>
                <c:pt idx="1">
                  <c:v>2.2799999999999998</c:v>
                </c:pt>
                <c:pt idx="2">
                  <c:v>2.2000000000000002</c:v>
                </c:pt>
                <c:pt idx="3">
                  <c:v>2</c:v>
                </c:pt>
                <c:pt idx="4">
                  <c:v>1.7300000000000006</c:v>
                </c:pt>
                <c:pt idx="5">
                  <c:v>1.55</c:v>
                </c:pt>
                <c:pt idx="6">
                  <c:v>1.49</c:v>
                </c:pt>
                <c:pt idx="7">
                  <c:v>1.3800000000000001</c:v>
                </c:pt>
                <c:pt idx="8">
                  <c:v>1.21</c:v>
                </c:pt>
                <c:pt idx="9">
                  <c:v>1.1000000000000001</c:v>
                </c:pt>
                <c:pt idx="10">
                  <c:v>0.87000000000000377</c:v>
                </c:pt>
                <c:pt idx="11">
                  <c:v>0.67000000000000492</c:v>
                </c:pt>
                <c:pt idx="12">
                  <c:v>0.35000000000000031</c:v>
                </c:pt>
                <c:pt idx="13">
                  <c:v>0.4</c:v>
                </c:pt>
                <c:pt idx="14">
                  <c:v>0.35000000000000031</c:v>
                </c:pt>
                <c:pt idx="15">
                  <c:v>0.26</c:v>
                </c:pt>
                <c:pt idx="16">
                  <c:v>0.60000000000000064</c:v>
                </c:pt>
                <c:pt idx="17">
                  <c:v>1.01</c:v>
                </c:pt>
                <c:pt idx="18">
                  <c:v>0.97000000000000064</c:v>
                </c:pt>
                <c:pt idx="19">
                  <c:v>0.74000000000000365</c:v>
                </c:pt>
                <c:pt idx="20">
                  <c:v>0.68000000000000071</c:v>
                </c:pt>
                <c:pt idx="21">
                  <c:v>0.56000000000000005</c:v>
                </c:pt>
                <c:pt idx="22">
                  <c:v>0.49000000000000032</c:v>
                </c:pt>
                <c:pt idx="23">
                  <c:v>0.49000000000000032</c:v>
                </c:pt>
                <c:pt idx="24">
                  <c:v>0.62000000000000377</c:v>
                </c:pt>
                <c:pt idx="25">
                  <c:v>0.46</c:v>
                </c:pt>
                <c:pt idx="26">
                  <c:v>0.35000000000000031</c:v>
                </c:pt>
                <c:pt idx="27">
                  <c:v>0.43000000000000038</c:v>
                </c:pt>
                <c:pt idx="28">
                  <c:v>0.46</c:v>
                </c:pt>
                <c:pt idx="29">
                  <c:v>0.45</c:v>
                </c:pt>
                <c:pt idx="30">
                  <c:v>0.37000000000000038</c:v>
                </c:pt>
                <c:pt idx="31">
                  <c:v>0.29000000000000031</c:v>
                </c:pt>
                <c:pt idx="32">
                  <c:v>0.25</c:v>
                </c:pt>
                <c:pt idx="33">
                  <c:v>0.37000000000000038</c:v>
                </c:pt>
                <c:pt idx="34">
                  <c:v>0.55000000000000004</c:v>
                </c:pt>
                <c:pt idx="35">
                  <c:v>0.53</c:v>
                </c:pt>
                <c:pt idx="36">
                  <c:v>0.47000000000000008</c:v>
                </c:pt>
                <c:pt idx="37">
                  <c:v>0.63000000000000422</c:v>
                </c:pt>
                <c:pt idx="38">
                  <c:v>0.87000000000000377</c:v>
                </c:pt>
                <c:pt idx="39">
                  <c:v>0.96000000000000063</c:v>
                </c:pt>
                <c:pt idx="40">
                  <c:v>0.74000000000000365</c:v>
                </c:pt>
                <c:pt idx="41">
                  <c:v>0.7700000000000039</c:v>
                </c:pt>
                <c:pt idx="42">
                  <c:v>0.9</c:v>
                </c:pt>
                <c:pt idx="43">
                  <c:v>0.83000000000000063</c:v>
                </c:pt>
                <c:pt idx="44">
                  <c:v>0.97000000000000064</c:v>
                </c:pt>
                <c:pt idx="45">
                  <c:v>1.45</c:v>
                </c:pt>
                <c:pt idx="46">
                  <c:v>1.6800000000000075</c:v>
                </c:pt>
                <c:pt idx="47">
                  <c:v>1.5</c:v>
                </c:pt>
                <c:pt idx="48">
                  <c:v>1.7700000000000007</c:v>
                </c:pt>
                <c:pt idx="49">
                  <c:v>1.82</c:v>
                </c:pt>
                <c:pt idx="50">
                  <c:v>1.81</c:v>
                </c:pt>
                <c:pt idx="51">
                  <c:v>1.7400000000000007</c:v>
                </c:pt>
                <c:pt idx="52">
                  <c:v>1.8900000000000001</c:v>
                </c:pt>
                <c:pt idx="53">
                  <c:v>2.14</c:v>
                </c:pt>
                <c:pt idx="54">
                  <c:v>2.11</c:v>
                </c:pt>
                <c:pt idx="55">
                  <c:v>2.14</c:v>
                </c:pt>
                <c:pt idx="56">
                  <c:v>2.14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792-46C6-8BF0-3AA34E9A41C2}"/>
            </c:ext>
          </c:extLst>
        </c:ser>
        <c:marker val="1"/>
        <c:axId val="162399744"/>
        <c:axId val="162401280"/>
      </c:lineChart>
      <c:catAx>
        <c:axId val="16239974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62401280"/>
        <c:crosses val="autoZero"/>
        <c:auto val="1"/>
        <c:lblAlgn val="ctr"/>
        <c:lblOffset val="100"/>
      </c:catAx>
      <c:valAx>
        <c:axId val="162401280"/>
        <c:scaling>
          <c:orientation val="minMax"/>
          <c:min val="-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239974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6978E-2"/>
          <c:y val="0.87558269120103249"/>
          <c:w val="0.93886651469098281"/>
          <c:h val="0.1101570592445996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063F-A1D1-4A90-ADA6-BD936CC4E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2744B-EEE1-4494-97D2-E5CFC11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2</Pages>
  <Words>889</Words>
  <Characters>5247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6124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2018-12-19T13:53:00Z</cp:lastPrinted>
  <dcterms:created xsi:type="dcterms:W3CDTF">2018-12-20T10:59:00Z</dcterms:created>
  <dcterms:modified xsi:type="dcterms:W3CDTF">2018-12-20T11:00:00Z</dcterms:modified>
</cp:coreProperties>
</file>