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7" w:rsidRDefault="00965797" w:rsidP="00965797">
      <w:pPr>
        <w:pStyle w:val="Nadpis11"/>
      </w:pPr>
      <w:bookmarkStart w:id="0" w:name="_Toc532558288"/>
      <w:r w:rsidRPr="009110F7">
        <w:t>8. Státní rozpočet</w:t>
      </w:r>
      <w:bookmarkEnd w:id="0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68"/>
        <w:gridCol w:w="245"/>
        <w:gridCol w:w="7531"/>
      </w:tblGrid>
      <w:tr w:rsidR="0083630F" w:rsidRPr="00B0323B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Státní rozpočet dosáhl přebytku již třetím rokem v řadě.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B0323B" w:rsidRDefault="0083630F" w:rsidP="0083630F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Za tři čtvrtletí roku</w:t>
            </w:r>
            <w:r w:rsidRPr="000C638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2018 dosáhlo saldo </w:t>
            </w:r>
            <w:r w:rsidRPr="000C638B">
              <w:rPr>
                <w:spacing w:val="-2"/>
              </w:rPr>
              <w:t>státní</w:t>
            </w:r>
            <w:r>
              <w:rPr>
                <w:spacing w:val="-2"/>
              </w:rPr>
              <w:t>ho rozpoč</w:t>
            </w:r>
            <w:r w:rsidRPr="000C638B">
              <w:rPr>
                <w:spacing w:val="-2"/>
              </w:rPr>
              <w:t>t</w:t>
            </w:r>
            <w:r>
              <w:rPr>
                <w:spacing w:val="-2"/>
              </w:rPr>
              <w:t>u</w:t>
            </w:r>
            <w:r w:rsidRPr="000C638B">
              <w:rPr>
                <w:spacing w:val="-2"/>
              </w:rPr>
              <w:t xml:space="preserve"> (SR)</w:t>
            </w:r>
            <w:r w:rsidRPr="000C638B"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 xml:space="preserve"> +16,8</w:t>
            </w:r>
            <w:r w:rsidRPr="000C638B">
              <w:rPr>
                <w:spacing w:val="-2"/>
              </w:rPr>
              <w:t> </w:t>
            </w:r>
            <w:r>
              <w:rPr>
                <w:spacing w:val="-2"/>
              </w:rPr>
              <w:t>mld. korun, v přebytku skončilo během tohoto období roku již potřetí v řadě. Letošní saldo zároveň představovalo třetí nejlepší výsledek po roce 2007. Na hospodaření státu měl i</w:t>
            </w:r>
            <w:r w:rsidRPr="000C638B">
              <w:rPr>
                <w:spacing w:val="-2"/>
              </w:rPr>
              <w:t xml:space="preserve"> přes náznaky zpomalování </w:t>
            </w:r>
            <w:r>
              <w:rPr>
                <w:spacing w:val="-2"/>
              </w:rPr>
              <w:t xml:space="preserve">stále </w:t>
            </w:r>
            <w:r w:rsidRPr="000C638B">
              <w:rPr>
                <w:spacing w:val="-2"/>
              </w:rPr>
              <w:t xml:space="preserve">klíčový vliv </w:t>
            </w:r>
            <w:r>
              <w:rPr>
                <w:spacing w:val="-2"/>
              </w:rPr>
              <w:t>ekonomický růst. Výrazněji působilo i</w:t>
            </w:r>
            <w:r w:rsidRPr="000C638B">
              <w:rPr>
                <w:spacing w:val="-2"/>
              </w:rPr>
              <w:t> </w:t>
            </w:r>
            <w:r>
              <w:rPr>
                <w:spacing w:val="-2"/>
              </w:rPr>
              <w:t>oživení investic (nejen na evropské, ale i národní projekty). V meziročním srovnání se projevoval efekt nepravidelného čerpání</w:t>
            </w:r>
            <w:r w:rsidRPr="000C638B">
              <w:rPr>
                <w:spacing w:val="-2"/>
              </w:rPr>
              <w:t xml:space="preserve"> prostředků z evropských fondů</w:t>
            </w:r>
            <w:r>
              <w:rPr>
                <w:spacing w:val="-2"/>
              </w:rPr>
              <w:t>, byť v menším rozsahu než v předešlých letech</w:t>
            </w:r>
            <w:r w:rsidRPr="000C638B">
              <w:rPr>
                <w:rStyle w:val="Znakapoznpodarou"/>
                <w:spacing w:val="-2"/>
              </w:rPr>
              <w:footnoteReference w:id="2"/>
            </w:r>
            <w:r w:rsidRPr="000C638B">
              <w:rPr>
                <w:spacing w:val="-2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2"/>
              </w:rPr>
              <w:t>Saldo SR, jež představuje dominantní pol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ožku deficitu či přebytku hospodaření sektoru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vládních institucí, čítalo v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relaci k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nominálnímu </w:t>
            </w:r>
            <w:r>
              <w:rPr>
                <w:rFonts w:cs="Arial"/>
                <w:color w:val="000000" w:themeColor="text1"/>
                <w:spacing w:val="-2"/>
              </w:rPr>
              <w:t>HDP za první tři letošní čtvrtletí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 </w:t>
            </w:r>
            <w:r>
              <w:rPr>
                <w:rFonts w:cs="Arial"/>
                <w:color w:val="000000" w:themeColor="text1"/>
                <w:spacing w:val="-2"/>
              </w:rPr>
              <w:t>+0,4</w:t>
            </w:r>
            <w:r w:rsidRPr="000C638B">
              <w:rPr>
                <w:rFonts w:cs="Arial"/>
                <w:color w:val="000000" w:themeColor="text1"/>
                <w:spacing w:val="-2"/>
              </w:rPr>
              <w:t> %</w:t>
            </w:r>
            <w:r>
              <w:rPr>
                <w:rFonts w:cs="Arial"/>
                <w:color w:val="000000" w:themeColor="text1"/>
                <w:spacing w:val="-2"/>
              </w:rPr>
              <w:t>.</w:t>
            </w:r>
          </w:p>
        </w:tc>
      </w:tr>
      <w:tr w:rsidR="0083630F" w:rsidRPr="00B4411A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Výrazný růst příjmů SR nad úroveň rozpočtových očekávání byl způsoben zejména dobíhajícími platbami z rozpočtu EU.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B4411A" w:rsidRDefault="0083630F" w:rsidP="0083630F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Celkové příjmy SR se za tři čtvrtletí meziročně navýšily o 8,9 %, bezmála trojnásobným tempem oproti celoročnímu rozpočtovému očekávání. Zatímco dynamika daňových příjmů (bez pojistného na sociální zabezpečení </w:t>
            </w:r>
            <w:r w:rsidR="00DB657E">
              <w:rPr>
                <w:spacing w:val="-4"/>
              </w:rPr>
              <w:t>–</w:t>
            </w:r>
            <w:r>
              <w:rPr>
                <w:spacing w:val="-4"/>
              </w:rPr>
              <w:t xml:space="preserve"> SZ) těmto očekáváním v zásadě odpovídala, u nedaňových a ostatních příjmů byla celoroční očekávaná výše dosažena již během července. Stály za tím především </w:t>
            </w:r>
            <w:r w:rsidRPr="000C638B">
              <w:rPr>
                <w:spacing w:val="-2"/>
              </w:rPr>
              <w:t xml:space="preserve">dobíhající </w:t>
            </w:r>
            <w:r>
              <w:rPr>
                <w:spacing w:val="-2"/>
              </w:rPr>
              <w:t xml:space="preserve">závěrečné </w:t>
            </w:r>
            <w:r w:rsidRPr="000C638B">
              <w:rPr>
                <w:spacing w:val="-2"/>
              </w:rPr>
              <w:t>platby vztahující se k již skončenému programovému období</w:t>
            </w:r>
            <w:r>
              <w:rPr>
                <w:spacing w:val="-2"/>
              </w:rPr>
              <w:t xml:space="preserve"> 2007 až 2013 (ve výši 20,7 mld. korun), zčásti k růstu přispělo i oživení čerpání v předchozích měsících navázané na současné programové období (vliv 4,3 mld.). Rozpočtová očekávání výrazněji předčilo také tempo výběru pojistného na SZ (o 3,7 p. b.). </w:t>
            </w:r>
          </w:p>
        </w:tc>
      </w:tr>
      <w:tr w:rsidR="0083630F" w:rsidRPr="00F704D2" w:rsidTr="0083630F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vMerge w:val="restart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D922A1" w:rsidRDefault="0083630F" w:rsidP="0083630F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 w:rsidR="00A925B1">
              <w:rPr>
                <w:rFonts w:cs="Arial"/>
                <w:b/>
                <w:bCs/>
                <w:color w:val="000000"/>
                <w:szCs w:val="20"/>
              </w:rPr>
              <w:t>19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>Celostátní</w:t>
            </w:r>
            <w:proofErr w:type="gramEnd"/>
            <w:r>
              <w:rPr>
                <w:rFonts w:cs="Arial"/>
                <w:b/>
                <w:bCs/>
              </w:rPr>
              <w:t xml:space="preserve">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  <w:p w:rsidR="0083630F" w:rsidRPr="00F704D2" w:rsidRDefault="0083630F" w:rsidP="0083630F">
            <w:pPr>
              <w:spacing w:after="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  <w:r w:rsidRPr="00EC1C49">
              <w:rPr>
                <w:rFonts w:cs="Arial"/>
                <w:b/>
                <w:bCs/>
              </w:rPr>
              <w:t xml:space="preserve"> v rámci 1.</w:t>
            </w:r>
            <w:r>
              <w:rPr>
                <w:rFonts w:cs="Arial"/>
                <w:b/>
                <w:bCs/>
              </w:rPr>
              <w:t xml:space="preserve"> až 3.</w:t>
            </w:r>
            <w:r w:rsidRPr="00EC1C49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čtvrtletí</w:t>
            </w:r>
          </w:p>
        </w:tc>
      </w:tr>
      <w:tr w:rsidR="0083630F" w:rsidTr="0083630F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vMerge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spacing w:after="0"/>
            </w:pPr>
            <w:r w:rsidRPr="00DF179D">
              <w:rPr>
                <w:noProof/>
              </w:rPr>
              <w:drawing>
                <wp:inline distT="0" distB="0" distL="0" distR="0">
                  <wp:extent cx="4742061" cy="3526757"/>
                  <wp:effectExtent l="1905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3630F" w:rsidRPr="007B3A78" w:rsidTr="0083630F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vMerge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7B3A78" w:rsidRDefault="0083630F" w:rsidP="0083630F">
            <w:pPr>
              <w:spacing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</w:t>
            </w:r>
          </w:p>
        </w:tc>
      </w:tr>
      <w:tr w:rsidR="0083630F" w:rsidRPr="00DF56DC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 xml:space="preserve">Celostátní daňové inkaso vzrostlo o 8,4 %, nejrychleji v současném konjunkturním období. 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DF56DC" w:rsidRDefault="0083630F" w:rsidP="0083630F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I přes posílení významu evropských zdrojů</w:t>
            </w:r>
            <w:r w:rsidRPr="00DF56DC">
              <w:rPr>
                <w:spacing w:val="-4"/>
              </w:rPr>
              <w:t xml:space="preserve"> si klíčový vliv na růst všech příjmů SR nadále udržují daňové příjmy</w:t>
            </w:r>
            <w:r>
              <w:rPr>
                <w:spacing w:val="-4"/>
              </w:rPr>
              <w:t>, jež vypovídají</w:t>
            </w:r>
            <w:r w:rsidRPr="00DF56DC">
              <w:rPr>
                <w:spacing w:val="-4"/>
              </w:rPr>
              <w:t xml:space="preserve"> o kondici ekonomiky i efektivitě výběru daní. Celkové daňové příjmy SR vzrostly za tři čtvrtletí meziročně o 7,0 % (bez zahrnutí pojistného na SZ </w:t>
            </w:r>
            <w:r>
              <w:rPr>
                <w:spacing w:val="-4"/>
              </w:rPr>
              <w:t>o 4,8 %).</w:t>
            </w:r>
            <w:r w:rsidRPr="00DF56DC">
              <w:rPr>
                <w:spacing w:val="-4"/>
              </w:rPr>
              <w:t xml:space="preserve"> Vzhledem ke změně rozpočtového určení daní, je</w:t>
            </w:r>
            <w:r>
              <w:rPr>
                <w:spacing w:val="-4"/>
              </w:rPr>
              <w:t>ž</w:t>
            </w:r>
            <w:r w:rsidRPr="00DF56DC">
              <w:rPr>
                <w:spacing w:val="-4"/>
              </w:rPr>
              <w:t xml:space="preserve"> od ledna </w:t>
            </w:r>
            <w:r>
              <w:rPr>
                <w:spacing w:val="-4"/>
              </w:rPr>
              <w:lastRenderedPageBreak/>
              <w:t xml:space="preserve">2018 </w:t>
            </w:r>
            <w:r w:rsidRPr="00272095">
              <w:rPr>
                <w:spacing w:val="-4"/>
              </w:rPr>
              <w:t xml:space="preserve">přesměrovala </w:t>
            </w:r>
            <w:r>
              <w:rPr>
                <w:spacing w:val="-4"/>
              </w:rPr>
              <w:t xml:space="preserve">další </w:t>
            </w:r>
            <w:r w:rsidRPr="00272095">
              <w:rPr>
                <w:spacing w:val="-4"/>
              </w:rPr>
              <w:t>část celkového</w:t>
            </w:r>
            <w:r w:rsidRPr="00DF56DC">
              <w:rPr>
                <w:spacing w:val="-4"/>
              </w:rPr>
              <w:t xml:space="preserve"> inkasa (u DPH) místním rozpočtům na úkor SR, vypovídá o skutečné dynamice výb</w:t>
            </w:r>
            <w:r>
              <w:rPr>
                <w:spacing w:val="-4"/>
              </w:rPr>
              <w:t>ěru daní lépe</w:t>
            </w:r>
            <w:r w:rsidRPr="00DF56DC">
              <w:rPr>
                <w:spacing w:val="-4"/>
              </w:rPr>
              <w:t xml:space="preserve"> jeho celostátní tempo. Dle něj vzrostlo </w:t>
            </w:r>
            <w:r>
              <w:rPr>
                <w:spacing w:val="-4"/>
              </w:rPr>
              <w:t xml:space="preserve">za tři </w:t>
            </w:r>
            <w:r w:rsidRPr="00DF56DC">
              <w:rPr>
                <w:spacing w:val="-4"/>
              </w:rPr>
              <w:t xml:space="preserve">čtvrtletí celkové daňové inkaso o 8,4 %, </w:t>
            </w:r>
            <w:r w:rsidR="00412DFA">
              <w:rPr>
                <w:spacing w:val="-4"/>
              </w:rPr>
              <w:t>nejrychlejším</w:t>
            </w:r>
            <w:r w:rsidR="00412DFA" w:rsidRPr="00DF56DC">
              <w:rPr>
                <w:spacing w:val="-4"/>
              </w:rPr>
              <w:t xml:space="preserve"> </w:t>
            </w:r>
            <w:r w:rsidRPr="00DF56DC">
              <w:rPr>
                <w:spacing w:val="-4"/>
              </w:rPr>
              <w:t>te</w:t>
            </w:r>
            <w:r>
              <w:rPr>
                <w:spacing w:val="-4"/>
              </w:rPr>
              <w:t>m</w:t>
            </w:r>
            <w:r w:rsidRPr="0075583A">
              <w:rPr>
                <w:spacing w:val="-4"/>
              </w:rPr>
              <w:t>pem v současném konjunkturním období</w:t>
            </w:r>
            <w:r>
              <w:rPr>
                <w:spacing w:val="-4"/>
              </w:rPr>
              <w:t xml:space="preserve">. </w:t>
            </w:r>
            <w:r w:rsidRPr="00DF56DC">
              <w:rPr>
                <w:spacing w:val="-4"/>
              </w:rPr>
              <w:t>K</w:t>
            </w:r>
            <w:r>
              <w:rPr>
                <w:spacing w:val="-4"/>
              </w:rPr>
              <w:t xml:space="preserve"> meziročnímu </w:t>
            </w:r>
            <w:r w:rsidRPr="00DF56DC">
              <w:rPr>
                <w:spacing w:val="-4"/>
              </w:rPr>
              <w:t>růstu nejvíce přispěly vyšší výběr pojistnéh</w:t>
            </w:r>
            <w:r>
              <w:rPr>
                <w:spacing w:val="-4"/>
              </w:rPr>
              <w:t>o na SZ (+</w:t>
            </w:r>
            <w:r w:rsidRPr="00DF56DC">
              <w:rPr>
                <w:spacing w:val="-4"/>
              </w:rPr>
              <w:t>35,5 mld. korun), DPH (+20,2 mld.) a daň z příjmů fyzických osob (+19,8 mld.).</w:t>
            </w:r>
          </w:p>
        </w:tc>
      </w:tr>
      <w:tr w:rsidR="0083630F" w:rsidRPr="00B4411A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lastRenderedPageBreak/>
              <w:t>Tempo výběru DPH za loňským vývojem i letošním rozpočtovým očekáváním zaostalo.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B4411A" w:rsidRDefault="0083630F" w:rsidP="0083630F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Meziroční růst celostátního výběru váhově dominantní daně – DPH – činil za tři čtvrtletí 7,4 %. Zaostal tak nejen za loňským vývojem, ale i za celoročním tempem očekávaným letos dle schváleného rozpočtu (9,0 %). </w:t>
            </w:r>
            <w:r>
              <w:rPr>
                <w:rFonts w:cs="Arial"/>
                <w:color w:val="000000" w:themeColor="text1"/>
                <w:spacing w:val="-4"/>
              </w:rPr>
              <w:t>Dynamika výběru DPH se stále výrazněji sbližovala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s vývojem výdajů na konečnou</w:t>
            </w:r>
            <w:r>
              <w:rPr>
                <w:rFonts w:cs="Arial"/>
                <w:color w:val="000000" w:themeColor="text1"/>
                <w:spacing w:val="-4"/>
              </w:rPr>
              <w:t xml:space="preserve"> spotřebu domácností či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vlády</w:t>
            </w:r>
            <w:r>
              <w:rPr>
                <w:rFonts w:cs="Arial"/>
                <w:color w:val="000000" w:themeColor="text1"/>
                <w:spacing w:val="-4"/>
              </w:rPr>
              <w:t xml:space="preserve"> (ty oproti prvním třem čtvrtletím loňského roku vzrostly nominálně o 6,3 %, resp. 10,4 %)</w:t>
            </w:r>
            <w:r w:rsidRPr="006D18B3">
              <w:rPr>
                <w:rFonts w:cs="Arial"/>
                <w:color w:val="000000" w:themeColor="text1"/>
                <w:spacing w:val="-4"/>
              </w:rPr>
              <w:t>.</w:t>
            </w:r>
          </w:p>
        </w:tc>
      </w:tr>
      <w:tr w:rsidR="0083630F" w:rsidRPr="009D4D1C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Růst inkasa spotřebních daní oproti tempu z loňského roku zmírnil.</w:t>
            </w:r>
          </w:p>
          <w:p w:rsidR="0083630F" w:rsidRDefault="0083630F" w:rsidP="0083630F">
            <w:pPr>
              <w:pStyle w:val="Marginlie"/>
            </w:pPr>
            <w:r>
              <w:t xml:space="preserve">Pozitivně se projevil vliv vyšších výkonů v dopravě, jakož i růst sazeb daně u tabákových výrobků. 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9D4D1C" w:rsidRDefault="0083630F" w:rsidP="0083630F">
            <w:pPr>
              <w:spacing w:after="220"/>
              <w:rPr>
                <w:rFonts w:cs="Arial"/>
                <w:color w:val="000000" w:themeColor="text1"/>
                <w:spacing w:val="-4"/>
              </w:rPr>
            </w:pPr>
            <w:r w:rsidRPr="009D4D1C">
              <w:rPr>
                <w:rFonts w:cs="Arial"/>
                <w:color w:val="000000" w:themeColor="text1"/>
                <w:spacing w:val="-4"/>
              </w:rPr>
              <w:t xml:space="preserve">Z inkasa všech </w:t>
            </w:r>
            <w:r>
              <w:rPr>
                <w:rFonts w:cs="Arial"/>
                <w:color w:val="000000" w:themeColor="text1"/>
                <w:spacing w:val="-4"/>
              </w:rPr>
              <w:t>druhů spotřební daně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získal SR za tři čtvrtletí meziročně o 1,5 % více (ve stejném období loňského roku bylo tempo dvojnásobné)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 w:rsidRPr="009D4D1C">
              <w:rPr>
                <w:rFonts w:cs="Arial"/>
                <w:color w:val="000000" w:themeColor="text1"/>
                <w:spacing w:val="-4"/>
              </w:rPr>
              <w:t>. Mírný růst letos zaznamenaly všechny hlavní druhy daně. Výběr váhově nejvýznamnější skupiny – daně z minerálních ole</w:t>
            </w:r>
            <w:r>
              <w:rPr>
                <w:rFonts w:cs="Arial"/>
                <w:color w:val="000000" w:themeColor="text1"/>
                <w:spacing w:val="-4"/>
              </w:rPr>
              <w:t>jů – se navýšil o 1,6 %. V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liv pozitivního dopadu hospodářského růstu na osobní </w:t>
            </w:r>
            <w:r>
              <w:rPr>
                <w:rFonts w:cs="Arial"/>
                <w:color w:val="000000" w:themeColor="text1"/>
                <w:spacing w:val="-4"/>
              </w:rPr>
              <w:t>i</w:t>
            </w:r>
            <w:r w:rsidRPr="009D4D1C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nákladní dopravu tak </w:t>
            </w:r>
            <w:r w:rsidRPr="009D4D1C">
              <w:rPr>
                <w:rFonts w:cs="Arial"/>
                <w:color w:val="000000" w:themeColor="text1"/>
                <w:spacing w:val="-4"/>
              </w:rPr>
              <w:t>převýšil negativní efekt spojený s administrativními a cenovými vlivy</w:t>
            </w:r>
            <w:r w:rsidRPr="009D4D1C"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 w:rsidRPr="009D4D1C">
              <w:rPr>
                <w:rFonts w:cs="Arial"/>
                <w:color w:val="000000" w:themeColor="text1"/>
                <w:spacing w:val="-4"/>
              </w:rPr>
              <w:t>. K rozpočtově očekávanému mírnému výpadku příjmů u daně z tabákových výrobků letos zatím nedošlo, neboť inkaso vzrostlo o 0,7 %.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Dopad přijetí protikuřáckého zákona (platného od června 2017) v podobě omezení spotřeby cigaret, popř. přesunu spotřeby k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alternativním produktům </w:t>
            </w:r>
            <w:r>
              <w:rPr>
                <w:spacing w:val="-4"/>
                <w:szCs w:val="20"/>
              </w:rPr>
              <w:t>(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>např. elektronickým cig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aretám)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se tak prozatím ukázal jako rozpočtově méně 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významný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 xml:space="preserve"> nežli vliv opětovného navýšení sazeb </w:t>
            </w:r>
            <w:r>
              <w:rPr>
                <w:rFonts w:cs="Arial"/>
                <w:color w:val="000000" w:themeColor="text1"/>
                <w:spacing w:val="-4"/>
                <w:szCs w:val="20"/>
              </w:rPr>
              <w:t>u</w:t>
            </w:r>
            <w:r w:rsidRPr="009D4D1C">
              <w:rPr>
                <w:rFonts w:cs="Arial"/>
                <w:color w:val="000000" w:themeColor="text1"/>
                <w:spacing w:val="-4"/>
                <w:szCs w:val="20"/>
              </w:rPr>
              <w:t> tabákových výrobků (platného od ledna 2018).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 Z ostatních váhově spíše okrajových kategorií spotřební daně vzrostlo inkaso</w:t>
            </w:r>
            <w:r>
              <w:rPr>
                <w:rFonts w:cs="Arial"/>
                <w:color w:val="000000" w:themeColor="text1"/>
                <w:spacing w:val="-4"/>
              </w:rPr>
              <w:t xml:space="preserve"> daně z lihu (o 6 %, re</w:t>
            </w:r>
            <w:r w:rsidRPr="009D4D1C">
              <w:rPr>
                <w:rFonts w:cs="Arial"/>
                <w:color w:val="000000" w:themeColor="text1"/>
                <w:spacing w:val="-4"/>
              </w:rPr>
              <w:t>s</w:t>
            </w:r>
            <w:r>
              <w:rPr>
                <w:rFonts w:cs="Arial"/>
                <w:color w:val="000000" w:themeColor="text1"/>
                <w:spacing w:val="-4"/>
              </w:rPr>
              <w:t>p</w:t>
            </w:r>
            <w:r w:rsidRPr="009D4D1C">
              <w:rPr>
                <w:rFonts w:cs="Arial"/>
                <w:color w:val="000000" w:themeColor="text1"/>
                <w:spacing w:val="-4"/>
              </w:rPr>
              <w:t xml:space="preserve">. 0,3 mld. korun), u daně z piva meziročně stagnovalo. </w:t>
            </w:r>
          </w:p>
        </w:tc>
      </w:tr>
      <w:tr w:rsidR="0083630F" w:rsidRPr="00090609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Výběr daně z příjmů fyzických osob ze závislé činnosti nadále posiloval a dokládal výborné postavení zaměstnanců na pracovním trhu. Naopak daňové příjmy plynoucí s podnikatelské činnosti pokračovaly ve stagnaci.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090609" w:rsidRDefault="0083630F" w:rsidP="0083630F">
            <w:pPr>
              <w:spacing w:after="220"/>
              <w:rPr>
                <w:szCs w:val="20"/>
              </w:rPr>
            </w:pPr>
            <w:r>
              <w:rPr>
                <w:rFonts w:cs="Arial"/>
                <w:color w:val="000000" w:themeColor="text1"/>
                <w:spacing w:val="-4"/>
              </w:rPr>
              <w:t xml:space="preserve">K růstu výběru přímých daní nejvíce přispělo inkaso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daně z příjmů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Jeho meziroční tempo sílilo již třetím rokem v řadě, když dosáhlo rekordních 15,1 %. V inkasu se pozitivně projevil dopad rekordního počtu pracujících i akcelerující průměrné mzdy (vlivem tržních faktorů i navyšování minimální mzdy), v opačném směru pak působila daňová politika státu (zvýšená podpora rodin s dětmi). Inkaso </w:t>
            </w:r>
            <w:r w:rsidRPr="00E12BB3">
              <w:rPr>
                <w:rFonts w:cs="Arial"/>
                <w:spacing w:val="-4"/>
              </w:rPr>
              <w:t>DPFO ze sam</w:t>
            </w:r>
            <w:r>
              <w:rPr>
                <w:rFonts w:cs="Arial"/>
                <w:spacing w:val="-4"/>
              </w:rPr>
              <w:t>ostatné výdělečné činnosti zůstalo na konci pololetí kladné již třetím rokem v řadě (letos +3,8 mld. korun). Jeho výše se v posledních třech letech ale výrazně neměnila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rFonts w:cs="Arial"/>
                <w:spacing w:val="-4"/>
              </w:rPr>
              <w:t xml:space="preserve">. </w:t>
            </w:r>
            <w:r w:rsidRPr="00BF16D4">
              <w:rPr>
                <w:szCs w:val="20"/>
              </w:rPr>
              <w:t xml:space="preserve">Navzdory </w:t>
            </w:r>
            <w:r w:rsidRPr="00F9009F">
              <w:rPr>
                <w:szCs w:val="20"/>
              </w:rPr>
              <w:t>dlouhodobějšímu růst</w:t>
            </w:r>
            <w:r>
              <w:rPr>
                <w:szCs w:val="20"/>
              </w:rPr>
              <w:t xml:space="preserve">u ekonomiky i mírnému rozšiřování </w:t>
            </w:r>
            <w:r w:rsidR="00E50D2E">
              <w:rPr>
                <w:szCs w:val="20"/>
              </w:rPr>
              <w:t xml:space="preserve">počtu </w:t>
            </w:r>
            <w:r w:rsidRPr="00F9009F">
              <w:rPr>
                <w:szCs w:val="20"/>
              </w:rPr>
              <w:t xml:space="preserve">podnikajících osob zatím zůstává výběr této </w:t>
            </w:r>
            <w:r>
              <w:rPr>
                <w:szCs w:val="20"/>
              </w:rPr>
              <w:t>daně za rozpočtovým očekáváním. Příznivě se naopak vyvíjelo i</w:t>
            </w:r>
            <w:r w:rsidRPr="00F9009F">
              <w:rPr>
                <w:szCs w:val="20"/>
              </w:rPr>
              <w:t xml:space="preserve">nkaso DPFO z kapitálových výnosů </w:t>
            </w:r>
            <w:r>
              <w:rPr>
                <w:szCs w:val="20"/>
              </w:rPr>
              <w:t>(vybírané srážkou), jež za tři čtvrtletí vzrostlo o 13,2 %, nejvyšším tempem za poslední čtyři roky.</w:t>
            </w:r>
          </w:p>
        </w:tc>
      </w:tr>
      <w:tr w:rsidR="0083630F" w:rsidRPr="00DF56DC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Tempo celkových výdajů SR se meziročně zdvojnásobilo a dosáhlo desetiletého maxima.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DF56DC" w:rsidRDefault="0083630F" w:rsidP="0083630F">
            <w:pPr>
              <w:spacing w:after="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Celkové výdaje SR stouply za tři čtvrtletí meziročně o 9,2 %, jejich tempo se ve srovnání se stejným obdobím loňského roku zdvojnásobilo a zároveň dosáhlo desetiletého maxima. Zatímco v předchozích dvou letech přispívaly k jejich růstu jen běžné výdaje, letos se bezmála čtvrtinou podílely rovněž kapitálové výdaje. Za tři čtvrtletí „proinvestoval“ SR 60,9 mld. korun, meziročně o téměř polovinu více. Přesto zůstávala na konci září výše plnění investic pod dvěma třetinami celoročně rozpočtované částky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83630F" w:rsidRPr="006D18B3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lastRenderedPageBreak/>
              <w:t>Ke zrychlení investiční aktivity státu přispěly ve 3. čtvrtletí i vyšší výdaje na výhradně národní projekty.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6D18B3" w:rsidRDefault="0083630F" w:rsidP="0083630F">
            <w:pPr>
              <w:pStyle w:val="Textpoznpodarou"/>
              <w:spacing w:after="240" w:line="276" w:lineRule="auto"/>
              <w:jc w:val="both"/>
              <w:rPr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Zatímco v první polovině roku byl růst investic tažen oživením čerpání prostředků z evropských fondů, ve 3. čtvrtletí výrazněji přispěly i vyšší výdaje na </w:t>
            </w:r>
            <w:r w:rsidRPr="006D18B3">
              <w:rPr>
                <w:spacing w:val="-4"/>
              </w:rPr>
              <w:t>výhradně národní projekty (bez vztahu k EU)</w:t>
            </w:r>
            <w:r w:rsidRPr="006D18B3"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. </w:t>
            </w:r>
            <w:r>
              <w:rPr>
                <w:rFonts w:cs="Arial"/>
                <w:color w:val="000000" w:themeColor="text1"/>
                <w:spacing w:val="-4"/>
              </w:rPr>
              <w:t xml:space="preserve">Na 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celkových výdajích SR </w:t>
            </w:r>
            <w:r>
              <w:rPr>
                <w:rFonts w:cs="Arial"/>
                <w:color w:val="000000" w:themeColor="text1"/>
                <w:spacing w:val="-4"/>
              </w:rPr>
              <w:t>se investice za tři letošní čtvrtletí podílely 6,0</w:t>
            </w:r>
            <w:r w:rsidRPr="006D18B3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>, šlo však stále o třetí nejnižší hodnotu za posledních třináct let.</w:t>
            </w:r>
          </w:p>
        </w:tc>
      </w:tr>
      <w:tr w:rsidR="0083630F" w:rsidRPr="00DC43A2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DC43A2" w:rsidRDefault="00A925B1" w:rsidP="0083630F">
            <w:pPr>
              <w:pStyle w:val="Textpoznpodarou"/>
              <w:rPr>
                <w:spacing w:val="-2"/>
              </w:rPr>
            </w:pPr>
            <w:r>
              <w:rPr>
                <w:b/>
                <w:spacing w:val="-2"/>
              </w:rPr>
              <w:t>Graf č. 20</w:t>
            </w:r>
            <w:r w:rsidR="0083630F" w:rsidRPr="00DC43A2">
              <w:rPr>
                <w:b/>
                <w:spacing w:val="-2"/>
              </w:rPr>
              <w:t xml:space="preserve"> </w:t>
            </w:r>
            <w:r w:rsidR="0083630F" w:rsidRPr="00DC43A2">
              <w:rPr>
                <w:rFonts w:cs="Arial"/>
                <w:b/>
                <w:bCs/>
                <w:spacing w:val="-2"/>
              </w:rPr>
              <w:t>Vybrané výdaje státního rozpočtu v rámci 1. až 3. čtvrtletí</w:t>
            </w:r>
            <w:r w:rsidR="0083630F" w:rsidRPr="00DC43A2">
              <w:rPr>
                <w:rFonts w:cs="Arial"/>
                <w:bCs/>
                <w:spacing w:val="-2"/>
              </w:rPr>
              <w:t xml:space="preserve"> (v mld. korun)</w:t>
            </w:r>
          </w:p>
        </w:tc>
      </w:tr>
      <w:tr w:rsidR="0083630F" w:rsidRPr="00970E6F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970E6F" w:rsidRDefault="0083630F" w:rsidP="0083630F">
            <w:pPr>
              <w:spacing w:after="0" w:line="240" w:lineRule="auto"/>
              <w:rPr>
                <w:spacing w:val="-2"/>
                <w:szCs w:val="20"/>
              </w:rPr>
            </w:pPr>
            <w:r w:rsidRPr="00BB6C03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60919" cy="3412044"/>
                  <wp:effectExtent l="19050" t="0" r="0" b="0"/>
                  <wp:docPr id="3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3630F" w:rsidRPr="00343AC1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D922A1" w:rsidRDefault="0083630F" w:rsidP="008363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*Zahrnuje i dávky pěstounské péče.</w:t>
            </w:r>
          </w:p>
          <w:p w:rsidR="00D922A1" w:rsidRDefault="0083630F" w:rsidP="008363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 o sociálních službách.</w:t>
            </w:r>
          </w:p>
          <w:p w:rsidR="0083630F" w:rsidRDefault="0083630F" w:rsidP="008363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***Bez výdajů na obsluhu státního dluhu a výdajů na realizaci záruk.</w:t>
            </w:r>
          </w:p>
          <w:p w:rsidR="0083630F" w:rsidRPr="00E7331D" w:rsidRDefault="0083630F" w:rsidP="008363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****V čistých výdajích jsou započítány i příjmy kapitoly Státní dluh.</w:t>
            </w:r>
          </w:p>
          <w:p w:rsidR="0083630F" w:rsidRPr="00343AC1" w:rsidRDefault="0083630F" w:rsidP="0083630F">
            <w:pPr>
              <w:spacing w:after="20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 ČR</w:t>
            </w:r>
          </w:p>
        </w:tc>
      </w:tr>
      <w:tr w:rsidR="0083630F" w:rsidRPr="00D95458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K navýšení běžných výdajů přispěly nejvíce transfery územním rozpočtům.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Pr="00D95458" w:rsidRDefault="0083630F" w:rsidP="0083630F">
            <w:pPr>
              <w:rPr>
                <w:spacing w:val="-3"/>
              </w:rPr>
            </w:pPr>
            <w:r>
              <w:rPr>
                <w:spacing w:val="-3"/>
              </w:rPr>
              <w:t xml:space="preserve">Růst běžných výdajů SR sílil </w:t>
            </w:r>
            <w:r w:rsidRPr="00D35F87">
              <w:rPr>
                <w:spacing w:val="-2"/>
              </w:rPr>
              <w:t>druhým rokem v řadě.</w:t>
            </w:r>
            <w:r>
              <w:rPr>
                <w:spacing w:val="-2"/>
              </w:rPr>
              <w:t xml:space="preserve"> Za tři čtvrtletí byl meziročně vyšší o</w:t>
            </w:r>
            <w:r w:rsidRPr="00D35F87">
              <w:rPr>
                <w:spacing w:val="-2"/>
              </w:rPr>
              <w:t> </w:t>
            </w:r>
            <w:r>
              <w:rPr>
                <w:spacing w:val="-2"/>
              </w:rPr>
              <w:t xml:space="preserve">7,4 % (o 1 p. b. </w:t>
            </w:r>
            <w:proofErr w:type="gramStart"/>
            <w:r>
              <w:rPr>
                <w:spacing w:val="-2"/>
              </w:rPr>
              <w:t>nad</w:t>
            </w:r>
            <w:proofErr w:type="gramEnd"/>
            <w:r>
              <w:rPr>
                <w:spacing w:val="-2"/>
              </w:rPr>
              <w:t xml:space="preserve"> úrovní </w:t>
            </w:r>
            <w:r>
              <w:rPr>
                <w:spacing w:val="-4"/>
              </w:rPr>
              <w:t xml:space="preserve">rozpočtového očekávání). Navýšení běžných výdajů bývá tradičně taženo váhově dominantní položkou výdajů na důchody. Letos ale tuto roli převzaly </w:t>
            </w:r>
            <w:r w:rsidRPr="00D35F87">
              <w:rPr>
                <w:spacing w:val="-2"/>
              </w:rPr>
              <w:t>neinvestiční transfery územním rozpočtům</w:t>
            </w:r>
            <w:r>
              <w:rPr>
                <w:spacing w:val="-2"/>
              </w:rPr>
              <w:t>, jež byly meziročně vyšší o</w:t>
            </w:r>
            <w:r w:rsidRPr="00D35F87">
              <w:rPr>
                <w:spacing w:val="-2"/>
              </w:rPr>
              <w:t> </w:t>
            </w:r>
            <w:r>
              <w:rPr>
                <w:spacing w:val="-2"/>
              </w:rPr>
              <w:t>18,1</w:t>
            </w:r>
            <w:r w:rsidRPr="00D35F87">
              <w:rPr>
                <w:spacing w:val="-2"/>
              </w:rPr>
              <w:t> </w:t>
            </w:r>
            <w:r>
              <w:rPr>
                <w:spacing w:val="-2"/>
              </w:rPr>
              <w:t xml:space="preserve">mld. korun (16,2 %). Stály </w:t>
            </w:r>
            <w:r w:rsidRPr="00734E37">
              <w:rPr>
                <w:spacing w:val="-2"/>
                <w:szCs w:val="20"/>
              </w:rPr>
              <w:t xml:space="preserve">za tím především vyšší </w:t>
            </w:r>
            <w:r w:rsidRPr="00734E37">
              <w:rPr>
                <w:szCs w:val="20"/>
              </w:rPr>
              <w:t>výdaje na přímé náklady zákl</w:t>
            </w:r>
            <w:r>
              <w:rPr>
                <w:szCs w:val="20"/>
              </w:rPr>
              <w:t>adních a</w:t>
            </w:r>
            <w:r w:rsidRPr="00D35F87">
              <w:rPr>
                <w:spacing w:val="-2"/>
              </w:rPr>
              <w:t> </w:t>
            </w:r>
            <w:r w:rsidRPr="00734E37">
              <w:rPr>
                <w:szCs w:val="20"/>
              </w:rPr>
              <w:t>středních škol a také transfery obcím a krajům dle z</w:t>
            </w:r>
            <w:r>
              <w:rPr>
                <w:szCs w:val="20"/>
              </w:rPr>
              <w:t>ákona o</w:t>
            </w:r>
            <w:r w:rsidRPr="00D35F87">
              <w:rPr>
                <w:spacing w:val="-2"/>
              </w:rPr>
              <w:t> </w:t>
            </w:r>
            <w:r w:rsidRPr="00734E37">
              <w:rPr>
                <w:szCs w:val="20"/>
              </w:rPr>
              <w:t>sociálních službách (</w:t>
            </w:r>
            <w:r>
              <w:rPr>
                <w:szCs w:val="20"/>
              </w:rPr>
              <w:t>ty v</w:t>
            </w:r>
            <w:r w:rsidRPr="00D35F87">
              <w:rPr>
                <w:spacing w:val="-2"/>
              </w:rPr>
              <w:t> </w:t>
            </w:r>
            <w:r>
              <w:rPr>
                <w:szCs w:val="20"/>
              </w:rPr>
              <w:t>obou případech souvisely hlavně</w:t>
            </w:r>
            <w:r w:rsidRPr="00734E37">
              <w:rPr>
                <w:szCs w:val="20"/>
              </w:rPr>
              <w:t xml:space="preserve"> s navýšením mzdových prostředků).</w:t>
            </w:r>
            <w:r>
              <w:rPr>
                <w:szCs w:val="20"/>
              </w:rPr>
              <w:t xml:space="preserve"> O více </w:t>
            </w:r>
            <w:r w:rsidR="0032058C">
              <w:rPr>
                <w:szCs w:val="20"/>
              </w:rPr>
              <w:t>než</w:t>
            </w:r>
            <w:r w:rsidRPr="00D35F87">
              <w:rPr>
                <w:spacing w:val="-2"/>
              </w:rPr>
              <w:t> </w:t>
            </w:r>
            <w:r>
              <w:rPr>
                <w:szCs w:val="20"/>
              </w:rPr>
              <w:t xml:space="preserve">osminu posílily i </w:t>
            </w:r>
            <w:r>
              <w:t>výdaje na platy v ústředních orgánech státní správy (</w:t>
            </w:r>
            <w:r>
              <w:rPr>
                <w:spacing w:val="-2"/>
              </w:rPr>
              <w:t>byly primárně vázány na</w:t>
            </w:r>
            <w:r w:rsidRPr="00D35F87">
              <w:rPr>
                <w:spacing w:val="-2"/>
              </w:rPr>
              <w:t xml:space="preserve"> </w:t>
            </w:r>
            <w:r>
              <w:rPr>
                <w:bCs/>
                <w:spacing w:val="-2"/>
              </w:rPr>
              <w:t>navýšení</w:t>
            </w:r>
            <w:r w:rsidRPr="00D35F87">
              <w:rPr>
                <w:bCs/>
                <w:spacing w:val="-2"/>
              </w:rPr>
              <w:t xml:space="preserve"> platových tarifů</w:t>
            </w:r>
            <w:r>
              <w:rPr>
                <w:bCs/>
                <w:spacing w:val="-2"/>
              </w:rPr>
              <w:t>, nikoliv na rostoucí zaměstnanost). O</w:t>
            </w:r>
            <w:r w:rsidRPr="00D35F87">
              <w:rPr>
                <w:spacing w:val="-2"/>
              </w:rPr>
              <w:t> </w:t>
            </w:r>
            <w:r>
              <w:rPr>
                <w:bCs/>
                <w:spacing w:val="-2"/>
              </w:rPr>
              <w:t>více jak pětinu (přes 7 mld. korun) vzrostly také neinvestiční transfery podnikatelským subjektům, kde šlo především o prostředky na podporu obnovitelných zdrojů energie.</w:t>
            </w:r>
          </w:p>
        </w:tc>
      </w:tr>
      <w:tr w:rsidR="0083630F" w:rsidTr="0083630F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Tempo růstu výdajů na sociální dávky se zvyšovalo již třetím rokem v řadě. Letos k tomu přispěly hlavně nedůchodové dávky.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Rozhodující část běžných výdajů SR tvoří tradičně prostředky na sociální dávky. Za tři čtvrtletí bylo takto alokováno 414,9 mld. korun (41,2 % všech výdajů SR, nejnižší podíl za poslední tři roky). Výdaje na sociální dávky vzrostly o 4,6 %, meziroční tempo se zvýšilo již třetím rokem v řadě. Zatímco loni k tomuto zrychlení přispěly zejména vyšší výdaje na důchody, letos šlo primárně o nedůchodové dávky (tažené hlavně svižným růstem výdajů na nemocenské dávky, z menší části i dávkami státní sociální podpory</w:t>
            </w:r>
            <w:r w:rsidR="00F27EE5">
              <w:rPr>
                <w:rFonts w:cs="Arial"/>
                <w:color w:val="0D0D0D" w:themeColor="text1" w:themeTint="F2"/>
                <w:spacing w:val="-4"/>
              </w:rPr>
              <w:t xml:space="preserve">;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v opačném směru působily nižší výdaje na podporu nezaměstnaných a také dávky pomoci v hmotné nouzi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>
              <w:rPr>
                <w:rFonts w:cs="Arial"/>
                <w:color w:val="0D0D0D" w:themeColor="text1" w:themeTint="F2"/>
                <w:spacing w:val="-4"/>
              </w:rPr>
              <w:t>).</w:t>
            </w:r>
          </w:p>
        </w:tc>
      </w:tr>
      <w:tr w:rsidR="0083630F" w:rsidTr="0083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922A1" w:rsidRDefault="00A925B1" w:rsidP="0083630F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 č. 21</w:t>
            </w:r>
            <w:r w:rsidR="0083630F" w:rsidRPr="00F704D2">
              <w:rPr>
                <w:b/>
              </w:rPr>
              <w:t xml:space="preserve">: </w:t>
            </w:r>
            <w:r w:rsidR="0083630F" w:rsidRPr="00F704D2">
              <w:rPr>
                <w:rFonts w:cs="Arial"/>
                <w:b/>
                <w:bCs/>
                <w:spacing w:val="-4"/>
              </w:rPr>
              <w:t>Příjemci</w:t>
            </w:r>
            <w:r w:rsidR="0083630F" w:rsidRPr="001356FC">
              <w:rPr>
                <w:rFonts w:cs="Arial"/>
                <w:b/>
                <w:bCs/>
                <w:spacing w:val="-4"/>
              </w:rPr>
              <w:t xml:space="preserve"> důchodů</w:t>
            </w:r>
            <w:r w:rsidR="0083630F" w:rsidRPr="001356FC">
              <w:rPr>
                <w:rFonts w:cs="Arial"/>
                <w:bCs/>
                <w:spacing w:val="-4"/>
              </w:rPr>
              <w:t>,</w:t>
            </w:r>
            <w:r w:rsidR="0083630F"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="0083630F" w:rsidRPr="001356FC">
              <w:rPr>
                <w:rFonts w:cs="Arial"/>
                <w:bCs/>
                <w:spacing w:val="-4"/>
              </w:rPr>
              <w:t>(</w:t>
            </w:r>
            <w:r w:rsidR="0083630F" w:rsidRPr="001356FC">
              <w:rPr>
                <w:spacing w:val="-4"/>
              </w:rPr>
              <w:t>meziročně</w:t>
            </w:r>
            <w:r w:rsidR="0083630F" w:rsidRPr="001356FC">
              <w:rPr>
                <w:bCs/>
                <w:spacing w:val="-4"/>
              </w:rPr>
              <w:t xml:space="preserve"> v %)</w:t>
            </w:r>
          </w:p>
          <w:p w:rsidR="0083630F" w:rsidRDefault="0083630F" w:rsidP="0083630F">
            <w:pPr>
              <w:pStyle w:val="Textpoznpodarou"/>
              <w:jc w:val="both"/>
            </w:pPr>
            <w:r>
              <w:rPr>
                <w:rFonts w:cs="Arial"/>
                <w:b/>
                <w:bCs/>
                <w:spacing w:val="-4"/>
              </w:rPr>
              <w:t>a jejich saldo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Pr="001356FC">
              <w:rPr>
                <w:rFonts w:cs="Arial"/>
                <w:bCs/>
                <w:spacing w:val="-4"/>
              </w:rPr>
              <w:t>(v mld. korun)</w:t>
            </w:r>
            <w:r>
              <w:rPr>
                <w:rFonts w:cs="Arial"/>
                <w:bCs/>
                <w:spacing w:val="-4"/>
              </w:rPr>
              <w:t xml:space="preserve"> </w:t>
            </w:r>
            <w:r>
              <w:rPr>
                <w:rFonts w:cs="Arial"/>
                <w:b/>
                <w:bCs/>
              </w:rPr>
              <w:t>v rámci 1. až 3. čtvrtletí</w:t>
            </w:r>
          </w:p>
        </w:tc>
      </w:tr>
      <w:tr w:rsidR="0083630F" w:rsidTr="0083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</w:pPr>
            <w:r w:rsidRPr="00B979A8">
              <w:rPr>
                <w:noProof/>
              </w:rPr>
              <w:drawing>
                <wp:inline distT="0" distB="0" distL="0" distR="0">
                  <wp:extent cx="4752000" cy="3528000"/>
                  <wp:effectExtent l="19050" t="0" r="0" b="0"/>
                  <wp:docPr id="3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3630F" w:rsidTr="0083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Pr="0038786D" w:rsidRDefault="0083630F" w:rsidP="0083630F">
            <w:pPr>
              <w:spacing w:after="0" w:line="240" w:lineRule="auto"/>
              <w:rPr>
                <w:sz w:val="14"/>
                <w:szCs w:val="14"/>
              </w:rPr>
            </w:pPr>
            <w:r w:rsidRPr="0038786D">
              <w:rPr>
                <w:sz w:val="14"/>
                <w:szCs w:val="14"/>
              </w:rPr>
              <w:t xml:space="preserve">* Vyjadřuje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rozdíl mezi příjmy a výdaji na důchody ze státního rozpočtu (z předběžných údajů). Nejsou zahrnuty výdaje na správu </w:t>
            </w:r>
            <w:r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 xml:space="preserve">systému </w:t>
            </w:r>
            <w:r w:rsidRPr="0038786D">
              <w:rPr>
                <w:rFonts w:cs="Arial"/>
                <w:color w:val="000000" w:themeColor="text1"/>
                <w:spacing w:val="-4"/>
                <w:sz w:val="14"/>
                <w:szCs w:val="14"/>
              </w:rPr>
              <w:t>důchodového pojištění.</w:t>
            </w:r>
          </w:p>
          <w:p w:rsidR="00D922A1" w:rsidRDefault="0083630F" w:rsidP="0083630F">
            <w:pPr>
              <w:spacing w:after="0" w:line="240" w:lineRule="auto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*</w:t>
            </w:r>
            <w:r w:rsidRPr="00B3757E">
              <w:rPr>
                <w:sz w:val="14"/>
                <w:szCs w:val="14"/>
              </w:rPr>
              <w:t>Jde o starobní důchod přiznaný před dosažením důchodového věku a krácený za předčasnost po celou dobu</w:t>
            </w:r>
          </w:p>
          <w:p w:rsidR="0083630F" w:rsidRDefault="0083630F" w:rsidP="0083630F">
            <w:pPr>
              <w:pStyle w:val="Textpoznpodarou"/>
              <w:spacing w:line="276" w:lineRule="auto"/>
              <w:jc w:val="both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 xml:space="preserve">pobírání </w:t>
            </w:r>
            <w:r>
              <w:rPr>
                <w:sz w:val="14"/>
                <w:szCs w:val="14"/>
              </w:rPr>
              <w:t>důchodu.</w:t>
            </w:r>
          </w:p>
          <w:p w:rsidR="0083630F" w:rsidRDefault="0083630F" w:rsidP="0083630F">
            <w:pPr>
              <w:pStyle w:val="Textpoznpodarou"/>
              <w:spacing w:after="200" w:line="276" w:lineRule="auto"/>
              <w:jc w:val="both"/>
            </w:pPr>
            <w:r w:rsidRPr="007E5880">
              <w:rPr>
                <w:sz w:val="14"/>
                <w:szCs w:val="14"/>
              </w:rPr>
              <w:t>Zdroj: MF, ČSSZ</w:t>
            </w:r>
          </w:p>
        </w:tc>
      </w:tr>
      <w:tr w:rsidR="0083630F" w:rsidRPr="00860240" w:rsidTr="0083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Tempo růstu výdajů na důchody zůstalo podobně jako loni mírně nad 4 %.</w:t>
            </w: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  <w:r>
              <w:t>Rozdíl mezi příjmy a výdaji na důchody se poprvé po roce 2008 dostal do kladných hodnot.</w:t>
            </w:r>
          </w:p>
          <w:p w:rsidR="0083630F" w:rsidRDefault="0083630F" w:rsidP="0083630F">
            <w:pPr>
              <w:pStyle w:val="Marginlie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Pr="00271D7D" w:rsidRDefault="0083630F" w:rsidP="0083630F">
            <w:pPr>
              <w:spacing w:after="0"/>
              <w:rPr>
                <w:szCs w:val="20"/>
              </w:rPr>
            </w:pPr>
            <w:r w:rsidRPr="00271D7D">
              <w:rPr>
                <w:szCs w:val="20"/>
              </w:rPr>
              <w:t>Výdaje na důchody</w:t>
            </w:r>
            <w:r>
              <w:rPr>
                <w:szCs w:val="20"/>
              </w:rPr>
              <w:t xml:space="preserve"> meziročně posílily o 4,3 %, podobným tempem jako ve stejném období loňského roku.</w:t>
            </w:r>
            <w:r w:rsidRPr="00271D7D">
              <w:rPr>
                <w:szCs w:val="20"/>
              </w:rPr>
              <w:t xml:space="preserve"> </w:t>
            </w:r>
            <w:r>
              <w:rPr>
                <w:szCs w:val="20"/>
              </w:rPr>
              <w:t>Klíčovým faktorem růstu bylo nové nastavení valorizace důchodů</w:t>
            </w:r>
            <w:r w:rsidRPr="00BD1D97">
              <w:rPr>
                <w:rStyle w:val="Znakapoznpodarou"/>
                <w:color w:val="0D0D0D" w:themeColor="text1" w:themeTint="F2"/>
                <w:spacing w:val="-2"/>
              </w:rPr>
              <w:footnoteReference w:id="9"/>
            </w:r>
            <w:r>
              <w:rPr>
                <w:szCs w:val="20"/>
              </w:rPr>
              <w:t xml:space="preserve">, neboť počet lidí pobírajících důchod meziročně stagnoval na 2,893 mil. (mírné navýšení četnosti starobních důchodců – o 0,4 % </w:t>
            </w:r>
            <w:r w:rsidR="00A662D9">
              <w:rPr>
                <w:szCs w:val="20"/>
              </w:rPr>
              <w:t xml:space="preserve">– </w:t>
            </w:r>
            <w:r>
              <w:rPr>
                <w:szCs w:val="20"/>
              </w:rPr>
              <w:t>bylo kompenzováno poklesem ve všech ostatních kategoriích).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Příznivá situace na pracovním trhu stimulovala růst výběru pojistného na důchody. Jeho meziroční tempo letos vyšplhalo těsně pod 10 % a prakticky vyrovnalo dosud rekordní hodnotu z roku 2007. 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0"/>
            </w:r>
            <w:r w:rsidR="00457490">
              <w:rPr>
                <w:rFonts w:cs="Arial"/>
                <w:color w:val="0D0D0D" w:themeColor="text1" w:themeTint="F2"/>
                <w:spacing w:val="-2"/>
              </w:rPr>
              <w:t xml:space="preserve"> tak poprvé za posledních deset </w:t>
            </w:r>
            <w:r>
              <w:rPr>
                <w:rFonts w:cs="Arial"/>
                <w:color w:val="0D0D0D" w:themeColor="text1" w:themeTint="F2"/>
                <w:spacing w:val="-2"/>
              </w:rPr>
              <w:t>let skončilo přebytkem (v rekordní výši 14,6 mld. korun).</w:t>
            </w:r>
          </w:p>
          <w:p w:rsidR="0083630F" w:rsidRPr="00860240" w:rsidRDefault="0083630F" w:rsidP="0083630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3630F" w:rsidRPr="0075583A" w:rsidTr="0083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t>Snižování výdajů na státní dluh pokračovalo již pátým rokem v řadě.</w:t>
            </w: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</w:p>
          <w:p w:rsidR="00E66062" w:rsidRDefault="00E66062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</w:p>
          <w:p w:rsidR="0083630F" w:rsidRDefault="0083630F" w:rsidP="0083630F">
            <w:pPr>
              <w:pStyle w:val="Marginlie"/>
            </w:pPr>
            <w:r>
              <w:lastRenderedPageBreak/>
              <w:t>Vnitřní zadluženost rostla, zahraniční nadále klesala.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Pr="0075583A" w:rsidRDefault="0083630F" w:rsidP="0083630F">
            <w:pPr>
              <w:rPr>
                <w:spacing w:val="-2"/>
                <w:szCs w:val="20"/>
              </w:rPr>
            </w:pPr>
            <w:r w:rsidRPr="0075583A">
              <w:rPr>
                <w:szCs w:val="20"/>
              </w:rPr>
              <w:t>Čisté výdaje na státní dluh</w:t>
            </w:r>
            <w:r w:rsidRPr="0075583A">
              <w:rPr>
                <w:rStyle w:val="Znakapoznpodarou"/>
                <w:szCs w:val="20"/>
              </w:rPr>
              <w:footnoteReference w:id="11"/>
            </w:r>
            <w:r w:rsidRPr="0075583A">
              <w:rPr>
                <w:szCs w:val="20"/>
              </w:rPr>
              <w:t xml:space="preserve"> dosáhly za tři čtvrtletí 32,6 mld. korun. Jejich pokles pokračoval v rámci tohoto období roku již popáté v řadě. Oproti loňskému tempu</w:t>
            </w:r>
            <w:r w:rsidR="00D922A1">
              <w:rPr>
                <w:szCs w:val="20"/>
              </w:rPr>
              <w:br/>
            </w:r>
            <w:r w:rsidR="00A662D9" w:rsidRPr="0075583A">
              <w:rPr>
                <w:szCs w:val="20"/>
              </w:rPr>
              <w:t>(</w:t>
            </w:r>
            <w:r w:rsidR="00A662D9">
              <w:rPr>
                <w:szCs w:val="20"/>
              </w:rPr>
              <w:t>–</w:t>
            </w:r>
            <w:r w:rsidRPr="0075583A">
              <w:rPr>
                <w:szCs w:val="20"/>
              </w:rPr>
              <w:t>11,2 %)</w:t>
            </w:r>
            <w:r w:rsidRPr="0075583A">
              <w:rPr>
                <w:spacing w:val="-2"/>
                <w:szCs w:val="20"/>
              </w:rPr>
              <w:t xml:space="preserve"> však citelně </w:t>
            </w:r>
            <w:proofErr w:type="gramStart"/>
            <w:r w:rsidRPr="0075583A">
              <w:rPr>
                <w:spacing w:val="-2"/>
                <w:szCs w:val="20"/>
              </w:rPr>
              <w:t xml:space="preserve">zmírnil </w:t>
            </w:r>
            <w:r w:rsidR="00A662D9" w:rsidRPr="0075583A">
              <w:rPr>
                <w:spacing w:val="-2"/>
                <w:szCs w:val="20"/>
              </w:rPr>
              <w:t>(</w:t>
            </w:r>
            <w:r w:rsidR="00A662D9">
              <w:rPr>
                <w:spacing w:val="-2"/>
                <w:szCs w:val="20"/>
              </w:rPr>
              <w:t>–</w:t>
            </w:r>
            <w:r w:rsidRPr="0075583A">
              <w:rPr>
                <w:spacing w:val="-2"/>
                <w:szCs w:val="20"/>
              </w:rPr>
              <w:t>3,6</w:t>
            </w:r>
            <w:proofErr w:type="gramEnd"/>
            <w:r w:rsidRPr="0075583A">
              <w:rPr>
                <w:spacing w:val="-2"/>
                <w:szCs w:val="20"/>
              </w:rPr>
              <w:t xml:space="preserve"> %). Stály za tím mj. i svižně rostoucí úrokové sazby u státních dluhopisů. Státní dluh činil na konci 3. čtvrtletí 2018 1</w:t>
            </w:r>
            <w:r w:rsidR="00A662D9">
              <w:rPr>
                <w:spacing w:val="-2"/>
                <w:szCs w:val="20"/>
              </w:rPr>
              <w:t> </w:t>
            </w:r>
            <w:r w:rsidRPr="0075583A">
              <w:rPr>
                <w:spacing w:val="-2"/>
                <w:szCs w:val="20"/>
              </w:rPr>
              <w:t>671</w:t>
            </w:r>
            <w:r w:rsidR="00A662D9">
              <w:rPr>
                <w:spacing w:val="-2"/>
                <w:szCs w:val="20"/>
              </w:rPr>
              <w:t> </w:t>
            </w:r>
            <w:r w:rsidRPr="0075583A">
              <w:rPr>
                <w:spacing w:val="-2"/>
                <w:szCs w:val="20"/>
              </w:rPr>
              <w:t xml:space="preserve">mld. korun, </w:t>
            </w:r>
            <w:proofErr w:type="spellStart"/>
            <w:r w:rsidRPr="0075583A">
              <w:rPr>
                <w:spacing w:val="-2"/>
                <w:szCs w:val="20"/>
              </w:rPr>
              <w:t>mezičtvrtletně</w:t>
            </w:r>
            <w:proofErr w:type="spellEnd"/>
            <w:r w:rsidRPr="0075583A">
              <w:rPr>
                <w:spacing w:val="-2"/>
                <w:szCs w:val="20"/>
              </w:rPr>
              <w:t xml:space="preserve"> mírně </w:t>
            </w:r>
            <w:proofErr w:type="gramStart"/>
            <w:r w:rsidRPr="0075583A">
              <w:rPr>
                <w:spacing w:val="-2"/>
                <w:szCs w:val="20"/>
              </w:rPr>
              <w:t xml:space="preserve">klesl </w:t>
            </w:r>
            <w:r w:rsidR="00A662D9" w:rsidRPr="0075583A">
              <w:rPr>
                <w:spacing w:val="-2"/>
                <w:szCs w:val="20"/>
              </w:rPr>
              <w:t>(</w:t>
            </w:r>
            <w:r w:rsidR="00A662D9">
              <w:rPr>
                <w:spacing w:val="-2"/>
                <w:szCs w:val="20"/>
              </w:rPr>
              <w:t>–</w:t>
            </w:r>
            <w:r w:rsidRPr="0075583A">
              <w:rPr>
                <w:spacing w:val="-2"/>
                <w:szCs w:val="20"/>
              </w:rPr>
              <w:t>2,5</w:t>
            </w:r>
            <w:proofErr w:type="gramEnd"/>
            <w:r w:rsidRPr="0075583A">
              <w:rPr>
                <w:spacing w:val="-2"/>
                <w:szCs w:val="20"/>
              </w:rPr>
              <w:t xml:space="preserve"> %), meziročně naopak posílil (+3,8 %). Výše dluhu je v posledních šesti letech stabilizovaná, její krátkodobé fluktuace </w:t>
            </w:r>
            <w:r w:rsidR="00A662D9">
              <w:rPr>
                <w:spacing w:val="-2"/>
                <w:szCs w:val="20"/>
              </w:rPr>
              <w:t>souvisejí</w:t>
            </w:r>
            <w:r w:rsidR="00A662D9" w:rsidRPr="0075583A">
              <w:rPr>
                <w:spacing w:val="-2"/>
                <w:szCs w:val="20"/>
              </w:rPr>
              <w:t xml:space="preserve"> </w:t>
            </w:r>
            <w:r w:rsidRPr="0075583A">
              <w:rPr>
                <w:spacing w:val="-2"/>
                <w:szCs w:val="20"/>
              </w:rPr>
              <w:t xml:space="preserve">se situací na dluhopisovém trhu i </w:t>
            </w:r>
            <w:r w:rsidR="00DA5F8E">
              <w:rPr>
                <w:spacing w:val="-2"/>
                <w:szCs w:val="20"/>
              </w:rPr>
              <w:t xml:space="preserve">s </w:t>
            </w:r>
            <w:r w:rsidRPr="0075583A">
              <w:rPr>
                <w:spacing w:val="-2"/>
                <w:szCs w:val="20"/>
              </w:rPr>
              <w:t xml:space="preserve">nepravidelnostmi v rozložení splátek dluhu vzniklého </w:t>
            </w:r>
            <w:r w:rsidRPr="0075583A">
              <w:rPr>
                <w:spacing w:val="-2"/>
                <w:szCs w:val="20"/>
              </w:rPr>
              <w:lastRenderedPageBreak/>
              <w:t xml:space="preserve">v předchozích letech. </w:t>
            </w:r>
            <w:r w:rsidRPr="0075583A">
              <w:rPr>
                <w:spacing w:val="-2"/>
              </w:rPr>
              <w:t>Výpůjční potřeba státu byla nadále soustředěna na domácí trh. Zatímco vnitřní dluh se tak navyšoval (meziročně o</w:t>
            </w:r>
            <w:r w:rsidRPr="0075583A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75583A">
              <w:rPr>
                <w:spacing w:val="-2"/>
              </w:rPr>
              <w:t>5,2 %), korunová hodnota vnějšího dluhu dále kles</w:t>
            </w:r>
            <w:r w:rsidR="00A662D9">
              <w:rPr>
                <w:spacing w:val="-2"/>
              </w:rPr>
              <w:t>a</w:t>
            </w:r>
            <w:r w:rsidRPr="0075583A">
              <w:rPr>
                <w:spacing w:val="-2"/>
              </w:rPr>
              <w:t xml:space="preserve">la. Vnější dluh se na celkové zadluženosti státu podílel necelými 15 %. </w:t>
            </w:r>
          </w:p>
        </w:tc>
      </w:tr>
      <w:tr w:rsidR="0083630F" w:rsidTr="00836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Marginlie"/>
            </w:pPr>
            <w:r>
              <w:lastRenderedPageBreak/>
              <w:t>Míra zadlužení sektoru vládních institucí se meziročně snížila o více než desetinu. Přispěly k tomu hlavně přebytkové místní rozpočty.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630F" w:rsidRDefault="0083630F" w:rsidP="0083630F">
            <w:pPr>
              <w:rPr>
                <w:szCs w:val="20"/>
              </w:rPr>
            </w:pPr>
            <w:r>
              <w:rPr>
                <w:color w:val="000000" w:themeColor="text1"/>
                <w:spacing w:val="-4"/>
              </w:rPr>
              <w:t>D</w:t>
            </w:r>
            <w:r w:rsidRPr="004739FE">
              <w:rPr>
                <w:color w:val="000000" w:themeColor="text1"/>
                <w:spacing w:val="-4"/>
              </w:rPr>
              <w:t>luh</w:t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celého </w:t>
            </w:r>
            <w:r w:rsidRPr="004739FE">
              <w:rPr>
                <w:color w:val="0D0D0D" w:themeColor="text1" w:themeTint="F2"/>
                <w:spacing w:val="-4"/>
              </w:rPr>
              <w:t>sektoru vládních institucí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 w:rsidRPr="0043535F">
              <w:rPr>
                <w:color w:val="000000" w:themeColor="text1"/>
                <w:spacing w:val="-4"/>
              </w:rPr>
              <w:t>dosáhl d</w:t>
            </w:r>
            <w:r>
              <w:rPr>
                <w:color w:val="000000" w:themeColor="text1"/>
                <w:spacing w:val="-4"/>
              </w:rPr>
              <w:t>le aktuálních dat ČSÚ na konci 1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polol</w:t>
            </w:r>
            <w:r w:rsidRPr="0043535F">
              <w:rPr>
                <w:color w:val="000000" w:themeColor="text1"/>
                <w:spacing w:val="-4"/>
              </w:rPr>
              <w:t>etí 201</w:t>
            </w:r>
            <w:r>
              <w:rPr>
                <w:color w:val="000000" w:themeColor="text1"/>
                <w:spacing w:val="-4"/>
              </w:rPr>
              <w:t>8</w:t>
            </w:r>
            <w:r w:rsidRPr="0043535F">
              <w:rPr>
                <w:rStyle w:val="Znakapoznpodarou"/>
                <w:color w:val="000000" w:themeColor="text1"/>
                <w:spacing w:val="-4"/>
              </w:rPr>
              <w:footnoteReference w:id="13"/>
            </w:r>
            <w:r>
              <w:rPr>
                <w:color w:val="000000" w:themeColor="text1"/>
                <w:spacing w:val="-4"/>
              </w:rPr>
              <w:t xml:space="preserve"> výše 1 829 mld.</w:t>
            </w:r>
            <w:r w:rsidRPr="0043535F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korun. Míra zadlužení dosáhla 35,3 % HDP, meziročně se snížila o 4,2 p. b. K tomuto vývoji podobným vlivem přispělo jak snížení absolutní výše dluhu, tak růst nominálního HDP. Za celé 1. pololetí vykázal sektor vládních institucí přebytek 1,9 % HDP (o rok dříve 1,8 %)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4"/>
            </w:r>
            <w:r>
              <w:rPr>
                <w:color w:val="000000" w:themeColor="text1"/>
                <w:spacing w:val="-4"/>
              </w:rPr>
              <w:t>. Podobně jako v loňském roce k tomu přispěl především vysoký přebytek místní</w:t>
            </w:r>
            <w:r w:rsidR="00167485">
              <w:rPr>
                <w:color w:val="000000" w:themeColor="text1"/>
                <w:spacing w:val="-4"/>
              </w:rPr>
              <w:t>ch</w:t>
            </w:r>
            <w:r>
              <w:rPr>
                <w:color w:val="000000" w:themeColor="text1"/>
                <w:spacing w:val="-4"/>
              </w:rPr>
              <w:t xml:space="preserve"> vládních institucí (letos 1,7 % HDP) doplněný kladným saldem hospodaření zdravotních pojišťoven. Naopak ústřední vládní instituce (v jejichž výsledcích se promítá primárně hospodaření státního rozpočtu) zaznamenaly v 1. pololetí mírný </w:t>
            </w:r>
            <w:proofErr w:type="gramStart"/>
            <w:r>
              <w:rPr>
                <w:color w:val="000000" w:themeColor="text1"/>
                <w:spacing w:val="-4"/>
              </w:rPr>
              <w:t xml:space="preserve">deficit </w:t>
            </w:r>
            <w:r w:rsidR="00167485">
              <w:rPr>
                <w:color w:val="000000" w:themeColor="text1"/>
                <w:spacing w:val="-4"/>
              </w:rPr>
              <w:t>(–</w:t>
            </w:r>
            <w:bookmarkStart w:id="1" w:name="_GoBack"/>
            <w:bookmarkEnd w:id="1"/>
            <w:r>
              <w:rPr>
                <w:color w:val="000000" w:themeColor="text1"/>
                <w:spacing w:val="-4"/>
              </w:rPr>
              <w:t>0,2</w:t>
            </w:r>
            <w:proofErr w:type="gramEnd"/>
            <w:r>
              <w:rPr>
                <w:color w:val="000000" w:themeColor="text1"/>
                <w:spacing w:val="-4"/>
              </w:rPr>
              <w:t xml:space="preserve"> % HDP).</w:t>
            </w:r>
          </w:p>
        </w:tc>
      </w:tr>
    </w:tbl>
    <w:p w:rsidR="0083630F" w:rsidRPr="0083630F" w:rsidRDefault="0083630F" w:rsidP="00965797">
      <w:pPr>
        <w:pStyle w:val="Nadpis11"/>
        <w:rPr>
          <w:sz w:val="2"/>
          <w:szCs w:val="2"/>
        </w:rPr>
      </w:pPr>
    </w:p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1F5E9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12CEEF" w15:done="0"/>
  <w15:commentEx w15:paraId="510EBE5F" w15:done="0"/>
  <w15:commentEx w15:paraId="2BBC27AD" w15:done="0"/>
  <w15:commentEx w15:paraId="64F0BE47" w15:done="0"/>
  <w15:commentEx w15:paraId="061FEE45" w15:done="0"/>
  <w15:commentEx w15:paraId="180AB565" w15:done="0"/>
  <w15:commentEx w15:paraId="4FDB8EDF" w15:done="0"/>
  <w15:commentEx w15:paraId="6709F746" w15:done="0"/>
  <w15:commentEx w15:paraId="2323FC13" w15:done="0"/>
  <w15:commentEx w15:paraId="28C26757" w15:done="0"/>
  <w15:commentEx w15:paraId="28F690F6" w15:done="0"/>
  <w15:commentEx w15:paraId="72A0F35B" w15:done="0"/>
  <w15:commentEx w15:paraId="17D51B1D" w15:done="0"/>
  <w15:commentEx w15:paraId="1905EDB9" w15:done="0"/>
  <w15:commentEx w15:paraId="769B3E23" w15:done="0"/>
  <w15:commentEx w15:paraId="4941CE09" w15:done="0"/>
  <w15:commentEx w15:paraId="3F6235A8" w15:done="0"/>
  <w15:commentEx w15:paraId="57663E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CB" w:rsidRDefault="008062CB" w:rsidP="00E71A58">
      <w:r>
        <w:separator/>
      </w:r>
    </w:p>
  </w:endnote>
  <w:endnote w:type="continuationSeparator" w:id="0">
    <w:p w:rsidR="008062CB" w:rsidRDefault="008062C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A03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D14A03" w:rsidRPr="00932443">
      <w:rPr>
        <w:szCs w:val="16"/>
      </w:rPr>
      <w:fldChar w:fldCharType="separate"/>
    </w:r>
    <w:r w:rsidR="001F5E92">
      <w:rPr>
        <w:szCs w:val="16"/>
      </w:rPr>
      <w:t>28</w:t>
    </w:r>
    <w:r w:rsidR="00D14A03" w:rsidRPr="00932443">
      <w:rPr>
        <w:szCs w:val="16"/>
      </w:rPr>
      <w:fldChar w:fldCharType="end"/>
    </w:r>
    <w:r w:rsidRPr="00932443">
      <w:rPr>
        <w:szCs w:val="16"/>
      </w:rPr>
      <w:tab/>
    </w:r>
    <w:r>
      <w:t>1. až 3.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až 3. čtvrtletí 2018</w:t>
    </w:r>
    <w:r w:rsidRPr="00932443">
      <w:rPr>
        <w:szCs w:val="16"/>
      </w:rPr>
      <w:tab/>
    </w:r>
    <w:r w:rsidR="00D14A03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D14A03" w:rsidRPr="00932443">
      <w:rPr>
        <w:rStyle w:val="ZpatChar"/>
        <w:szCs w:val="16"/>
      </w:rPr>
      <w:fldChar w:fldCharType="separate"/>
    </w:r>
    <w:r w:rsidR="001F5E92">
      <w:rPr>
        <w:rStyle w:val="ZpatChar"/>
        <w:szCs w:val="16"/>
      </w:rPr>
      <w:t>27</w:t>
    </w:r>
    <w:r w:rsidR="00D14A03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CB" w:rsidRDefault="008062CB" w:rsidP="00E71A58">
      <w:r>
        <w:separator/>
      </w:r>
    </w:p>
  </w:footnote>
  <w:footnote w:type="continuationSeparator" w:id="0">
    <w:p w:rsidR="008062CB" w:rsidRDefault="008062CB" w:rsidP="00E71A58">
      <w:r>
        <w:continuationSeparator/>
      </w:r>
    </w:p>
  </w:footnote>
  <w:footnote w:id="1">
    <w:p w:rsidR="00157CC9" w:rsidRPr="00795437" w:rsidRDefault="00157CC9" w:rsidP="0083630F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</w:p>
  </w:footnote>
  <w:footnote w:id="2">
    <w:p w:rsidR="00157CC9" w:rsidRPr="008E292B" w:rsidRDefault="00157CC9" w:rsidP="0083630F">
      <w:pPr>
        <w:pStyle w:val="Textpoznpodarou"/>
        <w:jc w:val="both"/>
        <w:rPr>
          <w:i/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>
        <w:rPr>
          <w:sz w:val="16"/>
          <w:szCs w:val="16"/>
        </w:rPr>
        <w:t>Dle propočtů MF ČR dosáhlo saldo</w:t>
      </w:r>
      <w:r w:rsidRPr="00795437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SR očištěné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 na příjmové i výdajové straně</w:t>
      </w:r>
      <w:r w:rsidRPr="00795437">
        <w:rPr>
          <w:rStyle w:val="Zvraznn"/>
          <w:color w:val="0D0D0D" w:themeColor="text1" w:themeTint="F2"/>
          <w:spacing w:val="-2"/>
          <w:sz w:val="16"/>
          <w:szCs w:val="16"/>
        </w:rPr>
        <w:t xml:space="preserve"> </w:t>
      </w:r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o prostředky na programy z rozpočtu EU a Finančních mechanismů (EHP a Norské fondy, Program šv</w:t>
      </w:r>
      <w:r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ýcarsko-české spolupráce) v 1. až 3. čtvrtletí 2018 –5,2 mld. korun (o rok dříve +0,9</w:t>
      </w:r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 mld.).</w:t>
      </w:r>
    </w:p>
  </w:footnote>
  <w:footnote w:id="3">
    <w:p w:rsidR="00157CC9" w:rsidRPr="007A0E74" w:rsidRDefault="00157CC9" w:rsidP="0083630F">
      <w:pPr>
        <w:pStyle w:val="Textpoznpodarou"/>
        <w:jc w:val="both"/>
        <w:rPr>
          <w:sz w:val="16"/>
          <w:szCs w:val="16"/>
        </w:rPr>
      </w:pPr>
      <w:r w:rsidRPr="007A0E74">
        <w:rPr>
          <w:rStyle w:val="Znakapoznpodarou"/>
          <w:sz w:val="16"/>
          <w:szCs w:val="16"/>
        </w:rPr>
        <w:footnoteRef/>
      </w:r>
      <w:r w:rsidRPr="007A0E74">
        <w:rPr>
          <w:sz w:val="16"/>
          <w:szCs w:val="16"/>
        </w:rPr>
        <w:t xml:space="preserve"> Zvolnění meziročního tempa ilustrují i data ČSÚ. Ve váhově dominantní kategorii – motorová nafta – klesla spotřeba od ledna do srpna 2018 o 0,2 %, ve stejném období roku 2017 rostla o 4</w:t>
      </w:r>
      <w:r>
        <w:rPr>
          <w:sz w:val="16"/>
          <w:szCs w:val="16"/>
        </w:rPr>
        <w:t>,0</w:t>
      </w:r>
      <w:r w:rsidRPr="007A0E74">
        <w:rPr>
          <w:sz w:val="16"/>
          <w:szCs w:val="16"/>
        </w:rPr>
        <w:t xml:space="preserve"> %.</w:t>
      </w:r>
      <w:r>
        <w:rPr>
          <w:sz w:val="16"/>
          <w:szCs w:val="16"/>
        </w:rPr>
        <w:t xml:space="preserve"> Nižší tempa vykázala letos i spotřeba motorového </w:t>
      </w:r>
      <w:proofErr w:type="gramStart"/>
      <w:r>
        <w:rPr>
          <w:sz w:val="16"/>
          <w:szCs w:val="16"/>
        </w:rPr>
        <w:t>benzinu (–2,2</w:t>
      </w:r>
      <w:proofErr w:type="gramEnd"/>
      <w:r>
        <w:rPr>
          <w:sz w:val="16"/>
          <w:szCs w:val="16"/>
        </w:rPr>
        <w:t xml:space="preserve"> % oproti +0,7 %) i leteckého petroleje (+9,3 %, resp. +15,7 %).</w:t>
      </w:r>
    </w:p>
  </w:footnote>
  <w:footnote w:id="4">
    <w:p w:rsidR="00157CC9" w:rsidRPr="002101D5" w:rsidRDefault="00157CC9" w:rsidP="0083630F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101D5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 Jde </w:t>
      </w:r>
      <w:r>
        <w:rPr>
          <w:rFonts w:cs="Arial"/>
          <w:color w:val="0D0D0D" w:themeColor="text1" w:themeTint="F2"/>
          <w:sz w:val="16"/>
          <w:szCs w:val="16"/>
        </w:rPr>
        <w:t xml:space="preserve">hlavně 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o tzv. zelenou naftu umožňující vrácení této daně </w:t>
      </w:r>
      <w:r>
        <w:rPr>
          <w:rFonts w:cs="Arial"/>
          <w:color w:val="0D0D0D" w:themeColor="text1" w:themeTint="F2"/>
          <w:sz w:val="16"/>
          <w:szCs w:val="16"/>
        </w:rPr>
        <w:t xml:space="preserve">subjektům působícím </w:t>
      </w:r>
      <w:r w:rsidRPr="002101D5">
        <w:rPr>
          <w:rFonts w:cs="Arial"/>
          <w:color w:val="0D0D0D" w:themeColor="text1" w:themeTint="F2"/>
          <w:sz w:val="16"/>
          <w:szCs w:val="16"/>
        </w:rPr>
        <w:t>v oblasti živočišné prvovýroby. Tento odpočet se v letošním roce (na rozdíl od loňska) projevuje již v plné výši. Na spotřebu benz</w:t>
      </w:r>
      <w:r>
        <w:rPr>
          <w:rFonts w:cs="Arial"/>
          <w:color w:val="0D0D0D" w:themeColor="text1" w:themeTint="F2"/>
          <w:sz w:val="16"/>
          <w:szCs w:val="16"/>
        </w:rPr>
        <w:t>i</w:t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nu a motorové nafty mohly mít zčásti </w:t>
      </w:r>
      <w:r w:rsidRPr="002C2D2F">
        <w:rPr>
          <w:rFonts w:cs="Arial"/>
          <w:color w:val="0D0D0D" w:themeColor="text1" w:themeTint="F2"/>
          <w:sz w:val="16"/>
          <w:szCs w:val="16"/>
        </w:rPr>
        <w:t>negativní vliv i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C2D2F">
        <w:rPr>
          <w:rFonts w:cs="Arial"/>
          <w:color w:val="0D0D0D" w:themeColor="text1" w:themeTint="F2"/>
          <w:sz w:val="16"/>
          <w:szCs w:val="16"/>
        </w:rPr>
        <w:t>rostoucí ceny. Zatímco v první polovině roku 2017 spotřebitelské ceny PHM klesaly (a ve 3. čtvrtletí spíše stagnovaly), letos tomu bylo naopak. P</w:t>
      </w:r>
      <w:r w:rsidRPr="002C2D2F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růměrná cena motorové nafty na konci září 2018 byla, podobně jako u benzinu </w:t>
      </w:r>
      <w:r w:rsidRPr="002C2D2F">
        <w:rPr>
          <w:rStyle w:val="spelle"/>
          <w:rFonts w:cs="Arial"/>
          <w:color w:val="0D0D0D" w:themeColor="text1" w:themeTint="F2"/>
          <w:sz w:val="16"/>
          <w:szCs w:val="16"/>
          <w:bdr w:val="none" w:sz="0" w:space="0" w:color="auto" w:frame="1"/>
          <w:shd w:val="clear" w:color="auto" w:fill="FFFFFF"/>
        </w:rPr>
        <w:t>Natural</w:t>
      </w:r>
      <w:r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 xml:space="preserve"> 95, </w:t>
      </w:r>
      <w:r w:rsidRPr="002C2D2F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nejvyšší od prosince 2014.</w:t>
      </w:r>
    </w:p>
  </w:footnote>
  <w:footnote w:id="5">
    <w:p w:rsidR="00157CC9" w:rsidRPr="00E50D2E" w:rsidRDefault="00157CC9" w:rsidP="0083630F">
      <w:pPr>
        <w:pStyle w:val="Textpoznpodarou"/>
        <w:rPr>
          <w:sz w:val="16"/>
          <w:szCs w:val="16"/>
          <w:u w:val="words"/>
        </w:rPr>
      </w:pPr>
      <w:r w:rsidRPr="00BF16D4">
        <w:rPr>
          <w:rStyle w:val="Znakapoznpodarou"/>
          <w:sz w:val="16"/>
          <w:szCs w:val="16"/>
        </w:rPr>
        <w:footnoteRef/>
      </w:r>
      <w:r w:rsidRPr="00BF16D4">
        <w:rPr>
          <w:sz w:val="16"/>
          <w:szCs w:val="16"/>
        </w:rPr>
        <w:t xml:space="preserve"> </w:t>
      </w:r>
      <w:r w:rsidRPr="00BF16D4">
        <w:rPr>
          <w:rFonts w:cs="Arial"/>
          <w:spacing w:val="-4"/>
          <w:sz w:val="16"/>
          <w:szCs w:val="16"/>
        </w:rPr>
        <w:t>Vzhledem k relativně nízkému objemu této daně je její meziročn</w:t>
      </w:r>
      <w:r>
        <w:rPr>
          <w:rFonts w:cs="Arial"/>
          <w:spacing w:val="-4"/>
          <w:sz w:val="16"/>
          <w:szCs w:val="16"/>
        </w:rPr>
        <w:t>í</w:t>
      </w:r>
      <w:r w:rsidRPr="00BF16D4">
        <w:rPr>
          <w:rFonts w:cs="Arial"/>
          <w:spacing w:val="-4"/>
          <w:sz w:val="16"/>
          <w:szCs w:val="16"/>
        </w:rPr>
        <w:t xml:space="preserve"> srovn</w:t>
      </w:r>
      <w:r>
        <w:rPr>
          <w:rFonts w:cs="Arial"/>
          <w:spacing w:val="-4"/>
          <w:sz w:val="16"/>
          <w:szCs w:val="16"/>
        </w:rPr>
        <w:t>ání velmi citlivé na změny v mož</w:t>
      </w:r>
      <w:r w:rsidRPr="00BF16D4">
        <w:rPr>
          <w:rFonts w:cs="Arial"/>
          <w:spacing w:val="-4"/>
          <w:sz w:val="16"/>
          <w:szCs w:val="16"/>
        </w:rPr>
        <w:t>nostech daňových odpočtů (</w:t>
      </w:r>
      <w:r w:rsidRPr="00BF16D4">
        <w:rPr>
          <w:sz w:val="16"/>
          <w:szCs w:val="16"/>
        </w:rPr>
        <w:t>slev</w:t>
      </w:r>
      <w:r>
        <w:rPr>
          <w:sz w:val="16"/>
          <w:szCs w:val="16"/>
        </w:rPr>
        <w:t>y</w:t>
      </w:r>
      <w:r w:rsidRPr="00BF16D4">
        <w:rPr>
          <w:sz w:val="16"/>
          <w:szCs w:val="16"/>
        </w:rPr>
        <w:t xml:space="preserve"> na druhého z</w:t>
      </w:r>
      <w:r w:rsidRPr="00BF16D4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BF16D4">
        <w:rPr>
          <w:sz w:val="16"/>
          <w:szCs w:val="16"/>
        </w:rPr>
        <w:t>manželů a</w:t>
      </w:r>
      <w:r w:rsidRPr="00BF16D4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BF16D4">
        <w:rPr>
          <w:sz w:val="16"/>
          <w:szCs w:val="16"/>
        </w:rPr>
        <w:t>daňového zvýhodnění na děti).</w:t>
      </w:r>
    </w:p>
  </w:footnote>
  <w:footnote w:id="6">
    <w:p w:rsidR="00157CC9" w:rsidRPr="0004689A" w:rsidRDefault="00157CC9" w:rsidP="0083630F">
      <w:pPr>
        <w:pStyle w:val="Textpoznpodarou"/>
        <w:rPr>
          <w:sz w:val="16"/>
          <w:szCs w:val="16"/>
        </w:rPr>
      </w:pPr>
      <w:r w:rsidRPr="0004689A">
        <w:rPr>
          <w:rStyle w:val="Znakapoznpodarou"/>
          <w:sz w:val="16"/>
          <w:szCs w:val="16"/>
        </w:rPr>
        <w:footnoteRef/>
      </w:r>
      <w:r w:rsidRPr="0004689A">
        <w:rPr>
          <w:sz w:val="16"/>
          <w:szCs w:val="16"/>
        </w:rPr>
        <w:t xml:space="preserve"> Investiční akt</w:t>
      </w:r>
      <w:r>
        <w:rPr>
          <w:sz w:val="16"/>
          <w:szCs w:val="16"/>
        </w:rPr>
        <w:t>ivita státu dále zrychlovala i</w:t>
      </w:r>
      <w:r w:rsidRPr="0004689A">
        <w:rPr>
          <w:sz w:val="16"/>
          <w:szCs w:val="16"/>
        </w:rPr>
        <w:t> na počátku 4. čtvrtletí 2018. Za deset měsíců roku se objem investic přiblížil</w:t>
      </w:r>
      <w:r>
        <w:rPr>
          <w:sz w:val="16"/>
          <w:szCs w:val="16"/>
        </w:rPr>
        <w:t xml:space="preserve"> 80 </w:t>
      </w:r>
      <w:r w:rsidRPr="0004689A">
        <w:rPr>
          <w:sz w:val="16"/>
          <w:szCs w:val="16"/>
        </w:rPr>
        <w:t>mld. korun a</w:t>
      </w:r>
      <w:r>
        <w:rPr>
          <w:sz w:val="16"/>
          <w:szCs w:val="16"/>
        </w:rPr>
        <w:t> </w:t>
      </w:r>
      <w:r w:rsidRPr="0004689A">
        <w:rPr>
          <w:sz w:val="16"/>
          <w:szCs w:val="16"/>
        </w:rPr>
        <w:t xml:space="preserve">dosáhl již 86 % </w:t>
      </w:r>
      <w:r w:rsidRPr="0004689A">
        <w:rPr>
          <w:rFonts w:cs="Arial"/>
          <w:color w:val="0D0D0D" w:themeColor="text1" w:themeTint="F2"/>
          <w:spacing w:val="-4"/>
          <w:sz w:val="16"/>
          <w:szCs w:val="16"/>
        </w:rPr>
        <w:t>celoročně rozpočtované částky.</w:t>
      </w:r>
    </w:p>
  </w:footnote>
  <w:footnote w:id="7">
    <w:p w:rsidR="00157CC9" w:rsidRPr="00580700" w:rsidRDefault="00157CC9" w:rsidP="0083630F">
      <w:pPr>
        <w:pStyle w:val="Textpoznpodarou"/>
        <w:jc w:val="both"/>
        <w:rPr>
          <w:sz w:val="16"/>
          <w:szCs w:val="16"/>
        </w:rPr>
      </w:pPr>
      <w:r w:rsidRPr="00580700">
        <w:rPr>
          <w:rStyle w:val="Znakapoznpodarou"/>
          <w:spacing w:val="-2"/>
          <w:sz w:val="16"/>
          <w:szCs w:val="16"/>
        </w:rPr>
        <w:footnoteRef/>
      </w:r>
      <w:r w:rsidRPr="00580700">
        <w:rPr>
          <w:spacing w:val="-2"/>
          <w:sz w:val="16"/>
          <w:szCs w:val="16"/>
        </w:rPr>
        <w:t xml:space="preserve"> </w:t>
      </w:r>
      <w:r w:rsidRPr="00580700">
        <w:rPr>
          <w:sz w:val="16"/>
          <w:szCs w:val="16"/>
        </w:rPr>
        <w:t>Investice realizované prostřednictvím národních zdrojů</w:t>
      </w:r>
      <w:r w:rsidRPr="00580700">
        <w:rPr>
          <w:spacing w:val="-2"/>
          <w:sz w:val="16"/>
          <w:szCs w:val="16"/>
        </w:rPr>
        <w:t xml:space="preserve"> činily za tři čtvrtletí 23,2 mld. korun (mírně přes 40 % celoročn</w:t>
      </w:r>
      <w:r>
        <w:rPr>
          <w:spacing w:val="-2"/>
          <w:sz w:val="16"/>
          <w:szCs w:val="16"/>
        </w:rPr>
        <w:t xml:space="preserve">ě rozpočtem očekávané částky). </w:t>
      </w:r>
      <w:r w:rsidRPr="00580700">
        <w:rPr>
          <w:spacing w:val="-2"/>
          <w:sz w:val="16"/>
          <w:szCs w:val="16"/>
        </w:rPr>
        <w:t xml:space="preserve">Na </w:t>
      </w:r>
      <w:r w:rsidRPr="00580700">
        <w:rPr>
          <w:sz w:val="16"/>
          <w:szCs w:val="16"/>
        </w:rPr>
        <w:t xml:space="preserve">financování společných programů EU a ČR (vč. společné zemědělské politiky) pak směřovalo 37,7 mld. </w:t>
      </w:r>
      <w:r>
        <w:rPr>
          <w:sz w:val="16"/>
          <w:szCs w:val="16"/>
        </w:rPr>
        <w:t xml:space="preserve">korun </w:t>
      </w:r>
      <w:r w:rsidRPr="00580700">
        <w:rPr>
          <w:sz w:val="16"/>
          <w:szCs w:val="16"/>
        </w:rPr>
        <w:t xml:space="preserve">(meziročně </w:t>
      </w:r>
      <w:r>
        <w:rPr>
          <w:sz w:val="16"/>
          <w:szCs w:val="16"/>
        </w:rPr>
        <w:t>téměř o dvojnásobek</w:t>
      </w:r>
      <w:r w:rsidRPr="00580700">
        <w:rPr>
          <w:sz w:val="16"/>
          <w:szCs w:val="16"/>
        </w:rPr>
        <w:t xml:space="preserve"> více).</w:t>
      </w:r>
    </w:p>
  </w:footnote>
  <w:footnote w:id="8">
    <w:p w:rsidR="00157CC9" w:rsidRPr="00670A16" w:rsidRDefault="00157CC9" w:rsidP="0083630F">
      <w:pPr>
        <w:pStyle w:val="Textpoznpodarou"/>
        <w:jc w:val="both"/>
        <w:rPr>
          <w:sz w:val="16"/>
          <w:szCs w:val="16"/>
        </w:rPr>
      </w:pPr>
      <w:r w:rsidRPr="00670A16">
        <w:rPr>
          <w:rStyle w:val="Znakapoznpodarou"/>
          <w:sz w:val="16"/>
          <w:szCs w:val="16"/>
        </w:rPr>
        <w:footnoteRef/>
      </w:r>
      <w:r w:rsidRPr="00670A16">
        <w:rPr>
          <w:sz w:val="16"/>
          <w:szCs w:val="16"/>
        </w:rPr>
        <w:t xml:space="preserve"> Čerpání pomoci v hmotné nouzi se vlivem příznivější finanční situace domácností za poslední čtyři roky snížilo o 52 % (na 4,1 mld. korun v</w:t>
      </w:r>
      <w:r>
        <w:rPr>
          <w:sz w:val="16"/>
          <w:szCs w:val="16"/>
        </w:rPr>
        <w:t> </w:t>
      </w:r>
      <w:r w:rsidRPr="00670A16">
        <w:rPr>
          <w:sz w:val="16"/>
          <w:szCs w:val="16"/>
        </w:rPr>
        <w:t>1. až 3. čtvrtletí 2018).</w:t>
      </w:r>
    </w:p>
  </w:footnote>
  <w:footnote w:id="9">
    <w:p w:rsidR="00157CC9" w:rsidRPr="000315DB" w:rsidRDefault="00157CC9" w:rsidP="00EE5FBA">
      <w:pPr>
        <w:pStyle w:val="Textpoznpodarou"/>
        <w:jc w:val="both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Od ledna 2018 došlo ke zvýšení základní výměry důchodu o 150 Kč a procentní výměry o 3,5</w:t>
      </w:r>
      <w:r>
        <w:rPr>
          <w:sz w:val="16"/>
          <w:szCs w:val="16"/>
        </w:rPr>
        <w:t> %</w:t>
      </w:r>
      <w:r w:rsidRPr="000315DB">
        <w:rPr>
          <w:sz w:val="16"/>
          <w:szCs w:val="16"/>
        </w:rPr>
        <w:t xml:space="preserve"> (tj. v průměru o 475 Kč měsíčně).</w:t>
      </w:r>
      <w:r>
        <w:rPr>
          <w:sz w:val="16"/>
          <w:szCs w:val="16"/>
        </w:rPr>
        <w:t xml:space="preserve"> </w:t>
      </w:r>
      <w:r w:rsidR="00EE5FBA">
        <w:rPr>
          <w:sz w:val="16"/>
          <w:szCs w:val="16"/>
        </w:rPr>
        <w:t>Průměrná výše starobního důchodu (sólo) činila dle údajů České správy sociálního zabezpečení ve 3. čtvrtletí 2018 výše 12 395 korun, meziročně o 4,8 % více. Šlo o nejsilnější růstové tempo (v rámci stejného období roku) z posledních deset let.</w:t>
      </w:r>
    </w:p>
  </w:footnote>
  <w:footnote w:id="10">
    <w:p w:rsidR="00157CC9" w:rsidRDefault="00157CC9" w:rsidP="0083630F">
      <w:pPr>
        <w:pStyle w:val="Textpoznpodarou"/>
        <w:jc w:val="both"/>
      </w:pPr>
      <w:r w:rsidRPr="000315DB">
        <w:rPr>
          <w:sz w:val="16"/>
          <w:szCs w:val="16"/>
        </w:rPr>
        <w:t xml:space="preserve"> </w:t>
      </w: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 výdaji na důchody ze SR (z předběžných údajů).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Nejsou zahrnuty výdaje na správu systému důchodového pojištění (ty za 1. až 3. čtvrtletí dosáhly 4,8 mld. korun).</w:t>
      </w:r>
    </w:p>
  </w:footnote>
  <w:footnote w:id="11">
    <w:p w:rsidR="00157CC9" w:rsidRPr="00810B5B" w:rsidRDefault="00157CC9" w:rsidP="0083630F">
      <w:pPr>
        <w:pStyle w:val="Textpoznpodarou"/>
        <w:rPr>
          <w:sz w:val="16"/>
          <w:szCs w:val="16"/>
        </w:rPr>
      </w:pPr>
      <w:r w:rsidRPr="00810B5B">
        <w:rPr>
          <w:rStyle w:val="Znakapoznpodarou"/>
          <w:sz w:val="16"/>
          <w:szCs w:val="16"/>
        </w:rPr>
        <w:footnoteRef/>
      </w:r>
      <w:r w:rsidRPr="00810B5B">
        <w:rPr>
          <w:sz w:val="16"/>
          <w:szCs w:val="16"/>
        </w:rPr>
        <w:t xml:space="preserve"> Jde o </w:t>
      </w:r>
      <w:r w:rsidRPr="00810B5B">
        <w:rPr>
          <w:rFonts w:cs="Verdana"/>
          <w:iCs/>
          <w:color w:val="000000"/>
          <w:sz w:val="16"/>
          <w:szCs w:val="16"/>
        </w:rPr>
        <w:t>saldo rozpočtové kapitoly 396 – Státní dluh.</w:t>
      </w:r>
    </w:p>
  </w:footnote>
  <w:footnote w:id="12">
    <w:p w:rsidR="00157CC9" w:rsidRDefault="00157CC9">
      <w:pPr>
        <w:pStyle w:val="Textpoznpodarou"/>
        <w:jc w:val="both"/>
        <w:rPr>
          <w:spacing w:val="-3"/>
          <w:sz w:val="16"/>
          <w:szCs w:val="16"/>
        </w:rPr>
      </w:pPr>
      <w:r w:rsidRPr="001E2294">
        <w:rPr>
          <w:rStyle w:val="Znakapoznpodarou"/>
          <w:spacing w:val="-3"/>
          <w:sz w:val="16"/>
          <w:szCs w:val="16"/>
        </w:rPr>
        <w:footnoteRef/>
      </w:r>
      <w:r w:rsidRPr="001E2294">
        <w:rPr>
          <w:spacing w:val="-3"/>
          <w:sz w:val="16"/>
          <w:szCs w:val="16"/>
        </w:rPr>
        <w:t xml:space="preserve"> </w:t>
      </w:r>
      <w:r w:rsidRPr="001E2294">
        <w:rPr>
          <w:color w:val="0D0D0D" w:themeColor="text1" w:themeTint="F2"/>
          <w:spacing w:val="-3"/>
          <w:sz w:val="16"/>
          <w:szCs w:val="16"/>
        </w:rPr>
        <w:t>Zohledňuje</w:t>
      </w:r>
      <w:r w:rsidRPr="001E2294">
        <w:rPr>
          <w:color w:val="000000" w:themeColor="text1"/>
          <w:spacing w:val="-3"/>
          <w:sz w:val="16"/>
          <w:szCs w:val="16"/>
        </w:rPr>
        <w:t xml:space="preserve"> kromě státního rozpočtu i hospodaření ost</w:t>
      </w:r>
      <w:r>
        <w:rPr>
          <w:color w:val="000000" w:themeColor="text1"/>
          <w:spacing w:val="-3"/>
          <w:sz w:val="16"/>
          <w:szCs w:val="16"/>
        </w:rPr>
        <w:t>atních</w:t>
      </w:r>
      <w:r w:rsidRPr="001E2294">
        <w:rPr>
          <w:color w:val="000000" w:themeColor="text1"/>
          <w:spacing w:val="-3"/>
          <w:sz w:val="16"/>
          <w:szCs w:val="16"/>
        </w:rPr>
        <w:t xml:space="preserve"> ústředních vládních institucí a též územně správních celků i zdravotních pojišťoven.</w:t>
      </w:r>
    </w:p>
  </w:footnote>
  <w:footnote w:id="13">
    <w:p w:rsidR="00157CC9" w:rsidRPr="00803A9F" w:rsidRDefault="00157CC9" w:rsidP="0083630F">
      <w:pPr>
        <w:pStyle w:val="Textpoznpodarou"/>
        <w:rPr>
          <w:color w:val="0D0D0D" w:themeColor="text1" w:themeTint="F2"/>
          <w:spacing w:val="-3"/>
          <w:sz w:val="16"/>
          <w:szCs w:val="16"/>
        </w:rPr>
      </w:pPr>
      <w:r w:rsidRPr="00803A9F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 w:rsidRPr="00803A9F">
        <w:rPr>
          <w:color w:val="0D0D0D" w:themeColor="text1" w:themeTint="F2"/>
          <w:spacing w:val="-3"/>
          <w:sz w:val="16"/>
          <w:szCs w:val="16"/>
        </w:rPr>
        <w:t xml:space="preserve"> Předběžné údaje o dluhu i deficitu sektoru vládních institucí za 3. čtvrtletí 2018 zveřejní ČSÚ 14. ledna 2019, </w:t>
      </w:r>
      <w:proofErr w:type="spellStart"/>
      <w:r w:rsidRPr="00803A9F">
        <w:rPr>
          <w:color w:val="0D0D0D" w:themeColor="text1" w:themeTint="F2"/>
          <w:spacing w:val="-3"/>
          <w:sz w:val="16"/>
          <w:szCs w:val="16"/>
        </w:rPr>
        <w:t>Eurostat</w:t>
      </w:r>
      <w:proofErr w:type="spellEnd"/>
      <w:r w:rsidRPr="00803A9F">
        <w:rPr>
          <w:color w:val="0D0D0D" w:themeColor="text1" w:themeTint="F2"/>
          <w:spacing w:val="-3"/>
          <w:sz w:val="16"/>
          <w:szCs w:val="16"/>
        </w:rPr>
        <w:t xml:space="preserve"> pak 21. ledna </w:t>
      </w:r>
      <w:r>
        <w:rPr>
          <w:color w:val="0D0D0D" w:themeColor="text1" w:themeTint="F2"/>
          <w:spacing w:val="-3"/>
          <w:sz w:val="16"/>
          <w:szCs w:val="16"/>
        </w:rPr>
        <w:t>2019</w:t>
      </w:r>
      <w:r w:rsidRPr="00803A9F">
        <w:rPr>
          <w:color w:val="0D0D0D" w:themeColor="text1" w:themeTint="F2"/>
          <w:spacing w:val="-3"/>
          <w:sz w:val="16"/>
          <w:szCs w:val="16"/>
        </w:rPr>
        <w:t>.</w:t>
      </w:r>
    </w:p>
  </w:footnote>
  <w:footnote w:id="14">
    <w:p w:rsidR="00157CC9" w:rsidRPr="00A87A8B" w:rsidRDefault="00157CC9" w:rsidP="0083630F">
      <w:pPr>
        <w:pStyle w:val="Textpoznpodarou"/>
        <w:rPr>
          <w:sz w:val="16"/>
          <w:szCs w:val="16"/>
        </w:rPr>
      </w:pPr>
      <w:r w:rsidRPr="00A87A8B">
        <w:rPr>
          <w:rStyle w:val="Znakapoznpodarou"/>
          <w:sz w:val="16"/>
          <w:szCs w:val="16"/>
        </w:rPr>
        <w:footnoteRef/>
      </w:r>
      <w:r w:rsidRPr="00A87A8B">
        <w:rPr>
          <w:sz w:val="16"/>
          <w:szCs w:val="16"/>
        </w:rPr>
        <w:t xml:space="preserve"> Údaje bez sezónního očištění. Po očištění činil letošní přebytek 1,6 % HDP, za 1. pololetí 2017 pak 1,4 % HDP.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4348"/>
    <w:rsid w:val="00026389"/>
    <w:rsid w:val="00031AE0"/>
    <w:rsid w:val="000322EF"/>
    <w:rsid w:val="00033FCD"/>
    <w:rsid w:val="00034DF7"/>
    <w:rsid w:val="00034E68"/>
    <w:rsid w:val="000350C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7FF0"/>
    <w:rsid w:val="00081A55"/>
    <w:rsid w:val="0008263E"/>
    <w:rsid w:val="00082C19"/>
    <w:rsid w:val="000837CD"/>
    <w:rsid w:val="00084BFF"/>
    <w:rsid w:val="00085395"/>
    <w:rsid w:val="00086AC1"/>
    <w:rsid w:val="00086D19"/>
    <w:rsid w:val="00087634"/>
    <w:rsid w:val="00087F2B"/>
    <w:rsid w:val="00090694"/>
    <w:rsid w:val="000913B1"/>
    <w:rsid w:val="00094A84"/>
    <w:rsid w:val="00095025"/>
    <w:rsid w:val="00095135"/>
    <w:rsid w:val="0009626E"/>
    <w:rsid w:val="00097191"/>
    <w:rsid w:val="000974D1"/>
    <w:rsid w:val="0009799E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40D"/>
    <w:rsid w:val="000E4AC5"/>
    <w:rsid w:val="000E6253"/>
    <w:rsid w:val="000E6E4D"/>
    <w:rsid w:val="000E6FBD"/>
    <w:rsid w:val="000E6FCB"/>
    <w:rsid w:val="00100F5C"/>
    <w:rsid w:val="00101CDA"/>
    <w:rsid w:val="00102037"/>
    <w:rsid w:val="00103DCB"/>
    <w:rsid w:val="00104C4C"/>
    <w:rsid w:val="001057C2"/>
    <w:rsid w:val="00112CAB"/>
    <w:rsid w:val="00116D3F"/>
    <w:rsid w:val="00117623"/>
    <w:rsid w:val="001200CF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25C3"/>
    <w:rsid w:val="0014262D"/>
    <w:rsid w:val="001459BC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2F90"/>
    <w:rsid w:val="001F4597"/>
    <w:rsid w:val="001F5E92"/>
    <w:rsid w:val="001F7CE0"/>
    <w:rsid w:val="00200085"/>
    <w:rsid w:val="00203332"/>
    <w:rsid w:val="00203CD5"/>
    <w:rsid w:val="00203D8F"/>
    <w:rsid w:val="00203DA4"/>
    <w:rsid w:val="00205186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27F53"/>
    <w:rsid w:val="00230C6E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120E"/>
    <w:rsid w:val="0026291D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C27A6"/>
    <w:rsid w:val="002C40D2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351A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9D6"/>
    <w:rsid w:val="003217B9"/>
    <w:rsid w:val="00321924"/>
    <w:rsid w:val="00321EB6"/>
    <w:rsid w:val="003220A5"/>
    <w:rsid w:val="0032656E"/>
    <w:rsid w:val="00332190"/>
    <w:rsid w:val="00333CD0"/>
    <w:rsid w:val="0033448D"/>
    <w:rsid w:val="00334AD2"/>
    <w:rsid w:val="003370C5"/>
    <w:rsid w:val="00341D26"/>
    <w:rsid w:val="00341F05"/>
    <w:rsid w:val="0034335E"/>
    <w:rsid w:val="00344668"/>
    <w:rsid w:val="003462D9"/>
    <w:rsid w:val="00352B43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12BC"/>
    <w:rsid w:val="003738BD"/>
    <w:rsid w:val="003746F0"/>
    <w:rsid w:val="00374A20"/>
    <w:rsid w:val="00374E21"/>
    <w:rsid w:val="003818DC"/>
    <w:rsid w:val="00383388"/>
    <w:rsid w:val="003834F8"/>
    <w:rsid w:val="003838D0"/>
    <w:rsid w:val="00384327"/>
    <w:rsid w:val="00385086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68CC"/>
    <w:rsid w:val="003C7E62"/>
    <w:rsid w:val="003D242B"/>
    <w:rsid w:val="003D2492"/>
    <w:rsid w:val="003D29AA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2C8"/>
    <w:rsid w:val="00400468"/>
    <w:rsid w:val="0040099D"/>
    <w:rsid w:val="00402ADB"/>
    <w:rsid w:val="0040368D"/>
    <w:rsid w:val="004059D2"/>
    <w:rsid w:val="00406C2E"/>
    <w:rsid w:val="00406EB0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6A5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D5B0F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603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1A6"/>
    <w:rsid w:val="00530A68"/>
    <w:rsid w:val="00532CE7"/>
    <w:rsid w:val="00532D8B"/>
    <w:rsid w:val="0053324C"/>
    <w:rsid w:val="00534A28"/>
    <w:rsid w:val="00535018"/>
    <w:rsid w:val="00537571"/>
    <w:rsid w:val="005410E2"/>
    <w:rsid w:val="00541508"/>
    <w:rsid w:val="00541AE3"/>
    <w:rsid w:val="00543498"/>
    <w:rsid w:val="00544BE5"/>
    <w:rsid w:val="00550160"/>
    <w:rsid w:val="00552F2C"/>
    <w:rsid w:val="00553A25"/>
    <w:rsid w:val="005547EB"/>
    <w:rsid w:val="005555E0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1E59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39E0"/>
    <w:rsid w:val="006156B4"/>
    <w:rsid w:val="00615DAF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478C"/>
    <w:rsid w:val="006451E4"/>
    <w:rsid w:val="00645B33"/>
    <w:rsid w:val="006516CB"/>
    <w:rsid w:val="00653BD0"/>
    <w:rsid w:val="00654110"/>
    <w:rsid w:val="00656CFB"/>
    <w:rsid w:val="00657E87"/>
    <w:rsid w:val="00660D2D"/>
    <w:rsid w:val="00662469"/>
    <w:rsid w:val="00664647"/>
    <w:rsid w:val="00664803"/>
    <w:rsid w:val="00665BA4"/>
    <w:rsid w:val="00667AF2"/>
    <w:rsid w:val="00670489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6DA6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4355"/>
    <w:rsid w:val="006C469D"/>
    <w:rsid w:val="006C46B5"/>
    <w:rsid w:val="006C52EC"/>
    <w:rsid w:val="006C56D4"/>
    <w:rsid w:val="006C6681"/>
    <w:rsid w:val="006C683C"/>
    <w:rsid w:val="006C6924"/>
    <w:rsid w:val="006C6C1E"/>
    <w:rsid w:val="006C7CA6"/>
    <w:rsid w:val="006D18B3"/>
    <w:rsid w:val="006D3E8A"/>
    <w:rsid w:val="006D61F6"/>
    <w:rsid w:val="006E1332"/>
    <w:rsid w:val="006E279A"/>
    <w:rsid w:val="006E313B"/>
    <w:rsid w:val="006E3A45"/>
    <w:rsid w:val="006E53AD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27C02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77CE6"/>
    <w:rsid w:val="00780EF1"/>
    <w:rsid w:val="00781A91"/>
    <w:rsid w:val="00786C87"/>
    <w:rsid w:val="007877C9"/>
    <w:rsid w:val="00790764"/>
    <w:rsid w:val="0079085F"/>
    <w:rsid w:val="00791005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D0382"/>
    <w:rsid w:val="007D1A1F"/>
    <w:rsid w:val="007D2E18"/>
    <w:rsid w:val="007D40DF"/>
    <w:rsid w:val="007D4458"/>
    <w:rsid w:val="007E0D4A"/>
    <w:rsid w:val="007E1788"/>
    <w:rsid w:val="007E29B4"/>
    <w:rsid w:val="007E435A"/>
    <w:rsid w:val="007E49F7"/>
    <w:rsid w:val="007E4C70"/>
    <w:rsid w:val="007E78B6"/>
    <w:rsid w:val="007E7E61"/>
    <w:rsid w:val="007F0845"/>
    <w:rsid w:val="007F20F3"/>
    <w:rsid w:val="007F2390"/>
    <w:rsid w:val="007F708D"/>
    <w:rsid w:val="008006B3"/>
    <w:rsid w:val="00801E13"/>
    <w:rsid w:val="00803069"/>
    <w:rsid w:val="008062CB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41AC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9754C"/>
    <w:rsid w:val="008A0ADD"/>
    <w:rsid w:val="008A37E2"/>
    <w:rsid w:val="008A388E"/>
    <w:rsid w:val="008A3CBA"/>
    <w:rsid w:val="008A4B59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45523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3764"/>
    <w:rsid w:val="009B66CE"/>
    <w:rsid w:val="009B6FD3"/>
    <w:rsid w:val="009B7DB2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5087"/>
    <w:rsid w:val="00A45489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25B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6C5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39DA"/>
    <w:rsid w:val="00B4411A"/>
    <w:rsid w:val="00B46604"/>
    <w:rsid w:val="00B47089"/>
    <w:rsid w:val="00B52151"/>
    <w:rsid w:val="00B530CD"/>
    <w:rsid w:val="00B53E56"/>
    <w:rsid w:val="00B55A97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80F"/>
    <w:rsid w:val="00B76D1E"/>
    <w:rsid w:val="00B77543"/>
    <w:rsid w:val="00B80EC6"/>
    <w:rsid w:val="00B81288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F02C8"/>
    <w:rsid w:val="00BF1578"/>
    <w:rsid w:val="00BF1D12"/>
    <w:rsid w:val="00BF1D3A"/>
    <w:rsid w:val="00BF2B5B"/>
    <w:rsid w:val="00BF32DC"/>
    <w:rsid w:val="00BF4E43"/>
    <w:rsid w:val="00BF5C4C"/>
    <w:rsid w:val="00C01410"/>
    <w:rsid w:val="00C04B78"/>
    <w:rsid w:val="00C052AA"/>
    <w:rsid w:val="00C06EE3"/>
    <w:rsid w:val="00C07749"/>
    <w:rsid w:val="00C11D48"/>
    <w:rsid w:val="00C1493E"/>
    <w:rsid w:val="00C15DBD"/>
    <w:rsid w:val="00C21430"/>
    <w:rsid w:val="00C21E61"/>
    <w:rsid w:val="00C21F94"/>
    <w:rsid w:val="00C2479A"/>
    <w:rsid w:val="00C24903"/>
    <w:rsid w:val="00C2590D"/>
    <w:rsid w:val="00C27913"/>
    <w:rsid w:val="00C31F2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2076"/>
    <w:rsid w:val="00CD24CE"/>
    <w:rsid w:val="00CD29B5"/>
    <w:rsid w:val="00CD2B78"/>
    <w:rsid w:val="00CD5C3E"/>
    <w:rsid w:val="00CD6331"/>
    <w:rsid w:val="00CE14BE"/>
    <w:rsid w:val="00CE1BA9"/>
    <w:rsid w:val="00CE2D8F"/>
    <w:rsid w:val="00CE62FA"/>
    <w:rsid w:val="00CE670B"/>
    <w:rsid w:val="00CE6833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0C15"/>
    <w:rsid w:val="00D12C25"/>
    <w:rsid w:val="00D133B4"/>
    <w:rsid w:val="00D13986"/>
    <w:rsid w:val="00D14A03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475F"/>
    <w:rsid w:val="00D66223"/>
    <w:rsid w:val="00D70822"/>
    <w:rsid w:val="00D72076"/>
    <w:rsid w:val="00D726A9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F8E"/>
    <w:rsid w:val="00DA6364"/>
    <w:rsid w:val="00DA7114"/>
    <w:rsid w:val="00DA7C0C"/>
    <w:rsid w:val="00DB08A9"/>
    <w:rsid w:val="00DB2DFA"/>
    <w:rsid w:val="00DB2EC8"/>
    <w:rsid w:val="00DB5E9A"/>
    <w:rsid w:val="00DB657E"/>
    <w:rsid w:val="00DB7342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4369"/>
    <w:rsid w:val="00DF4423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2841"/>
    <w:rsid w:val="00EA32BC"/>
    <w:rsid w:val="00EA35A7"/>
    <w:rsid w:val="00EA3B32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52CB5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105"/>
    <w:rsid w:val="00FA05A0"/>
    <w:rsid w:val="00FA17CC"/>
    <w:rsid w:val="00FA1F01"/>
    <w:rsid w:val="00FA5112"/>
    <w:rsid w:val="00FA5526"/>
    <w:rsid w:val="00FA5D4D"/>
    <w:rsid w:val="00FA70D3"/>
    <w:rsid w:val="00FB0AEA"/>
    <w:rsid w:val="00FB0EE2"/>
    <w:rsid w:val="00FB1A79"/>
    <w:rsid w:val="00FB208B"/>
    <w:rsid w:val="00FB2B2D"/>
    <w:rsid w:val="00FB542E"/>
    <w:rsid w:val="00FB7DBB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E6E6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-3.&#269;tvrtlet&#237;\St&#225;tn&#237;%20rozpo&#269;et\Grafy-st&#225;tn&#237;%20rozpo&#269;et-1-3q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-3.&#269;tvrtlet&#237;\St&#225;tn&#237;%20rozpo&#269;et\Grafy-st&#225;tn&#237;%20rozpo&#269;et-1-3q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-3.&#269;tvrtlet&#237;\St&#225;tn&#237;%20rozpo&#269;et\Grafy-st&#225;tn&#237;%20rozpo&#269;et-1-3q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22E-2"/>
          <c:w val="0.90191712370541999"/>
          <c:h val="0.81882420592062344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 1'!$A$40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1'!$B$40:$O$40</c:f>
              <c:numCache>
                <c:formatCode>#,##0.0</c:formatCode>
                <c:ptCount val="14"/>
                <c:pt idx="0">
                  <c:v>25.75</c:v>
                </c:pt>
                <c:pt idx="1">
                  <c:v>1.49</c:v>
                </c:pt>
                <c:pt idx="2">
                  <c:v>36.315999999999995</c:v>
                </c:pt>
                <c:pt idx="3">
                  <c:v>10.473000000000004</c:v>
                </c:pt>
                <c:pt idx="4">
                  <c:v>-87.296000000000006</c:v>
                </c:pt>
                <c:pt idx="5">
                  <c:v>-99.554999999999993</c:v>
                </c:pt>
                <c:pt idx="6">
                  <c:v>-105.13800000000001</c:v>
                </c:pt>
                <c:pt idx="7">
                  <c:v>-71.412000000000006</c:v>
                </c:pt>
                <c:pt idx="8">
                  <c:v>-38.241</c:v>
                </c:pt>
                <c:pt idx="9">
                  <c:v>-34.39</c:v>
                </c:pt>
                <c:pt idx="10">
                  <c:v>-2.77</c:v>
                </c:pt>
                <c:pt idx="11">
                  <c:v>82.27</c:v>
                </c:pt>
                <c:pt idx="12">
                  <c:v>17.399999999999999</c:v>
                </c:pt>
                <c:pt idx="13">
                  <c:v>16.77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00-4BB2-AD2B-A901E28C8CC2}"/>
            </c:ext>
          </c:extLst>
        </c:ser>
        <c:gapWidth val="43"/>
        <c:axId val="160587136"/>
        <c:axId val="160585216"/>
      </c:barChart>
      <c:lineChart>
        <c:grouping val="standard"/>
        <c:ser>
          <c:idx val="0"/>
          <c:order val="0"/>
          <c:tx>
            <c:strRef>
              <c:f>'Státní rozpočet 1'!$A$36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1'!$B$36:$O$36</c:f>
              <c:numCache>
                <c:formatCode>0.0</c:formatCode>
                <c:ptCount val="14"/>
                <c:pt idx="0">
                  <c:v>16.110035495321085</c:v>
                </c:pt>
                <c:pt idx="1">
                  <c:v>6.6838046272493346</c:v>
                </c:pt>
                <c:pt idx="2">
                  <c:v>10.322370563334403</c:v>
                </c:pt>
                <c:pt idx="3">
                  <c:v>8.1404958677685926</c:v>
                </c:pt>
                <c:pt idx="4">
                  <c:v>-0.38757574103391523</c:v>
                </c:pt>
                <c:pt idx="5">
                  <c:v>8.3187198597106704</c:v>
                </c:pt>
                <c:pt idx="6">
                  <c:v>1.6897703126581118</c:v>
                </c:pt>
                <c:pt idx="7">
                  <c:v>-0.7960199004975127</c:v>
                </c:pt>
                <c:pt idx="8">
                  <c:v>11.143430290872622</c:v>
                </c:pt>
                <c:pt idx="9">
                  <c:v>5.0536955148452307</c:v>
                </c:pt>
                <c:pt idx="10">
                  <c:v>0.11167425478910822</c:v>
                </c:pt>
                <c:pt idx="11">
                  <c:v>5.8649390767118179</c:v>
                </c:pt>
                <c:pt idx="12">
                  <c:v>10.561296859169325</c:v>
                </c:pt>
                <c:pt idx="13">
                  <c:v>7.4154173234119156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00-4BB2-AD2B-A901E28C8CC2}"/>
            </c:ext>
          </c:extLst>
        </c:ser>
        <c:ser>
          <c:idx val="1"/>
          <c:order val="1"/>
          <c:tx>
            <c:strRef>
              <c:f>'Státní rozpočet 1'!$A$37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1'!$B$37:$O$37</c:f>
              <c:numCache>
                <c:formatCode>0.0</c:formatCode>
                <c:ptCount val="14"/>
                <c:pt idx="0">
                  <c:v>25.978904782545829</c:v>
                </c:pt>
                <c:pt idx="1">
                  <c:v>4.1633214818212991</c:v>
                </c:pt>
                <c:pt idx="2">
                  <c:v>4.5474565073772046</c:v>
                </c:pt>
                <c:pt idx="3">
                  <c:v>3.2859399684044273</c:v>
                </c:pt>
                <c:pt idx="4">
                  <c:v>-3.4771081880289501</c:v>
                </c:pt>
                <c:pt idx="5">
                  <c:v>6.8666807521656485</c:v>
                </c:pt>
                <c:pt idx="6">
                  <c:v>6.3068406484776602</c:v>
                </c:pt>
                <c:pt idx="7">
                  <c:v>-1.4692207550678806</c:v>
                </c:pt>
                <c:pt idx="8">
                  <c:v>-3.6145715364288407</c:v>
                </c:pt>
                <c:pt idx="9">
                  <c:v>2.134534416919621</c:v>
                </c:pt>
                <c:pt idx="10">
                  <c:v>4.4195187422107125</c:v>
                </c:pt>
                <c:pt idx="11">
                  <c:v>6.6011751744399447</c:v>
                </c:pt>
                <c:pt idx="12">
                  <c:v>2.9627077771079469</c:v>
                </c:pt>
                <c:pt idx="13">
                  <c:v>1.5223755750731982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00-4BB2-AD2B-A901E28C8CC2}"/>
            </c:ext>
          </c:extLst>
        </c:ser>
        <c:ser>
          <c:idx val="3"/>
          <c:order val="2"/>
          <c:tx>
            <c:strRef>
              <c:f>'Státní rozpočet 1'!$A$38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1'!$B$38:$O$38</c:f>
              <c:numCache>
                <c:formatCode>0.0</c:formatCode>
                <c:ptCount val="14"/>
                <c:pt idx="0">
                  <c:v>8.3720930232558146</c:v>
                </c:pt>
                <c:pt idx="1">
                  <c:v>1.0224690734662971</c:v>
                </c:pt>
                <c:pt idx="2">
                  <c:v>13.007622141696848</c:v>
                </c:pt>
                <c:pt idx="3">
                  <c:v>-7.5961963732861619</c:v>
                </c:pt>
                <c:pt idx="4">
                  <c:v>-4.5470862749790655</c:v>
                </c:pt>
                <c:pt idx="5">
                  <c:v>0.46383352137395839</c:v>
                </c:pt>
                <c:pt idx="6">
                  <c:v>6.8754679311205535</c:v>
                </c:pt>
                <c:pt idx="7">
                  <c:v>0.93403385872736056</c:v>
                </c:pt>
                <c:pt idx="8">
                  <c:v>5.6217466743782385</c:v>
                </c:pt>
                <c:pt idx="9">
                  <c:v>4.1616471361296732</c:v>
                </c:pt>
                <c:pt idx="10">
                  <c:v>2.586478814004801</c:v>
                </c:pt>
                <c:pt idx="11">
                  <c:v>10.17730859895461</c:v>
                </c:pt>
                <c:pt idx="12">
                  <c:v>12.865116279069904</c:v>
                </c:pt>
                <c:pt idx="13">
                  <c:v>15.099315915272399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00-4BB2-AD2B-A901E28C8CC2}"/>
            </c:ext>
          </c:extLst>
        </c:ser>
        <c:ser>
          <c:idx val="4"/>
          <c:order val="3"/>
          <c:tx>
            <c:strRef>
              <c:f>'Státní rozpočet 1'!$A$39</c:f>
              <c:strCache>
                <c:ptCount val="1"/>
                <c:pt idx="0">
                  <c:v>Daně z příjmů právnických osob (PO)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1'!$B$39:$O$39</c:f>
              <c:numCache>
                <c:formatCode>0.0</c:formatCode>
                <c:ptCount val="14"/>
                <c:pt idx="0">
                  <c:v>24.216106474170889</c:v>
                </c:pt>
                <c:pt idx="1">
                  <c:v>-5.7568328339235304</c:v>
                </c:pt>
                <c:pt idx="2">
                  <c:v>21.023219963387589</c:v>
                </c:pt>
                <c:pt idx="3">
                  <c:v>16.598996895151672</c:v>
                </c:pt>
                <c:pt idx="4">
                  <c:v>-35.982520824798584</c:v>
                </c:pt>
                <c:pt idx="5">
                  <c:v>5.5140784982935003</c:v>
                </c:pt>
                <c:pt idx="6">
                  <c:v>-6.1356514707368888</c:v>
                </c:pt>
                <c:pt idx="7">
                  <c:v>8.981262115011841</c:v>
                </c:pt>
                <c:pt idx="8">
                  <c:v>-5.8794466403162176</c:v>
                </c:pt>
                <c:pt idx="9">
                  <c:v>8.8503937007874214</c:v>
                </c:pt>
                <c:pt idx="10">
                  <c:v>11.140046296296306</c:v>
                </c:pt>
                <c:pt idx="11">
                  <c:v>12.921982122711098</c:v>
                </c:pt>
                <c:pt idx="12">
                  <c:v>0.20750076852134244</c:v>
                </c:pt>
                <c:pt idx="13">
                  <c:v>2.3084592376716273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800-4BB2-AD2B-A901E28C8CC2}"/>
            </c:ext>
          </c:extLst>
        </c:ser>
        <c:marker val="1"/>
        <c:axId val="160382976"/>
        <c:axId val="160384896"/>
      </c:lineChart>
      <c:catAx>
        <c:axId val="160382976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60384896"/>
        <c:crosses val="autoZero"/>
        <c:auto val="1"/>
        <c:lblAlgn val="ctr"/>
        <c:lblOffset val="0"/>
      </c:catAx>
      <c:valAx>
        <c:axId val="160384896"/>
        <c:scaling>
          <c:orientation val="minMax"/>
          <c:max val="30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0382976"/>
        <c:crosses val="autoZero"/>
        <c:crossBetween val="between"/>
        <c:majorUnit val="5"/>
      </c:valAx>
      <c:valAx>
        <c:axId val="160585216"/>
        <c:scaling>
          <c:orientation val="minMax"/>
          <c:max val="90"/>
          <c:min val="-120"/>
        </c:scaling>
        <c:axPos val="r"/>
        <c:numFmt formatCode="#,##0" sourceLinked="0"/>
        <c:tickLblPos val="nextTo"/>
        <c:crossAx val="160587136"/>
        <c:crosses val="max"/>
        <c:crossBetween val="between"/>
        <c:majorUnit val="30"/>
      </c:valAx>
      <c:catAx>
        <c:axId val="160587136"/>
        <c:scaling>
          <c:orientation val="minMax"/>
        </c:scaling>
        <c:delete val="1"/>
        <c:axPos val="b"/>
        <c:numFmt formatCode="General" sourceLinked="1"/>
        <c:tickLblPos val="none"/>
        <c:crossAx val="16058521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78156565656246E-2"/>
          <c:y val="0.89069533285111913"/>
          <c:w val="0.87839422563312208"/>
          <c:h val="0.1021051351142141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654503640965086E-2"/>
          <c:y val="1.7112323287741895E-2"/>
          <c:w val="0.88571919735113303"/>
          <c:h val="0.75695536165419453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rozpočet--1-3q-výdaje'!$B$31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rozpočet--1-3q-výdaje'!$B$32:$B$45</c:f>
              <c:numCache>
                <c:formatCode>0.0</c:formatCode>
                <c:ptCount val="14"/>
                <c:pt idx="0">
                  <c:v>572.84999999999798</c:v>
                </c:pt>
                <c:pt idx="1">
                  <c:v>623.23</c:v>
                </c:pt>
                <c:pt idx="2">
                  <c:v>657.35999999999797</c:v>
                </c:pt>
                <c:pt idx="3">
                  <c:v>707.04</c:v>
                </c:pt>
                <c:pt idx="4">
                  <c:v>734.05</c:v>
                </c:pt>
                <c:pt idx="5">
                  <c:v>754.15</c:v>
                </c:pt>
                <c:pt idx="6">
                  <c:v>764.93</c:v>
                </c:pt>
                <c:pt idx="7">
                  <c:v>755.57</c:v>
                </c:pt>
                <c:pt idx="8">
                  <c:v>786.27000000000055</c:v>
                </c:pt>
                <c:pt idx="9">
                  <c:v>801.1</c:v>
                </c:pt>
                <c:pt idx="10">
                  <c:v>822.78000000000054</c:v>
                </c:pt>
                <c:pt idx="11">
                  <c:v>831.32999999999947</c:v>
                </c:pt>
                <c:pt idx="12">
                  <c:v>881.38</c:v>
                </c:pt>
                <c:pt idx="13">
                  <c:v>946.51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0F-4617-92A1-CFA3BCC73D65}"/>
            </c:ext>
          </c:extLst>
        </c:ser>
        <c:gapWidth val="70"/>
        <c:axId val="168137088"/>
        <c:axId val="168135296"/>
      </c:barChart>
      <c:lineChart>
        <c:grouping val="standard"/>
        <c:ser>
          <c:idx val="1"/>
          <c:order val="1"/>
          <c:tx>
            <c:strRef>
              <c:f>'Státní rozpočet--1-3q-výdaje'!$C$31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rozpočet--1-3q-výdaje'!$C$32:$C$45</c:f>
              <c:numCache>
                <c:formatCode>0.0</c:formatCode>
                <c:ptCount val="14"/>
                <c:pt idx="0">
                  <c:v>55.24</c:v>
                </c:pt>
                <c:pt idx="1">
                  <c:v>57.61</c:v>
                </c:pt>
                <c:pt idx="2">
                  <c:v>61.349999999999994</c:v>
                </c:pt>
                <c:pt idx="3">
                  <c:v>61.44</c:v>
                </c:pt>
                <c:pt idx="4">
                  <c:v>63.790000000000013</c:v>
                </c:pt>
                <c:pt idx="5">
                  <c:v>63.5</c:v>
                </c:pt>
                <c:pt idx="6">
                  <c:v>57.879999999999995</c:v>
                </c:pt>
                <c:pt idx="7">
                  <c:v>58.77</c:v>
                </c:pt>
                <c:pt idx="8">
                  <c:v>60.04</c:v>
                </c:pt>
                <c:pt idx="9">
                  <c:v>61.89</c:v>
                </c:pt>
                <c:pt idx="10">
                  <c:v>67.66</c:v>
                </c:pt>
                <c:pt idx="11">
                  <c:v>70.25</c:v>
                </c:pt>
                <c:pt idx="12">
                  <c:v>76.149999999999991</c:v>
                </c:pt>
                <c:pt idx="13">
                  <c:v>86.01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0F-4617-92A1-CFA3BCC73D65}"/>
            </c:ext>
          </c:extLst>
        </c:ser>
        <c:ser>
          <c:idx val="2"/>
          <c:order val="2"/>
          <c:tx>
            <c:strRef>
              <c:f>'Státní rozpočet--1-3q-výdaje'!$D$31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rozpočet--1-3q-výdaje'!$D$32:$D$45</c:f>
              <c:numCache>
                <c:formatCode>0.0</c:formatCode>
                <c:ptCount val="14"/>
                <c:pt idx="0">
                  <c:v>5.38</c:v>
                </c:pt>
                <c:pt idx="1">
                  <c:v>5.63</c:v>
                </c:pt>
                <c:pt idx="2">
                  <c:v>5.44</c:v>
                </c:pt>
                <c:pt idx="3">
                  <c:v>5.29</c:v>
                </c:pt>
                <c:pt idx="4">
                  <c:v>11.41</c:v>
                </c:pt>
                <c:pt idx="5">
                  <c:v>10.65</c:v>
                </c:pt>
                <c:pt idx="6">
                  <c:v>8.3600000000000048</c:v>
                </c:pt>
                <c:pt idx="7">
                  <c:v>6.78</c:v>
                </c:pt>
                <c:pt idx="8">
                  <c:v>7.53</c:v>
                </c:pt>
                <c:pt idx="9">
                  <c:v>7.33</c:v>
                </c:pt>
                <c:pt idx="10">
                  <c:v>6.46</c:v>
                </c:pt>
                <c:pt idx="11">
                  <c:v>6.39</c:v>
                </c:pt>
                <c:pt idx="12">
                  <c:v>6.1099999999999985</c:v>
                </c:pt>
                <c:pt idx="13">
                  <c:v>5.7700000000000014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0F-4617-92A1-CFA3BCC73D65}"/>
            </c:ext>
          </c:extLst>
        </c:ser>
        <c:ser>
          <c:idx val="3"/>
          <c:order val="3"/>
          <c:tx>
            <c:strRef>
              <c:f>'Státní rozpočet--1-3q-výdaje'!$E$31</c:f>
              <c:strCache>
                <c:ptCount val="1"/>
                <c:pt idx="0">
                  <c:v>Státní sociální podpora*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rozpočet--1-3q-výdaje'!$E$32:$E$45</c:f>
              <c:numCache>
                <c:formatCode>General</c:formatCode>
                <c:ptCount val="14"/>
                <c:pt idx="0">
                  <c:v>25.01</c:v>
                </c:pt>
                <c:pt idx="1">
                  <c:v>25.77</c:v>
                </c:pt>
                <c:pt idx="2">
                  <c:v>36.410000000000004</c:v>
                </c:pt>
                <c:pt idx="3">
                  <c:v>31.979999999999986</c:v>
                </c:pt>
                <c:pt idx="4">
                  <c:v>30.95</c:v>
                </c:pt>
                <c:pt idx="5">
                  <c:v>30.85</c:v>
                </c:pt>
                <c:pt idx="6">
                  <c:v>27.32</c:v>
                </c:pt>
                <c:pt idx="7">
                  <c:v>26.77</c:v>
                </c:pt>
                <c:pt idx="8">
                  <c:v>28.04</c:v>
                </c:pt>
                <c:pt idx="9">
                  <c:v>28.22</c:v>
                </c:pt>
                <c:pt idx="10">
                  <c:v>28.27</c:v>
                </c:pt>
                <c:pt idx="11">
                  <c:v>28.38</c:v>
                </c:pt>
                <c:pt idx="12">
                  <c:v>28.02</c:v>
                </c:pt>
                <c:pt idx="13">
                  <c:v>29.34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F0F-4617-92A1-CFA3BCC73D65}"/>
            </c:ext>
          </c:extLst>
        </c:ser>
        <c:ser>
          <c:idx val="4"/>
          <c:order val="4"/>
          <c:tx>
            <c:strRef>
              <c:f>'Státní rozpočet--1-3q-výdaje'!$F$31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rozpočet--1-3q-výdaje'!$F$32:$F$45</c:f>
              <c:numCache>
                <c:formatCode>0.00</c:formatCode>
                <c:ptCount val="14"/>
                <c:pt idx="0">
                  <c:v>24.5</c:v>
                </c:pt>
                <c:pt idx="1">
                  <c:v>25.2</c:v>
                </c:pt>
                <c:pt idx="2">
                  <c:v>26.130000000000031</c:v>
                </c:pt>
                <c:pt idx="3">
                  <c:v>24.12</c:v>
                </c:pt>
                <c:pt idx="4">
                  <c:v>20.07</c:v>
                </c:pt>
                <c:pt idx="5">
                  <c:v>16.8</c:v>
                </c:pt>
                <c:pt idx="6">
                  <c:v>16.82</c:v>
                </c:pt>
                <c:pt idx="7">
                  <c:v>14.84</c:v>
                </c:pt>
                <c:pt idx="8">
                  <c:v>15.44</c:v>
                </c:pt>
                <c:pt idx="9">
                  <c:v>16.649999999999999</c:v>
                </c:pt>
                <c:pt idx="10">
                  <c:v>18.23</c:v>
                </c:pt>
                <c:pt idx="11">
                  <c:v>19.88</c:v>
                </c:pt>
                <c:pt idx="12">
                  <c:v>21.43</c:v>
                </c:pt>
                <c:pt idx="13">
                  <c:v>25.479999999999986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F0F-4617-92A1-CFA3BCC73D65}"/>
            </c:ext>
          </c:extLst>
        </c:ser>
        <c:ser>
          <c:idx val="5"/>
          <c:order val="5"/>
          <c:tx>
            <c:strRef>
              <c:f>'Státní rozpočet--1-3q-výdaje'!$G$31</c:f>
              <c:strCache>
                <c:ptCount val="1"/>
                <c:pt idx="0">
                  <c:v>Dávky sociální péče**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rozpočet--1-3q-výdaje'!$G$32:$G$45</c:f>
              <c:numCache>
                <c:formatCode>General</c:formatCode>
                <c:ptCount val="14"/>
                <c:pt idx="2" formatCode="0.00">
                  <c:v>16.7</c:v>
                </c:pt>
                <c:pt idx="3" formatCode="0.00">
                  <c:v>18.600000000000001</c:v>
                </c:pt>
                <c:pt idx="4" formatCode="0.00">
                  <c:v>18.899999999999999</c:v>
                </c:pt>
                <c:pt idx="5" formatCode="0.00">
                  <c:v>19.600000000000001</c:v>
                </c:pt>
                <c:pt idx="6" formatCode="0.00">
                  <c:v>19.100000000000001</c:v>
                </c:pt>
                <c:pt idx="7" formatCode="0.00">
                  <c:v>20.309999999999999</c:v>
                </c:pt>
                <c:pt idx="8" formatCode="0.00">
                  <c:v>23.73</c:v>
                </c:pt>
                <c:pt idx="9" formatCode="0.00">
                  <c:v>25.18</c:v>
                </c:pt>
                <c:pt idx="10" formatCode="0.00">
                  <c:v>25.259999999999987</c:v>
                </c:pt>
                <c:pt idx="11" formatCode="0.00">
                  <c:v>25.4</c:v>
                </c:pt>
                <c:pt idx="12" formatCode="0.00">
                  <c:v>25.959999999999987</c:v>
                </c:pt>
                <c:pt idx="13" formatCode="0.00">
                  <c:v>25.56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F0F-4617-92A1-CFA3BCC73D65}"/>
            </c:ext>
          </c:extLst>
        </c:ser>
        <c:ser>
          <c:idx val="6"/>
          <c:order val="6"/>
          <c:tx>
            <c:strRef>
              <c:f>'Státní rozpočet--1-3q-výdaje'!$H$31</c:f>
              <c:strCache>
                <c:ptCount val="1"/>
                <c:pt idx="0">
                  <c:v>Neinvestiční nákupy a souvis.výdaje***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rozpočet--1-3q-výdaje'!$H$32:$H$45</c:f>
              <c:numCache>
                <c:formatCode>General</c:formatCode>
                <c:ptCount val="14"/>
                <c:pt idx="6" formatCode="0.00">
                  <c:v>38.64</c:v>
                </c:pt>
                <c:pt idx="7" formatCode="0.00">
                  <c:v>34.99</c:v>
                </c:pt>
                <c:pt idx="8" formatCode="0.00">
                  <c:v>33.93</c:v>
                </c:pt>
                <c:pt idx="9" formatCode="0.00">
                  <c:v>33.94</c:v>
                </c:pt>
                <c:pt idx="10" formatCode="0.00">
                  <c:v>38.309999999999995</c:v>
                </c:pt>
                <c:pt idx="11" formatCode="0.00">
                  <c:v>36.660000000000011</c:v>
                </c:pt>
                <c:pt idx="12" formatCode="0.00">
                  <c:v>41.17</c:v>
                </c:pt>
                <c:pt idx="13" formatCode="0.00">
                  <c:v>42.86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0F-4617-92A1-CFA3BCC73D65}"/>
            </c:ext>
          </c:extLst>
        </c:ser>
        <c:ser>
          <c:idx val="7"/>
          <c:order val="7"/>
          <c:tx>
            <c:strRef>
              <c:f>'Státní rozpočet--1-3q-výdaje'!$I$31</c:f>
              <c:strCache>
                <c:ptCount val="1"/>
                <c:pt idx="0">
                  <c:v>Státní dluh (čisté výdaje)****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rozpočet--1-3q-výdaje'!$I$32:$I$45</c:f>
              <c:numCache>
                <c:formatCode>0.0</c:formatCode>
                <c:ptCount val="14"/>
                <c:pt idx="0">
                  <c:v>18.25</c:v>
                </c:pt>
                <c:pt idx="1">
                  <c:v>23.29</c:v>
                </c:pt>
                <c:pt idx="2">
                  <c:v>25.08</c:v>
                </c:pt>
                <c:pt idx="3">
                  <c:v>24.459999999999987</c:v>
                </c:pt>
                <c:pt idx="4">
                  <c:v>33.33</c:v>
                </c:pt>
                <c:pt idx="5">
                  <c:v>24.919999999999987</c:v>
                </c:pt>
                <c:pt idx="6">
                  <c:v>35.89</c:v>
                </c:pt>
                <c:pt idx="7">
                  <c:v>35.86</c:v>
                </c:pt>
                <c:pt idx="8">
                  <c:v>44.55</c:v>
                </c:pt>
                <c:pt idx="9">
                  <c:v>43.160000000000011</c:v>
                </c:pt>
                <c:pt idx="10">
                  <c:v>41.03</c:v>
                </c:pt>
                <c:pt idx="11">
                  <c:v>38.1</c:v>
                </c:pt>
                <c:pt idx="12">
                  <c:v>33.85</c:v>
                </c:pt>
                <c:pt idx="13">
                  <c:v>32.620000000000012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F0F-4617-92A1-CFA3BCC73D65}"/>
            </c:ext>
          </c:extLst>
        </c:ser>
        <c:ser>
          <c:idx val="8"/>
          <c:order val="8"/>
          <c:tx>
            <c:strRef>
              <c:f>'Státní rozpočet--1-3q-výdaje'!$J$31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'Státní rozpočet--1-3q-výdaje'!$A$32:$A$45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rozpočet--1-3q-výdaje'!$J$32:$J$45</c:f>
              <c:numCache>
                <c:formatCode>0.0</c:formatCode>
                <c:ptCount val="14"/>
                <c:pt idx="0">
                  <c:v>35.47</c:v>
                </c:pt>
                <c:pt idx="1">
                  <c:v>48.78</c:v>
                </c:pt>
                <c:pt idx="2">
                  <c:v>54.849999999999994</c:v>
                </c:pt>
                <c:pt idx="3">
                  <c:v>76.95</c:v>
                </c:pt>
                <c:pt idx="4">
                  <c:v>80.024000000000001</c:v>
                </c:pt>
                <c:pt idx="5">
                  <c:v>91.36</c:v>
                </c:pt>
                <c:pt idx="6">
                  <c:v>82.07</c:v>
                </c:pt>
                <c:pt idx="7">
                  <c:v>72.98</c:v>
                </c:pt>
                <c:pt idx="8">
                  <c:v>58.39</c:v>
                </c:pt>
                <c:pt idx="9">
                  <c:v>59.67</c:v>
                </c:pt>
                <c:pt idx="10">
                  <c:v>88.53</c:v>
                </c:pt>
                <c:pt idx="11">
                  <c:v>51.6</c:v>
                </c:pt>
                <c:pt idx="12">
                  <c:v>41.37</c:v>
                </c:pt>
                <c:pt idx="13">
                  <c:v>60.91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F0F-4617-92A1-CFA3BCC73D65}"/>
            </c:ext>
          </c:extLst>
        </c:ser>
        <c:marker val="1"/>
        <c:axId val="168031360"/>
        <c:axId val="168133760"/>
      </c:lineChart>
      <c:catAx>
        <c:axId val="16803136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68133760"/>
        <c:crosses val="autoZero"/>
        <c:auto val="1"/>
        <c:lblAlgn val="ctr"/>
        <c:lblOffset val="20"/>
      </c:catAx>
      <c:valAx>
        <c:axId val="168133760"/>
        <c:scaling>
          <c:orientation val="minMax"/>
          <c:max val="10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8031360"/>
        <c:crosses val="autoZero"/>
        <c:crossBetween val="between"/>
        <c:majorUnit val="10"/>
      </c:valAx>
      <c:valAx>
        <c:axId val="168135296"/>
        <c:scaling>
          <c:orientation val="minMax"/>
          <c:max val="10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68137088"/>
        <c:crosses val="max"/>
        <c:crossBetween val="between"/>
        <c:majorUnit val="100"/>
      </c:valAx>
      <c:catAx>
        <c:axId val="168137088"/>
        <c:scaling>
          <c:orientation val="minMax"/>
        </c:scaling>
        <c:delete val="1"/>
        <c:axPos val="b"/>
        <c:numFmt formatCode="General" sourceLinked="1"/>
        <c:tickLblPos val="none"/>
        <c:crossAx val="16813529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4400711291244411E-2"/>
          <c:y val="0.82679736838094697"/>
          <c:w val="0.91023770830799289"/>
          <c:h val="0.1657584134319489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2626262558"/>
          <c:h val="0.79972056504783351"/>
        </c:manualLayout>
      </c:layout>
      <c:barChart>
        <c:barDir val="col"/>
        <c:grouping val="clustered"/>
        <c:ser>
          <c:idx val="5"/>
          <c:order val="5"/>
          <c:tx>
            <c:strRef>
              <c:f>'Státní rozpočet 4'!$G$22</c:f>
              <c:strCache>
                <c:ptCount val="1"/>
                <c:pt idx="0">
                  <c:v>Saldo příjmů a výdajů na důchody (pr.osa)*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4'!$G$23:$G$36</c:f>
              <c:numCache>
                <c:formatCode>0.0</c:formatCode>
                <c:ptCount val="14"/>
                <c:pt idx="0">
                  <c:v>-2.0700000000000207</c:v>
                </c:pt>
                <c:pt idx="1">
                  <c:v>-3.3299999999999828</c:v>
                </c:pt>
                <c:pt idx="2">
                  <c:v>5.460000000000008</c:v>
                </c:pt>
                <c:pt idx="3">
                  <c:v>5.3100000000000005</c:v>
                </c:pt>
                <c:pt idx="4">
                  <c:v>-20.63999999999999</c:v>
                </c:pt>
                <c:pt idx="5">
                  <c:v>-25.17000000000003</c:v>
                </c:pt>
                <c:pt idx="6">
                  <c:v>-33.620000000000033</c:v>
                </c:pt>
                <c:pt idx="7">
                  <c:v>-32.980000000000004</c:v>
                </c:pt>
                <c:pt idx="8">
                  <c:v>-32.120000000000012</c:v>
                </c:pt>
                <c:pt idx="9">
                  <c:v>-27.52000000000001</c:v>
                </c:pt>
                <c:pt idx="10">
                  <c:v>-20.839999999999975</c:v>
                </c:pt>
                <c:pt idx="11">
                  <c:v>-13.330000000000002</c:v>
                </c:pt>
                <c:pt idx="12">
                  <c:v>-2.1999999999999877</c:v>
                </c:pt>
                <c:pt idx="13">
                  <c:v>14.55000000000002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FD-418B-82D4-09E67317BC73}"/>
            </c:ext>
          </c:extLst>
        </c:ser>
        <c:gapWidth val="43"/>
        <c:axId val="178082944"/>
        <c:axId val="178076288"/>
      </c:barChart>
      <c:lineChart>
        <c:grouping val="standard"/>
        <c:ser>
          <c:idx val="1"/>
          <c:order val="0"/>
          <c:tx>
            <c:strRef>
              <c:f>'Státní rozpočet 4'!$C$22</c:f>
              <c:strCache>
                <c:ptCount val="1"/>
              </c:strCache>
            </c:strRef>
          </c:tx>
          <c:spPr>
            <a:ln w="19050">
              <a:noFill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4'!$C$23:$C$36</c:f>
              <c:numCache>
                <c:formatCode>General</c:formatCode>
                <c:ptCount val="1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FD-418B-82D4-09E67317BC73}"/>
            </c:ext>
          </c:extLst>
        </c:ser>
        <c:ser>
          <c:idx val="0"/>
          <c:order val="1"/>
          <c:tx>
            <c:strRef>
              <c:f>'Státní rozpočet 4'!$B$22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4'!$B$23:$B$36</c:f>
              <c:numCache>
                <c:formatCode>0.0</c:formatCode>
                <c:ptCount val="14"/>
                <c:pt idx="0">
                  <c:v>0.77226478546860733</c:v>
                </c:pt>
                <c:pt idx="1">
                  <c:v>1.6092555848802133</c:v>
                </c:pt>
                <c:pt idx="2">
                  <c:v>1.1089708999843424</c:v>
                </c:pt>
                <c:pt idx="3">
                  <c:v>1.2806567827247477</c:v>
                </c:pt>
                <c:pt idx="4">
                  <c:v>1.1725873606979671</c:v>
                </c:pt>
                <c:pt idx="5">
                  <c:v>1.364116242598584</c:v>
                </c:pt>
                <c:pt idx="6">
                  <c:v>1.2193866995871812</c:v>
                </c:pt>
                <c:pt idx="7">
                  <c:v>0.45728875855547818</c:v>
                </c:pt>
                <c:pt idx="8">
                  <c:v>-0.31121054845125684</c:v>
                </c:pt>
                <c:pt idx="9">
                  <c:v>0.36859757982475416</c:v>
                </c:pt>
                <c:pt idx="10">
                  <c:v>0.12543621809804506</c:v>
                </c:pt>
                <c:pt idx="11">
                  <c:v>0.69434807518003083</c:v>
                </c:pt>
                <c:pt idx="12">
                  <c:v>6.033303976806792E-2</c:v>
                </c:pt>
                <c:pt idx="13">
                  <c:v>8.9681742566554701E-2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FD-418B-82D4-09E67317BC73}"/>
            </c:ext>
          </c:extLst>
        </c:ser>
        <c:ser>
          <c:idx val="2"/>
          <c:order val="2"/>
          <c:tx>
            <c:strRef>
              <c:f>'Státní rozpočet 4'!$D$22</c:f>
              <c:strCache>
                <c:ptCount val="1"/>
                <c:pt idx="0">
                  <c:v>z toho starobních trvale krácených**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6"/>
            <c:spPr>
              <a:solidFill>
                <a:srgbClr val="F8A124"/>
              </a:solidFill>
              <a:ln>
                <a:noFill/>
              </a:ln>
            </c:spPr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4'!$D$23:$D$36</c:f>
              <c:numCache>
                <c:formatCode>0.0</c:formatCode>
                <c:ptCount val="14"/>
                <c:pt idx="0">
                  <c:v>2.5482108693596501</c:v>
                </c:pt>
                <c:pt idx="1">
                  <c:v>7.1645433135658045</c:v>
                </c:pt>
                <c:pt idx="2">
                  <c:v>8.6961846007201729</c:v>
                </c:pt>
                <c:pt idx="3">
                  <c:v>7.6271470286432645</c:v>
                </c:pt>
                <c:pt idx="4">
                  <c:v>8.5054375502167865</c:v>
                </c:pt>
                <c:pt idx="5">
                  <c:v>9.9926472888834095</c:v>
                </c:pt>
                <c:pt idx="6">
                  <c:v>12.198446392972032</c:v>
                </c:pt>
                <c:pt idx="7">
                  <c:v>9.6983628308300389</c:v>
                </c:pt>
                <c:pt idx="8">
                  <c:v>3.6943806201983311</c:v>
                </c:pt>
                <c:pt idx="9">
                  <c:v>3.8937375906152032</c:v>
                </c:pt>
                <c:pt idx="10">
                  <c:v>3.8280770942869395</c:v>
                </c:pt>
                <c:pt idx="11">
                  <c:v>3.2528668342573877</c:v>
                </c:pt>
                <c:pt idx="12">
                  <c:v>2.5540628877119644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FD-418B-82D4-09E67317BC73}"/>
            </c:ext>
          </c:extLst>
        </c:ser>
        <c:ser>
          <c:idx val="3"/>
          <c:order val="3"/>
          <c:tx>
            <c:strRef>
              <c:f>'Státní rozpočet 4'!$E$22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4'!$E$23:$E$36</c:f>
              <c:numCache>
                <c:formatCode>0.0</c:formatCode>
                <c:ptCount val="14"/>
                <c:pt idx="0">
                  <c:v>6.2910904556789724</c:v>
                </c:pt>
                <c:pt idx="1">
                  <c:v>7.1398101738295878</c:v>
                </c:pt>
                <c:pt idx="2">
                  <c:v>10.033344946001094</c:v>
                </c:pt>
                <c:pt idx="3">
                  <c:v>6.9157356732552255</c:v>
                </c:pt>
                <c:pt idx="4">
                  <c:v>-1.8825619764785475</c:v>
                </c:pt>
                <c:pt idx="5">
                  <c:v>0.84077092226103278</c:v>
                </c:pt>
                <c:pt idx="6">
                  <c:v>3.4077304600650002</c:v>
                </c:pt>
                <c:pt idx="7">
                  <c:v>2.4684721935083567</c:v>
                </c:pt>
                <c:pt idx="8">
                  <c:v>-0.23404083609071341</c:v>
                </c:pt>
                <c:pt idx="9">
                  <c:v>2.60071185892253</c:v>
                </c:pt>
                <c:pt idx="10">
                  <c:v>5.5741711672645495</c:v>
                </c:pt>
                <c:pt idx="11">
                  <c:v>6.0229267017661785</c:v>
                </c:pt>
                <c:pt idx="12">
                  <c:v>8.2270902303303473</c:v>
                </c:pt>
                <c:pt idx="13">
                  <c:v>9.8275301008786204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3FD-418B-82D4-09E67317BC73}"/>
            </c:ext>
          </c:extLst>
        </c:ser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4'!$F$23:$F$36</c:f>
              <c:numCache>
                <c:formatCode>0.0</c:formatCode>
                <c:ptCount val="14"/>
                <c:pt idx="0">
                  <c:v>9.1720405343160554</c:v>
                </c:pt>
                <c:pt idx="1">
                  <c:v>7.7263857391487676</c:v>
                </c:pt>
                <c:pt idx="2">
                  <c:v>5.5664349358660346</c:v>
                </c:pt>
                <c:pt idx="3">
                  <c:v>7.1604136715669906</c:v>
                </c:pt>
                <c:pt idx="4">
                  <c:v>9.3045397498593747</c:v>
                </c:pt>
                <c:pt idx="5">
                  <c:v>2.5656253711842387</c:v>
                </c:pt>
                <c:pt idx="6">
                  <c:v>6.3385446824937333</c:v>
                </c:pt>
                <c:pt idx="7">
                  <c:v>1.9348749410098947</c:v>
                </c:pt>
                <c:pt idx="8">
                  <c:v>-0.512820512820514</c:v>
                </c:pt>
                <c:pt idx="9">
                  <c:v>0.65506872852232334</c:v>
                </c:pt>
                <c:pt idx="10">
                  <c:v>2.6530104200006974</c:v>
                </c:pt>
                <c:pt idx="11">
                  <c:v>2.9863156071366745</c:v>
                </c:pt>
                <c:pt idx="12">
                  <c:v>4.1141050223702056</c:v>
                </c:pt>
                <c:pt idx="13">
                  <c:v>4.3457189014539495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FD-418B-82D4-09E67317BC73}"/>
            </c:ext>
          </c:extLst>
        </c:ser>
        <c:marker val="1"/>
        <c:axId val="177949696"/>
        <c:axId val="178074752"/>
      </c:lineChart>
      <c:catAx>
        <c:axId val="177949696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78074752"/>
        <c:crossesAt val="0"/>
        <c:auto val="1"/>
        <c:lblAlgn val="ctr"/>
        <c:lblOffset val="0"/>
      </c:catAx>
      <c:valAx>
        <c:axId val="178074752"/>
        <c:scaling>
          <c:orientation val="minMax"/>
          <c:max val="14"/>
          <c:min val="-2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77949696"/>
        <c:crosses val="autoZero"/>
        <c:crossBetween val="between"/>
        <c:majorUnit val="2"/>
      </c:valAx>
      <c:valAx>
        <c:axId val="178076288"/>
        <c:scaling>
          <c:orientation val="minMax"/>
          <c:max val="28"/>
          <c:min val="-40"/>
        </c:scaling>
        <c:axPos val="r"/>
        <c:numFmt formatCode="0" sourceLinked="0"/>
        <c:tickLblPos val="nextTo"/>
        <c:crossAx val="178082944"/>
        <c:crosses val="max"/>
        <c:crossBetween val="between"/>
        <c:majorUnit val="4"/>
      </c:valAx>
      <c:catAx>
        <c:axId val="178082944"/>
        <c:scaling>
          <c:orientation val="minMax"/>
        </c:scaling>
        <c:delete val="1"/>
        <c:axPos val="b"/>
        <c:numFmt formatCode="General" sourceLinked="1"/>
        <c:tickLblPos val="none"/>
        <c:crossAx val="17807628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528829966329967E-2"/>
          <c:y val="0.8723506235827666"/>
          <c:w val="0.96747832491582486"/>
          <c:h val="0.1207964852607720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7689-FADC-4D1A-9E4B-5DFA8F661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8CC89-55CD-4FE8-8D1A-1954D9C6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1704</Words>
  <Characters>10058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11739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4</cp:revision>
  <cp:lastPrinted>2018-12-19T13:53:00Z</cp:lastPrinted>
  <dcterms:created xsi:type="dcterms:W3CDTF">2018-12-20T11:00:00Z</dcterms:created>
  <dcterms:modified xsi:type="dcterms:W3CDTF">2018-12-20T11:02:00Z</dcterms:modified>
</cp:coreProperties>
</file>